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0000" w:themeColor="text1"/>
          <w:sz w:val="32"/>
          <w:szCs w:val="32"/>
        </w:rPr>
      </w:pPr>
      <w:r>
        <w:rPr>
          <w:b/>
          <w:color w:val="000000" w:themeColor="text1"/>
          <w:sz w:val="32"/>
          <w:szCs w:val="32"/>
        </w:rPr>
        <w:t>目录</w:t>
      </w:r>
    </w:p>
    <w:p>
      <w:pPr>
        <w:pStyle w:val="33"/>
        <w:tabs>
          <w:tab w:val="right" w:leader="dot" w:pos="8302"/>
        </w:tabs>
        <w:spacing w:line="440" w:lineRule="exact"/>
        <w:ind w:left="0" w:leftChars="0"/>
        <w:rPr>
          <w:rFonts w:asciiTheme="minorHAnsi" w:hAnsiTheme="minorHAnsi" w:eastAsiaTheme="minorEastAsia" w:cstheme="minorBidi"/>
          <w:color w:val="000000" w:themeColor="text1"/>
          <w:szCs w:val="22"/>
        </w:rPr>
      </w:pPr>
      <w:r>
        <w:rPr>
          <w:color w:val="000000" w:themeColor="text1"/>
        </w:rPr>
        <w:fldChar w:fldCharType="begin"/>
      </w:r>
      <w:r>
        <w:rPr>
          <w:color w:val="000000" w:themeColor="text1"/>
        </w:rPr>
        <w:instrText xml:space="preserve"> TOC \o "1-2" \h \z \u </w:instrText>
      </w:r>
      <w:r>
        <w:rPr>
          <w:color w:val="000000" w:themeColor="text1"/>
        </w:rPr>
        <w:fldChar w:fldCharType="separate"/>
      </w:r>
      <w:r>
        <w:fldChar w:fldCharType="begin"/>
      </w:r>
      <w:r>
        <w:instrText xml:space="preserve"> HYPERLINK \l "_Toc4076468" </w:instrText>
      </w:r>
      <w:r>
        <w:fldChar w:fldCharType="separate"/>
      </w:r>
      <w:r>
        <w:rPr>
          <w:rStyle w:val="49"/>
          <w:color w:val="000000" w:themeColor="text1"/>
          <w:sz w:val="24"/>
        </w:rPr>
        <w:t>1</w:t>
      </w:r>
      <w:r>
        <w:rPr>
          <w:rStyle w:val="49"/>
          <w:rFonts w:hint="eastAsia"/>
          <w:color w:val="000000" w:themeColor="text1"/>
          <w:sz w:val="24"/>
        </w:rPr>
        <w:t>概述</w:t>
      </w:r>
      <w:r>
        <w:rPr>
          <w:color w:val="000000" w:themeColor="text1"/>
          <w:sz w:val="24"/>
        </w:rPr>
        <w:tab/>
      </w:r>
      <w:r>
        <w:rPr>
          <w:color w:val="000000" w:themeColor="text1"/>
        </w:rPr>
        <w:fldChar w:fldCharType="begin"/>
      </w:r>
      <w:r>
        <w:rPr>
          <w:color w:val="000000" w:themeColor="text1"/>
        </w:rPr>
        <w:instrText xml:space="preserve"> PAGEREF _Toc4076468 \h </w:instrText>
      </w:r>
      <w:r>
        <w:rPr>
          <w:color w:val="000000" w:themeColor="text1"/>
        </w:rPr>
        <w:fldChar w:fldCharType="separate"/>
      </w:r>
      <w:r>
        <w:rPr>
          <w:color w:val="000000" w:themeColor="text1"/>
        </w:rPr>
        <w:t>1</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"_Toc4076469" </w:instrText>
      </w:r>
      <w:r>
        <w:fldChar w:fldCharType="separate"/>
      </w:r>
      <w:r>
        <w:rPr>
          <w:rStyle w:val="49"/>
          <w:color w:val="000000" w:themeColor="text1"/>
        </w:rPr>
        <w:t>1.1</w:t>
      </w:r>
      <w:r>
        <w:rPr>
          <w:rStyle w:val="49"/>
          <w:rFonts w:hint="eastAsia"/>
          <w:color w:val="000000" w:themeColor="text1"/>
        </w:rPr>
        <w:t>建设项目特点</w:t>
      </w:r>
      <w:r>
        <w:rPr>
          <w:color w:val="000000" w:themeColor="text1"/>
        </w:rPr>
        <w:tab/>
      </w:r>
      <w:r>
        <w:rPr>
          <w:color w:val="000000" w:themeColor="text1"/>
        </w:rPr>
        <w:fldChar w:fldCharType="begin"/>
      </w:r>
      <w:r>
        <w:rPr>
          <w:color w:val="000000" w:themeColor="text1"/>
        </w:rPr>
        <w:instrText xml:space="preserve"> PAGEREF _Toc4076469 \h </w:instrText>
      </w:r>
      <w:r>
        <w:rPr>
          <w:color w:val="000000" w:themeColor="text1"/>
        </w:rPr>
        <w:fldChar w:fldCharType="separate"/>
      </w:r>
      <w:r>
        <w:rPr>
          <w:color w:val="000000" w:themeColor="text1"/>
        </w:rPr>
        <w:t>1</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"_Toc4076470" </w:instrText>
      </w:r>
      <w:r>
        <w:fldChar w:fldCharType="separate"/>
      </w:r>
      <w:r>
        <w:rPr>
          <w:rStyle w:val="49"/>
          <w:color w:val="000000" w:themeColor="text1"/>
        </w:rPr>
        <w:t>1.2</w:t>
      </w:r>
      <w:r>
        <w:rPr>
          <w:rStyle w:val="49"/>
          <w:rFonts w:hint="eastAsia"/>
          <w:color w:val="000000" w:themeColor="text1"/>
        </w:rPr>
        <w:t>评价工作过程</w:t>
      </w:r>
      <w:r>
        <w:rPr>
          <w:color w:val="000000" w:themeColor="text1"/>
        </w:rPr>
        <w:tab/>
      </w:r>
      <w:r>
        <w:rPr>
          <w:color w:val="000000" w:themeColor="text1"/>
        </w:rPr>
        <w:fldChar w:fldCharType="begin"/>
      </w:r>
      <w:r>
        <w:rPr>
          <w:color w:val="000000" w:themeColor="text1"/>
        </w:rPr>
        <w:instrText xml:space="preserve"> PAGEREF _Toc4076470 \h </w:instrText>
      </w:r>
      <w:r>
        <w:rPr>
          <w:color w:val="000000" w:themeColor="text1"/>
        </w:rPr>
        <w:fldChar w:fldCharType="separate"/>
      </w:r>
      <w:r>
        <w:rPr>
          <w:color w:val="000000" w:themeColor="text1"/>
        </w:rPr>
        <w:t>2</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"_Toc4076471" </w:instrText>
      </w:r>
      <w:r>
        <w:fldChar w:fldCharType="separate"/>
      </w:r>
      <w:r>
        <w:rPr>
          <w:rStyle w:val="49"/>
          <w:color w:val="000000" w:themeColor="text1"/>
        </w:rPr>
        <w:t>1.3</w:t>
      </w:r>
      <w:r>
        <w:rPr>
          <w:rStyle w:val="49"/>
          <w:rFonts w:hint="eastAsia"/>
          <w:color w:val="000000" w:themeColor="text1"/>
        </w:rPr>
        <w:t>分析判定</w:t>
      </w:r>
      <w:r>
        <w:rPr>
          <w:color w:val="000000" w:themeColor="text1"/>
        </w:rPr>
        <w:tab/>
      </w:r>
      <w:r>
        <w:rPr>
          <w:color w:val="000000" w:themeColor="text1"/>
        </w:rPr>
        <w:fldChar w:fldCharType="begin"/>
      </w:r>
      <w:r>
        <w:rPr>
          <w:color w:val="000000" w:themeColor="text1"/>
        </w:rPr>
        <w:instrText xml:space="preserve"> PAGEREF _Toc4076471 \h </w:instrText>
      </w:r>
      <w:r>
        <w:rPr>
          <w:color w:val="000000" w:themeColor="text1"/>
        </w:rPr>
        <w:fldChar w:fldCharType="separate"/>
      </w:r>
      <w:r>
        <w:rPr>
          <w:color w:val="000000" w:themeColor="text1"/>
        </w:rPr>
        <w:t>2</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"_Toc4076472" </w:instrText>
      </w:r>
      <w:r>
        <w:fldChar w:fldCharType="separate"/>
      </w:r>
      <w:r>
        <w:rPr>
          <w:rStyle w:val="49"/>
          <w:color w:val="000000" w:themeColor="text1"/>
        </w:rPr>
        <w:t>1.4</w:t>
      </w:r>
      <w:r>
        <w:rPr>
          <w:rStyle w:val="49"/>
          <w:rFonts w:hint="eastAsia"/>
          <w:color w:val="000000" w:themeColor="text1"/>
        </w:rPr>
        <w:t>关注的主要环境问题及环境影响</w:t>
      </w:r>
      <w:r>
        <w:rPr>
          <w:color w:val="000000" w:themeColor="text1"/>
        </w:rPr>
        <w:tab/>
      </w:r>
      <w:r>
        <w:rPr>
          <w:color w:val="000000" w:themeColor="text1"/>
        </w:rPr>
        <w:fldChar w:fldCharType="begin"/>
      </w:r>
      <w:r>
        <w:rPr>
          <w:color w:val="000000" w:themeColor="text1"/>
        </w:rPr>
        <w:instrText xml:space="preserve"> PAGEREF _Toc4076472 \h </w:instrText>
      </w:r>
      <w:r>
        <w:rPr>
          <w:color w:val="000000" w:themeColor="text1"/>
        </w:rPr>
        <w:fldChar w:fldCharType="separate"/>
      </w:r>
      <w:r>
        <w:rPr>
          <w:color w:val="000000" w:themeColor="text1"/>
        </w:rPr>
        <w:t>3</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"_Toc4076473" </w:instrText>
      </w:r>
      <w:r>
        <w:fldChar w:fldCharType="separate"/>
      </w:r>
      <w:r>
        <w:rPr>
          <w:rStyle w:val="49"/>
          <w:color w:val="000000" w:themeColor="text1"/>
        </w:rPr>
        <w:t>1.5</w:t>
      </w:r>
      <w:r>
        <w:rPr>
          <w:rStyle w:val="49"/>
          <w:rFonts w:hint="eastAsia"/>
          <w:color w:val="000000" w:themeColor="text1"/>
        </w:rPr>
        <w:t>报告书主要结论</w:t>
      </w:r>
      <w:r>
        <w:rPr>
          <w:color w:val="000000" w:themeColor="text1"/>
        </w:rPr>
        <w:tab/>
      </w:r>
      <w:r>
        <w:rPr>
          <w:color w:val="000000" w:themeColor="text1"/>
        </w:rPr>
        <w:fldChar w:fldCharType="begin"/>
      </w:r>
      <w:r>
        <w:rPr>
          <w:color w:val="000000" w:themeColor="text1"/>
        </w:rPr>
        <w:instrText xml:space="preserve"> PAGEREF _Toc4076473 \h </w:instrText>
      </w:r>
      <w:r>
        <w:rPr>
          <w:color w:val="000000" w:themeColor="text1"/>
        </w:rPr>
        <w:fldChar w:fldCharType="separate"/>
      </w:r>
      <w:r>
        <w:rPr>
          <w:color w:val="000000" w:themeColor="text1"/>
        </w:rPr>
        <w:t>3</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"_Toc4076474" </w:instrText>
      </w:r>
      <w:r>
        <w:fldChar w:fldCharType="separate"/>
      </w:r>
      <w:r>
        <w:rPr>
          <w:rStyle w:val="49"/>
          <w:color w:val="000000" w:themeColor="text1"/>
        </w:rPr>
        <w:t>2</w:t>
      </w:r>
      <w:r>
        <w:rPr>
          <w:rStyle w:val="49"/>
          <w:rFonts w:hint="eastAsia"/>
          <w:color w:val="000000" w:themeColor="text1"/>
        </w:rPr>
        <w:t>总则</w:t>
      </w:r>
      <w:r>
        <w:rPr>
          <w:color w:val="000000" w:themeColor="text1"/>
        </w:rPr>
        <w:tab/>
      </w:r>
      <w:r>
        <w:rPr>
          <w:color w:val="000000" w:themeColor="text1"/>
        </w:rPr>
        <w:fldChar w:fldCharType="begin"/>
      </w:r>
      <w:r>
        <w:rPr>
          <w:color w:val="000000" w:themeColor="text1"/>
        </w:rPr>
        <w:instrText xml:space="preserve"> PAGEREF _Toc4076474 \h </w:instrText>
      </w:r>
      <w:r>
        <w:rPr>
          <w:color w:val="000000" w:themeColor="text1"/>
        </w:rPr>
        <w:fldChar w:fldCharType="separate"/>
      </w:r>
      <w:r>
        <w:rPr>
          <w:color w:val="000000" w:themeColor="text1"/>
        </w:rPr>
        <w:t>5</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"_Toc4076475" </w:instrText>
      </w:r>
      <w:r>
        <w:fldChar w:fldCharType="separate"/>
      </w:r>
      <w:r>
        <w:rPr>
          <w:rStyle w:val="49"/>
          <w:color w:val="000000" w:themeColor="text1"/>
        </w:rPr>
        <w:t>2.1</w:t>
      </w:r>
      <w:r>
        <w:rPr>
          <w:rStyle w:val="49"/>
          <w:rFonts w:hint="eastAsia"/>
          <w:color w:val="000000" w:themeColor="text1"/>
        </w:rPr>
        <w:t>评价目的及评价原则</w:t>
      </w:r>
      <w:r>
        <w:rPr>
          <w:color w:val="000000" w:themeColor="text1"/>
        </w:rPr>
        <w:tab/>
      </w:r>
      <w:r>
        <w:rPr>
          <w:color w:val="000000" w:themeColor="text1"/>
        </w:rPr>
        <w:fldChar w:fldCharType="begin"/>
      </w:r>
      <w:r>
        <w:rPr>
          <w:color w:val="000000" w:themeColor="text1"/>
        </w:rPr>
        <w:instrText xml:space="preserve"> PAGEREF _Toc4076475 \h </w:instrText>
      </w:r>
      <w:r>
        <w:rPr>
          <w:color w:val="000000" w:themeColor="text1"/>
        </w:rPr>
        <w:fldChar w:fldCharType="separate"/>
      </w:r>
      <w:r>
        <w:rPr>
          <w:color w:val="000000" w:themeColor="text1"/>
        </w:rPr>
        <w:t>5</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"_Toc4076476" </w:instrText>
      </w:r>
      <w:r>
        <w:fldChar w:fldCharType="separate"/>
      </w:r>
      <w:r>
        <w:rPr>
          <w:rStyle w:val="49"/>
          <w:color w:val="000000" w:themeColor="text1"/>
        </w:rPr>
        <w:t>2.2</w:t>
      </w:r>
      <w:r>
        <w:rPr>
          <w:rStyle w:val="49"/>
          <w:rFonts w:hint="eastAsia"/>
          <w:color w:val="000000" w:themeColor="text1"/>
        </w:rPr>
        <w:t>编制依据</w:t>
      </w:r>
      <w:r>
        <w:rPr>
          <w:color w:val="000000" w:themeColor="text1"/>
        </w:rPr>
        <w:tab/>
      </w:r>
      <w:r>
        <w:rPr>
          <w:color w:val="000000" w:themeColor="text1"/>
        </w:rPr>
        <w:fldChar w:fldCharType="begin"/>
      </w:r>
      <w:r>
        <w:rPr>
          <w:color w:val="000000" w:themeColor="text1"/>
        </w:rPr>
        <w:instrText xml:space="preserve"> PAGEREF _Toc4076476 \h </w:instrText>
      </w:r>
      <w:r>
        <w:rPr>
          <w:color w:val="000000" w:themeColor="text1"/>
        </w:rPr>
        <w:fldChar w:fldCharType="separate"/>
      </w:r>
      <w:r>
        <w:rPr>
          <w:color w:val="000000" w:themeColor="text1"/>
        </w:rPr>
        <w:t>5</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"_Toc4076477" </w:instrText>
      </w:r>
      <w:r>
        <w:fldChar w:fldCharType="separate"/>
      </w:r>
      <w:r>
        <w:rPr>
          <w:rStyle w:val="49"/>
          <w:color w:val="000000" w:themeColor="text1"/>
        </w:rPr>
        <w:t>2.3</w:t>
      </w:r>
      <w:r>
        <w:rPr>
          <w:rStyle w:val="49"/>
          <w:rFonts w:hint="eastAsia"/>
          <w:color w:val="000000" w:themeColor="text1"/>
        </w:rPr>
        <w:t>环境影响因子识别和评价因子的筛选</w:t>
      </w:r>
      <w:r>
        <w:rPr>
          <w:color w:val="000000" w:themeColor="text1"/>
        </w:rPr>
        <w:tab/>
      </w:r>
      <w:r>
        <w:rPr>
          <w:color w:val="000000" w:themeColor="text1"/>
        </w:rPr>
        <w:fldChar w:fldCharType="begin"/>
      </w:r>
      <w:r>
        <w:rPr>
          <w:color w:val="000000" w:themeColor="text1"/>
        </w:rPr>
        <w:instrText xml:space="preserve"> PAGEREF _Toc4076477 \h </w:instrText>
      </w:r>
      <w:r>
        <w:rPr>
          <w:color w:val="000000" w:themeColor="text1"/>
        </w:rPr>
        <w:fldChar w:fldCharType="separate"/>
      </w:r>
      <w:r>
        <w:rPr>
          <w:color w:val="000000" w:themeColor="text1"/>
        </w:rPr>
        <w:t>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"_Toc4076478" </w:instrText>
      </w:r>
      <w:r>
        <w:fldChar w:fldCharType="separate"/>
      </w:r>
      <w:r>
        <w:rPr>
          <w:rStyle w:val="49"/>
          <w:color w:val="000000" w:themeColor="text1"/>
        </w:rPr>
        <w:t>2.4</w:t>
      </w:r>
      <w:r>
        <w:rPr>
          <w:rStyle w:val="49"/>
          <w:rFonts w:hint="eastAsia"/>
          <w:color w:val="000000" w:themeColor="text1"/>
        </w:rPr>
        <w:t>评价重点</w:t>
      </w:r>
      <w:r>
        <w:rPr>
          <w:color w:val="000000" w:themeColor="text1"/>
        </w:rPr>
        <w:tab/>
      </w:r>
      <w:r>
        <w:rPr>
          <w:color w:val="000000" w:themeColor="text1"/>
        </w:rPr>
        <w:fldChar w:fldCharType="begin"/>
      </w:r>
      <w:r>
        <w:rPr>
          <w:color w:val="000000" w:themeColor="text1"/>
        </w:rPr>
        <w:instrText xml:space="preserve"> PAGEREF _Toc4076478 \h </w:instrText>
      </w:r>
      <w:r>
        <w:rPr>
          <w:color w:val="000000" w:themeColor="text1"/>
        </w:rPr>
        <w:fldChar w:fldCharType="separate"/>
      </w:r>
      <w:r>
        <w:rPr>
          <w:color w:val="000000" w:themeColor="text1"/>
        </w:rPr>
        <w:t>9</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"_Toc4076479" </w:instrText>
      </w:r>
      <w:r>
        <w:fldChar w:fldCharType="separate"/>
      </w:r>
      <w:r>
        <w:rPr>
          <w:rStyle w:val="49"/>
          <w:color w:val="000000" w:themeColor="text1"/>
        </w:rPr>
        <w:t>2.5</w:t>
      </w:r>
      <w:r>
        <w:rPr>
          <w:rStyle w:val="49"/>
          <w:rFonts w:hint="eastAsia"/>
          <w:color w:val="000000" w:themeColor="text1"/>
        </w:rPr>
        <w:t>评价采用标准</w:t>
      </w:r>
      <w:r>
        <w:rPr>
          <w:color w:val="000000" w:themeColor="text1"/>
        </w:rPr>
        <w:tab/>
      </w:r>
      <w:r>
        <w:rPr>
          <w:color w:val="000000" w:themeColor="text1"/>
        </w:rPr>
        <w:fldChar w:fldCharType="begin"/>
      </w:r>
      <w:r>
        <w:rPr>
          <w:color w:val="000000" w:themeColor="text1"/>
        </w:rPr>
        <w:instrText xml:space="preserve"> PAGEREF _Toc4076479 \h </w:instrText>
      </w:r>
      <w:r>
        <w:rPr>
          <w:color w:val="000000" w:themeColor="text1"/>
        </w:rPr>
        <w:fldChar w:fldCharType="separate"/>
      </w:r>
      <w:r>
        <w:rPr>
          <w:color w:val="000000" w:themeColor="text1"/>
        </w:rPr>
        <w:t>10</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"_Toc4076480" </w:instrText>
      </w:r>
      <w:r>
        <w:fldChar w:fldCharType="separate"/>
      </w:r>
      <w:r>
        <w:rPr>
          <w:rStyle w:val="49"/>
          <w:color w:val="000000" w:themeColor="text1"/>
        </w:rPr>
        <w:t>2.6</w:t>
      </w:r>
      <w:r>
        <w:rPr>
          <w:rStyle w:val="49"/>
          <w:rFonts w:hint="eastAsia"/>
          <w:color w:val="000000" w:themeColor="text1"/>
        </w:rPr>
        <w:t>评价等级及评价范围</w:t>
      </w:r>
      <w:r>
        <w:rPr>
          <w:color w:val="000000" w:themeColor="text1"/>
        </w:rPr>
        <w:tab/>
      </w:r>
      <w:r>
        <w:rPr>
          <w:color w:val="000000" w:themeColor="text1"/>
        </w:rPr>
        <w:fldChar w:fldCharType="begin"/>
      </w:r>
      <w:r>
        <w:rPr>
          <w:color w:val="000000" w:themeColor="text1"/>
        </w:rPr>
        <w:instrText xml:space="preserve"> PAGEREF _Toc4076480 \h </w:instrText>
      </w:r>
      <w:r>
        <w:rPr>
          <w:color w:val="000000" w:themeColor="text1"/>
        </w:rPr>
        <w:fldChar w:fldCharType="separate"/>
      </w:r>
      <w:r>
        <w:rPr>
          <w:color w:val="000000" w:themeColor="text1"/>
        </w:rPr>
        <w:t>13</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"_Toc4076481" </w:instrText>
      </w:r>
      <w:r>
        <w:fldChar w:fldCharType="separate"/>
      </w:r>
      <w:r>
        <w:rPr>
          <w:rStyle w:val="49"/>
          <w:color w:val="000000" w:themeColor="text1"/>
        </w:rPr>
        <w:t>2.7</w:t>
      </w:r>
      <w:r>
        <w:rPr>
          <w:rStyle w:val="49"/>
          <w:rFonts w:hint="eastAsia"/>
          <w:color w:val="000000" w:themeColor="text1"/>
        </w:rPr>
        <w:t>环境保护目标</w:t>
      </w:r>
      <w:r>
        <w:rPr>
          <w:color w:val="000000" w:themeColor="text1"/>
        </w:rPr>
        <w:tab/>
      </w:r>
      <w:r>
        <w:rPr>
          <w:color w:val="000000" w:themeColor="text1"/>
        </w:rPr>
        <w:fldChar w:fldCharType="begin"/>
      </w:r>
      <w:r>
        <w:rPr>
          <w:color w:val="000000" w:themeColor="text1"/>
        </w:rPr>
        <w:instrText xml:space="preserve"> PAGEREF _Toc4076481 \h </w:instrText>
      </w:r>
      <w:r>
        <w:rPr>
          <w:color w:val="000000" w:themeColor="text1"/>
        </w:rPr>
        <w:fldChar w:fldCharType="separate"/>
      </w:r>
      <w:r>
        <w:rPr>
          <w:color w:val="000000" w:themeColor="text1"/>
        </w:rPr>
        <w:t>18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"_Toc4076482" </w:instrText>
      </w:r>
      <w:r>
        <w:fldChar w:fldCharType="separate"/>
      </w:r>
      <w:r>
        <w:rPr>
          <w:rStyle w:val="49"/>
          <w:color w:val="000000" w:themeColor="text1"/>
        </w:rPr>
        <w:t>2.8</w:t>
      </w:r>
      <w:r>
        <w:rPr>
          <w:rStyle w:val="49"/>
          <w:rFonts w:hint="eastAsia"/>
          <w:color w:val="000000" w:themeColor="text1"/>
        </w:rPr>
        <w:t>环境影响评价工作程序</w:t>
      </w:r>
      <w:r>
        <w:rPr>
          <w:color w:val="000000" w:themeColor="text1"/>
        </w:rPr>
        <w:tab/>
      </w:r>
      <w:r>
        <w:rPr>
          <w:color w:val="000000" w:themeColor="text1"/>
        </w:rPr>
        <w:fldChar w:fldCharType="begin"/>
      </w:r>
      <w:r>
        <w:rPr>
          <w:color w:val="000000" w:themeColor="text1"/>
        </w:rPr>
        <w:instrText xml:space="preserve"> PAGEREF _Toc4076482 \h </w:instrText>
      </w:r>
      <w:r>
        <w:rPr>
          <w:color w:val="000000" w:themeColor="text1"/>
        </w:rPr>
        <w:fldChar w:fldCharType="separate"/>
      </w:r>
      <w:r>
        <w:rPr>
          <w:color w:val="000000" w:themeColor="text1"/>
        </w:rPr>
        <w:t>19</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"_Toc4076483" </w:instrText>
      </w:r>
      <w:r>
        <w:fldChar w:fldCharType="separate"/>
      </w:r>
      <w:r>
        <w:rPr>
          <w:rStyle w:val="49"/>
          <w:color w:val="000000" w:themeColor="text1"/>
        </w:rPr>
        <w:t>3</w:t>
      </w:r>
      <w:r>
        <w:rPr>
          <w:rStyle w:val="49"/>
          <w:rFonts w:hint="eastAsia"/>
          <w:color w:val="000000" w:themeColor="text1"/>
        </w:rPr>
        <w:t>建设项目工程分析</w:t>
      </w:r>
      <w:r>
        <w:rPr>
          <w:color w:val="000000" w:themeColor="text1"/>
        </w:rPr>
        <w:tab/>
      </w:r>
      <w:r>
        <w:rPr>
          <w:color w:val="000000" w:themeColor="text1"/>
        </w:rPr>
        <w:fldChar w:fldCharType="begin"/>
      </w:r>
      <w:r>
        <w:rPr>
          <w:color w:val="000000" w:themeColor="text1"/>
        </w:rPr>
        <w:instrText xml:space="preserve"> PAGEREF _Toc4076483 \h </w:instrText>
      </w:r>
      <w:r>
        <w:rPr>
          <w:color w:val="000000" w:themeColor="text1"/>
        </w:rPr>
        <w:fldChar w:fldCharType="separate"/>
      </w:r>
      <w:r>
        <w:rPr>
          <w:color w:val="000000" w:themeColor="text1"/>
        </w:rPr>
        <w:t>21</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"_Toc4076484" </w:instrText>
      </w:r>
      <w:r>
        <w:fldChar w:fldCharType="separate"/>
      </w:r>
      <w:r>
        <w:rPr>
          <w:rStyle w:val="49"/>
          <w:color w:val="000000" w:themeColor="text1"/>
        </w:rPr>
        <w:t>3.1</w:t>
      </w:r>
      <w:r>
        <w:rPr>
          <w:rStyle w:val="49"/>
          <w:rFonts w:hint="eastAsia"/>
          <w:color w:val="000000" w:themeColor="text1"/>
        </w:rPr>
        <w:t>建设项目概况</w:t>
      </w:r>
      <w:r>
        <w:rPr>
          <w:color w:val="000000" w:themeColor="text1"/>
        </w:rPr>
        <w:tab/>
      </w:r>
      <w:r>
        <w:rPr>
          <w:color w:val="000000" w:themeColor="text1"/>
        </w:rPr>
        <w:fldChar w:fldCharType="begin"/>
      </w:r>
      <w:r>
        <w:rPr>
          <w:color w:val="000000" w:themeColor="text1"/>
        </w:rPr>
        <w:instrText xml:space="preserve"> PAGEREF _Toc4076484 \h </w:instrText>
      </w:r>
      <w:r>
        <w:rPr>
          <w:color w:val="000000" w:themeColor="text1"/>
        </w:rPr>
        <w:fldChar w:fldCharType="separate"/>
      </w:r>
      <w:r>
        <w:rPr>
          <w:color w:val="000000" w:themeColor="text1"/>
        </w:rPr>
        <w:t>21</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"_Toc4076485" </w:instrText>
      </w:r>
      <w:r>
        <w:fldChar w:fldCharType="separate"/>
      </w:r>
      <w:r>
        <w:rPr>
          <w:rStyle w:val="49"/>
          <w:color w:val="000000" w:themeColor="text1"/>
        </w:rPr>
        <w:t>3.2</w:t>
      </w:r>
      <w:r>
        <w:rPr>
          <w:rStyle w:val="49"/>
          <w:rFonts w:hint="eastAsia"/>
          <w:color w:val="000000" w:themeColor="text1"/>
        </w:rPr>
        <w:t>工程分析</w:t>
      </w:r>
      <w:r>
        <w:rPr>
          <w:color w:val="000000" w:themeColor="text1"/>
        </w:rPr>
        <w:tab/>
      </w:r>
      <w:r>
        <w:rPr>
          <w:color w:val="000000" w:themeColor="text1"/>
        </w:rPr>
        <w:fldChar w:fldCharType="begin"/>
      </w:r>
      <w:r>
        <w:rPr>
          <w:color w:val="000000" w:themeColor="text1"/>
        </w:rPr>
        <w:instrText xml:space="preserve"> PAGEREF _Toc4076485 \h </w:instrText>
      </w:r>
      <w:r>
        <w:rPr>
          <w:color w:val="000000" w:themeColor="text1"/>
        </w:rPr>
        <w:fldChar w:fldCharType="separate"/>
      </w:r>
      <w:r>
        <w:rPr>
          <w:color w:val="000000" w:themeColor="text1"/>
        </w:rPr>
        <w:t>27</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"_Toc4076486" </w:instrText>
      </w:r>
      <w:r>
        <w:fldChar w:fldCharType="separate"/>
      </w:r>
      <w:r>
        <w:rPr>
          <w:rStyle w:val="49"/>
          <w:color w:val="000000" w:themeColor="text1"/>
        </w:rPr>
        <w:t>3.3</w:t>
      </w:r>
      <w:r>
        <w:rPr>
          <w:rStyle w:val="49"/>
          <w:rFonts w:hint="eastAsia"/>
          <w:color w:val="000000" w:themeColor="text1"/>
        </w:rPr>
        <w:t>施工期污染源</w:t>
      </w:r>
      <w:r>
        <w:rPr>
          <w:color w:val="000000" w:themeColor="text1"/>
        </w:rPr>
        <w:tab/>
      </w:r>
      <w:r>
        <w:rPr>
          <w:color w:val="000000" w:themeColor="text1"/>
        </w:rPr>
        <w:fldChar w:fldCharType="begin"/>
      </w:r>
      <w:r>
        <w:rPr>
          <w:color w:val="000000" w:themeColor="text1"/>
        </w:rPr>
        <w:instrText xml:space="preserve"> PAGEREF _Toc4076486 \h </w:instrText>
      </w:r>
      <w:r>
        <w:rPr>
          <w:color w:val="000000" w:themeColor="text1"/>
        </w:rPr>
        <w:fldChar w:fldCharType="separate"/>
      </w:r>
      <w:r>
        <w:rPr>
          <w:color w:val="000000" w:themeColor="text1"/>
        </w:rPr>
        <w:t>37</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"_Toc4076487" </w:instrText>
      </w:r>
      <w:r>
        <w:fldChar w:fldCharType="separate"/>
      </w:r>
      <w:r>
        <w:rPr>
          <w:rStyle w:val="49"/>
          <w:color w:val="000000" w:themeColor="text1"/>
        </w:rPr>
        <w:t>3.4</w:t>
      </w:r>
      <w:r>
        <w:rPr>
          <w:rStyle w:val="49"/>
          <w:rFonts w:hint="eastAsia"/>
          <w:color w:val="000000" w:themeColor="text1"/>
        </w:rPr>
        <w:t>运营期</w:t>
      </w:r>
      <w:r>
        <w:rPr>
          <w:color w:val="000000" w:themeColor="text1"/>
        </w:rPr>
        <w:tab/>
      </w:r>
      <w:r>
        <w:rPr>
          <w:color w:val="000000" w:themeColor="text1"/>
        </w:rPr>
        <w:fldChar w:fldCharType="begin"/>
      </w:r>
      <w:r>
        <w:rPr>
          <w:color w:val="000000" w:themeColor="text1"/>
        </w:rPr>
        <w:instrText xml:space="preserve"> PAGEREF _Toc4076487 \h </w:instrText>
      </w:r>
      <w:r>
        <w:rPr>
          <w:color w:val="000000" w:themeColor="text1"/>
        </w:rPr>
        <w:fldChar w:fldCharType="separate"/>
      </w:r>
      <w:r>
        <w:rPr>
          <w:color w:val="000000" w:themeColor="text1"/>
        </w:rPr>
        <w:t>44</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"_Toc4076488" </w:instrText>
      </w:r>
      <w:r>
        <w:fldChar w:fldCharType="separate"/>
      </w:r>
      <w:r>
        <w:rPr>
          <w:rStyle w:val="49"/>
          <w:color w:val="000000" w:themeColor="text1"/>
        </w:rPr>
        <w:t>3.5</w:t>
      </w:r>
      <w:r>
        <w:rPr>
          <w:rStyle w:val="49"/>
          <w:rFonts w:hint="eastAsia"/>
          <w:color w:val="000000" w:themeColor="text1"/>
        </w:rPr>
        <w:t>污染物排放量汇总</w:t>
      </w:r>
      <w:r>
        <w:rPr>
          <w:color w:val="000000" w:themeColor="text1"/>
        </w:rPr>
        <w:tab/>
      </w:r>
      <w:r>
        <w:rPr>
          <w:color w:val="000000" w:themeColor="text1"/>
        </w:rPr>
        <w:fldChar w:fldCharType="begin"/>
      </w:r>
      <w:r>
        <w:rPr>
          <w:color w:val="000000" w:themeColor="text1"/>
        </w:rPr>
        <w:instrText xml:space="preserve"> PAGEREF _Toc4076488 \h </w:instrText>
      </w:r>
      <w:r>
        <w:rPr>
          <w:color w:val="000000" w:themeColor="text1"/>
        </w:rPr>
        <w:fldChar w:fldCharType="separate"/>
      </w:r>
      <w:r>
        <w:rPr>
          <w:color w:val="000000" w:themeColor="text1"/>
        </w:rPr>
        <w:t>55</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"_Toc4076489" </w:instrText>
      </w:r>
      <w:r>
        <w:fldChar w:fldCharType="separate"/>
      </w:r>
      <w:r>
        <w:rPr>
          <w:rStyle w:val="49"/>
          <w:color w:val="000000" w:themeColor="text1"/>
        </w:rPr>
        <w:t>4</w:t>
      </w:r>
      <w:r>
        <w:rPr>
          <w:rStyle w:val="49"/>
          <w:rFonts w:hint="eastAsia"/>
          <w:color w:val="000000" w:themeColor="text1"/>
        </w:rPr>
        <w:t>环境现状调查与评价</w:t>
      </w:r>
      <w:r>
        <w:rPr>
          <w:color w:val="000000" w:themeColor="text1"/>
        </w:rPr>
        <w:tab/>
      </w:r>
      <w:r>
        <w:rPr>
          <w:color w:val="000000" w:themeColor="text1"/>
        </w:rPr>
        <w:fldChar w:fldCharType="begin"/>
      </w:r>
      <w:r>
        <w:rPr>
          <w:color w:val="000000" w:themeColor="text1"/>
        </w:rPr>
        <w:instrText xml:space="preserve"> PAGEREF _Toc4076489 \h </w:instrText>
      </w:r>
      <w:r>
        <w:rPr>
          <w:color w:val="000000" w:themeColor="text1"/>
        </w:rPr>
        <w:fldChar w:fldCharType="separate"/>
      </w:r>
      <w:r>
        <w:rPr>
          <w:color w:val="000000" w:themeColor="text1"/>
        </w:rPr>
        <w:t>56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"_Toc4076490" </w:instrText>
      </w:r>
      <w:r>
        <w:fldChar w:fldCharType="separate"/>
      </w:r>
      <w:r>
        <w:rPr>
          <w:rStyle w:val="49"/>
          <w:color w:val="000000" w:themeColor="text1"/>
        </w:rPr>
        <w:t>4.1</w:t>
      </w:r>
      <w:r>
        <w:rPr>
          <w:rStyle w:val="49"/>
          <w:rFonts w:hint="eastAsia"/>
          <w:color w:val="000000" w:themeColor="text1"/>
        </w:rPr>
        <w:t>自然环境概况</w:t>
      </w:r>
      <w:r>
        <w:rPr>
          <w:color w:val="000000" w:themeColor="text1"/>
        </w:rPr>
        <w:tab/>
      </w:r>
      <w:r>
        <w:rPr>
          <w:color w:val="000000" w:themeColor="text1"/>
        </w:rPr>
        <w:fldChar w:fldCharType="begin"/>
      </w:r>
      <w:r>
        <w:rPr>
          <w:color w:val="000000" w:themeColor="text1"/>
        </w:rPr>
        <w:instrText xml:space="preserve"> PAGEREF _Toc4076490 \h </w:instrText>
      </w:r>
      <w:r>
        <w:rPr>
          <w:color w:val="000000" w:themeColor="text1"/>
        </w:rPr>
        <w:fldChar w:fldCharType="separate"/>
      </w:r>
      <w:r>
        <w:rPr>
          <w:color w:val="000000" w:themeColor="text1"/>
        </w:rPr>
        <w:t>56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"_Toc4076491" </w:instrText>
      </w:r>
      <w:r>
        <w:fldChar w:fldCharType="separate"/>
      </w:r>
      <w:r>
        <w:rPr>
          <w:rStyle w:val="49"/>
          <w:color w:val="000000" w:themeColor="text1"/>
        </w:rPr>
        <w:t>4.2</w:t>
      </w:r>
      <w:r>
        <w:rPr>
          <w:rStyle w:val="49"/>
          <w:rFonts w:hint="eastAsia"/>
          <w:color w:val="000000" w:themeColor="text1"/>
        </w:rPr>
        <w:t>环境现状及评价</w:t>
      </w:r>
      <w:r>
        <w:rPr>
          <w:color w:val="000000" w:themeColor="text1"/>
        </w:rPr>
        <w:tab/>
      </w:r>
      <w:r>
        <w:rPr>
          <w:color w:val="000000" w:themeColor="text1"/>
        </w:rPr>
        <w:fldChar w:fldCharType="begin"/>
      </w:r>
      <w:r>
        <w:rPr>
          <w:color w:val="000000" w:themeColor="text1"/>
        </w:rPr>
        <w:instrText xml:space="preserve"> PAGEREF _Toc4076491 \h </w:instrText>
      </w:r>
      <w:r>
        <w:rPr>
          <w:color w:val="000000" w:themeColor="text1"/>
        </w:rPr>
        <w:fldChar w:fldCharType="separate"/>
      </w:r>
      <w:r>
        <w:rPr>
          <w:color w:val="000000" w:themeColor="text1"/>
        </w:rPr>
        <w:t>58</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"_Toc4076492" </w:instrText>
      </w:r>
      <w:r>
        <w:fldChar w:fldCharType="separate"/>
      </w:r>
      <w:r>
        <w:rPr>
          <w:rStyle w:val="49"/>
          <w:color w:val="000000" w:themeColor="text1"/>
        </w:rPr>
        <w:t>5</w:t>
      </w:r>
      <w:r>
        <w:rPr>
          <w:rStyle w:val="49"/>
          <w:rFonts w:hint="eastAsia"/>
          <w:color w:val="000000" w:themeColor="text1"/>
        </w:rPr>
        <w:t>环境影响预测与评价</w:t>
      </w:r>
      <w:r>
        <w:rPr>
          <w:color w:val="000000" w:themeColor="text1"/>
        </w:rPr>
        <w:tab/>
      </w:r>
      <w:r>
        <w:rPr>
          <w:color w:val="000000" w:themeColor="text1"/>
        </w:rPr>
        <w:fldChar w:fldCharType="begin"/>
      </w:r>
      <w:r>
        <w:rPr>
          <w:color w:val="000000" w:themeColor="text1"/>
        </w:rPr>
        <w:instrText xml:space="preserve"> PAGEREF _Toc4076492 \h </w:instrText>
      </w:r>
      <w:r>
        <w:rPr>
          <w:color w:val="000000" w:themeColor="text1"/>
        </w:rPr>
        <w:fldChar w:fldCharType="separate"/>
      </w:r>
      <w:r>
        <w:rPr>
          <w:color w:val="000000" w:themeColor="text1"/>
        </w:rPr>
        <w:t>66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"_Toc4076493" </w:instrText>
      </w:r>
      <w:r>
        <w:fldChar w:fldCharType="separate"/>
      </w:r>
      <w:r>
        <w:rPr>
          <w:rStyle w:val="49"/>
          <w:color w:val="000000" w:themeColor="text1"/>
        </w:rPr>
        <w:t>5.1</w:t>
      </w:r>
      <w:r>
        <w:rPr>
          <w:rStyle w:val="49"/>
          <w:rFonts w:hint="eastAsia"/>
          <w:color w:val="000000" w:themeColor="text1"/>
        </w:rPr>
        <w:t>施工期环境影响分析</w:t>
      </w:r>
      <w:r>
        <w:rPr>
          <w:color w:val="000000" w:themeColor="text1"/>
        </w:rPr>
        <w:tab/>
      </w:r>
      <w:r>
        <w:rPr>
          <w:color w:val="000000" w:themeColor="text1"/>
        </w:rPr>
        <w:fldChar w:fldCharType="begin"/>
      </w:r>
      <w:r>
        <w:rPr>
          <w:color w:val="000000" w:themeColor="text1"/>
        </w:rPr>
        <w:instrText xml:space="preserve"> PAGEREF _Toc4076493 \h </w:instrText>
      </w:r>
      <w:r>
        <w:rPr>
          <w:color w:val="000000" w:themeColor="text1"/>
        </w:rPr>
        <w:fldChar w:fldCharType="separate"/>
      </w:r>
      <w:r>
        <w:rPr>
          <w:color w:val="000000" w:themeColor="text1"/>
        </w:rPr>
        <w:t>66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"_Toc4076494" </w:instrText>
      </w:r>
      <w:r>
        <w:fldChar w:fldCharType="separate"/>
      </w:r>
      <w:r>
        <w:rPr>
          <w:rStyle w:val="49"/>
          <w:color w:val="000000" w:themeColor="text1"/>
        </w:rPr>
        <w:t>5.2</w:t>
      </w:r>
      <w:r>
        <w:rPr>
          <w:rStyle w:val="49"/>
          <w:rFonts w:hint="eastAsia"/>
          <w:color w:val="000000" w:themeColor="text1"/>
        </w:rPr>
        <w:t>运营期环境影响分析</w:t>
      </w:r>
      <w:r>
        <w:rPr>
          <w:color w:val="000000" w:themeColor="text1"/>
        </w:rPr>
        <w:tab/>
      </w:r>
      <w:r>
        <w:rPr>
          <w:color w:val="000000" w:themeColor="text1"/>
        </w:rPr>
        <w:fldChar w:fldCharType="begin"/>
      </w:r>
      <w:r>
        <w:rPr>
          <w:color w:val="000000" w:themeColor="text1"/>
        </w:rPr>
        <w:instrText xml:space="preserve"> PAGEREF _Toc4076494 \h </w:instrText>
      </w:r>
      <w:r>
        <w:rPr>
          <w:color w:val="000000" w:themeColor="text1"/>
        </w:rPr>
        <w:fldChar w:fldCharType="separate"/>
      </w:r>
      <w:r>
        <w:rPr>
          <w:color w:val="000000" w:themeColor="text1"/>
        </w:rPr>
        <w:t>70</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"_Toc4076495" </w:instrText>
      </w:r>
      <w:r>
        <w:fldChar w:fldCharType="separate"/>
      </w:r>
      <w:r>
        <w:rPr>
          <w:rStyle w:val="49"/>
          <w:color w:val="000000" w:themeColor="text1"/>
        </w:rPr>
        <w:t>6</w:t>
      </w:r>
      <w:r>
        <w:rPr>
          <w:rStyle w:val="49"/>
          <w:rFonts w:hint="eastAsia"/>
          <w:color w:val="000000" w:themeColor="text1"/>
        </w:rPr>
        <w:t>环境风险评价</w:t>
      </w:r>
      <w:r>
        <w:rPr>
          <w:color w:val="000000" w:themeColor="text1"/>
        </w:rPr>
        <w:tab/>
      </w:r>
      <w:r>
        <w:rPr>
          <w:color w:val="000000" w:themeColor="text1"/>
        </w:rPr>
        <w:fldChar w:fldCharType="begin"/>
      </w:r>
      <w:r>
        <w:rPr>
          <w:color w:val="000000" w:themeColor="text1"/>
        </w:rPr>
        <w:instrText xml:space="preserve"> PAGEREF _Toc4076495 \h </w:instrText>
      </w:r>
      <w:r>
        <w:rPr>
          <w:color w:val="000000" w:themeColor="text1"/>
        </w:rPr>
        <w:fldChar w:fldCharType="separate"/>
      </w:r>
      <w:r>
        <w:rPr>
          <w:color w:val="000000" w:themeColor="text1"/>
        </w:rPr>
        <w:t>90</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"_Toc4076496" </w:instrText>
      </w:r>
      <w:r>
        <w:fldChar w:fldCharType="separate"/>
      </w:r>
      <w:r>
        <w:rPr>
          <w:rStyle w:val="49"/>
          <w:color w:val="000000" w:themeColor="text1"/>
        </w:rPr>
        <w:t>6.1</w:t>
      </w:r>
      <w:r>
        <w:rPr>
          <w:rStyle w:val="49"/>
          <w:rFonts w:hint="eastAsia"/>
          <w:color w:val="000000" w:themeColor="text1"/>
        </w:rPr>
        <w:t>评价目的</w:t>
      </w:r>
      <w:r>
        <w:rPr>
          <w:color w:val="000000" w:themeColor="text1"/>
        </w:rPr>
        <w:tab/>
      </w:r>
      <w:r>
        <w:rPr>
          <w:color w:val="000000" w:themeColor="text1"/>
        </w:rPr>
        <w:fldChar w:fldCharType="begin"/>
      </w:r>
      <w:r>
        <w:rPr>
          <w:color w:val="000000" w:themeColor="text1"/>
        </w:rPr>
        <w:instrText xml:space="preserve"> PAGEREF _Toc4076496 \h </w:instrText>
      </w:r>
      <w:r>
        <w:rPr>
          <w:color w:val="000000" w:themeColor="text1"/>
        </w:rPr>
        <w:fldChar w:fldCharType="separate"/>
      </w:r>
      <w:r>
        <w:rPr>
          <w:color w:val="000000" w:themeColor="text1"/>
        </w:rPr>
        <w:t>90</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"_Toc4076497" </w:instrText>
      </w:r>
      <w:r>
        <w:fldChar w:fldCharType="separate"/>
      </w:r>
      <w:r>
        <w:rPr>
          <w:rStyle w:val="49"/>
          <w:color w:val="000000" w:themeColor="text1"/>
        </w:rPr>
        <w:t>6.2</w:t>
      </w:r>
      <w:r>
        <w:rPr>
          <w:rStyle w:val="49"/>
          <w:rFonts w:hint="eastAsia"/>
          <w:color w:val="000000" w:themeColor="text1"/>
        </w:rPr>
        <w:t>风险识别</w:t>
      </w:r>
      <w:r>
        <w:rPr>
          <w:color w:val="000000" w:themeColor="text1"/>
        </w:rPr>
        <w:tab/>
      </w:r>
      <w:r>
        <w:rPr>
          <w:color w:val="000000" w:themeColor="text1"/>
        </w:rPr>
        <w:fldChar w:fldCharType="begin"/>
      </w:r>
      <w:r>
        <w:rPr>
          <w:color w:val="000000" w:themeColor="text1"/>
        </w:rPr>
        <w:instrText xml:space="preserve"> PAGEREF _Toc4076497 \h </w:instrText>
      </w:r>
      <w:r>
        <w:rPr>
          <w:color w:val="000000" w:themeColor="text1"/>
        </w:rPr>
        <w:fldChar w:fldCharType="separate"/>
      </w:r>
      <w:r>
        <w:rPr>
          <w:color w:val="000000" w:themeColor="text1"/>
        </w:rPr>
        <w:t>90</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"_Toc4076498" </w:instrText>
      </w:r>
      <w:r>
        <w:fldChar w:fldCharType="separate"/>
      </w:r>
      <w:r>
        <w:rPr>
          <w:rStyle w:val="49"/>
          <w:color w:val="000000" w:themeColor="text1"/>
        </w:rPr>
        <w:t>6.3</w:t>
      </w:r>
      <w:r>
        <w:rPr>
          <w:rStyle w:val="49"/>
          <w:rFonts w:hint="eastAsia"/>
          <w:color w:val="000000" w:themeColor="text1"/>
        </w:rPr>
        <w:t>源项分析</w:t>
      </w:r>
      <w:r>
        <w:rPr>
          <w:color w:val="000000" w:themeColor="text1"/>
        </w:rPr>
        <w:tab/>
      </w:r>
      <w:r>
        <w:rPr>
          <w:color w:val="000000" w:themeColor="text1"/>
        </w:rPr>
        <w:fldChar w:fldCharType="begin"/>
      </w:r>
      <w:r>
        <w:rPr>
          <w:color w:val="000000" w:themeColor="text1"/>
        </w:rPr>
        <w:instrText xml:space="preserve"> PAGEREF _Toc4076498 \h </w:instrText>
      </w:r>
      <w:r>
        <w:rPr>
          <w:color w:val="000000" w:themeColor="text1"/>
        </w:rPr>
        <w:fldChar w:fldCharType="separate"/>
      </w:r>
      <w:r>
        <w:rPr>
          <w:color w:val="000000" w:themeColor="text1"/>
        </w:rPr>
        <w:t>92</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"_Toc4076499" </w:instrText>
      </w:r>
      <w:r>
        <w:fldChar w:fldCharType="separate"/>
      </w:r>
      <w:r>
        <w:rPr>
          <w:rStyle w:val="49"/>
          <w:color w:val="000000" w:themeColor="text1"/>
        </w:rPr>
        <w:t>6.4</w:t>
      </w:r>
      <w:r>
        <w:rPr>
          <w:rStyle w:val="49"/>
          <w:rFonts w:hint="eastAsia"/>
          <w:color w:val="000000" w:themeColor="text1"/>
        </w:rPr>
        <w:t>事故环境影响分析</w:t>
      </w:r>
      <w:r>
        <w:rPr>
          <w:color w:val="000000" w:themeColor="text1"/>
        </w:rPr>
        <w:tab/>
      </w:r>
      <w:r>
        <w:rPr>
          <w:color w:val="000000" w:themeColor="text1"/>
        </w:rPr>
        <w:fldChar w:fldCharType="begin"/>
      </w:r>
      <w:r>
        <w:rPr>
          <w:color w:val="000000" w:themeColor="text1"/>
        </w:rPr>
        <w:instrText xml:space="preserve"> PAGEREF _Toc4076499 \h </w:instrText>
      </w:r>
      <w:r>
        <w:rPr>
          <w:color w:val="000000" w:themeColor="text1"/>
        </w:rPr>
        <w:fldChar w:fldCharType="separate"/>
      </w:r>
      <w:r>
        <w:rPr>
          <w:color w:val="000000" w:themeColor="text1"/>
        </w:rPr>
        <w:t>93</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"_Toc4076500" </w:instrText>
      </w:r>
      <w:r>
        <w:fldChar w:fldCharType="separate"/>
      </w:r>
      <w:r>
        <w:rPr>
          <w:rStyle w:val="49"/>
          <w:color w:val="000000" w:themeColor="text1"/>
        </w:rPr>
        <w:t>6.5</w:t>
      </w:r>
      <w:r>
        <w:rPr>
          <w:rStyle w:val="49"/>
          <w:rFonts w:hint="eastAsia"/>
          <w:color w:val="000000" w:themeColor="text1"/>
        </w:rPr>
        <w:t>环境风险防范措施</w:t>
      </w:r>
      <w:r>
        <w:rPr>
          <w:color w:val="000000" w:themeColor="text1"/>
        </w:rPr>
        <w:tab/>
      </w:r>
      <w:r>
        <w:rPr>
          <w:color w:val="000000" w:themeColor="text1"/>
        </w:rPr>
        <w:fldChar w:fldCharType="begin"/>
      </w:r>
      <w:r>
        <w:rPr>
          <w:color w:val="000000" w:themeColor="text1"/>
        </w:rPr>
        <w:instrText xml:space="preserve"> PAGEREF _Toc4076500 \h </w:instrText>
      </w:r>
      <w:r>
        <w:rPr>
          <w:color w:val="000000" w:themeColor="text1"/>
        </w:rPr>
        <w:fldChar w:fldCharType="separate"/>
      </w:r>
      <w:r>
        <w:rPr>
          <w:color w:val="000000" w:themeColor="text1"/>
        </w:rPr>
        <w:t>95</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"_Toc4076501" </w:instrText>
      </w:r>
      <w:r>
        <w:fldChar w:fldCharType="separate"/>
      </w:r>
      <w:r>
        <w:rPr>
          <w:rStyle w:val="49"/>
          <w:color w:val="000000" w:themeColor="text1"/>
        </w:rPr>
        <w:t>6.6</w:t>
      </w:r>
      <w:r>
        <w:rPr>
          <w:rStyle w:val="49"/>
          <w:rFonts w:hint="eastAsia"/>
          <w:color w:val="000000" w:themeColor="text1"/>
        </w:rPr>
        <w:t>应急预案</w:t>
      </w:r>
      <w:r>
        <w:rPr>
          <w:color w:val="000000" w:themeColor="text1"/>
        </w:rPr>
        <w:tab/>
      </w:r>
      <w:r>
        <w:rPr>
          <w:color w:val="000000" w:themeColor="text1"/>
        </w:rPr>
        <w:fldChar w:fldCharType="begin"/>
      </w:r>
      <w:r>
        <w:rPr>
          <w:color w:val="000000" w:themeColor="text1"/>
        </w:rPr>
        <w:instrText xml:space="preserve"> PAGEREF _Toc4076501 \h </w:instrText>
      </w:r>
      <w:r>
        <w:rPr>
          <w:color w:val="000000" w:themeColor="text1"/>
        </w:rPr>
        <w:fldChar w:fldCharType="separate"/>
      </w:r>
      <w:r>
        <w:rPr>
          <w:color w:val="000000" w:themeColor="text1"/>
        </w:rPr>
        <w:t>96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"_Toc4076502" </w:instrText>
      </w:r>
      <w:r>
        <w:fldChar w:fldCharType="separate"/>
      </w:r>
      <w:r>
        <w:rPr>
          <w:rStyle w:val="49"/>
          <w:color w:val="000000" w:themeColor="text1"/>
        </w:rPr>
        <w:t>6.7</w:t>
      </w:r>
      <w:r>
        <w:rPr>
          <w:rStyle w:val="49"/>
          <w:rFonts w:hint="eastAsia"/>
          <w:color w:val="000000" w:themeColor="text1"/>
        </w:rPr>
        <w:t>环境风险评价结论</w:t>
      </w:r>
      <w:r>
        <w:rPr>
          <w:color w:val="000000" w:themeColor="text1"/>
        </w:rPr>
        <w:tab/>
      </w:r>
      <w:r>
        <w:rPr>
          <w:color w:val="000000" w:themeColor="text1"/>
        </w:rPr>
        <w:fldChar w:fldCharType="begin"/>
      </w:r>
      <w:r>
        <w:rPr>
          <w:color w:val="000000" w:themeColor="text1"/>
        </w:rPr>
        <w:instrText xml:space="preserve"> PAGEREF _Toc4076502 \h </w:instrText>
      </w:r>
      <w:r>
        <w:rPr>
          <w:color w:val="000000" w:themeColor="text1"/>
        </w:rPr>
        <w:fldChar w:fldCharType="separate"/>
      </w:r>
      <w:r>
        <w:rPr>
          <w:color w:val="000000" w:themeColor="text1"/>
        </w:rPr>
        <w:t>97</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"_Toc4076503" </w:instrText>
      </w:r>
      <w:r>
        <w:fldChar w:fldCharType="separate"/>
      </w:r>
      <w:r>
        <w:rPr>
          <w:rStyle w:val="49"/>
          <w:color w:val="000000" w:themeColor="text1"/>
        </w:rPr>
        <w:t>7</w:t>
      </w:r>
      <w:r>
        <w:rPr>
          <w:rStyle w:val="49"/>
          <w:rFonts w:hint="eastAsia"/>
          <w:color w:val="000000" w:themeColor="text1"/>
        </w:rPr>
        <w:t>污染防治措施可行性分析</w:t>
      </w:r>
      <w:r>
        <w:rPr>
          <w:color w:val="000000" w:themeColor="text1"/>
        </w:rPr>
        <w:tab/>
      </w:r>
      <w:r>
        <w:rPr>
          <w:color w:val="000000" w:themeColor="text1"/>
        </w:rPr>
        <w:fldChar w:fldCharType="begin"/>
      </w:r>
      <w:r>
        <w:rPr>
          <w:color w:val="000000" w:themeColor="text1"/>
        </w:rPr>
        <w:instrText xml:space="preserve"> PAGEREF _Toc4076503 \h </w:instrText>
      </w:r>
      <w:r>
        <w:rPr>
          <w:color w:val="000000" w:themeColor="text1"/>
        </w:rPr>
        <w:fldChar w:fldCharType="separate"/>
      </w:r>
      <w:r>
        <w:rPr>
          <w:color w:val="000000" w:themeColor="text1"/>
        </w:rPr>
        <w:t>98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"_Toc4076504" </w:instrText>
      </w:r>
      <w:r>
        <w:fldChar w:fldCharType="separate"/>
      </w:r>
      <w:r>
        <w:rPr>
          <w:rStyle w:val="49"/>
          <w:color w:val="000000" w:themeColor="text1"/>
        </w:rPr>
        <w:t>7.1</w:t>
      </w:r>
      <w:r>
        <w:rPr>
          <w:rStyle w:val="49"/>
          <w:rFonts w:hint="eastAsia"/>
          <w:color w:val="000000" w:themeColor="text1"/>
        </w:rPr>
        <w:t>施工期环保措施</w:t>
      </w:r>
      <w:r>
        <w:rPr>
          <w:color w:val="000000" w:themeColor="text1"/>
        </w:rPr>
        <w:tab/>
      </w:r>
      <w:r>
        <w:rPr>
          <w:color w:val="000000" w:themeColor="text1"/>
        </w:rPr>
        <w:fldChar w:fldCharType="begin"/>
      </w:r>
      <w:r>
        <w:rPr>
          <w:color w:val="000000" w:themeColor="text1"/>
        </w:rPr>
        <w:instrText xml:space="preserve"> PAGEREF _Toc4076504 \h </w:instrText>
      </w:r>
      <w:r>
        <w:rPr>
          <w:color w:val="000000" w:themeColor="text1"/>
        </w:rPr>
        <w:fldChar w:fldCharType="separate"/>
      </w:r>
      <w:r>
        <w:rPr>
          <w:color w:val="000000" w:themeColor="text1"/>
        </w:rPr>
        <w:t>98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"_Toc4076505" </w:instrText>
      </w:r>
      <w:r>
        <w:fldChar w:fldCharType="separate"/>
      </w:r>
      <w:r>
        <w:rPr>
          <w:rStyle w:val="49"/>
          <w:color w:val="000000" w:themeColor="text1"/>
        </w:rPr>
        <w:t>7.2</w:t>
      </w:r>
      <w:r>
        <w:rPr>
          <w:rStyle w:val="49"/>
          <w:rFonts w:hint="eastAsia"/>
          <w:color w:val="000000" w:themeColor="text1"/>
        </w:rPr>
        <w:t>运营期环保措施</w:t>
      </w:r>
      <w:r>
        <w:rPr>
          <w:color w:val="000000" w:themeColor="text1"/>
        </w:rPr>
        <w:tab/>
      </w:r>
      <w:r>
        <w:rPr>
          <w:color w:val="000000" w:themeColor="text1"/>
        </w:rPr>
        <w:fldChar w:fldCharType="begin"/>
      </w:r>
      <w:r>
        <w:rPr>
          <w:color w:val="000000" w:themeColor="text1"/>
        </w:rPr>
        <w:instrText xml:space="preserve"> PAGEREF _Toc4076505 \h </w:instrText>
      </w:r>
      <w:r>
        <w:rPr>
          <w:color w:val="000000" w:themeColor="text1"/>
        </w:rPr>
        <w:fldChar w:fldCharType="separate"/>
      </w:r>
      <w:r>
        <w:rPr>
          <w:color w:val="000000" w:themeColor="text1"/>
        </w:rPr>
        <w:t>99</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"_Toc4076506" </w:instrText>
      </w:r>
      <w:r>
        <w:fldChar w:fldCharType="separate"/>
      </w:r>
      <w:r>
        <w:rPr>
          <w:rStyle w:val="49"/>
          <w:color w:val="000000" w:themeColor="text1"/>
        </w:rPr>
        <w:t>8</w:t>
      </w:r>
      <w:r>
        <w:rPr>
          <w:rStyle w:val="49"/>
          <w:rFonts w:hint="eastAsia"/>
          <w:color w:val="000000" w:themeColor="text1"/>
        </w:rPr>
        <w:t>选址及产业政策的符合性和合理性分析</w:t>
      </w:r>
      <w:r>
        <w:rPr>
          <w:color w:val="000000" w:themeColor="text1"/>
        </w:rPr>
        <w:tab/>
      </w:r>
      <w:r>
        <w:rPr>
          <w:color w:val="000000" w:themeColor="text1"/>
        </w:rPr>
        <w:fldChar w:fldCharType="begin"/>
      </w:r>
      <w:r>
        <w:rPr>
          <w:color w:val="000000" w:themeColor="text1"/>
        </w:rPr>
        <w:instrText xml:space="preserve"> PAGEREF _Toc4076506 \h </w:instrText>
      </w:r>
      <w:r>
        <w:rPr>
          <w:color w:val="000000" w:themeColor="text1"/>
        </w:rPr>
        <w:fldChar w:fldCharType="separate"/>
      </w:r>
      <w:r>
        <w:rPr>
          <w:color w:val="000000" w:themeColor="text1"/>
        </w:rPr>
        <w:t>108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"_Toc4076507" </w:instrText>
      </w:r>
      <w:r>
        <w:fldChar w:fldCharType="separate"/>
      </w:r>
      <w:r>
        <w:rPr>
          <w:rStyle w:val="49"/>
          <w:color w:val="000000" w:themeColor="text1"/>
        </w:rPr>
        <w:t>8.1</w:t>
      </w:r>
      <w:r>
        <w:rPr>
          <w:rStyle w:val="49"/>
          <w:rFonts w:hint="eastAsia"/>
          <w:color w:val="000000" w:themeColor="text1"/>
        </w:rPr>
        <w:t>产业政策符合性</w:t>
      </w:r>
      <w:r>
        <w:rPr>
          <w:color w:val="000000" w:themeColor="text1"/>
        </w:rPr>
        <w:tab/>
      </w:r>
      <w:r>
        <w:rPr>
          <w:color w:val="000000" w:themeColor="text1"/>
        </w:rPr>
        <w:fldChar w:fldCharType="begin"/>
      </w:r>
      <w:r>
        <w:rPr>
          <w:color w:val="000000" w:themeColor="text1"/>
        </w:rPr>
        <w:instrText xml:space="preserve"> PAGEREF _Toc4076507 \h </w:instrText>
      </w:r>
      <w:r>
        <w:rPr>
          <w:color w:val="000000" w:themeColor="text1"/>
        </w:rPr>
        <w:fldChar w:fldCharType="separate"/>
      </w:r>
      <w:r>
        <w:rPr>
          <w:color w:val="000000" w:themeColor="text1"/>
        </w:rPr>
        <w:t>108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"_Toc4076508" </w:instrText>
      </w:r>
      <w:r>
        <w:fldChar w:fldCharType="separate"/>
      </w:r>
      <w:r>
        <w:rPr>
          <w:rStyle w:val="49"/>
          <w:color w:val="000000" w:themeColor="text1"/>
        </w:rPr>
        <w:t xml:space="preserve">8.2 </w:t>
      </w:r>
      <w:r>
        <w:rPr>
          <w:rStyle w:val="49"/>
          <w:rFonts w:hint="eastAsia"/>
          <w:color w:val="000000" w:themeColor="text1"/>
        </w:rPr>
        <w:t>项目选址合理性分析</w:t>
      </w:r>
      <w:r>
        <w:rPr>
          <w:color w:val="000000" w:themeColor="text1"/>
        </w:rPr>
        <w:tab/>
      </w:r>
      <w:r>
        <w:rPr>
          <w:color w:val="000000" w:themeColor="text1"/>
        </w:rPr>
        <w:fldChar w:fldCharType="begin"/>
      </w:r>
      <w:r>
        <w:rPr>
          <w:color w:val="000000" w:themeColor="text1"/>
        </w:rPr>
        <w:instrText xml:space="preserve"> PAGEREF _Toc4076508 \h </w:instrText>
      </w:r>
      <w:r>
        <w:rPr>
          <w:color w:val="000000" w:themeColor="text1"/>
        </w:rPr>
        <w:fldChar w:fldCharType="separate"/>
      </w:r>
      <w:r>
        <w:rPr>
          <w:color w:val="000000" w:themeColor="text1"/>
        </w:rPr>
        <w:t>108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"_Toc4076509" </w:instrText>
      </w:r>
      <w:r>
        <w:fldChar w:fldCharType="separate"/>
      </w:r>
      <w:r>
        <w:rPr>
          <w:rStyle w:val="49"/>
          <w:color w:val="000000" w:themeColor="text1"/>
        </w:rPr>
        <w:t>8.3</w:t>
      </w:r>
      <w:r>
        <w:rPr>
          <w:rStyle w:val="49"/>
          <w:rFonts w:hint="eastAsia"/>
          <w:color w:val="000000" w:themeColor="text1"/>
        </w:rPr>
        <w:t>法规及规划符合性分析</w:t>
      </w:r>
      <w:r>
        <w:rPr>
          <w:color w:val="000000" w:themeColor="text1"/>
        </w:rPr>
        <w:tab/>
      </w:r>
      <w:r>
        <w:rPr>
          <w:color w:val="000000" w:themeColor="text1"/>
        </w:rPr>
        <w:fldChar w:fldCharType="begin"/>
      </w:r>
      <w:r>
        <w:rPr>
          <w:color w:val="000000" w:themeColor="text1"/>
        </w:rPr>
        <w:instrText xml:space="preserve"> PAGEREF _Toc4076509 \h </w:instrText>
      </w:r>
      <w:r>
        <w:rPr>
          <w:color w:val="000000" w:themeColor="text1"/>
        </w:rPr>
        <w:fldChar w:fldCharType="separate"/>
      </w:r>
      <w:r>
        <w:rPr>
          <w:color w:val="000000" w:themeColor="text1"/>
        </w:rPr>
        <w:t>112</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"_Toc4076510" </w:instrText>
      </w:r>
      <w:r>
        <w:fldChar w:fldCharType="separate"/>
      </w:r>
      <w:r>
        <w:rPr>
          <w:rStyle w:val="49"/>
          <w:color w:val="000000" w:themeColor="text1"/>
        </w:rPr>
        <w:t>8.4</w:t>
      </w:r>
      <w:r>
        <w:rPr>
          <w:rStyle w:val="49"/>
          <w:rFonts w:hint="eastAsia"/>
          <w:color w:val="000000" w:themeColor="text1"/>
        </w:rPr>
        <w:t>平面布置合理性分析</w:t>
      </w:r>
      <w:r>
        <w:rPr>
          <w:color w:val="000000" w:themeColor="text1"/>
        </w:rPr>
        <w:tab/>
      </w:r>
      <w:r>
        <w:rPr>
          <w:color w:val="000000" w:themeColor="text1"/>
        </w:rPr>
        <w:fldChar w:fldCharType="begin"/>
      </w:r>
      <w:r>
        <w:rPr>
          <w:color w:val="000000" w:themeColor="text1"/>
        </w:rPr>
        <w:instrText xml:space="preserve"> PAGEREF _Toc4076510 \h </w:instrText>
      </w:r>
      <w:r>
        <w:rPr>
          <w:color w:val="000000" w:themeColor="text1"/>
        </w:rPr>
        <w:fldChar w:fldCharType="separate"/>
      </w:r>
      <w:r>
        <w:rPr>
          <w:color w:val="000000" w:themeColor="text1"/>
        </w:rPr>
        <w:t>114</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"_Toc4076511" </w:instrText>
      </w:r>
      <w:r>
        <w:fldChar w:fldCharType="separate"/>
      </w:r>
      <w:r>
        <w:rPr>
          <w:rStyle w:val="49"/>
          <w:color w:val="000000" w:themeColor="text1"/>
        </w:rPr>
        <w:t>9</w:t>
      </w:r>
      <w:r>
        <w:rPr>
          <w:rStyle w:val="49"/>
          <w:rFonts w:hint="eastAsia"/>
          <w:color w:val="000000" w:themeColor="text1"/>
        </w:rPr>
        <w:t>环境经济损益分析</w:t>
      </w:r>
      <w:r>
        <w:rPr>
          <w:color w:val="000000" w:themeColor="text1"/>
        </w:rPr>
        <w:tab/>
      </w:r>
      <w:r>
        <w:rPr>
          <w:color w:val="000000" w:themeColor="text1"/>
        </w:rPr>
        <w:fldChar w:fldCharType="begin"/>
      </w:r>
      <w:r>
        <w:rPr>
          <w:color w:val="000000" w:themeColor="text1"/>
        </w:rPr>
        <w:instrText xml:space="preserve"> PAGEREF _Toc4076511 \h </w:instrText>
      </w:r>
      <w:r>
        <w:rPr>
          <w:color w:val="000000" w:themeColor="text1"/>
        </w:rPr>
        <w:fldChar w:fldCharType="separate"/>
      </w:r>
      <w:r>
        <w:rPr>
          <w:color w:val="000000" w:themeColor="text1"/>
        </w:rPr>
        <w:t>115</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"_Toc4076512" </w:instrText>
      </w:r>
      <w:r>
        <w:fldChar w:fldCharType="separate"/>
      </w:r>
      <w:r>
        <w:rPr>
          <w:rStyle w:val="49"/>
          <w:color w:val="000000" w:themeColor="text1"/>
        </w:rPr>
        <w:t>9.1</w:t>
      </w:r>
      <w:r>
        <w:rPr>
          <w:rStyle w:val="49"/>
          <w:rFonts w:hint="eastAsia"/>
          <w:color w:val="000000" w:themeColor="text1"/>
        </w:rPr>
        <w:t>项目的环境保护投资</w:t>
      </w:r>
      <w:r>
        <w:rPr>
          <w:color w:val="000000" w:themeColor="text1"/>
        </w:rPr>
        <w:tab/>
      </w:r>
      <w:r>
        <w:rPr>
          <w:color w:val="000000" w:themeColor="text1"/>
        </w:rPr>
        <w:fldChar w:fldCharType="begin"/>
      </w:r>
      <w:r>
        <w:rPr>
          <w:color w:val="000000" w:themeColor="text1"/>
        </w:rPr>
        <w:instrText xml:space="preserve"> PAGEREF _Toc4076512 \h </w:instrText>
      </w:r>
      <w:r>
        <w:rPr>
          <w:color w:val="000000" w:themeColor="text1"/>
        </w:rPr>
        <w:fldChar w:fldCharType="separate"/>
      </w:r>
      <w:r>
        <w:rPr>
          <w:color w:val="000000" w:themeColor="text1"/>
        </w:rPr>
        <w:t>115</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"_Toc4076513" </w:instrText>
      </w:r>
      <w:r>
        <w:fldChar w:fldCharType="separate"/>
      </w:r>
      <w:r>
        <w:rPr>
          <w:rStyle w:val="49"/>
          <w:color w:val="000000" w:themeColor="text1"/>
        </w:rPr>
        <w:t>9.2</w:t>
      </w:r>
      <w:r>
        <w:rPr>
          <w:rStyle w:val="49"/>
          <w:rFonts w:hint="eastAsia"/>
          <w:color w:val="000000" w:themeColor="text1"/>
        </w:rPr>
        <w:t>项目的环保效益</w:t>
      </w:r>
      <w:r>
        <w:rPr>
          <w:color w:val="000000" w:themeColor="text1"/>
        </w:rPr>
        <w:tab/>
      </w:r>
      <w:r>
        <w:rPr>
          <w:color w:val="000000" w:themeColor="text1"/>
        </w:rPr>
        <w:fldChar w:fldCharType="begin"/>
      </w:r>
      <w:r>
        <w:rPr>
          <w:color w:val="000000" w:themeColor="text1"/>
        </w:rPr>
        <w:instrText xml:space="preserve"> PAGEREF _Toc4076513 \h </w:instrText>
      </w:r>
      <w:r>
        <w:rPr>
          <w:color w:val="000000" w:themeColor="text1"/>
        </w:rPr>
        <w:fldChar w:fldCharType="separate"/>
      </w:r>
      <w:r>
        <w:rPr>
          <w:color w:val="000000" w:themeColor="text1"/>
        </w:rPr>
        <w:t>116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"_Toc4076514" </w:instrText>
      </w:r>
      <w:r>
        <w:fldChar w:fldCharType="separate"/>
      </w:r>
      <w:r>
        <w:rPr>
          <w:rStyle w:val="49"/>
          <w:color w:val="000000" w:themeColor="text1"/>
        </w:rPr>
        <w:t>9.3</w:t>
      </w:r>
      <w:r>
        <w:rPr>
          <w:rStyle w:val="49"/>
          <w:rFonts w:hint="eastAsia"/>
          <w:color w:val="000000" w:themeColor="text1"/>
        </w:rPr>
        <w:t>项目的社会效益</w:t>
      </w:r>
      <w:r>
        <w:rPr>
          <w:color w:val="000000" w:themeColor="text1"/>
        </w:rPr>
        <w:tab/>
      </w:r>
      <w:r>
        <w:rPr>
          <w:color w:val="000000" w:themeColor="text1"/>
        </w:rPr>
        <w:fldChar w:fldCharType="begin"/>
      </w:r>
      <w:r>
        <w:rPr>
          <w:color w:val="000000" w:themeColor="text1"/>
        </w:rPr>
        <w:instrText xml:space="preserve"> PAGEREF _Toc4076514 \h </w:instrText>
      </w:r>
      <w:r>
        <w:rPr>
          <w:color w:val="000000" w:themeColor="text1"/>
        </w:rPr>
        <w:fldChar w:fldCharType="separate"/>
      </w:r>
      <w:r>
        <w:rPr>
          <w:color w:val="000000" w:themeColor="text1"/>
        </w:rPr>
        <w:t>116</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"_Toc4076515" </w:instrText>
      </w:r>
      <w:r>
        <w:fldChar w:fldCharType="separate"/>
      </w:r>
      <w:r>
        <w:rPr>
          <w:rStyle w:val="49"/>
          <w:color w:val="000000" w:themeColor="text1"/>
        </w:rPr>
        <w:t>10</w:t>
      </w:r>
      <w:r>
        <w:rPr>
          <w:rStyle w:val="49"/>
          <w:rFonts w:hint="eastAsia"/>
          <w:color w:val="000000" w:themeColor="text1"/>
        </w:rPr>
        <w:t>环境管理计划及环境监测制度建议</w:t>
      </w:r>
      <w:r>
        <w:rPr>
          <w:color w:val="000000" w:themeColor="text1"/>
        </w:rPr>
        <w:tab/>
      </w:r>
      <w:r>
        <w:rPr>
          <w:color w:val="000000" w:themeColor="text1"/>
        </w:rPr>
        <w:fldChar w:fldCharType="begin"/>
      </w:r>
      <w:r>
        <w:rPr>
          <w:color w:val="000000" w:themeColor="text1"/>
        </w:rPr>
        <w:instrText xml:space="preserve"> PAGEREF _Toc4076515 \h </w:instrText>
      </w:r>
      <w:r>
        <w:rPr>
          <w:color w:val="000000" w:themeColor="text1"/>
        </w:rPr>
        <w:fldChar w:fldCharType="separate"/>
      </w:r>
      <w:r>
        <w:rPr>
          <w:color w:val="000000" w:themeColor="text1"/>
        </w:rPr>
        <w:t>118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"_Toc4076516" </w:instrText>
      </w:r>
      <w:r>
        <w:fldChar w:fldCharType="separate"/>
      </w:r>
      <w:r>
        <w:rPr>
          <w:rStyle w:val="49"/>
          <w:color w:val="000000" w:themeColor="text1"/>
        </w:rPr>
        <w:t>10.1</w:t>
      </w:r>
      <w:r>
        <w:rPr>
          <w:rStyle w:val="49"/>
          <w:rFonts w:hint="eastAsia"/>
          <w:color w:val="000000" w:themeColor="text1"/>
        </w:rPr>
        <w:t>环境管理</w:t>
      </w:r>
      <w:r>
        <w:rPr>
          <w:color w:val="000000" w:themeColor="text1"/>
        </w:rPr>
        <w:tab/>
      </w:r>
      <w:r>
        <w:rPr>
          <w:color w:val="000000" w:themeColor="text1"/>
        </w:rPr>
        <w:fldChar w:fldCharType="begin"/>
      </w:r>
      <w:r>
        <w:rPr>
          <w:color w:val="000000" w:themeColor="text1"/>
        </w:rPr>
        <w:instrText xml:space="preserve"> PAGEREF _Toc4076516 \h </w:instrText>
      </w:r>
      <w:r>
        <w:rPr>
          <w:color w:val="000000" w:themeColor="text1"/>
        </w:rPr>
        <w:fldChar w:fldCharType="separate"/>
      </w:r>
      <w:r>
        <w:rPr>
          <w:color w:val="000000" w:themeColor="text1"/>
        </w:rPr>
        <w:t>118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"_Toc4076517" </w:instrText>
      </w:r>
      <w:r>
        <w:fldChar w:fldCharType="separate"/>
      </w:r>
      <w:r>
        <w:rPr>
          <w:rStyle w:val="49"/>
          <w:color w:val="000000" w:themeColor="text1"/>
        </w:rPr>
        <w:t>10.2</w:t>
      </w:r>
      <w:r>
        <w:rPr>
          <w:rStyle w:val="49"/>
          <w:rFonts w:hint="eastAsia"/>
          <w:color w:val="000000" w:themeColor="text1"/>
        </w:rPr>
        <w:t>施工期的环境管理</w:t>
      </w:r>
      <w:r>
        <w:rPr>
          <w:color w:val="000000" w:themeColor="text1"/>
        </w:rPr>
        <w:tab/>
      </w:r>
      <w:r>
        <w:rPr>
          <w:color w:val="000000" w:themeColor="text1"/>
        </w:rPr>
        <w:fldChar w:fldCharType="begin"/>
      </w:r>
      <w:r>
        <w:rPr>
          <w:color w:val="000000" w:themeColor="text1"/>
        </w:rPr>
        <w:instrText xml:space="preserve"> PAGEREF _Toc4076517 \h </w:instrText>
      </w:r>
      <w:r>
        <w:rPr>
          <w:color w:val="000000" w:themeColor="text1"/>
        </w:rPr>
        <w:fldChar w:fldCharType="separate"/>
      </w:r>
      <w:r>
        <w:rPr>
          <w:color w:val="000000" w:themeColor="text1"/>
        </w:rPr>
        <w:t>118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"_Toc4076518" </w:instrText>
      </w:r>
      <w:r>
        <w:fldChar w:fldCharType="separate"/>
      </w:r>
      <w:r>
        <w:rPr>
          <w:rStyle w:val="49"/>
          <w:color w:val="000000" w:themeColor="text1"/>
        </w:rPr>
        <w:t>10.3</w:t>
      </w:r>
      <w:r>
        <w:rPr>
          <w:rStyle w:val="49"/>
          <w:rFonts w:hint="eastAsia"/>
          <w:color w:val="000000" w:themeColor="text1"/>
        </w:rPr>
        <w:t>运营期的环境管理</w:t>
      </w:r>
      <w:r>
        <w:rPr>
          <w:color w:val="000000" w:themeColor="text1"/>
        </w:rPr>
        <w:tab/>
      </w:r>
      <w:r>
        <w:rPr>
          <w:color w:val="000000" w:themeColor="text1"/>
        </w:rPr>
        <w:fldChar w:fldCharType="begin"/>
      </w:r>
      <w:r>
        <w:rPr>
          <w:color w:val="000000" w:themeColor="text1"/>
        </w:rPr>
        <w:instrText xml:space="preserve"> PAGEREF _Toc4076518 \h </w:instrText>
      </w:r>
      <w:r>
        <w:rPr>
          <w:color w:val="000000" w:themeColor="text1"/>
        </w:rPr>
        <w:fldChar w:fldCharType="separate"/>
      </w:r>
      <w:r>
        <w:rPr>
          <w:color w:val="000000" w:themeColor="text1"/>
        </w:rPr>
        <w:t>118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"_Toc4076519" </w:instrText>
      </w:r>
      <w:r>
        <w:fldChar w:fldCharType="separate"/>
      </w:r>
      <w:r>
        <w:rPr>
          <w:rStyle w:val="49"/>
          <w:color w:val="000000" w:themeColor="text1"/>
        </w:rPr>
        <w:t>10.4</w:t>
      </w:r>
      <w:r>
        <w:rPr>
          <w:rStyle w:val="49"/>
          <w:rFonts w:hint="eastAsia"/>
          <w:color w:val="000000" w:themeColor="text1"/>
        </w:rPr>
        <w:t>污染物排放清单</w:t>
      </w:r>
      <w:r>
        <w:rPr>
          <w:color w:val="000000" w:themeColor="text1"/>
        </w:rPr>
        <w:tab/>
      </w:r>
      <w:r>
        <w:rPr>
          <w:color w:val="000000" w:themeColor="text1"/>
        </w:rPr>
        <w:fldChar w:fldCharType="begin"/>
      </w:r>
      <w:r>
        <w:rPr>
          <w:color w:val="000000" w:themeColor="text1"/>
        </w:rPr>
        <w:instrText xml:space="preserve"> PAGEREF _Toc4076519 \h </w:instrText>
      </w:r>
      <w:r>
        <w:rPr>
          <w:color w:val="000000" w:themeColor="text1"/>
        </w:rPr>
        <w:fldChar w:fldCharType="separate"/>
      </w:r>
      <w:r>
        <w:rPr>
          <w:color w:val="000000" w:themeColor="text1"/>
        </w:rPr>
        <w:t>119</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"_Toc4076520" </w:instrText>
      </w:r>
      <w:r>
        <w:fldChar w:fldCharType="separate"/>
      </w:r>
      <w:r>
        <w:rPr>
          <w:rStyle w:val="49"/>
          <w:color w:val="000000" w:themeColor="text1"/>
        </w:rPr>
        <w:t>10.5</w:t>
      </w:r>
      <w:r>
        <w:rPr>
          <w:rStyle w:val="49"/>
          <w:rFonts w:hint="eastAsia"/>
          <w:color w:val="000000" w:themeColor="text1"/>
        </w:rPr>
        <w:t>环境监测计划</w:t>
      </w:r>
      <w:r>
        <w:rPr>
          <w:color w:val="000000" w:themeColor="text1"/>
        </w:rPr>
        <w:tab/>
      </w:r>
      <w:r>
        <w:rPr>
          <w:color w:val="000000" w:themeColor="text1"/>
        </w:rPr>
        <w:fldChar w:fldCharType="begin"/>
      </w:r>
      <w:r>
        <w:rPr>
          <w:color w:val="000000" w:themeColor="text1"/>
        </w:rPr>
        <w:instrText xml:space="preserve"> PAGEREF _Toc4076520 \h </w:instrText>
      </w:r>
      <w:r>
        <w:rPr>
          <w:color w:val="000000" w:themeColor="text1"/>
        </w:rPr>
        <w:fldChar w:fldCharType="separate"/>
      </w:r>
      <w:r>
        <w:rPr>
          <w:color w:val="000000" w:themeColor="text1"/>
        </w:rPr>
        <w:t>122</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"_Toc4076521" </w:instrText>
      </w:r>
      <w:r>
        <w:fldChar w:fldCharType="separate"/>
      </w:r>
      <w:r>
        <w:rPr>
          <w:rStyle w:val="49"/>
          <w:color w:val="000000" w:themeColor="text1"/>
        </w:rPr>
        <w:t>10.6</w:t>
      </w:r>
      <w:r>
        <w:rPr>
          <w:rStyle w:val="49"/>
          <w:rFonts w:hint="eastAsia"/>
          <w:color w:val="000000" w:themeColor="text1"/>
        </w:rPr>
        <w:t>环境监理计划</w:t>
      </w:r>
      <w:r>
        <w:rPr>
          <w:color w:val="000000" w:themeColor="text1"/>
        </w:rPr>
        <w:tab/>
      </w:r>
      <w:r>
        <w:rPr>
          <w:color w:val="000000" w:themeColor="text1"/>
        </w:rPr>
        <w:fldChar w:fldCharType="begin"/>
      </w:r>
      <w:r>
        <w:rPr>
          <w:color w:val="000000" w:themeColor="text1"/>
        </w:rPr>
        <w:instrText xml:space="preserve"> PAGEREF _Toc4076521 \h </w:instrText>
      </w:r>
      <w:r>
        <w:rPr>
          <w:color w:val="000000" w:themeColor="text1"/>
        </w:rPr>
        <w:fldChar w:fldCharType="separate"/>
      </w:r>
      <w:r>
        <w:rPr>
          <w:color w:val="000000" w:themeColor="text1"/>
        </w:rPr>
        <w:t>122</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"_Toc4076522" </w:instrText>
      </w:r>
      <w:r>
        <w:fldChar w:fldCharType="separate"/>
      </w:r>
      <w:r>
        <w:rPr>
          <w:rStyle w:val="49"/>
          <w:color w:val="000000" w:themeColor="text1"/>
        </w:rPr>
        <w:t>10.7</w:t>
      </w:r>
      <w:r>
        <w:rPr>
          <w:rStyle w:val="49"/>
          <w:rFonts w:hint="eastAsia"/>
          <w:color w:val="000000" w:themeColor="text1"/>
        </w:rPr>
        <w:t>环境保护竣工验收</w:t>
      </w:r>
      <w:r>
        <w:rPr>
          <w:color w:val="000000" w:themeColor="text1"/>
        </w:rPr>
        <w:tab/>
      </w:r>
      <w:r>
        <w:rPr>
          <w:color w:val="000000" w:themeColor="text1"/>
        </w:rPr>
        <w:fldChar w:fldCharType="begin"/>
      </w:r>
      <w:r>
        <w:rPr>
          <w:color w:val="000000" w:themeColor="text1"/>
        </w:rPr>
        <w:instrText xml:space="preserve"> PAGEREF _Toc4076522 \h </w:instrText>
      </w:r>
      <w:r>
        <w:rPr>
          <w:color w:val="000000" w:themeColor="text1"/>
        </w:rPr>
        <w:fldChar w:fldCharType="separate"/>
      </w:r>
      <w:r>
        <w:rPr>
          <w:color w:val="000000" w:themeColor="text1"/>
        </w:rPr>
        <w:t>123</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"_Toc4076523" </w:instrText>
      </w:r>
      <w:r>
        <w:fldChar w:fldCharType="separate"/>
      </w:r>
      <w:r>
        <w:rPr>
          <w:rStyle w:val="49"/>
          <w:color w:val="000000" w:themeColor="text1"/>
        </w:rPr>
        <w:t>10.8</w:t>
      </w:r>
      <w:r>
        <w:rPr>
          <w:rStyle w:val="49"/>
          <w:rFonts w:hint="eastAsia"/>
          <w:color w:val="000000" w:themeColor="text1"/>
        </w:rPr>
        <w:t>企业信息公开</w:t>
      </w:r>
      <w:r>
        <w:rPr>
          <w:color w:val="000000" w:themeColor="text1"/>
        </w:rPr>
        <w:tab/>
      </w:r>
      <w:r>
        <w:rPr>
          <w:color w:val="000000" w:themeColor="text1"/>
        </w:rPr>
        <w:fldChar w:fldCharType="begin"/>
      </w:r>
      <w:r>
        <w:rPr>
          <w:color w:val="000000" w:themeColor="text1"/>
        </w:rPr>
        <w:instrText xml:space="preserve"> PAGEREF _Toc4076523 \h </w:instrText>
      </w:r>
      <w:r>
        <w:rPr>
          <w:color w:val="000000" w:themeColor="text1"/>
        </w:rPr>
        <w:fldChar w:fldCharType="separate"/>
      </w:r>
      <w:r>
        <w:rPr>
          <w:color w:val="000000" w:themeColor="text1"/>
        </w:rPr>
        <w:t>125</w:t>
      </w:r>
      <w:r>
        <w:rPr>
          <w:color w:val="000000" w:themeColor="text1"/>
        </w:rPr>
        <w:fldChar w:fldCharType="end"/>
      </w:r>
      <w:r>
        <w:rPr>
          <w:color w:val="000000" w:themeColor="text1"/>
        </w:rPr>
        <w:fldChar w:fldCharType="end"/>
      </w:r>
    </w:p>
    <w:p>
      <w:pPr>
        <w:pStyle w:val="27"/>
        <w:tabs>
          <w:tab w:val="right" w:leader="dot" w:pos="8302"/>
        </w:tabs>
        <w:wordWrap/>
        <w:spacing w:line="440" w:lineRule="exact"/>
        <w:rPr>
          <w:rFonts w:asciiTheme="minorHAnsi" w:hAnsiTheme="minorHAnsi" w:eastAsiaTheme="minorEastAsia" w:cstheme="minorBidi"/>
          <w:color w:val="000000" w:themeColor="text1"/>
          <w:sz w:val="21"/>
          <w:szCs w:val="22"/>
        </w:rPr>
      </w:pPr>
      <w:r>
        <w:fldChar w:fldCharType="begin"/>
      </w:r>
      <w:r>
        <w:instrText xml:space="preserve"> HYPERLINK \l "_Toc4076524" </w:instrText>
      </w:r>
      <w:r>
        <w:fldChar w:fldCharType="separate"/>
      </w:r>
      <w:r>
        <w:rPr>
          <w:rStyle w:val="49"/>
          <w:color w:val="000000" w:themeColor="text1"/>
        </w:rPr>
        <w:t>11</w:t>
      </w:r>
      <w:r>
        <w:rPr>
          <w:rStyle w:val="49"/>
          <w:rFonts w:hint="eastAsia"/>
          <w:color w:val="000000" w:themeColor="text1"/>
        </w:rPr>
        <w:t>综合结论</w:t>
      </w:r>
      <w:r>
        <w:rPr>
          <w:color w:val="000000" w:themeColor="text1"/>
        </w:rPr>
        <w:tab/>
      </w:r>
      <w:r>
        <w:rPr>
          <w:color w:val="000000" w:themeColor="text1"/>
        </w:rPr>
        <w:fldChar w:fldCharType="begin"/>
      </w:r>
      <w:r>
        <w:rPr>
          <w:color w:val="000000" w:themeColor="text1"/>
        </w:rPr>
        <w:instrText xml:space="preserve"> PAGEREF _Toc4076524 \h </w:instrText>
      </w:r>
      <w:r>
        <w:rPr>
          <w:color w:val="000000" w:themeColor="text1"/>
        </w:rPr>
        <w:fldChar w:fldCharType="separate"/>
      </w:r>
      <w:r>
        <w:rPr>
          <w:color w:val="000000" w:themeColor="text1"/>
        </w:rPr>
        <w:t>126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"_Toc4076525" </w:instrText>
      </w:r>
      <w:r>
        <w:fldChar w:fldCharType="separate"/>
      </w:r>
      <w:r>
        <w:rPr>
          <w:rStyle w:val="49"/>
          <w:color w:val="000000" w:themeColor="text1"/>
        </w:rPr>
        <w:t>11.1</w:t>
      </w:r>
      <w:r>
        <w:rPr>
          <w:rStyle w:val="49"/>
          <w:rFonts w:hint="eastAsia"/>
          <w:color w:val="000000" w:themeColor="text1"/>
        </w:rPr>
        <w:t>项目概况</w:t>
      </w:r>
      <w:r>
        <w:rPr>
          <w:color w:val="000000" w:themeColor="text1"/>
        </w:rPr>
        <w:tab/>
      </w:r>
      <w:r>
        <w:rPr>
          <w:color w:val="000000" w:themeColor="text1"/>
        </w:rPr>
        <w:fldChar w:fldCharType="begin"/>
      </w:r>
      <w:r>
        <w:rPr>
          <w:color w:val="000000" w:themeColor="text1"/>
        </w:rPr>
        <w:instrText xml:space="preserve"> PAGEREF _Toc4076525 \h </w:instrText>
      </w:r>
      <w:r>
        <w:rPr>
          <w:color w:val="000000" w:themeColor="text1"/>
        </w:rPr>
        <w:fldChar w:fldCharType="separate"/>
      </w:r>
      <w:r>
        <w:rPr>
          <w:color w:val="000000" w:themeColor="text1"/>
        </w:rPr>
        <w:t>126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"_Toc4076526" </w:instrText>
      </w:r>
      <w:r>
        <w:fldChar w:fldCharType="separate"/>
      </w:r>
      <w:r>
        <w:rPr>
          <w:rStyle w:val="49"/>
          <w:color w:val="000000" w:themeColor="text1"/>
        </w:rPr>
        <w:t>11.2</w:t>
      </w:r>
      <w:r>
        <w:rPr>
          <w:rStyle w:val="49"/>
          <w:rFonts w:hint="eastAsia"/>
          <w:color w:val="000000" w:themeColor="text1"/>
        </w:rPr>
        <w:t>环境质量现状</w:t>
      </w:r>
      <w:r>
        <w:rPr>
          <w:color w:val="000000" w:themeColor="text1"/>
        </w:rPr>
        <w:tab/>
      </w:r>
      <w:r>
        <w:rPr>
          <w:color w:val="000000" w:themeColor="text1"/>
        </w:rPr>
        <w:fldChar w:fldCharType="begin"/>
      </w:r>
      <w:r>
        <w:rPr>
          <w:color w:val="000000" w:themeColor="text1"/>
        </w:rPr>
        <w:instrText xml:space="preserve"> PAGEREF _Toc4076526 \h </w:instrText>
      </w:r>
      <w:r>
        <w:rPr>
          <w:color w:val="000000" w:themeColor="text1"/>
        </w:rPr>
        <w:fldChar w:fldCharType="separate"/>
      </w:r>
      <w:r>
        <w:rPr>
          <w:color w:val="000000" w:themeColor="text1"/>
        </w:rPr>
        <w:t>126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"_Toc4076527" </w:instrText>
      </w:r>
      <w:r>
        <w:fldChar w:fldCharType="separate"/>
      </w:r>
      <w:r>
        <w:rPr>
          <w:rStyle w:val="49"/>
          <w:color w:val="000000" w:themeColor="text1"/>
        </w:rPr>
        <w:t>11.3</w:t>
      </w:r>
      <w:r>
        <w:rPr>
          <w:rStyle w:val="49"/>
          <w:rFonts w:hint="eastAsia"/>
          <w:color w:val="000000" w:themeColor="text1"/>
        </w:rPr>
        <w:t>污染物排放情况</w:t>
      </w:r>
      <w:r>
        <w:rPr>
          <w:color w:val="000000" w:themeColor="text1"/>
        </w:rPr>
        <w:tab/>
      </w:r>
      <w:r>
        <w:rPr>
          <w:color w:val="000000" w:themeColor="text1"/>
        </w:rPr>
        <w:fldChar w:fldCharType="begin"/>
      </w:r>
      <w:r>
        <w:rPr>
          <w:color w:val="000000" w:themeColor="text1"/>
        </w:rPr>
        <w:instrText xml:space="preserve"> PAGEREF _Toc4076527 \h </w:instrText>
      </w:r>
      <w:r>
        <w:rPr>
          <w:color w:val="000000" w:themeColor="text1"/>
        </w:rPr>
        <w:fldChar w:fldCharType="separate"/>
      </w:r>
      <w:r>
        <w:rPr>
          <w:color w:val="000000" w:themeColor="text1"/>
        </w:rPr>
        <w:t>126</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"_Toc4076528" </w:instrText>
      </w:r>
      <w:r>
        <w:fldChar w:fldCharType="separate"/>
      </w:r>
      <w:r>
        <w:rPr>
          <w:rStyle w:val="49"/>
          <w:color w:val="000000" w:themeColor="text1"/>
        </w:rPr>
        <w:t>11.4</w:t>
      </w:r>
      <w:r>
        <w:rPr>
          <w:rStyle w:val="49"/>
          <w:rFonts w:hint="eastAsia"/>
          <w:color w:val="000000" w:themeColor="text1"/>
        </w:rPr>
        <w:t>主要环境影响</w:t>
      </w:r>
      <w:r>
        <w:rPr>
          <w:color w:val="000000" w:themeColor="text1"/>
        </w:rPr>
        <w:tab/>
      </w:r>
      <w:r>
        <w:rPr>
          <w:color w:val="000000" w:themeColor="text1"/>
        </w:rPr>
        <w:fldChar w:fldCharType="begin"/>
      </w:r>
      <w:r>
        <w:rPr>
          <w:color w:val="000000" w:themeColor="text1"/>
        </w:rPr>
        <w:instrText xml:space="preserve"> PAGEREF _Toc4076528 \h </w:instrText>
      </w:r>
      <w:r>
        <w:rPr>
          <w:color w:val="000000" w:themeColor="text1"/>
        </w:rPr>
        <w:fldChar w:fldCharType="separate"/>
      </w:r>
      <w:r>
        <w:rPr>
          <w:color w:val="000000" w:themeColor="text1"/>
        </w:rPr>
        <w:t>127</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"_Toc4076529" </w:instrText>
      </w:r>
      <w:r>
        <w:fldChar w:fldCharType="separate"/>
      </w:r>
      <w:r>
        <w:rPr>
          <w:rStyle w:val="49"/>
          <w:color w:val="000000" w:themeColor="text1"/>
        </w:rPr>
        <w:t>11.5</w:t>
      </w:r>
      <w:r>
        <w:rPr>
          <w:rStyle w:val="49"/>
          <w:rFonts w:hint="eastAsia"/>
          <w:color w:val="000000" w:themeColor="text1"/>
        </w:rPr>
        <w:t>公众意见采纳情况</w:t>
      </w:r>
      <w:r>
        <w:rPr>
          <w:color w:val="000000" w:themeColor="text1"/>
        </w:rPr>
        <w:tab/>
      </w:r>
      <w:r>
        <w:rPr>
          <w:color w:val="000000" w:themeColor="text1"/>
        </w:rPr>
        <w:fldChar w:fldCharType="begin"/>
      </w:r>
      <w:r>
        <w:rPr>
          <w:color w:val="000000" w:themeColor="text1"/>
        </w:rPr>
        <w:instrText xml:space="preserve"> PAGEREF _Toc4076529 \h </w:instrText>
      </w:r>
      <w:r>
        <w:rPr>
          <w:color w:val="000000" w:themeColor="text1"/>
        </w:rPr>
        <w:fldChar w:fldCharType="separate"/>
      </w:r>
      <w:r>
        <w:rPr>
          <w:color w:val="000000" w:themeColor="text1"/>
        </w:rPr>
        <w:t>128</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"_Toc4076530" </w:instrText>
      </w:r>
      <w:r>
        <w:fldChar w:fldCharType="separate"/>
      </w:r>
      <w:r>
        <w:rPr>
          <w:rStyle w:val="49"/>
          <w:color w:val="000000" w:themeColor="text1"/>
        </w:rPr>
        <w:t>11.6</w:t>
      </w:r>
      <w:r>
        <w:rPr>
          <w:rStyle w:val="49"/>
          <w:rFonts w:hint="eastAsia"/>
          <w:color w:val="000000" w:themeColor="text1"/>
        </w:rPr>
        <w:t>环境保护措施</w:t>
      </w:r>
      <w:r>
        <w:rPr>
          <w:color w:val="000000" w:themeColor="text1"/>
        </w:rPr>
        <w:tab/>
      </w:r>
      <w:r>
        <w:rPr>
          <w:color w:val="000000" w:themeColor="text1"/>
        </w:rPr>
        <w:fldChar w:fldCharType="begin"/>
      </w:r>
      <w:r>
        <w:rPr>
          <w:color w:val="000000" w:themeColor="text1"/>
        </w:rPr>
        <w:instrText xml:space="preserve"> PAGEREF _Toc4076530 \h </w:instrText>
      </w:r>
      <w:r>
        <w:rPr>
          <w:color w:val="000000" w:themeColor="text1"/>
        </w:rPr>
        <w:fldChar w:fldCharType="separate"/>
      </w:r>
      <w:r>
        <w:rPr>
          <w:color w:val="000000" w:themeColor="text1"/>
        </w:rPr>
        <w:t>129</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"_Toc4076531" </w:instrText>
      </w:r>
      <w:r>
        <w:fldChar w:fldCharType="separate"/>
      </w:r>
      <w:r>
        <w:rPr>
          <w:rStyle w:val="49"/>
          <w:color w:val="000000" w:themeColor="text1"/>
        </w:rPr>
        <w:t>11.7</w:t>
      </w:r>
      <w:r>
        <w:rPr>
          <w:rStyle w:val="49"/>
          <w:rFonts w:hint="eastAsia"/>
          <w:color w:val="000000" w:themeColor="text1"/>
        </w:rPr>
        <w:t>环境影响经济损益分析</w:t>
      </w:r>
      <w:r>
        <w:rPr>
          <w:color w:val="000000" w:themeColor="text1"/>
        </w:rPr>
        <w:tab/>
      </w:r>
      <w:r>
        <w:rPr>
          <w:color w:val="000000" w:themeColor="text1"/>
        </w:rPr>
        <w:fldChar w:fldCharType="begin"/>
      </w:r>
      <w:r>
        <w:rPr>
          <w:color w:val="000000" w:themeColor="text1"/>
        </w:rPr>
        <w:instrText xml:space="preserve"> PAGEREF _Toc4076531 \h </w:instrText>
      </w:r>
      <w:r>
        <w:rPr>
          <w:color w:val="000000" w:themeColor="text1"/>
        </w:rPr>
        <w:fldChar w:fldCharType="separate"/>
      </w:r>
      <w:r>
        <w:rPr>
          <w:color w:val="000000" w:themeColor="text1"/>
        </w:rPr>
        <w:t>129</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"_Toc4076532" </w:instrText>
      </w:r>
      <w:r>
        <w:fldChar w:fldCharType="separate"/>
      </w:r>
      <w:r>
        <w:rPr>
          <w:rStyle w:val="49"/>
          <w:color w:val="000000" w:themeColor="text1"/>
        </w:rPr>
        <w:t>11.8</w:t>
      </w:r>
      <w:r>
        <w:rPr>
          <w:rStyle w:val="49"/>
          <w:rFonts w:hint="eastAsia"/>
          <w:color w:val="000000" w:themeColor="text1"/>
        </w:rPr>
        <w:t>环境管理与监测计划</w:t>
      </w:r>
      <w:r>
        <w:rPr>
          <w:color w:val="000000" w:themeColor="text1"/>
        </w:rPr>
        <w:tab/>
      </w:r>
      <w:r>
        <w:rPr>
          <w:color w:val="000000" w:themeColor="text1"/>
        </w:rPr>
        <w:fldChar w:fldCharType="begin"/>
      </w:r>
      <w:r>
        <w:rPr>
          <w:color w:val="000000" w:themeColor="text1"/>
        </w:rPr>
        <w:instrText xml:space="preserve"> PAGEREF _Toc4076532 \h </w:instrText>
      </w:r>
      <w:r>
        <w:rPr>
          <w:color w:val="000000" w:themeColor="text1"/>
        </w:rPr>
        <w:fldChar w:fldCharType="separate"/>
      </w:r>
      <w:r>
        <w:rPr>
          <w:color w:val="000000" w:themeColor="text1"/>
        </w:rPr>
        <w:t>129</w:t>
      </w:r>
      <w:r>
        <w:rPr>
          <w:color w:val="000000" w:themeColor="text1"/>
        </w:rPr>
        <w:fldChar w:fldCharType="end"/>
      </w:r>
      <w:r>
        <w:rPr>
          <w:color w:val="000000" w:themeColor="text1"/>
        </w:rPr>
        <w:fldChar w:fldCharType="end"/>
      </w:r>
    </w:p>
    <w:p>
      <w:pPr>
        <w:pStyle w:val="33"/>
        <w:tabs>
          <w:tab w:val="right" w:leader="dot" w:pos="8302"/>
        </w:tabs>
        <w:spacing w:line="440" w:lineRule="exact"/>
        <w:rPr>
          <w:rFonts w:asciiTheme="minorHAnsi" w:hAnsiTheme="minorHAnsi" w:eastAsiaTheme="minorEastAsia" w:cstheme="minorBidi"/>
          <w:color w:val="000000" w:themeColor="text1"/>
          <w:szCs w:val="22"/>
        </w:rPr>
      </w:pPr>
      <w:r>
        <w:fldChar w:fldCharType="begin"/>
      </w:r>
      <w:r>
        <w:instrText xml:space="preserve"> HYPERLINK \l "_Toc4076533" </w:instrText>
      </w:r>
      <w:r>
        <w:fldChar w:fldCharType="separate"/>
      </w:r>
      <w:r>
        <w:rPr>
          <w:rStyle w:val="49"/>
          <w:color w:val="000000" w:themeColor="text1"/>
        </w:rPr>
        <w:t>11.9</w:t>
      </w:r>
      <w:r>
        <w:rPr>
          <w:rStyle w:val="49"/>
          <w:rFonts w:hint="eastAsia"/>
          <w:color w:val="000000" w:themeColor="text1"/>
        </w:rPr>
        <w:t>总结论</w:t>
      </w:r>
      <w:r>
        <w:rPr>
          <w:color w:val="000000" w:themeColor="text1"/>
        </w:rPr>
        <w:tab/>
      </w:r>
      <w:r>
        <w:rPr>
          <w:color w:val="000000" w:themeColor="text1"/>
        </w:rPr>
        <w:fldChar w:fldCharType="begin"/>
      </w:r>
      <w:r>
        <w:rPr>
          <w:color w:val="000000" w:themeColor="text1"/>
        </w:rPr>
        <w:instrText xml:space="preserve"> PAGEREF _Toc4076533 \h </w:instrText>
      </w:r>
      <w:r>
        <w:rPr>
          <w:color w:val="000000" w:themeColor="text1"/>
        </w:rPr>
        <w:fldChar w:fldCharType="separate"/>
      </w:r>
      <w:r>
        <w:rPr>
          <w:color w:val="000000" w:themeColor="text1"/>
        </w:rPr>
        <w:t>129</w:t>
      </w:r>
      <w:r>
        <w:rPr>
          <w:color w:val="000000" w:themeColor="text1"/>
        </w:rPr>
        <w:fldChar w:fldCharType="end"/>
      </w:r>
      <w:r>
        <w:rPr>
          <w:color w:val="000000" w:themeColor="text1"/>
        </w:rPr>
        <w:fldChar w:fldCharType="end"/>
      </w:r>
    </w:p>
    <w:p>
      <w:pPr>
        <w:pStyle w:val="33"/>
        <w:tabs>
          <w:tab w:val="right" w:leader="dot" w:pos="8302"/>
        </w:tabs>
        <w:rPr>
          <w:color w:val="000000" w:themeColor="text1"/>
        </w:rPr>
      </w:pPr>
      <w:r>
        <w:rPr>
          <w:color w:val="000000" w:themeColor="text1"/>
        </w:rPr>
        <w:fldChar w:fldCharType="end"/>
      </w:r>
    </w:p>
    <w:p>
      <w:pPr>
        <w:rPr>
          <w:b/>
          <w:color w:val="000000" w:themeColor="text1"/>
        </w:rPr>
      </w:pPr>
      <w:r>
        <w:rPr>
          <w:b/>
          <w:color w:val="000000" w:themeColor="text1"/>
        </w:rPr>
        <w:t>附表</w:t>
      </w:r>
    </w:p>
    <w:p>
      <w:pPr>
        <w:rPr>
          <w:color w:val="000000" w:themeColor="text1"/>
        </w:rPr>
      </w:pPr>
      <w:r>
        <w:rPr>
          <w:color w:val="000000" w:themeColor="text1"/>
        </w:rPr>
        <w:t>建设项目基础信息表</w:t>
      </w:r>
    </w:p>
    <w:p>
      <w:pPr>
        <w:rPr>
          <w:color w:val="000000" w:themeColor="text1"/>
        </w:rPr>
      </w:pPr>
    </w:p>
    <w:p>
      <w:pPr>
        <w:rPr>
          <w:color w:val="000000" w:themeColor="text1"/>
        </w:rPr>
      </w:pPr>
    </w:p>
    <w:p>
      <w:pPr>
        <w:rPr>
          <w:b/>
          <w:color w:val="000000" w:themeColor="text1"/>
        </w:rPr>
      </w:pPr>
      <w:r>
        <w:rPr>
          <w:b/>
          <w:color w:val="000000" w:themeColor="text1"/>
        </w:rPr>
        <w:t>附图</w:t>
      </w:r>
    </w:p>
    <w:p>
      <w:pPr>
        <w:rPr>
          <w:color w:val="000000" w:themeColor="text1"/>
        </w:rPr>
      </w:pPr>
      <w:r>
        <w:rPr>
          <w:color w:val="000000" w:themeColor="text1"/>
        </w:rPr>
        <w:t>附图1项目地理位置图</w:t>
      </w:r>
    </w:p>
    <w:p>
      <w:pPr>
        <w:rPr>
          <w:color w:val="000000" w:themeColor="text1"/>
        </w:rPr>
      </w:pPr>
      <w:r>
        <w:rPr>
          <w:color w:val="000000" w:themeColor="text1"/>
        </w:rPr>
        <w:t>附图2项目水系图</w:t>
      </w:r>
    </w:p>
    <w:p>
      <w:pPr>
        <w:rPr>
          <w:color w:val="000000" w:themeColor="text1"/>
        </w:rPr>
      </w:pPr>
      <w:r>
        <w:rPr>
          <w:color w:val="000000" w:themeColor="text1"/>
        </w:rPr>
        <w:t>附图3项目总平面布置图</w:t>
      </w:r>
    </w:p>
    <w:p>
      <w:pPr>
        <w:rPr>
          <w:color w:val="000000" w:themeColor="text1"/>
        </w:rPr>
      </w:pPr>
      <w:r>
        <w:rPr>
          <w:color w:val="000000" w:themeColor="text1"/>
        </w:rPr>
        <w:t>附图4评价范围图</w:t>
      </w:r>
    </w:p>
    <w:p>
      <w:pPr>
        <w:rPr>
          <w:color w:val="000000" w:themeColor="text1"/>
        </w:rPr>
      </w:pPr>
      <w:r>
        <w:rPr>
          <w:color w:val="000000" w:themeColor="text1"/>
        </w:rPr>
        <w:t>附图5</w:t>
      </w:r>
      <w:r>
        <w:rPr>
          <w:rFonts w:hint="eastAsia"/>
          <w:color w:val="000000" w:themeColor="text1"/>
        </w:rPr>
        <w:t>监测点位布置图</w:t>
      </w:r>
    </w:p>
    <w:p>
      <w:pPr>
        <w:rPr>
          <w:color w:val="000000" w:themeColor="text1"/>
        </w:rPr>
      </w:pPr>
      <w:r>
        <w:rPr>
          <w:rFonts w:hint="eastAsia"/>
          <w:color w:val="000000" w:themeColor="text1"/>
        </w:rPr>
        <w:t>附图6</w:t>
      </w:r>
      <w:r>
        <w:rPr>
          <w:color w:val="000000" w:themeColor="text1"/>
        </w:rPr>
        <w:t>项目</w:t>
      </w:r>
      <w:r>
        <w:rPr>
          <w:rFonts w:hint="eastAsia"/>
          <w:color w:val="000000" w:themeColor="text1"/>
        </w:rPr>
        <w:t>水文</w:t>
      </w:r>
      <w:r>
        <w:rPr>
          <w:color w:val="000000" w:themeColor="text1"/>
        </w:rPr>
        <w:t>地质及地下水评价范围图</w:t>
      </w:r>
    </w:p>
    <w:p>
      <w:pPr>
        <w:rPr>
          <w:color w:val="000000" w:themeColor="text1"/>
        </w:rPr>
      </w:pPr>
      <w:r>
        <w:rPr>
          <w:rFonts w:hint="eastAsia"/>
          <w:color w:val="000000" w:themeColor="text1"/>
        </w:rPr>
        <w:t>附图7新平县畜禽禁养区限养区划定图</w:t>
      </w:r>
    </w:p>
    <w:p>
      <w:pPr>
        <w:rPr>
          <w:color w:val="000000" w:themeColor="text1"/>
        </w:rPr>
      </w:pPr>
      <w:r>
        <w:rPr>
          <w:rFonts w:hint="eastAsia"/>
          <w:color w:val="000000" w:themeColor="text1"/>
        </w:rPr>
        <w:t>附图8项目区土地利用现状图</w:t>
      </w:r>
    </w:p>
    <w:p>
      <w:pPr>
        <w:rPr>
          <w:color w:val="000000" w:themeColor="text1"/>
        </w:rPr>
      </w:pPr>
      <w:r>
        <w:rPr>
          <w:rFonts w:hint="eastAsia"/>
          <w:color w:val="000000" w:themeColor="text1"/>
        </w:rPr>
        <w:t>附图9项目种植区布置图</w:t>
      </w:r>
    </w:p>
    <w:p>
      <w:pPr>
        <w:rPr>
          <w:color w:val="000000" w:themeColor="text1"/>
        </w:rPr>
      </w:pPr>
    </w:p>
    <w:p>
      <w:pPr>
        <w:rPr>
          <w:b/>
          <w:color w:val="000000" w:themeColor="text1"/>
        </w:rPr>
      </w:pPr>
      <w:r>
        <w:rPr>
          <w:b/>
          <w:color w:val="000000" w:themeColor="text1"/>
        </w:rPr>
        <w:t>附件</w:t>
      </w:r>
    </w:p>
    <w:p>
      <w:pPr>
        <w:rPr>
          <w:color w:val="000000" w:themeColor="text1"/>
        </w:rPr>
      </w:pPr>
      <w:r>
        <w:rPr>
          <w:color w:val="000000" w:themeColor="text1"/>
        </w:rPr>
        <w:t>附件1委托书</w:t>
      </w:r>
    </w:p>
    <w:p>
      <w:pPr>
        <w:rPr>
          <w:color w:val="000000" w:themeColor="text1"/>
        </w:rPr>
      </w:pPr>
      <w:r>
        <w:rPr>
          <w:color w:val="000000" w:themeColor="text1"/>
        </w:rPr>
        <w:t>附件2项目备案证</w:t>
      </w:r>
    </w:p>
    <w:p>
      <w:pPr>
        <w:rPr>
          <w:color w:val="000000" w:themeColor="text1"/>
        </w:rPr>
      </w:pPr>
      <w:r>
        <w:rPr>
          <w:color w:val="000000" w:themeColor="text1"/>
        </w:rPr>
        <w:t>附件3</w:t>
      </w:r>
      <w:r>
        <w:rPr>
          <w:rFonts w:hint="eastAsia"/>
          <w:color w:val="000000" w:themeColor="text1"/>
        </w:rPr>
        <w:t>设施农用地备案表</w:t>
      </w:r>
    </w:p>
    <w:p>
      <w:pPr>
        <w:rPr>
          <w:color w:val="000000" w:themeColor="text1"/>
        </w:rPr>
      </w:pPr>
      <w:r>
        <w:rPr>
          <w:color w:val="000000" w:themeColor="text1"/>
        </w:rPr>
        <w:t>附件4项目租地协议</w:t>
      </w:r>
    </w:p>
    <w:p>
      <w:pPr>
        <w:rPr>
          <w:color w:val="000000" w:themeColor="text1"/>
        </w:rPr>
      </w:pPr>
      <w:r>
        <w:rPr>
          <w:color w:val="000000" w:themeColor="text1"/>
        </w:rPr>
        <w:t>附件5监测报告</w:t>
      </w:r>
    </w:p>
    <w:p>
      <w:pPr>
        <w:rPr>
          <w:color w:val="000000" w:themeColor="text1"/>
        </w:rPr>
      </w:pPr>
      <w:r>
        <w:rPr>
          <w:color w:val="000000" w:themeColor="text1"/>
        </w:rPr>
        <w:t>附件6</w:t>
      </w:r>
      <w:r>
        <w:rPr>
          <w:rFonts w:hint="eastAsia"/>
          <w:color w:val="000000" w:themeColor="text1"/>
        </w:rPr>
        <w:t>种植区租地协议</w:t>
      </w:r>
    </w:p>
    <w:p>
      <w:pPr>
        <w:rPr>
          <w:color w:val="000000" w:themeColor="text1"/>
        </w:rPr>
      </w:pPr>
      <w:r>
        <w:rPr>
          <w:color w:val="000000" w:themeColor="text1"/>
        </w:rPr>
        <w:t>附件7</w:t>
      </w:r>
      <w:r>
        <w:rPr>
          <w:rFonts w:hint="eastAsia"/>
          <w:color w:val="000000" w:themeColor="text1"/>
        </w:rPr>
        <w:t>项目与村庄距离说明</w:t>
      </w:r>
    </w:p>
    <w:p>
      <w:pPr>
        <w:rPr>
          <w:color w:val="000000" w:themeColor="text1"/>
        </w:rPr>
      </w:pPr>
      <w:r>
        <w:rPr>
          <w:color w:val="000000" w:themeColor="text1"/>
        </w:rPr>
        <w:t>附件8进度表及审核表</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sectPr>
          <w:headerReference r:id="rId5" w:type="default"/>
          <w:footerReference r:id="rId6" w:type="default"/>
          <w:footerReference r:id="rId7" w:type="even"/>
          <w:pgSz w:w="11906" w:h="16838"/>
          <w:pgMar w:top="1440" w:right="1797" w:bottom="1440" w:left="1797" w:header="851" w:footer="992" w:gutter="0"/>
          <w:cols w:space="720" w:num="1"/>
          <w:docGrid w:linePitch="312" w:charSpace="0"/>
        </w:sectPr>
      </w:pPr>
    </w:p>
    <w:p>
      <w:pPr>
        <w:tabs>
          <w:tab w:val="center" w:pos="4156"/>
          <w:tab w:val="left" w:pos="5670"/>
        </w:tabs>
        <w:jc w:val="center"/>
        <w:rPr>
          <w:b/>
          <w:color w:val="000000" w:themeColor="text1"/>
          <w:sz w:val="36"/>
          <w:szCs w:val="36"/>
        </w:rPr>
      </w:pPr>
      <w:r>
        <w:rPr>
          <w:b/>
          <w:color w:val="000000" w:themeColor="text1"/>
          <w:sz w:val="36"/>
          <w:szCs w:val="36"/>
        </w:rPr>
        <w:t>概述</w:t>
      </w:r>
    </w:p>
    <w:p>
      <w:pPr>
        <w:pStyle w:val="202"/>
        <w:outlineLvl w:val="0"/>
        <w:rPr>
          <w:color w:val="000000" w:themeColor="text1"/>
          <w:sz w:val="30"/>
          <w:szCs w:val="30"/>
        </w:rPr>
      </w:pPr>
      <w:bookmarkStart w:id="0" w:name="_Toc510547238"/>
      <w:bookmarkStart w:id="1" w:name="_Toc4076468"/>
      <w:r>
        <w:rPr>
          <w:color w:val="000000" w:themeColor="text1"/>
          <w:sz w:val="30"/>
          <w:szCs w:val="30"/>
        </w:rPr>
        <w:t>1</w:t>
      </w:r>
      <w:bookmarkEnd w:id="0"/>
      <w:r>
        <w:rPr>
          <w:color w:val="000000" w:themeColor="text1"/>
          <w:sz w:val="30"/>
          <w:szCs w:val="30"/>
        </w:rPr>
        <w:t>概述</w:t>
      </w:r>
      <w:bookmarkEnd w:id="1"/>
    </w:p>
    <w:p>
      <w:pPr>
        <w:pStyle w:val="202"/>
        <w:rPr>
          <w:color w:val="000000" w:themeColor="text1"/>
          <w:sz w:val="30"/>
          <w:szCs w:val="30"/>
        </w:rPr>
      </w:pPr>
      <w:bookmarkStart w:id="2" w:name="_Toc510547239"/>
      <w:bookmarkStart w:id="3" w:name="_Toc4076469"/>
      <w:r>
        <w:rPr>
          <w:color w:val="000000" w:themeColor="text1"/>
          <w:sz w:val="30"/>
          <w:szCs w:val="30"/>
        </w:rPr>
        <w:t>1.1建设项目特点</w:t>
      </w:r>
      <w:bookmarkEnd w:id="2"/>
      <w:bookmarkEnd w:id="3"/>
    </w:p>
    <w:p>
      <w:pPr>
        <w:adjustRightInd w:val="0"/>
        <w:snapToGrid w:val="0"/>
        <w:ind w:firstLine="480" w:firstLineChars="200"/>
        <w:rPr>
          <w:color w:val="000000" w:themeColor="text1"/>
          <w:sz w:val="24"/>
        </w:rPr>
      </w:pPr>
      <w:r>
        <w:rPr>
          <w:rFonts w:hint="eastAsia"/>
          <w:color w:val="000000" w:themeColor="text1"/>
          <w:sz w:val="24"/>
        </w:rPr>
        <w:t>新平生猪及子猪标准化规模养殖小区一期建设项目</w:t>
      </w:r>
      <w:r>
        <w:rPr>
          <w:color w:val="000000" w:themeColor="text1"/>
          <w:sz w:val="24"/>
        </w:rPr>
        <w:t>位于云南省玉溪市</w:t>
      </w:r>
      <w:r>
        <w:rPr>
          <w:rFonts w:hint="eastAsia"/>
          <w:color w:val="000000" w:themeColor="text1"/>
          <w:sz w:val="24"/>
        </w:rPr>
        <w:t>新平县白鹤村委会石头村小组</w:t>
      </w:r>
      <w:r>
        <w:rPr>
          <w:color w:val="000000" w:themeColor="text1"/>
          <w:sz w:val="24"/>
        </w:rPr>
        <w:t>，租用</w:t>
      </w:r>
      <w:r>
        <w:rPr>
          <w:rFonts w:hint="eastAsia"/>
          <w:color w:val="000000" w:themeColor="text1"/>
          <w:sz w:val="24"/>
        </w:rPr>
        <w:t>石头村小组土地</w:t>
      </w:r>
      <w:r>
        <w:rPr>
          <w:color w:val="000000" w:themeColor="text1"/>
          <w:sz w:val="24"/>
        </w:rPr>
        <w:t>建设</w:t>
      </w:r>
      <w:r>
        <w:rPr>
          <w:rFonts w:hint="eastAsia"/>
          <w:color w:val="000000" w:themeColor="text1"/>
          <w:sz w:val="24"/>
        </w:rPr>
        <w:t>生猪</w:t>
      </w:r>
      <w:r>
        <w:rPr>
          <w:color w:val="000000" w:themeColor="text1"/>
          <w:sz w:val="24"/>
        </w:rPr>
        <w:t>场1个，实现存栏</w:t>
      </w:r>
      <w:r>
        <w:rPr>
          <w:rFonts w:hint="eastAsia"/>
          <w:color w:val="000000" w:themeColor="text1"/>
          <w:sz w:val="24"/>
        </w:rPr>
        <w:t>生猪10</w:t>
      </w:r>
      <w:r>
        <w:rPr>
          <w:color w:val="000000" w:themeColor="text1"/>
          <w:sz w:val="24"/>
        </w:rPr>
        <w:t>000头</w:t>
      </w:r>
      <w:r>
        <w:rPr>
          <w:rFonts w:hint="eastAsia"/>
          <w:color w:val="000000" w:themeColor="text1"/>
          <w:sz w:val="24"/>
        </w:rPr>
        <w:t>，年出栏生猪（育肥猪）25000头</w:t>
      </w:r>
      <w:r>
        <w:rPr>
          <w:color w:val="000000" w:themeColor="text1"/>
          <w:sz w:val="24"/>
        </w:rPr>
        <w:t>。</w:t>
      </w:r>
    </w:p>
    <w:p>
      <w:pPr>
        <w:adjustRightInd w:val="0"/>
        <w:snapToGrid w:val="0"/>
        <w:ind w:firstLine="480" w:firstLineChars="200"/>
        <w:rPr>
          <w:color w:val="000000" w:themeColor="text1"/>
          <w:sz w:val="24"/>
        </w:rPr>
      </w:pPr>
      <w:r>
        <w:rPr>
          <w:color w:val="000000" w:themeColor="text1"/>
          <w:sz w:val="24"/>
        </w:rPr>
        <w:t>项目实行农业与养殖结合，对猪场粪污进行资源化综合利用，促进种养业协调发展，实施健康养殖及其产业化工程示范。</w:t>
      </w:r>
    </w:p>
    <w:p>
      <w:pPr>
        <w:adjustRightInd w:val="0"/>
        <w:snapToGrid w:val="0"/>
        <w:ind w:firstLine="480" w:firstLineChars="200"/>
        <w:rPr>
          <w:color w:val="000000" w:themeColor="text1"/>
          <w:sz w:val="24"/>
        </w:rPr>
      </w:pPr>
      <w:r>
        <w:rPr>
          <w:color w:val="000000" w:themeColor="text1"/>
          <w:sz w:val="24"/>
        </w:rPr>
        <w:t>201</w:t>
      </w:r>
      <w:r>
        <w:rPr>
          <w:rFonts w:hint="eastAsia"/>
          <w:color w:val="000000" w:themeColor="text1"/>
          <w:sz w:val="24"/>
        </w:rPr>
        <w:t>8</w:t>
      </w:r>
      <w:r>
        <w:rPr>
          <w:color w:val="000000" w:themeColor="text1"/>
          <w:sz w:val="24"/>
        </w:rPr>
        <w:t>年</w:t>
      </w:r>
      <w:r>
        <w:rPr>
          <w:rFonts w:hint="eastAsia"/>
          <w:color w:val="000000" w:themeColor="text1"/>
          <w:sz w:val="24"/>
        </w:rPr>
        <w:t>7</w:t>
      </w:r>
      <w:r>
        <w:rPr>
          <w:color w:val="000000" w:themeColor="text1"/>
          <w:sz w:val="24"/>
        </w:rPr>
        <w:t>月</w:t>
      </w:r>
      <w:r>
        <w:rPr>
          <w:rFonts w:hint="eastAsia"/>
          <w:color w:val="000000" w:themeColor="text1"/>
          <w:sz w:val="24"/>
        </w:rPr>
        <w:t>24</w:t>
      </w:r>
      <w:r>
        <w:rPr>
          <w:color w:val="000000" w:themeColor="text1"/>
          <w:sz w:val="24"/>
        </w:rPr>
        <w:t>日，项目取得</w:t>
      </w:r>
      <w:r>
        <w:rPr>
          <w:rFonts w:hint="eastAsia"/>
          <w:color w:val="000000" w:themeColor="text1"/>
          <w:sz w:val="24"/>
        </w:rPr>
        <w:t>新平</w:t>
      </w:r>
      <w:r>
        <w:rPr>
          <w:color w:val="000000" w:themeColor="text1"/>
          <w:sz w:val="24"/>
        </w:rPr>
        <w:t>彝族</w:t>
      </w:r>
      <w:r>
        <w:rPr>
          <w:rFonts w:hint="eastAsia"/>
          <w:color w:val="000000" w:themeColor="text1"/>
          <w:sz w:val="24"/>
        </w:rPr>
        <w:t>傣族</w:t>
      </w:r>
      <w:r>
        <w:rPr>
          <w:color w:val="000000" w:themeColor="text1"/>
          <w:sz w:val="24"/>
        </w:rPr>
        <w:t>自治县发展和改革局出具的投资项目备案证</w:t>
      </w:r>
      <w:r>
        <w:rPr>
          <w:rFonts w:hint="eastAsia"/>
          <w:color w:val="000000" w:themeColor="text1"/>
          <w:sz w:val="24"/>
        </w:rPr>
        <w:t>（新</w:t>
      </w:r>
      <w:r>
        <w:rPr>
          <w:color w:val="000000" w:themeColor="text1"/>
          <w:sz w:val="24"/>
        </w:rPr>
        <w:t>发改</w:t>
      </w:r>
      <w:r>
        <w:rPr>
          <w:rFonts w:hint="eastAsia"/>
          <w:color w:val="000000" w:themeColor="text1"/>
          <w:sz w:val="24"/>
        </w:rPr>
        <w:t>投资</w:t>
      </w:r>
      <w:r>
        <w:rPr>
          <w:color w:val="000000" w:themeColor="text1"/>
          <w:sz w:val="24"/>
        </w:rPr>
        <w:t>备案[201</w:t>
      </w:r>
      <w:r>
        <w:rPr>
          <w:rFonts w:hint="eastAsia"/>
          <w:color w:val="000000" w:themeColor="text1"/>
          <w:sz w:val="24"/>
        </w:rPr>
        <w:t>8</w:t>
      </w:r>
      <w:r>
        <w:rPr>
          <w:color w:val="000000" w:themeColor="text1"/>
          <w:sz w:val="24"/>
        </w:rPr>
        <w:t>]</w:t>
      </w:r>
      <w:r>
        <w:rPr>
          <w:rFonts w:hint="eastAsia"/>
          <w:color w:val="000000" w:themeColor="text1"/>
          <w:sz w:val="24"/>
        </w:rPr>
        <w:t>82</w:t>
      </w:r>
      <w:r>
        <w:rPr>
          <w:color w:val="000000" w:themeColor="text1"/>
          <w:sz w:val="24"/>
        </w:rPr>
        <w:t>号</w:t>
      </w:r>
      <w:r>
        <w:rPr>
          <w:rFonts w:hint="eastAsia"/>
          <w:color w:val="000000" w:themeColor="text1"/>
          <w:sz w:val="24"/>
        </w:rPr>
        <w:t>）</w:t>
      </w:r>
      <w:r>
        <w:rPr>
          <w:color w:val="000000" w:themeColor="text1"/>
          <w:sz w:val="24"/>
        </w:rPr>
        <w:t>。201</w:t>
      </w:r>
      <w:r>
        <w:rPr>
          <w:rFonts w:hint="eastAsia"/>
          <w:color w:val="000000" w:themeColor="text1"/>
          <w:sz w:val="24"/>
        </w:rPr>
        <w:t>8</w:t>
      </w:r>
      <w:r>
        <w:rPr>
          <w:color w:val="000000" w:themeColor="text1"/>
          <w:sz w:val="24"/>
        </w:rPr>
        <w:t>年</w:t>
      </w:r>
      <w:r>
        <w:rPr>
          <w:rFonts w:hint="eastAsia"/>
          <w:color w:val="000000" w:themeColor="text1"/>
          <w:sz w:val="24"/>
        </w:rPr>
        <w:t>7</w:t>
      </w:r>
      <w:r>
        <w:rPr>
          <w:color w:val="000000" w:themeColor="text1"/>
          <w:sz w:val="24"/>
        </w:rPr>
        <w:t>月2</w:t>
      </w:r>
      <w:r>
        <w:rPr>
          <w:rFonts w:hint="eastAsia"/>
          <w:color w:val="000000" w:themeColor="text1"/>
          <w:sz w:val="24"/>
        </w:rPr>
        <w:t>3</w:t>
      </w:r>
      <w:r>
        <w:rPr>
          <w:color w:val="000000" w:themeColor="text1"/>
          <w:sz w:val="24"/>
        </w:rPr>
        <w:t>日，项目取得</w:t>
      </w:r>
      <w:r>
        <w:rPr>
          <w:rFonts w:hint="eastAsia"/>
          <w:color w:val="000000" w:themeColor="text1"/>
          <w:sz w:val="24"/>
        </w:rPr>
        <w:t>白鹤村委会</w:t>
      </w:r>
      <w:r>
        <w:rPr>
          <w:color w:val="000000" w:themeColor="text1"/>
          <w:sz w:val="24"/>
        </w:rPr>
        <w:t>、</w:t>
      </w:r>
      <w:r>
        <w:rPr>
          <w:rFonts w:hint="eastAsia"/>
          <w:color w:val="000000" w:themeColor="text1"/>
          <w:sz w:val="24"/>
        </w:rPr>
        <w:t>平甸乡人民政府</w:t>
      </w:r>
      <w:r>
        <w:rPr>
          <w:color w:val="000000" w:themeColor="text1"/>
          <w:sz w:val="24"/>
        </w:rPr>
        <w:t>、</w:t>
      </w:r>
      <w:r>
        <w:rPr>
          <w:rFonts w:hint="eastAsia"/>
          <w:color w:val="000000" w:themeColor="text1"/>
          <w:sz w:val="24"/>
        </w:rPr>
        <w:t>县国土局、县林业局、县人民政府</w:t>
      </w:r>
      <w:r>
        <w:rPr>
          <w:color w:val="000000" w:themeColor="text1"/>
          <w:sz w:val="24"/>
        </w:rPr>
        <w:t>等相关部门</w:t>
      </w:r>
      <w:r>
        <w:rPr>
          <w:rFonts w:hint="eastAsia"/>
          <w:color w:val="000000" w:themeColor="text1"/>
          <w:sz w:val="24"/>
        </w:rPr>
        <w:t>同意的设施农用地备案表（新平县农设备[2018]69号、新平县农设备[2018]70号），明确项目选址合理</w:t>
      </w:r>
      <w:r>
        <w:rPr>
          <w:color w:val="000000" w:themeColor="text1"/>
          <w:sz w:val="24"/>
        </w:rPr>
        <w:t>。</w:t>
      </w:r>
    </w:p>
    <w:p>
      <w:pPr>
        <w:adjustRightInd w:val="0"/>
        <w:snapToGrid w:val="0"/>
        <w:ind w:firstLine="480" w:firstLineChars="200"/>
        <w:jc w:val="left"/>
        <w:rPr>
          <w:color w:val="000000" w:themeColor="text1"/>
          <w:sz w:val="24"/>
        </w:rPr>
      </w:pPr>
      <w:r>
        <w:rPr>
          <w:color w:val="000000" w:themeColor="text1"/>
          <w:sz w:val="24"/>
        </w:rPr>
        <w:t>项目选址位于玉溪市</w:t>
      </w:r>
      <w:r>
        <w:rPr>
          <w:rFonts w:hint="eastAsia"/>
          <w:color w:val="000000" w:themeColor="text1"/>
          <w:sz w:val="24"/>
        </w:rPr>
        <w:t>新平县白鹤村委会石头村小组</w:t>
      </w:r>
      <w:r>
        <w:rPr>
          <w:color w:val="000000" w:themeColor="text1"/>
          <w:sz w:val="24"/>
        </w:rPr>
        <w:t>，项目总占地面积</w:t>
      </w:r>
      <w:r>
        <w:rPr>
          <w:rFonts w:hint="eastAsia"/>
          <w:color w:val="000000" w:themeColor="text1"/>
          <w:sz w:val="24"/>
        </w:rPr>
        <w:t>36524</w:t>
      </w:r>
      <w:r>
        <w:rPr>
          <w:color w:val="000000" w:themeColor="text1"/>
          <w:sz w:val="24"/>
        </w:rPr>
        <w:t>m</w:t>
      </w:r>
      <w:r>
        <w:rPr>
          <w:color w:val="000000" w:themeColor="text1"/>
          <w:sz w:val="24"/>
          <w:vertAlign w:val="superscript"/>
        </w:rPr>
        <w:t>2</w:t>
      </w:r>
      <w:r>
        <w:rPr>
          <w:color w:val="000000" w:themeColor="text1"/>
          <w:sz w:val="24"/>
        </w:rPr>
        <w:t>（</w:t>
      </w:r>
      <w:r>
        <w:rPr>
          <w:rFonts w:hint="eastAsia"/>
          <w:color w:val="000000" w:themeColor="text1"/>
          <w:sz w:val="24"/>
        </w:rPr>
        <w:t>54.78</w:t>
      </w:r>
      <w:r>
        <w:rPr>
          <w:color w:val="000000" w:themeColor="text1"/>
          <w:sz w:val="24"/>
        </w:rPr>
        <w:t>亩</w:t>
      </w:r>
      <w:r>
        <w:rPr>
          <w:rFonts w:hint="eastAsia"/>
          <w:color w:val="000000" w:themeColor="text1"/>
          <w:sz w:val="24"/>
        </w:rPr>
        <w:t>，不含种植区</w:t>
      </w:r>
      <w:r>
        <w:rPr>
          <w:color w:val="000000" w:themeColor="text1"/>
          <w:sz w:val="24"/>
        </w:rPr>
        <w:t>），总建筑面积</w:t>
      </w:r>
      <w:r>
        <w:rPr>
          <w:rFonts w:hint="eastAsia"/>
          <w:color w:val="000000" w:themeColor="text1"/>
          <w:sz w:val="24"/>
        </w:rPr>
        <w:t>20000</w:t>
      </w:r>
      <w:r>
        <w:rPr>
          <w:color w:val="000000" w:themeColor="text1"/>
          <w:sz w:val="24"/>
        </w:rPr>
        <w:t>m</w:t>
      </w:r>
      <w:r>
        <w:rPr>
          <w:color w:val="000000" w:themeColor="text1"/>
          <w:sz w:val="24"/>
          <w:vertAlign w:val="superscript"/>
        </w:rPr>
        <w:t>2</w:t>
      </w:r>
      <w:r>
        <w:rPr>
          <w:color w:val="000000" w:themeColor="text1"/>
          <w:sz w:val="24"/>
        </w:rPr>
        <w:t>，绿地面积</w:t>
      </w:r>
      <w:r>
        <w:rPr>
          <w:rFonts w:hint="eastAsia"/>
          <w:color w:val="000000" w:themeColor="text1"/>
          <w:sz w:val="24"/>
        </w:rPr>
        <w:t>8600</w:t>
      </w:r>
      <w:r>
        <w:rPr>
          <w:color w:val="000000" w:themeColor="text1"/>
          <w:sz w:val="24"/>
        </w:rPr>
        <w:t>m</w:t>
      </w:r>
      <w:r>
        <w:rPr>
          <w:color w:val="000000" w:themeColor="text1"/>
          <w:sz w:val="24"/>
          <w:vertAlign w:val="superscript"/>
        </w:rPr>
        <w:t>2</w:t>
      </w:r>
      <w:r>
        <w:rPr>
          <w:color w:val="000000" w:themeColor="text1"/>
          <w:sz w:val="24"/>
        </w:rPr>
        <w:t>。</w:t>
      </w:r>
      <w:r>
        <w:rPr>
          <w:rFonts w:hint="eastAsia"/>
          <w:color w:val="000000" w:themeColor="text1"/>
          <w:sz w:val="24"/>
        </w:rPr>
        <w:t>种植区位于紧邻养殖场南侧，用地面积154000</w:t>
      </w:r>
      <w:r>
        <w:rPr>
          <w:color w:val="000000" w:themeColor="text1"/>
          <w:sz w:val="24"/>
        </w:rPr>
        <w:t>m</w:t>
      </w:r>
      <w:r>
        <w:rPr>
          <w:color w:val="000000" w:themeColor="text1"/>
          <w:sz w:val="24"/>
          <w:vertAlign w:val="superscript"/>
        </w:rPr>
        <w:t>2</w:t>
      </w:r>
      <w:r>
        <w:rPr>
          <w:color w:val="000000" w:themeColor="text1"/>
          <w:sz w:val="24"/>
        </w:rPr>
        <w:t>（</w:t>
      </w:r>
      <w:r>
        <w:rPr>
          <w:rFonts w:hint="eastAsia"/>
          <w:color w:val="000000" w:themeColor="text1"/>
          <w:sz w:val="24"/>
        </w:rPr>
        <w:t>231</w:t>
      </w:r>
      <w:r>
        <w:rPr>
          <w:color w:val="000000" w:themeColor="text1"/>
          <w:sz w:val="24"/>
        </w:rPr>
        <w:t>亩）</w:t>
      </w:r>
      <w:r>
        <w:rPr>
          <w:rFonts w:hint="eastAsia"/>
          <w:color w:val="000000" w:themeColor="text1"/>
          <w:sz w:val="24"/>
        </w:rPr>
        <w:t>。</w:t>
      </w:r>
    </w:p>
    <w:p>
      <w:pPr>
        <w:adjustRightInd w:val="0"/>
        <w:snapToGrid w:val="0"/>
        <w:ind w:firstLine="480" w:firstLineChars="200"/>
        <w:jc w:val="left"/>
        <w:rPr>
          <w:color w:val="000000" w:themeColor="text1"/>
          <w:sz w:val="24"/>
        </w:rPr>
      </w:pPr>
      <w:r>
        <w:rPr>
          <w:color w:val="000000" w:themeColor="text1"/>
          <w:sz w:val="24"/>
        </w:rPr>
        <w:t>项目</w:t>
      </w:r>
      <w:r>
        <w:rPr>
          <w:rFonts w:hint="eastAsia"/>
          <w:color w:val="000000" w:themeColor="text1"/>
          <w:sz w:val="24"/>
        </w:rPr>
        <w:t>一期</w:t>
      </w:r>
      <w:r>
        <w:rPr>
          <w:color w:val="000000" w:themeColor="text1"/>
          <w:sz w:val="24"/>
        </w:rPr>
        <w:t>主要建设内容包括：</w:t>
      </w:r>
      <w:r>
        <w:rPr>
          <w:rFonts w:hint="eastAsia"/>
          <w:color w:val="000000" w:themeColor="text1"/>
          <w:sz w:val="24"/>
        </w:rPr>
        <w:t>8</w:t>
      </w:r>
      <w:r>
        <w:rPr>
          <w:color w:val="000000" w:themeColor="text1"/>
          <w:sz w:val="24"/>
        </w:rPr>
        <w:t>栋1F</w:t>
      </w:r>
      <w:r>
        <w:rPr>
          <w:rFonts w:hint="eastAsia"/>
          <w:color w:val="000000" w:themeColor="text1"/>
          <w:sz w:val="24"/>
        </w:rPr>
        <w:t>猪舍</w:t>
      </w:r>
      <w:r>
        <w:rPr>
          <w:color w:val="000000" w:themeColor="text1"/>
          <w:sz w:val="24"/>
        </w:rPr>
        <w:t>、</w:t>
      </w:r>
      <w:r>
        <w:rPr>
          <w:rFonts w:hint="eastAsia"/>
          <w:color w:val="000000" w:themeColor="text1"/>
          <w:sz w:val="24"/>
        </w:rPr>
        <w:t>3</w:t>
      </w:r>
      <w:r>
        <w:rPr>
          <w:color w:val="000000" w:themeColor="text1"/>
          <w:sz w:val="24"/>
        </w:rPr>
        <w:t>栋 1F</w:t>
      </w:r>
      <w:r>
        <w:rPr>
          <w:rFonts w:hint="eastAsia"/>
          <w:color w:val="000000" w:themeColor="text1"/>
          <w:sz w:val="24"/>
        </w:rPr>
        <w:t>生活区</w:t>
      </w:r>
      <w:r>
        <w:rPr>
          <w:color w:val="000000" w:themeColor="text1"/>
          <w:sz w:val="24"/>
        </w:rPr>
        <w:t>、</w:t>
      </w:r>
      <w:r>
        <w:rPr>
          <w:rFonts w:hint="eastAsia"/>
          <w:color w:val="000000" w:themeColor="text1"/>
          <w:sz w:val="24"/>
        </w:rPr>
        <w:t>2</w:t>
      </w:r>
      <w:r>
        <w:rPr>
          <w:color w:val="000000" w:themeColor="text1"/>
          <w:sz w:val="24"/>
        </w:rPr>
        <w:t>栋</w:t>
      </w:r>
      <w:r>
        <w:rPr>
          <w:rFonts w:hint="eastAsia"/>
          <w:color w:val="000000" w:themeColor="text1"/>
          <w:sz w:val="24"/>
        </w:rPr>
        <w:t>1</w:t>
      </w:r>
      <w:r>
        <w:rPr>
          <w:color w:val="000000" w:themeColor="text1"/>
          <w:sz w:val="24"/>
        </w:rPr>
        <w:t>F</w:t>
      </w:r>
      <w:r>
        <w:rPr>
          <w:rFonts w:hint="eastAsia"/>
          <w:color w:val="000000" w:themeColor="text1"/>
          <w:sz w:val="24"/>
        </w:rPr>
        <w:t>生产办公区</w:t>
      </w:r>
      <w:r>
        <w:rPr>
          <w:color w:val="000000" w:themeColor="text1"/>
          <w:sz w:val="24"/>
        </w:rPr>
        <w:t>及配套污水处理站、</w:t>
      </w:r>
      <w:r>
        <w:rPr>
          <w:rFonts w:hint="eastAsia"/>
          <w:color w:val="000000" w:themeColor="text1"/>
          <w:sz w:val="24"/>
        </w:rPr>
        <w:t>沼气利用工程、病死猪堆肥间</w:t>
      </w:r>
      <w:r>
        <w:rPr>
          <w:color w:val="000000" w:themeColor="text1"/>
          <w:sz w:val="24"/>
        </w:rPr>
        <w:t>、</w:t>
      </w:r>
      <w:r>
        <w:rPr>
          <w:rFonts w:hint="eastAsia"/>
          <w:color w:val="000000" w:themeColor="text1"/>
          <w:sz w:val="24"/>
        </w:rPr>
        <w:t>配电</w:t>
      </w:r>
      <w:r>
        <w:rPr>
          <w:color w:val="000000" w:themeColor="text1"/>
          <w:sz w:val="24"/>
        </w:rPr>
        <w:t>房、雨水分流管网</w:t>
      </w:r>
      <w:r>
        <w:rPr>
          <w:rFonts w:hint="eastAsia"/>
          <w:color w:val="000000" w:themeColor="text1"/>
          <w:sz w:val="24"/>
        </w:rPr>
        <w:t>及种植区</w:t>
      </w:r>
      <w:r>
        <w:rPr>
          <w:color w:val="000000" w:themeColor="text1"/>
          <w:sz w:val="24"/>
        </w:rPr>
        <w:t>等</w:t>
      </w:r>
      <w:r>
        <w:rPr>
          <w:rFonts w:hint="eastAsia"/>
          <w:color w:val="000000" w:themeColor="text1"/>
          <w:sz w:val="24"/>
        </w:rPr>
        <w:t>。</w:t>
      </w:r>
    </w:p>
    <w:p>
      <w:pPr>
        <w:adjustRightInd w:val="0"/>
        <w:snapToGrid w:val="0"/>
        <w:ind w:firstLine="480" w:firstLineChars="200"/>
        <w:jc w:val="left"/>
        <w:rPr>
          <w:color w:val="000000" w:themeColor="text1"/>
          <w:sz w:val="24"/>
        </w:rPr>
      </w:pPr>
      <w:r>
        <w:rPr>
          <w:color w:val="000000" w:themeColor="text1"/>
          <w:sz w:val="24"/>
        </w:rPr>
        <w:t>项目建成后，年存栏</w:t>
      </w:r>
      <w:r>
        <w:rPr>
          <w:rFonts w:hint="eastAsia"/>
          <w:color w:val="000000" w:themeColor="text1"/>
          <w:sz w:val="24"/>
        </w:rPr>
        <w:t>生猪100</w:t>
      </w:r>
      <w:r>
        <w:rPr>
          <w:color w:val="000000" w:themeColor="text1"/>
          <w:sz w:val="24"/>
        </w:rPr>
        <w:t>00头，年出栏</w:t>
      </w:r>
      <w:r>
        <w:rPr>
          <w:rFonts w:hint="eastAsia"/>
          <w:color w:val="000000" w:themeColor="text1"/>
          <w:sz w:val="24"/>
        </w:rPr>
        <w:t>生猪25000</w:t>
      </w:r>
      <w:r>
        <w:rPr>
          <w:color w:val="000000" w:themeColor="text1"/>
          <w:sz w:val="24"/>
        </w:rPr>
        <w:t>万头。</w:t>
      </w:r>
    </w:p>
    <w:p>
      <w:pPr>
        <w:adjustRightInd w:val="0"/>
        <w:snapToGrid w:val="0"/>
        <w:ind w:firstLine="480" w:firstLineChars="200"/>
        <w:jc w:val="left"/>
        <w:rPr>
          <w:color w:val="000000" w:themeColor="text1"/>
          <w:sz w:val="24"/>
        </w:rPr>
      </w:pPr>
      <w:r>
        <w:rPr>
          <w:color w:val="000000" w:themeColor="text1"/>
          <w:sz w:val="24"/>
        </w:rPr>
        <w:t>项目预计201</w:t>
      </w:r>
      <w:r>
        <w:rPr>
          <w:rFonts w:hint="eastAsia"/>
          <w:color w:val="000000" w:themeColor="text1"/>
          <w:sz w:val="24"/>
        </w:rPr>
        <w:t>9</w:t>
      </w:r>
      <w:r>
        <w:rPr>
          <w:color w:val="000000" w:themeColor="text1"/>
          <w:sz w:val="24"/>
        </w:rPr>
        <w:t>年</w:t>
      </w:r>
      <w:r>
        <w:rPr>
          <w:rFonts w:hint="eastAsia"/>
          <w:color w:val="000000" w:themeColor="text1"/>
          <w:sz w:val="24"/>
        </w:rPr>
        <w:t>5</w:t>
      </w:r>
      <w:r>
        <w:rPr>
          <w:color w:val="000000" w:themeColor="text1"/>
          <w:sz w:val="24"/>
        </w:rPr>
        <w:t>月开工，预计20</w:t>
      </w:r>
      <w:r>
        <w:rPr>
          <w:rFonts w:hint="eastAsia"/>
          <w:color w:val="000000" w:themeColor="text1"/>
          <w:sz w:val="24"/>
        </w:rPr>
        <w:t>20</w:t>
      </w:r>
      <w:r>
        <w:rPr>
          <w:color w:val="000000" w:themeColor="text1"/>
          <w:sz w:val="24"/>
        </w:rPr>
        <w:t>年</w:t>
      </w:r>
      <w:r>
        <w:rPr>
          <w:rFonts w:hint="eastAsia"/>
          <w:color w:val="000000" w:themeColor="text1"/>
          <w:sz w:val="24"/>
        </w:rPr>
        <w:t>4</w:t>
      </w:r>
      <w:r>
        <w:rPr>
          <w:color w:val="000000" w:themeColor="text1"/>
          <w:sz w:val="24"/>
        </w:rPr>
        <w:t>月建成投产，工期12个月。</w:t>
      </w:r>
    </w:p>
    <w:p>
      <w:pPr>
        <w:adjustRightInd w:val="0"/>
        <w:snapToGrid w:val="0"/>
        <w:ind w:firstLine="480" w:firstLineChars="200"/>
        <w:jc w:val="left"/>
        <w:rPr>
          <w:color w:val="000000" w:themeColor="text1"/>
          <w:sz w:val="24"/>
        </w:rPr>
      </w:pPr>
      <w:r>
        <w:rPr>
          <w:color w:val="000000" w:themeColor="text1"/>
          <w:sz w:val="24"/>
        </w:rPr>
        <w:t>项目总投资</w:t>
      </w:r>
      <w:r>
        <w:rPr>
          <w:rFonts w:hint="eastAsia"/>
          <w:color w:val="000000" w:themeColor="text1"/>
          <w:sz w:val="24"/>
        </w:rPr>
        <w:t>50</w:t>
      </w:r>
      <w:r>
        <w:rPr>
          <w:color w:val="000000" w:themeColor="text1"/>
          <w:sz w:val="24"/>
        </w:rPr>
        <w:t>00万元，其中环保投资</w:t>
      </w:r>
      <w:r>
        <w:rPr>
          <w:rFonts w:hint="eastAsia"/>
          <w:color w:val="000000" w:themeColor="text1"/>
          <w:sz w:val="24"/>
        </w:rPr>
        <w:t>984.1</w:t>
      </w:r>
      <w:r>
        <w:rPr>
          <w:color w:val="000000" w:themeColor="text1"/>
          <w:sz w:val="24"/>
        </w:rPr>
        <w:t>万元，占总投资比例的</w:t>
      </w:r>
      <w:r>
        <w:rPr>
          <w:rFonts w:hint="eastAsia"/>
          <w:color w:val="000000" w:themeColor="text1"/>
          <w:sz w:val="24"/>
        </w:rPr>
        <w:t>19.68</w:t>
      </w:r>
      <w:r>
        <w:rPr>
          <w:color w:val="000000" w:themeColor="text1"/>
          <w:sz w:val="24"/>
        </w:rPr>
        <w:t>%。</w:t>
      </w:r>
    </w:p>
    <w:p>
      <w:pPr>
        <w:ind w:firstLine="480" w:firstLineChars="200"/>
        <w:rPr>
          <w:color w:val="000000" w:themeColor="text1"/>
          <w:sz w:val="24"/>
        </w:rPr>
      </w:pPr>
      <w:r>
        <w:rPr>
          <w:color w:val="000000" w:themeColor="text1"/>
          <w:sz w:val="24"/>
        </w:rPr>
        <w:t>根据《中华人民共和国环境影响评价法》、《建设项目环境保护管理条例》（中华人民共和国国务院682号令）的有关规定，本项目的建设必须履行环境影响评价制度，根据《建设项目环境影响评价分类管理名录》</w:t>
      </w:r>
      <w:r>
        <w:rPr>
          <w:rFonts w:hint="eastAsia"/>
          <w:color w:val="000000" w:themeColor="text1"/>
          <w:sz w:val="24"/>
        </w:rPr>
        <w:t>（2018年修订）</w:t>
      </w:r>
      <w:r>
        <w:rPr>
          <w:color w:val="000000" w:themeColor="text1"/>
          <w:sz w:val="24"/>
        </w:rPr>
        <w:t>，</w:t>
      </w:r>
      <w:r>
        <w:rPr>
          <w:rFonts w:hint="eastAsia"/>
          <w:color w:val="000000" w:themeColor="text1"/>
          <w:sz w:val="24"/>
        </w:rPr>
        <w:t>项目属于畜禽养殖场，且项目出栏生猪25000头，须</w:t>
      </w:r>
      <w:r>
        <w:rPr>
          <w:color w:val="000000" w:themeColor="text1"/>
          <w:sz w:val="24"/>
        </w:rPr>
        <w:t>编制环境影响报告书。201</w:t>
      </w:r>
      <w:r>
        <w:rPr>
          <w:rFonts w:hint="eastAsia"/>
          <w:color w:val="000000" w:themeColor="text1"/>
          <w:sz w:val="24"/>
        </w:rPr>
        <w:t>8</w:t>
      </w:r>
      <w:r>
        <w:rPr>
          <w:color w:val="000000" w:themeColor="text1"/>
          <w:sz w:val="24"/>
        </w:rPr>
        <w:t>年</w:t>
      </w:r>
      <w:r>
        <w:rPr>
          <w:rFonts w:hint="eastAsia"/>
          <w:color w:val="000000" w:themeColor="text1"/>
          <w:sz w:val="24"/>
        </w:rPr>
        <w:t>8</w:t>
      </w:r>
      <w:r>
        <w:rPr>
          <w:color w:val="000000" w:themeColor="text1"/>
          <w:sz w:val="24"/>
        </w:rPr>
        <w:t>月，</w:t>
      </w:r>
      <w:r>
        <w:rPr>
          <w:rFonts w:hint="eastAsia"/>
          <w:color w:val="000000" w:themeColor="text1"/>
          <w:kern w:val="0"/>
          <w:sz w:val="24"/>
        </w:rPr>
        <w:t>新平沃达丰农牧</w:t>
      </w:r>
      <w:r>
        <w:rPr>
          <w:color w:val="000000" w:themeColor="text1"/>
          <w:kern w:val="0"/>
          <w:sz w:val="24"/>
        </w:rPr>
        <w:t>有限公司</w:t>
      </w:r>
      <w:r>
        <w:rPr>
          <w:color w:val="000000" w:themeColor="text1"/>
          <w:sz w:val="24"/>
        </w:rPr>
        <w:t>委托本单位承担该项目的环境影响评价工作。接到委托后，我单位及时组织技术人员进行现场踏勘和调查，并委托玉溪华恒环境科技有限公司完成本次环评环境质量现状监测。在此基础上根据国家环保法规、标准和环境影响评价技术导则，编制《</w:t>
      </w:r>
      <w:r>
        <w:rPr>
          <w:rFonts w:hint="eastAsia"/>
          <w:color w:val="000000" w:themeColor="text1"/>
          <w:sz w:val="24"/>
        </w:rPr>
        <w:t>新平生猪及子猪标准化规模养殖小区一期建设项目</w:t>
      </w:r>
      <w:r>
        <w:rPr>
          <w:color w:val="000000" w:themeColor="text1"/>
          <w:sz w:val="24"/>
        </w:rPr>
        <w:t>环境影响报告书》，供建设单位上报审批。</w:t>
      </w:r>
    </w:p>
    <w:p>
      <w:pPr>
        <w:pStyle w:val="202"/>
        <w:rPr>
          <w:color w:val="000000" w:themeColor="text1"/>
          <w:sz w:val="28"/>
          <w:szCs w:val="28"/>
        </w:rPr>
      </w:pPr>
      <w:bookmarkStart w:id="4" w:name="_Toc31382"/>
      <w:bookmarkStart w:id="5" w:name="_Toc443464982"/>
      <w:bookmarkStart w:id="6" w:name="_Toc439613770"/>
      <w:bookmarkStart w:id="7" w:name="_Toc439876967"/>
      <w:bookmarkStart w:id="8" w:name="_Toc439841474"/>
      <w:bookmarkStart w:id="9" w:name="_Toc4076470"/>
      <w:bookmarkStart w:id="10" w:name="_Toc510547240"/>
      <w:r>
        <w:rPr>
          <w:color w:val="000000" w:themeColor="text1"/>
          <w:sz w:val="28"/>
          <w:szCs w:val="28"/>
        </w:rPr>
        <w:t>1.2</w:t>
      </w:r>
      <w:bookmarkEnd w:id="4"/>
      <w:bookmarkEnd w:id="5"/>
      <w:bookmarkEnd w:id="6"/>
      <w:bookmarkEnd w:id="7"/>
      <w:bookmarkEnd w:id="8"/>
      <w:r>
        <w:rPr>
          <w:color w:val="000000" w:themeColor="text1"/>
          <w:sz w:val="28"/>
          <w:szCs w:val="28"/>
        </w:rPr>
        <w:t>评价工作过程</w:t>
      </w:r>
      <w:bookmarkEnd w:id="9"/>
      <w:bookmarkEnd w:id="10"/>
    </w:p>
    <w:p>
      <w:pPr>
        <w:adjustRightInd w:val="0"/>
        <w:snapToGrid w:val="0"/>
        <w:ind w:firstLine="480" w:firstLineChars="200"/>
        <w:jc w:val="left"/>
        <w:rPr>
          <w:color w:val="000000" w:themeColor="text1"/>
          <w:sz w:val="24"/>
        </w:rPr>
      </w:pPr>
      <w:r>
        <w:rPr>
          <w:color w:val="000000" w:themeColor="text1"/>
          <w:sz w:val="24"/>
        </w:rPr>
        <w:t>（1）201</w:t>
      </w:r>
      <w:r>
        <w:rPr>
          <w:rFonts w:hint="eastAsia"/>
          <w:color w:val="000000" w:themeColor="text1"/>
          <w:sz w:val="24"/>
        </w:rPr>
        <w:t>8</w:t>
      </w:r>
      <w:r>
        <w:rPr>
          <w:color w:val="000000" w:themeColor="text1"/>
          <w:sz w:val="24"/>
        </w:rPr>
        <w:t>年</w:t>
      </w:r>
      <w:r>
        <w:rPr>
          <w:rFonts w:hint="eastAsia"/>
          <w:color w:val="000000" w:themeColor="text1"/>
          <w:sz w:val="24"/>
        </w:rPr>
        <w:t>7</w:t>
      </w:r>
      <w:r>
        <w:rPr>
          <w:color w:val="000000" w:themeColor="text1"/>
          <w:sz w:val="24"/>
        </w:rPr>
        <w:t>月接到委托后，立即成立项目组，对建设单位提供的各种资料进行梳理、查阅相关资料、分析工程内容，于201</w:t>
      </w:r>
      <w:r>
        <w:rPr>
          <w:rFonts w:hint="eastAsia"/>
          <w:color w:val="000000" w:themeColor="text1"/>
          <w:sz w:val="24"/>
        </w:rPr>
        <w:t>8</w:t>
      </w:r>
      <w:r>
        <w:rPr>
          <w:color w:val="000000" w:themeColor="text1"/>
          <w:sz w:val="24"/>
        </w:rPr>
        <w:t>年</w:t>
      </w:r>
      <w:r>
        <w:rPr>
          <w:rFonts w:hint="eastAsia"/>
          <w:color w:val="000000" w:themeColor="text1"/>
          <w:sz w:val="24"/>
        </w:rPr>
        <w:t>8</w:t>
      </w:r>
      <w:r>
        <w:rPr>
          <w:color w:val="000000" w:themeColor="text1"/>
          <w:sz w:val="24"/>
        </w:rPr>
        <w:t>月进行实地踏勘。</w:t>
      </w:r>
    </w:p>
    <w:p>
      <w:pPr>
        <w:adjustRightInd w:val="0"/>
        <w:snapToGrid w:val="0"/>
        <w:ind w:firstLine="480" w:firstLineChars="200"/>
        <w:jc w:val="left"/>
        <w:rPr>
          <w:color w:val="000000" w:themeColor="text1"/>
          <w:sz w:val="24"/>
        </w:rPr>
      </w:pPr>
      <w:r>
        <w:rPr>
          <w:color w:val="000000" w:themeColor="text1"/>
          <w:sz w:val="24"/>
        </w:rPr>
        <w:t>（2）201</w:t>
      </w:r>
      <w:r>
        <w:rPr>
          <w:rFonts w:hint="eastAsia"/>
          <w:color w:val="000000" w:themeColor="text1"/>
          <w:sz w:val="24"/>
        </w:rPr>
        <w:t>8</w:t>
      </w:r>
      <w:r>
        <w:rPr>
          <w:color w:val="000000" w:themeColor="text1"/>
          <w:sz w:val="24"/>
        </w:rPr>
        <w:t>年</w:t>
      </w:r>
      <w:r>
        <w:rPr>
          <w:rFonts w:hint="eastAsia"/>
          <w:color w:val="000000" w:themeColor="text1"/>
          <w:sz w:val="24"/>
        </w:rPr>
        <w:t>9</w:t>
      </w:r>
      <w:r>
        <w:rPr>
          <w:color w:val="000000" w:themeColor="text1"/>
          <w:sz w:val="24"/>
        </w:rPr>
        <w:t>月</w:t>
      </w:r>
      <w:r>
        <w:rPr>
          <w:rFonts w:hint="eastAsia"/>
          <w:color w:val="000000" w:themeColor="text1"/>
          <w:sz w:val="24"/>
        </w:rPr>
        <w:t>7</w:t>
      </w:r>
      <w:r>
        <w:rPr>
          <w:color w:val="000000" w:themeColor="text1"/>
          <w:sz w:val="24"/>
        </w:rPr>
        <w:t>日~</w:t>
      </w:r>
      <w:r>
        <w:rPr>
          <w:rFonts w:hint="eastAsia"/>
          <w:color w:val="000000" w:themeColor="text1"/>
          <w:sz w:val="24"/>
        </w:rPr>
        <w:t>9</w:t>
      </w:r>
      <w:r>
        <w:rPr>
          <w:color w:val="000000" w:themeColor="text1"/>
          <w:sz w:val="24"/>
        </w:rPr>
        <w:t>月</w:t>
      </w:r>
      <w:r>
        <w:rPr>
          <w:rFonts w:hint="eastAsia"/>
          <w:color w:val="000000" w:themeColor="text1"/>
          <w:sz w:val="24"/>
        </w:rPr>
        <w:t>17</w:t>
      </w:r>
      <w:r>
        <w:rPr>
          <w:color w:val="000000" w:themeColor="text1"/>
          <w:sz w:val="24"/>
        </w:rPr>
        <w:t>日，建设单位按《环境保护公众参与办法》在</w:t>
      </w:r>
      <w:r>
        <w:rPr>
          <w:rFonts w:hint="eastAsia"/>
          <w:color w:val="000000" w:themeColor="text1"/>
          <w:sz w:val="24"/>
        </w:rPr>
        <w:t>白鹤村委会</w:t>
      </w:r>
      <w:r>
        <w:rPr>
          <w:color w:val="000000" w:themeColor="text1"/>
          <w:sz w:val="24"/>
        </w:rPr>
        <w:t>政府信息公示栏进行第一次公示。</w:t>
      </w:r>
    </w:p>
    <w:p>
      <w:pPr>
        <w:adjustRightInd w:val="0"/>
        <w:snapToGrid w:val="0"/>
        <w:ind w:firstLine="480" w:firstLineChars="200"/>
        <w:jc w:val="left"/>
        <w:rPr>
          <w:color w:val="000000" w:themeColor="text1"/>
          <w:sz w:val="24"/>
        </w:rPr>
      </w:pPr>
      <w:r>
        <w:rPr>
          <w:color w:val="000000" w:themeColor="text1"/>
          <w:sz w:val="24"/>
        </w:rPr>
        <w:t>（3）2018年</w:t>
      </w:r>
      <w:r>
        <w:rPr>
          <w:rFonts w:hint="eastAsia"/>
          <w:color w:val="000000" w:themeColor="text1"/>
          <w:sz w:val="24"/>
        </w:rPr>
        <w:t>9</w:t>
      </w:r>
      <w:r>
        <w:rPr>
          <w:color w:val="000000" w:themeColor="text1"/>
          <w:sz w:val="24"/>
        </w:rPr>
        <w:t>月，委托玉溪华恒科技有限公司对项目区域声、地表水、地下水、空气质量现状进行监测。</w:t>
      </w:r>
    </w:p>
    <w:p>
      <w:pPr>
        <w:adjustRightInd w:val="0"/>
        <w:snapToGrid w:val="0"/>
        <w:ind w:firstLine="480" w:firstLineChars="200"/>
        <w:jc w:val="left"/>
        <w:rPr>
          <w:color w:val="000000" w:themeColor="text1"/>
          <w:sz w:val="24"/>
        </w:rPr>
      </w:pPr>
      <w:r>
        <w:rPr>
          <w:color w:val="000000" w:themeColor="text1"/>
          <w:sz w:val="24"/>
        </w:rPr>
        <w:t>（4）201</w:t>
      </w:r>
      <w:r>
        <w:rPr>
          <w:rFonts w:hint="eastAsia"/>
          <w:color w:val="000000" w:themeColor="text1"/>
          <w:sz w:val="24"/>
        </w:rPr>
        <w:t>8</w:t>
      </w:r>
      <w:r>
        <w:rPr>
          <w:color w:val="000000" w:themeColor="text1"/>
          <w:sz w:val="24"/>
        </w:rPr>
        <w:t>年</w:t>
      </w:r>
      <w:r>
        <w:rPr>
          <w:rFonts w:hint="eastAsia"/>
          <w:color w:val="000000" w:themeColor="text1"/>
          <w:sz w:val="24"/>
        </w:rPr>
        <w:t>10</w:t>
      </w:r>
      <w:r>
        <w:rPr>
          <w:color w:val="000000" w:themeColor="text1"/>
          <w:sz w:val="24"/>
        </w:rPr>
        <w:t>月</w:t>
      </w:r>
      <w:r>
        <w:rPr>
          <w:rFonts w:hint="eastAsia"/>
          <w:color w:val="000000" w:themeColor="text1"/>
          <w:sz w:val="24"/>
        </w:rPr>
        <w:t>16</w:t>
      </w:r>
      <w:r>
        <w:rPr>
          <w:color w:val="000000" w:themeColor="text1"/>
          <w:sz w:val="24"/>
        </w:rPr>
        <w:t>日~2</w:t>
      </w:r>
      <w:r>
        <w:rPr>
          <w:rFonts w:hint="eastAsia"/>
          <w:color w:val="000000" w:themeColor="text1"/>
          <w:sz w:val="24"/>
        </w:rPr>
        <w:t>6</w:t>
      </w:r>
      <w:r>
        <w:rPr>
          <w:color w:val="000000" w:themeColor="text1"/>
          <w:sz w:val="24"/>
        </w:rPr>
        <w:t>日，报告书初稿完成后，建设单位按《环境保护公众参与办法》在</w:t>
      </w:r>
      <w:r>
        <w:rPr>
          <w:rFonts w:hint="eastAsia"/>
          <w:color w:val="000000" w:themeColor="text1"/>
          <w:sz w:val="24"/>
        </w:rPr>
        <w:t>白鹤村委会</w:t>
      </w:r>
      <w:r>
        <w:rPr>
          <w:color w:val="000000" w:themeColor="text1"/>
          <w:sz w:val="24"/>
        </w:rPr>
        <w:t>政府信息公示栏进行第二次公示，并对周边居民、团体进行问卷调查。</w:t>
      </w:r>
    </w:p>
    <w:p>
      <w:pPr>
        <w:pStyle w:val="202"/>
        <w:rPr>
          <w:color w:val="000000" w:themeColor="text1"/>
          <w:sz w:val="28"/>
          <w:szCs w:val="28"/>
        </w:rPr>
      </w:pPr>
      <w:bookmarkStart w:id="11" w:name="_Toc367192846"/>
      <w:bookmarkStart w:id="12" w:name="_Toc439613772"/>
      <w:bookmarkStart w:id="13" w:name="_Toc439841476"/>
      <w:bookmarkStart w:id="14" w:name="_Toc439876969"/>
      <w:bookmarkStart w:id="15" w:name="_Toc443464984"/>
      <w:bookmarkStart w:id="16" w:name="_Toc510547241"/>
      <w:bookmarkStart w:id="17" w:name="_Toc4076471"/>
      <w:r>
        <w:rPr>
          <w:color w:val="000000" w:themeColor="text1"/>
          <w:sz w:val="28"/>
          <w:szCs w:val="28"/>
        </w:rPr>
        <w:t>1.3</w:t>
      </w:r>
      <w:bookmarkEnd w:id="11"/>
      <w:bookmarkEnd w:id="12"/>
      <w:bookmarkEnd w:id="13"/>
      <w:bookmarkEnd w:id="14"/>
      <w:bookmarkEnd w:id="15"/>
      <w:r>
        <w:rPr>
          <w:color w:val="000000" w:themeColor="text1"/>
          <w:sz w:val="28"/>
          <w:szCs w:val="28"/>
        </w:rPr>
        <w:t>分析判定</w:t>
      </w:r>
      <w:bookmarkEnd w:id="16"/>
      <w:bookmarkEnd w:id="17"/>
    </w:p>
    <w:p>
      <w:pPr>
        <w:pStyle w:val="13"/>
        <w:adjustRightInd w:val="0"/>
        <w:snapToGrid w:val="0"/>
        <w:spacing w:after="0"/>
        <w:outlineLvl w:val="2"/>
        <w:rPr>
          <w:b/>
          <w:color w:val="000000" w:themeColor="text1"/>
          <w:sz w:val="24"/>
        </w:rPr>
      </w:pPr>
      <w:bookmarkStart w:id="18" w:name="_Toc510547242"/>
      <w:r>
        <w:rPr>
          <w:b/>
          <w:color w:val="000000" w:themeColor="text1"/>
          <w:sz w:val="24"/>
        </w:rPr>
        <w:t>1.3.1产业政策相符合性分析</w:t>
      </w:r>
      <w:bookmarkEnd w:id="18"/>
    </w:p>
    <w:p>
      <w:pPr>
        <w:pStyle w:val="13"/>
        <w:adjustRightInd w:val="0"/>
        <w:snapToGrid w:val="0"/>
        <w:spacing w:after="0"/>
        <w:ind w:firstLine="480" w:firstLineChars="200"/>
        <w:rPr>
          <w:color w:val="000000" w:themeColor="text1"/>
          <w:sz w:val="24"/>
        </w:rPr>
      </w:pPr>
      <w:r>
        <w:rPr>
          <w:color w:val="000000" w:themeColor="text1"/>
          <w:sz w:val="24"/>
        </w:rPr>
        <w:t>项目属于《产业结构调整指导目录（2011年本）（2013年修正）》中鼓励类“畜禽标准化规模养殖技术开发与应用”。符合国家和地方的产业政策要求。项目已取得</w:t>
      </w:r>
      <w:r>
        <w:rPr>
          <w:rFonts w:hint="eastAsia"/>
          <w:color w:val="000000" w:themeColor="text1"/>
          <w:sz w:val="24"/>
        </w:rPr>
        <w:t>新平彝族傣族自治县</w:t>
      </w:r>
      <w:r>
        <w:rPr>
          <w:color w:val="000000" w:themeColor="text1"/>
          <w:sz w:val="24"/>
        </w:rPr>
        <w:t>发展和改革局备案（</w:t>
      </w:r>
      <w:r>
        <w:rPr>
          <w:rFonts w:hint="eastAsia"/>
          <w:color w:val="000000" w:themeColor="text1"/>
          <w:sz w:val="24"/>
        </w:rPr>
        <w:t>新</w:t>
      </w:r>
      <w:r>
        <w:rPr>
          <w:color w:val="000000" w:themeColor="text1"/>
          <w:sz w:val="24"/>
        </w:rPr>
        <w:t>发改</w:t>
      </w:r>
      <w:r>
        <w:rPr>
          <w:rFonts w:hint="eastAsia"/>
          <w:color w:val="000000" w:themeColor="text1"/>
          <w:sz w:val="24"/>
        </w:rPr>
        <w:t>投资</w:t>
      </w:r>
      <w:r>
        <w:rPr>
          <w:color w:val="000000" w:themeColor="text1"/>
          <w:sz w:val="24"/>
        </w:rPr>
        <w:t>备案[201</w:t>
      </w:r>
      <w:r>
        <w:rPr>
          <w:rFonts w:hint="eastAsia"/>
          <w:color w:val="000000" w:themeColor="text1"/>
          <w:sz w:val="24"/>
        </w:rPr>
        <w:t>8</w:t>
      </w:r>
      <w:r>
        <w:rPr>
          <w:color w:val="000000" w:themeColor="text1"/>
          <w:sz w:val="24"/>
        </w:rPr>
        <w:t>]</w:t>
      </w:r>
      <w:r>
        <w:rPr>
          <w:rFonts w:hint="eastAsia"/>
          <w:color w:val="000000" w:themeColor="text1"/>
          <w:sz w:val="24"/>
        </w:rPr>
        <w:t>82</w:t>
      </w:r>
      <w:r>
        <w:rPr>
          <w:color w:val="000000" w:themeColor="text1"/>
          <w:sz w:val="24"/>
        </w:rPr>
        <w:t>号）。</w:t>
      </w:r>
    </w:p>
    <w:p>
      <w:pPr>
        <w:outlineLvl w:val="2"/>
        <w:rPr>
          <w:b/>
          <w:color w:val="000000" w:themeColor="text1"/>
          <w:sz w:val="24"/>
        </w:rPr>
      </w:pPr>
      <w:bookmarkStart w:id="19" w:name="_Toc510547243"/>
      <w:r>
        <w:rPr>
          <w:b/>
          <w:color w:val="000000" w:themeColor="text1"/>
          <w:sz w:val="24"/>
        </w:rPr>
        <w:t>1.3.2选址可行性分析</w:t>
      </w:r>
      <w:bookmarkEnd w:id="19"/>
    </w:p>
    <w:p>
      <w:pPr>
        <w:adjustRightInd w:val="0"/>
        <w:snapToGrid w:val="0"/>
        <w:ind w:firstLine="480" w:firstLineChars="200"/>
        <w:rPr>
          <w:color w:val="000000" w:themeColor="text1"/>
          <w:sz w:val="24"/>
        </w:rPr>
      </w:pPr>
      <w:r>
        <w:rPr>
          <w:color w:val="000000" w:themeColor="text1"/>
          <w:sz w:val="24"/>
        </w:rPr>
        <w:t>（1）项目选址与相关规范符合性分析</w:t>
      </w:r>
    </w:p>
    <w:p>
      <w:pPr>
        <w:adjustRightInd w:val="0"/>
        <w:snapToGrid w:val="0"/>
        <w:ind w:firstLine="480" w:firstLineChars="200"/>
        <w:rPr>
          <w:color w:val="000000" w:themeColor="text1"/>
          <w:sz w:val="24"/>
        </w:rPr>
      </w:pPr>
      <w:r>
        <w:rPr>
          <w:color w:val="000000" w:themeColor="text1"/>
          <w:sz w:val="24"/>
        </w:rPr>
        <w:t>项目选址不在《畜禽养殖业污染防治技术规范》（HJ/T81-2001）及《畜禽养殖业污染治理工程技术规范》（HJ497-2009）规定的禁建区域，且场界与禁建区域边界的最小距离大于500m，符合《畜禽养殖业污染防治技术规范》（HJ/T81-2001）及《畜禽养殖业污染治理工程技术规范》中的选址要求。</w:t>
      </w:r>
    </w:p>
    <w:p>
      <w:pPr>
        <w:adjustRightInd w:val="0"/>
        <w:snapToGrid w:val="0"/>
        <w:ind w:firstLine="480" w:firstLineChars="200"/>
        <w:jc w:val="left"/>
        <w:rPr>
          <w:color w:val="000000" w:themeColor="text1"/>
          <w:sz w:val="24"/>
        </w:rPr>
      </w:pPr>
      <w:r>
        <w:rPr>
          <w:color w:val="000000" w:themeColor="text1"/>
          <w:sz w:val="24"/>
        </w:rPr>
        <w:t>（2）项目选址与《畜禽养殖业污染防治条例》符合性分析</w:t>
      </w:r>
    </w:p>
    <w:p>
      <w:pPr>
        <w:adjustRightInd w:val="0"/>
        <w:snapToGrid w:val="0"/>
        <w:ind w:firstLine="480" w:firstLineChars="200"/>
        <w:jc w:val="left"/>
        <w:rPr>
          <w:color w:val="000000" w:themeColor="text1"/>
          <w:sz w:val="24"/>
        </w:rPr>
      </w:pPr>
      <w:r>
        <w:rPr>
          <w:color w:val="000000" w:themeColor="text1"/>
          <w:sz w:val="24"/>
        </w:rPr>
        <w:t>项目选址不在条例规定的禁养区域，符合《畜禽养殖业污染防治条例》中的选址要求。</w:t>
      </w:r>
    </w:p>
    <w:p>
      <w:pPr>
        <w:adjustRightInd w:val="0"/>
        <w:snapToGrid w:val="0"/>
        <w:ind w:firstLine="480" w:firstLineChars="200"/>
        <w:jc w:val="left"/>
        <w:rPr>
          <w:color w:val="000000" w:themeColor="text1"/>
          <w:sz w:val="24"/>
        </w:rPr>
      </w:pPr>
      <w:r>
        <w:rPr>
          <w:color w:val="000000" w:themeColor="text1"/>
          <w:sz w:val="24"/>
        </w:rPr>
        <w:t>（3）环境敏感性</w:t>
      </w:r>
    </w:p>
    <w:p>
      <w:pPr>
        <w:adjustRightInd w:val="0"/>
        <w:snapToGrid w:val="0"/>
        <w:ind w:firstLine="480" w:firstLineChars="200"/>
        <w:jc w:val="left"/>
        <w:rPr>
          <w:color w:val="000000" w:themeColor="text1"/>
          <w:sz w:val="24"/>
        </w:rPr>
      </w:pPr>
      <w:r>
        <w:rPr>
          <w:color w:val="000000" w:themeColor="text1"/>
          <w:sz w:val="24"/>
        </w:rPr>
        <w:t>项目建设不涉及自然保护区、风景名胜区、饮用水源保护区等环境敏感区。</w:t>
      </w:r>
    </w:p>
    <w:p>
      <w:pPr>
        <w:pStyle w:val="202"/>
        <w:rPr>
          <w:color w:val="000000" w:themeColor="text1"/>
          <w:sz w:val="28"/>
          <w:szCs w:val="28"/>
        </w:rPr>
      </w:pPr>
      <w:bookmarkStart w:id="20" w:name="_Toc4076472"/>
      <w:bookmarkStart w:id="21" w:name="_Toc510547244"/>
      <w:r>
        <w:rPr>
          <w:color w:val="000000" w:themeColor="text1"/>
          <w:sz w:val="28"/>
          <w:szCs w:val="28"/>
        </w:rPr>
        <w:t>1.4关注的主要环境问题及环境影响</w:t>
      </w:r>
      <w:bookmarkEnd w:id="20"/>
      <w:bookmarkEnd w:id="21"/>
    </w:p>
    <w:p>
      <w:pPr>
        <w:adjustRightInd w:val="0"/>
        <w:snapToGrid w:val="0"/>
        <w:ind w:firstLine="480" w:firstLineChars="200"/>
        <w:jc w:val="left"/>
        <w:rPr>
          <w:color w:val="000000" w:themeColor="text1"/>
          <w:kern w:val="0"/>
          <w:sz w:val="24"/>
        </w:rPr>
      </w:pPr>
      <w:r>
        <w:rPr>
          <w:color w:val="000000" w:themeColor="text1"/>
          <w:kern w:val="0"/>
          <w:sz w:val="24"/>
        </w:rPr>
        <w:t>针对工程特点和项目周围的环境特点，本项目的主要环境问题是：</w:t>
      </w:r>
    </w:p>
    <w:p>
      <w:pPr>
        <w:adjustRightInd w:val="0"/>
        <w:snapToGrid w:val="0"/>
        <w:ind w:firstLine="480" w:firstLineChars="200"/>
        <w:jc w:val="left"/>
        <w:rPr>
          <w:color w:val="000000" w:themeColor="text1"/>
          <w:sz w:val="24"/>
        </w:rPr>
      </w:pPr>
      <w:r>
        <w:rPr>
          <w:color w:val="000000" w:themeColor="text1"/>
          <w:sz w:val="24"/>
        </w:rPr>
        <w:t>（1）本项目属于畜禽养殖类建设项目，废水主要为生活污水、猪尿、猪舍冲洗水及消毒废水等。生活污水经隔油池、化粪池处理后与猪尿、猪舍冲洗水等一并经</w:t>
      </w:r>
      <w:r>
        <w:rPr>
          <w:rFonts w:hint="eastAsia"/>
          <w:color w:val="000000" w:themeColor="text1"/>
          <w:sz w:val="24"/>
        </w:rPr>
        <w:t>沼气系统处理，一部分用于种植区施肥，剩余部分进入异位发酵车间发酵处理，实现粪污水零排放</w:t>
      </w:r>
      <w:r>
        <w:rPr>
          <w:color w:val="000000" w:themeColor="text1"/>
          <w:sz w:val="24"/>
        </w:rPr>
        <w:t>。污水处理工艺的可行性、可靠性、用于农灌的合理性以及地表水、地下水环境的影响是本项目关注的主要环境问题之一。</w:t>
      </w:r>
    </w:p>
    <w:p>
      <w:pPr>
        <w:adjustRightInd w:val="0"/>
        <w:snapToGrid w:val="0"/>
        <w:ind w:firstLine="480" w:firstLineChars="200"/>
        <w:jc w:val="left"/>
        <w:rPr>
          <w:color w:val="000000" w:themeColor="text1"/>
          <w:sz w:val="24"/>
        </w:rPr>
      </w:pPr>
      <w:r>
        <w:rPr>
          <w:color w:val="000000" w:themeColor="text1"/>
          <w:sz w:val="24"/>
        </w:rPr>
        <w:t>（2）项目采用干清粪工艺，猪粪、病死猪无害化处置的可行性、可靠性以及对周围环境的影响是本项目关注的主要环境问题之一。</w:t>
      </w:r>
    </w:p>
    <w:p>
      <w:pPr>
        <w:adjustRightInd w:val="0"/>
        <w:snapToGrid w:val="0"/>
        <w:ind w:firstLine="480" w:firstLineChars="200"/>
        <w:jc w:val="left"/>
        <w:rPr>
          <w:color w:val="000000" w:themeColor="text1"/>
          <w:sz w:val="24"/>
        </w:rPr>
      </w:pPr>
      <w:r>
        <w:rPr>
          <w:color w:val="000000" w:themeColor="text1"/>
          <w:sz w:val="24"/>
        </w:rPr>
        <w:t>（3）养殖场运营期猪舍、堆粪场及无害化降解间会产生恶臭气体，恶臭气体对大气环境的影响及降低恶臭气体的措施也是本次环评</w:t>
      </w:r>
      <w:r>
        <w:rPr>
          <w:rFonts w:hint="eastAsia"/>
          <w:color w:val="000000" w:themeColor="text1"/>
          <w:sz w:val="24"/>
        </w:rPr>
        <w:t>重点关注</w:t>
      </w:r>
      <w:r>
        <w:rPr>
          <w:color w:val="000000" w:themeColor="text1"/>
          <w:sz w:val="24"/>
        </w:rPr>
        <w:t>的问题。</w:t>
      </w:r>
    </w:p>
    <w:p>
      <w:pPr>
        <w:pStyle w:val="202"/>
        <w:rPr>
          <w:color w:val="000000" w:themeColor="text1"/>
          <w:sz w:val="28"/>
          <w:szCs w:val="28"/>
        </w:rPr>
      </w:pPr>
      <w:bookmarkStart w:id="22" w:name="_Toc4076473"/>
      <w:bookmarkStart w:id="23" w:name="_Toc439841477"/>
      <w:bookmarkStart w:id="24" w:name="_Toc439613773"/>
      <w:bookmarkStart w:id="25" w:name="_Toc367192847"/>
      <w:bookmarkStart w:id="26" w:name="_Toc439876970"/>
      <w:bookmarkStart w:id="27" w:name="_Toc443464985"/>
      <w:bookmarkStart w:id="28" w:name="_Toc510547247"/>
      <w:r>
        <w:rPr>
          <w:color w:val="000000" w:themeColor="text1"/>
          <w:sz w:val="28"/>
          <w:szCs w:val="28"/>
        </w:rPr>
        <w:t>1.5报告书主要结论</w:t>
      </w:r>
      <w:bookmarkEnd w:id="22"/>
      <w:bookmarkEnd w:id="23"/>
      <w:bookmarkEnd w:id="24"/>
      <w:bookmarkEnd w:id="25"/>
      <w:bookmarkEnd w:id="26"/>
      <w:bookmarkEnd w:id="27"/>
      <w:bookmarkEnd w:id="28"/>
    </w:p>
    <w:p>
      <w:pPr>
        <w:ind w:firstLine="480" w:firstLineChars="200"/>
        <w:rPr>
          <w:color w:val="000000" w:themeColor="text1"/>
          <w:sz w:val="24"/>
        </w:rPr>
      </w:pPr>
      <w:r>
        <w:rPr>
          <w:color w:val="000000" w:themeColor="text1"/>
          <w:sz w:val="24"/>
        </w:rPr>
        <w:t>（1）项目属于《产业结构调整指导目录（2011年本）（2013年修正）》中鼓励类“畜禽标准化规模养殖技术开发与应用”。项目符合产业政策要求。</w:t>
      </w:r>
    </w:p>
    <w:p>
      <w:pPr>
        <w:ind w:firstLine="480" w:firstLineChars="200"/>
        <w:rPr>
          <w:color w:val="000000" w:themeColor="text1"/>
          <w:sz w:val="24"/>
        </w:rPr>
      </w:pPr>
      <w:r>
        <w:rPr>
          <w:color w:val="000000" w:themeColor="text1"/>
          <w:sz w:val="24"/>
        </w:rPr>
        <w:t>（2）项目选址不属于《畜禽养殖业污染防治技术规范》（HJ/T81-2001）、《畜禽养殖业污染治理工程技术规范》（HJ497-2009）、《畜禽养殖业污染防治条例》中规定的禁养区范围。项目选址合理。</w:t>
      </w:r>
    </w:p>
    <w:p>
      <w:pPr>
        <w:ind w:firstLine="480" w:firstLineChars="200"/>
        <w:rPr>
          <w:color w:val="000000" w:themeColor="text1"/>
          <w:sz w:val="24"/>
        </w:rPr>
      </w:pPr>
      <w:r>
        <w:rPr>
          <w:color w:val="000000" w:themeColor="text1"/>
          <w:sz w:val="24"/>
        </w:rPr>
        <w:t>（3）生活污水经项目区内隔油池处理后与猪尿、猪舍冲洗水、消毒废水一并处理，废水处理工艺拟采用预处理完全混合式厌氧反应发酵(CSTR)处理工艺，</w:t>
      </w:r>
      <w:r>
        <w:rPr>
          <w:rFonts w:hint="eastAsia"/>
          <w:color w:val="000000" w:themeColor="text1"/>
          <w:sz w:val="24"/>
        </w:rPr>
        <w:t>一部分用于种植区施肥，剩余部分进入异位发酵车间发酵处理，实现粪污水零排放</w:t>
      </w:r>
      <w:r>
        <w:rPr>
          <w:color w:val="000000" w:themeColor="text1"/>
          <w:sz w:val="24"/>
        </w:rPr>
        <w:t>。</w:t>
      </w:r>
    </w:p>
    <w:p>
      <w:pPr>
        <w:ind w:firstLine="480" w:firstLineChars="200"/>
        <w:rPr>
          <w:color w:val="000000" w:themeColor="text1"/>
          <w:sz w:val="24"/>
        </w:rPr>
      </w:pPr>
      <w:r>
        <w:rPr>
          <w:color w:val="000000" w:themeColor="text1"/>
          <w:sz w:val="24"/>
        </w:rPr>
        <w:t>（4）恶臭气体采取评价提出的措施后，对环境敏感点影响降低，项目与敏感点的距离满足《畜禽养殖业污染物防治技术规范》中的规定：</w:t>
      </w:r>
      <w:r>
        <w:rPr>
          <w:rFonts w:hint="eastAsia"/>
          <w:color w:val="000000" w:themeColor="text1"/>
          <w:sz w:val="24"/>
        </w:rPr>
        <w:t>“</w:t>
      </w:r>
      <w:r>
        <w:rPr>
          <w:color w:val="000000" w:themeColor="text1"/>
          <w:sz w:val="24"/>
        </w:rPr>
        <w:t>场界与禁建区域边界的最小距离不得小于500m</w:t>
      </w:r>
      <w:r>
        <w:rPr>
          <w:rFonts w:hint="eastAsia"/>
          <w:color w:val="000000" w:themeColor="text1"/>
          <w:sz w:val="24"/>
        </w:rPr>
        <w:t>”</w:t>
      </w:r>
      <w:r>
        <w:rPr>
          <w:color w:val="000000" w:themeColor="text1"/>
          <w:sz w:val="24"/>
        </w:rPr>
        <w:t>。</w:t>
      </w:r>
    </w:p>
    <w:p>
      <w:pPr>
        <w:ind w:firstLine="480" w:firstLineChars="200"/>
        <w:rPr>
          <w:color w:val="000000" w:themeColor="text1"/>
          <w:sz w:val="24"/>
        </w:rPr>
      </w:pPr>
      <w:r>
        <w:rPr>
          <w:color w:val="000000" w:themeColor="text1"/>
          <w:sz w:val="24"/>
        </w:rPr>
        <w:t>（5）项目采用干清粪工艺，各场区清出的干粪及饲料残渣等</w:t>
      </w:r>
      <w:r>
        <w:rPr>
          <w:rFonts w:hint="eastAsia"/>
          <w:color w:val="000000" w:themeColor="text1"/>
          <w:sz w:val="24"/>
        </w:rPr>
        <w:t>与沼液、沼渣进入异位发酵车间</w:t>
      </w:r>
      <w:r>
        <w:rPr>
          <w:color w:val="000000" w:themeColor="text1"/>
          <w:sz w:val="24"/>
        </w:rPr>
        <w:t>进行</w:t>
      </w:r>
      <w:r>
        <w:rPr>
          <w:rFonts w:hint="eastAsia"/>
          <w:color w:val="000000" w:themeColor="text1"/>
          <w:sz w:val="24"/>
        </w:rPr>
        <w:t>发酵</w:t>
      </w:r>
      <w:r>
        <w:rPr>
          <w:color w:val="000000" w:themeColor="text1"/>
          <w:sz w:val="24"/>
        </w:rPr>
        <w:t>，处理后作为有机肥</w:t>
      </w:r>
      <w:r>
        <w:rPr>
          <w:rFonts w:hint="eastAsia"/>
          <w:color w:val="000000" w:themeColor="text1"/>
          <w:sz w:val="24"/>
        </w:rPr>
        <w:t>袋装出售</w:t>
      </w:r>
      <w:r>
        <w:rPr>
          <w:color w:val="000000" w:themeColor="text1"/>
          <w:sz w:val="24"/>
        </w:rPr>
        <w:t>。根据《畜禽养殖业污染防治技术规范》（HJ/T81-2001</w:t>
      </w:r>
      <w:r>
        <w:rPr>
          <w:rFonts w:hint="eastAsia"/>
          <w:color w:val="000000" w:themeColor="text1"/>
          <w:sz w:val="24"/>
        </w:rPr>
        <w:t>）</w:t>
      </w:r>
      <w:r>
        <w:rPr>
          <w:color w:val="000000" w:themeColor="text1"/>
          <w:sz w:val="24"/>
        </w:rPr>
        <w:t>相关要求，项目在厂区设置安全填埋井对病死猪</w:t>
      </w:r>
      <w:r>
        <w:rPr>
          <w:rFonts w:hint="eastAsia"/>
          <w:color w:val="000000" w:themeColor="text1"/>
          <w:sz w:val="24"/>
        </w:rPr>
        <w:t>生物发酵剩余肥料</w:t>
      </w:r>
      <w:r>
        <w:rPr>
          <w:color w:val="000000" w:themeColor="text1"/>
          <w:sz w:val="24"/>
        </w:rPr>
        <w:t>进行填埋。项目固废处置符合《畜禽养殖业污染防治技术规范》（HJ/T81-2001)、《畜禽养殖业污染治理工程技术规范》（HJ497-2009）、《畜禽养殖业污染防治条例》及《畜禽粪便无害化处理技术规范》（NY/T1168-2006）要求。</w:t>
      </w:r>
    </w:p>
    <w:p>
      <w:pPr>
        <w:pStyle w:val="203"/>
        <w:spacing w:line="360" w:lineRule="auto"/>
        <w:ind w:firstLine="480" w:firstLineChars="200"/>
        <w:rPr>
          <w:rFonts w:ascii="Times New Roman"/>
          <w:color w:val="000000" w:themeColor="text1"/>
        </w:rPr>
      </w:pPr>
      <w:r>
        <w:rPr>
          <w:rFonts w:ascii="Times New Roman"/>
          <w:color w:val="000000" w:themeColor="text1"/>
        </w:rPr>
        <w:t>综上，项目符合国家产业政策；符合国家相关法律、法规；符合区域功能区划；符合不降低当地环境功能；符合达标排放、总量控制要求。项目在采用实施本评价所提出的所有污染治理对策措施后，从环境影响角度评价该项目是可行的。</w:t>
      </w:r>
    </w:p>
    <w:p>
      <w:pPr>
        <w:pStyle w:val="203"/>
        <w:spacing w:line="360" w:lineRule="auto"/>
        <w:ind w:firstLine="480" w:firstLineChars="200"/>
        <w:rPr>
          <w:rFonts w:ascii="Times New Roman"/>
          <w:color w:val="000000" w:themeColor="text1"/>
        </w:rPr>
        <w:sectPr>
          <w:pgSz w:w="11906" w:h="16838"/>
          <w:pgMar w:top="1440" w:right="1797" w:bottom="1440" w:left="1797" w:header="851" w:footer="992" w:gutter="0"/>
          <w:pgNumType w:start="1"/>
          <w:cols w:space="720" w:num="1"/>
          <w:docGrid w:linePitch="312" w:charSpace="0"/>
        </w:sectPr>
      </w:pPr>
    </w:p>
    <w:p>
      <w:pPr>
        <w:pStyle w:val="2"/>
        <w:rPr>
          <w:rFonts w:hAnsi="Times New Roman"/>
          <w:color w:val="000000" w:themeColor="text1"/>
        </w:rPr>
      </w:pPr>
      <w:bookmarkStart w:id="29" w:name="_Toc510547248"/>
      <w:bookmarkStart w:id="30" w:name="_Toc4076474"/>
      <w:bookmarkStart w:id="31" w:name="_Toc402186347"/>
      <w:r>
        <w:rPr>
          <w:rFonts w:hAnsi="Times New Roman"/>
          <w:color w:val="000000" w:themeColor="text1"/>
        </w:rPr>
        <w:t>2总则</w:t>
      </w:r>
      <w:bookmarkEnd w:id="29"/>
      <w:bookmarkEnd w:id="30"/>
      <w:bookmarkEnd w:id="31"/>
    </w:p>
    <w:p>
      <w:pPr>
        <w:pStyle w:val="3"/>
        <w:adjustRightInd w:val="0"/>
        <w:snapToGrid w:val="0"/>
        <w:spacing w:before="0" w:after="0"/>
        <w:rPr>
          <w:rFonts w:ascii="Times New Roman" w:hAnsi="Times New Roman"/>
          <w:color w:val="000000" w:themeColor="text1"/>
        </w:rPr>
      </w:pPr>
      <w:bookmarkStart w:id="32" w:name="_Toc291775981"/>
      <w:bookmarkStart w:id="33" w:name="_Toc12870"/>
      <w:bookmarkStart w:id="34" w:name="_Toc22113"/>
      <w:bookmarkStart w:id="35" w:name="_Toc300743746"/>
      <w:bookmarkStart w:id="36" w:name="_Toc13929"/>
      <w:bookmarkStart w:id="37" w:name="_Toc4076475"/>
      <w:bookmarkStart w:id="38" w:name="_Toc510547249"/>
      <w:bookmarkStart w:id="39" w:name="_Toc402186350"/>
      <w:r>
        <w:rPr>
          <w:rFonts w:ascii="Times New Roman" w:hAnsi="Times New Roman"/>
          <w:color w:val="000000" w:themeColor="text1"/>
        </w:rPr>
        <w:t>2.1评价目的及评价原则</w:t>
      </w:r>
      <w:bookmarkEnd w:id="32"/>
      <w:bookmarkEnd w:id="33"/>
      <w:bookmarkEnd w:id="34"/>
      <w:bookmarkEnd w:id="35"/>
      <w:bookmarkEnd w:id="36"/>
      <w:bookmarkEnd w:id="37"/>
      <w:bookmarkEnd w:id="38"/>
      <w:bookmarkEnd w:id="39"/>
    </w:p>
    <w:p>
      <w:pPr>
        <w:pStyle w:val="4"/>
        <w:adjustRightInd w:val="0"/>
        <w:snapToGrid w:val="0"/>
        <w:spacing w:before="0" w:after="0" w:line="360" w:lineRule="auto"/>
        <w:rPr>
          <w:color w:val="000000" w:themeColor="text1"/>
        </w:rPr>
      </w:pPr>
      <w:bookmarkStart w:id="40" w:name="_Toc506218025"/>
      <w:bookmarkStart w:id="41" w:name="_Toc510547250"/>
      <w:bookmarkStart w:id="42" w:name="_Toc1197"/>
      <w:bookmarkStart w:id="43" w:name="_Toc1410"/>
      <w:bookmarkStart w:id="44" w:name="_Toc11720"/>
      <w:bookmarkStart w:id="45" w:name="_Toc504403772"/>
      <w:r>
        <w:rPr>
          <w:color w:val="000000" w:themeColor="text1"/>
        </w:rPr>
        <w:t>2.1.1评价目的</w:t>
      </w:r>
      <w:bookmarkEnd w:id="40"/>
      <w:bookmarkEnd w:id="41"/>
      <w:bookmarkEnd w:id="42"/>
      <w:bookmarkEnd w:id="43"/>
      <w:bookmarkEnd w:id="44"/>
      <w:bookmarkEnd w:id="45"/>
    </w:p>
    <w:p>
      <w:pPr>
        <w:adjustRightInd w:val="0"/>
        <w:snapToGrid w:val="0"/>
        <w:ind w:firstLine="480" w:firstLineChars="200"/>
        <w:rPr>
          <w:color w:val="000000" w:themeColor="text1"/>
          <w:sz w:val="24"/>
        </w:rPr>
      </w:pPr>
      <w:r>
        <w:rPr>
          <w:color w:val="000000" w:themeColor="text1"/>
          <w:sz w:val="24"/>
        </w:rPr>
        <w:t>（1）通过调查和监测，了解评价区内的环境质量现状。通过项目工程分析，掌握项目的污染源排放情况及其特征，计算项目污染物的产生、治理削减和排放的变化情况和本项目可能对周围环境影响的程度和范围。</w:t>
      </w:r>
    </w:p>
    <w:p>
      <w:pPr>
        <w:adjustRightInd w:val="0"/>
        <w:snapToGrid w:val="0"/>
        <w:ind w:firstLine="480" w:firstLineChars="200"/>
        <w:rPr>
          <w:color w:val="000000" w:themeColor="text1"/>
          <w:sz w:val="24"/>
        </w:rPr>
      </w:pPr>
      <w:r>
        <w:rPr>
          <w:color w:val="000000" w:themeColor="text1"/>
          <w:sz w:val="24"/>
        </w:rPr>
        <w:t>（2）根据工程分析和环境影响预测评价结果，论证本项目采取的环保措施的可行性，提出减缓和消除不利影响的对策措施。</w:t>
      </w:r>
    </w:p>
    <w:p>
      <w:pPr>
        <w:adjustRightInd w:val="0"/>
        <w:snapToGrid w:val="0"/>
        <w:ind w:firstLine="480" w:firstLineChars="200"/>
        <w:rPr>
          <w:color w:val="000000" w:themeColor="text1"/>
          <w:sz w:val="24"/>
        </w:rPr>
      </w:pPr>
      <w:r>
        <w:rPr>
          <w:color w:val="000000" w:themeColor="text1"/>
          <w:sz w:val="24"/>
        </w:rPr>
        <w:t>（3）根据国家产业政策、评价区域环境敏感程度、相关规划及条例以及本项目所需环境条件，分析本项目选址的环境合理性。</w:t>
      </w:r>
    </w:p>
    <w:p>
      <w:pPr>
        <w:adjustRightInd w:val="0"/>
        <w:snapToGrid w:val="0"/>
        <w:ind w:firstLine="480" w:firstLineChars="200"/>
        <w:rPr>
          <w:color w:val="000000" w:themeColor="text1"/>
        </w:rPr>
      </w:pPr>
      <w:r>
        <w:rPr>
          <w:color w:val="000000" w:themeColor="text1"/>
          <w:sz w:val="24"/>
        </w:rPr>
        <w:t>（4）通过环境影响评价，为建设单位的生产运营和环境保护管理提供可靠依据，为环保部门环境管理和审批提供科学依据。</w:t>
      </w:r>
    </w:p>
    <w:p>
      <w:pPr>
        <w:pStyle w:val="4"/>
        <w:adjustRightInd w:val="0"/>
        <w:snapToGrid w:val="0"/>
        <w:spacing w:before="0" w:after="0" w:line="360" w:lineRule="auto"/>
        <w:rPr>
          <w:color w:val="000000" w:themeColor="text1"/>
        </w:rPr>
      </w:pPr>
      <w:bookmarkStart w:id="46" w:name="_Toc510547251"/>
      <w:bookmarkStart w:id="47" w:name="_Toc504403773"/>
      <w:bookmarkStart w:id="48" w:name="_Toc506218026"/>
      <w:r>
        <w:rPr>
          <w:color w:val="000000" w:themeColor="text1"/>
        </w:rPr>
        <w:t>2.1.2评价原则</w:t>
      </w:r>
      <w:bookmarkEnd w:id="46"/>
      <w:bookmarkEnd w:id="47"/>
      <w:bookmarkEnd w:id="48"/>
    </w:p>
    <w:p>
      <w:pPr>
        <w:adjustRightInd w:val="0"/>
        <w:snapToGrid w:val="0"/>
        <w:ind w:firstLine="480" w:firstLineChars="200"/>
        <w:rPr>
          <w:color w:val="000000" w:themeColor="text1"/>
          <w:sz w:val="24"/>
        </w:rPr>
      </w:pPr>
      <w:r>
        <w:rPr>
          <w:color w:val="000000" w:themeColor="text1"/>
          <w:sz w:val="24"/>
        </w:rPr>
        <w:t>突出环境影响评价的源头预防作用，坚持保护和改善环境质量。</w:t>
      </w:r>
    </w:p>
    <w:p>
      <w:pPr>
        <w:adjustRightInd w:val="0"/>
        <w:snapToGrid w:val="0"/>
        <w:ind w:firstLine="480" w:firstLineChars="200"/>
        <w:rPr>
          <w:color w:val="000000" w:themeColor="text1"/>
          <w:sz w:val="24"/>
        </w:rPr>
      </w:pPr>
      <w:r>
        <w:rPr>
          <w:color w:val="000000" w:themeColor="text1"/>
          <w:sz w:val="24"/>
        </w:rPr>
        <w:t>（1）依法评价</w:t>
      </w:r>
    </w:p>
    <w:p>
      <w:pPr>
        <w:adjustRightInd w:val="0"/>
        <w:snapToGrid w:val="0"/>
        <w:ind w:firstLine="480" w:firstLineChars="200"/>
        <w:rPr>
          <w:color w:val="000000" w:themeColor="text1"/>
          <w:sz w:val="24"/>
        </w:rPr>
      </w:pPr>
      <w:r>
        <w:rPr>
          <w:color w:val="000000" w:themeColor="text1"/>
          <w:sz w:val="24"/>
        </w:rPr>
        <w:t>贯彻执行我国环境保护相关法律法规、标准、政策和规划等，优化项目建设，服务环境管理。</w:t>
      </w:r>
    </w:p>
    <w:p>
      <w:pPr>
        <w:adjustRightInd w:val="0"/>
        <w:snapToGrid w:val="0"/>
        <w:ind w:firstLine="480" w:firstLineChars="200"/>
        <w:rPr>
          <w:color w:val="000000" w:themeColor="text1"/>
          <w:sz w:val="24"/>
        </w:rPr>
      </w:pPr>
      <w:r>
        <w:rPr>
          <w:color w:val="000000" w:themeColor="text1"/>
          <w:sz w:val="24"/>
        </w:rPr>
        <w:t>（2）科学评价</w:t>
      </w:r>
    </w:p>
    <w:p>
      <w:pPr>
        <w:adjustRightInd w:val="0"/>
        <w:snapToGrid w:val="0"/>
        <w:ind w:firstLine="480" w:firstLineChars="200"/>
        <w:rPr>
          <w:color w:val="000000" w:themeColor="text1"/>
          <w:sz w:val="24"/>
        </w:rPr>
      </w:pPr>
      <w:r>
        <w:rPr>
          <w:color w:val="000000" w:themeColor="text1"/>
          <w:sz w:val="24"/>
        </w:rPr>
        <w:t>采用规范的环境影响评价方法，科学分析项目建设对环境质量的影响。</w:t>
      </w:r>
    </w:p>
    <w:p>
      <w:pPr>
        <w:adjustRightInd w:val="0"/>
        <w:snapToGrid w:val="0"/>
        <w:ind w:firstLine="480" w:firstLineChars="200"/>
        <w:rPr>
          <w:color w:val="000000" w:themeColor="text1"/>
          <w:sz w:val="24"/>
        </w:rPr>
      </w:pPr>
      <w:r>
        <w:rPr>
          <w:color w:val="000000" w:themeColor="text1"/>
          <w:sz w:val="24"/>
        </w:rPr>
        <w:t>（3）突出重点</w:t>
      </w:r>
    </w:p>
    <w:p>
      <w:pPr>
        <w:adjustRightInd w:val="0"/>
        <w:snapToGrid w:val="0"/>
        <w:ind w:firstLine="480" w:firstLineChars="200"/>
        <w:rPr>
          <w:color w:val="000000" w:themeColor="text1"/>
          <w:sz w:val="24"/>
        </w:rPr>
      </w:pPr>
      <w:r>
        <w:rPr>
          <w:color w:val="000000" w:themeColor="text1"/>
          <w:sz w:val="24"/>
        </w:rPr>
        <w:t>根据建设项目的工程内容及其特点，明确与环境要素间的作用效应关系，充分利用符合时效的数据资料及成果，对建设项目主要环境影响予以重点分析和评价。</w:t>
      </w:r>
    </w:p>
    <w:p>
      <w:pPr>
        <w:pStyle w:val="3"/>
        <w:adjustRightInd w:val="0"/>
        <w:snapToGrid w:val="0"/>
        <w:spacing w:before="0" w:after="0"/>
        <w:rPr>
          <w:rFonts w:ascii="Times New Roman" w:hAnsi="Times New Roman"/>
          <w:color w:val="000000" w:themeColor="text1"/>
        </w:rPr>
      </w:pPr>
      <w:bookmarkStart w:id="49" w:name="_Toc510547252"/>
      <w:bookmarkStart w:id="50" w:name="_Toc402186349"/>
      <w:bookmarkStart w:id="51" w:name="_Toc4076476"/>
      <w:bookmarkStart w:id="52" w:name="_Toc306794237"/>
      <w:r>
        <w:rPr>
          <w:rFonts w:ascii="Times New Roman" w:hAnsi="Times New Roman"/>
          <w:color w:val="000000" w:themeColor="text1"/>
        </w:rPr>
        <w:t>2.2编制依据</w:t>
      </w:r>
      <w:bookmarkEnd w:id="49"/>
      <w:bookmarkEnd w:id="50"/>
      <w:bookmarkEnd w:id="51"/>
      <w:bookmarkEnd w:id="52"/>
    </w:p>
    <w:p>
      <w:pPr>
        <w:pStyle w:val="4"/>
        <w:adjustRightInd w:val="0"/>
        <w:snapToGrid w:val="0"/>
        <w:spacing w:before="0" w:after="0" w:line="360" w:lineRule="auto"/>
        <w:rPr>
          <w:color w:val="000000" w:themeColor="text1"/>
        </w:rPr>
      </w:pPr>
      <w:bookmarkStart w:id="53" w:name="_Toc506218028"/>
      <w:bookmarkStart w:id="54" w:name="_Toc510547253"/>
      <w:bookmarkStart w:id="55" w:name="_Toc504403775"/>
      <w:r>
        <w:rPr>
          <w:color w:val="000000" w:themeColor="text1"/>
        </w:rPr>
        <w:t>2.2.1国家环境保护法律、法规和相关法律依据</w:t>
      </w:r>
      <w:bookmarkEnd w:id="53"/>
      <w:bookmarkEnd w:id="54"/>
      <w:bookmarkEnd w:id="55"/>
    </w:p>
    <w:p>
      <w:pPr>
        <w:adjustRightInd w:val="0"/>
        <w:snapToGrid w:val="0"/>
        <w:ind w:firstLine="480" w:firstLineChars="200"/>
        <w:rPr>
          <w:snapToGrid w:val="0"/>
          <w:color w:val="000000" w:themeColor="text1"/>
          <w:kern w:val="0"/>
          <w:sz w:val="24"/>
        </w:rPr>
      </w:pPr>
      <w:r>
        <w:rPr>
          <w:snapToGrid w:val="0"/>
          <w:color w:val="000000" w:themeColor="text1"/>
          <w:kern w:val="0"/>
          <w:sz w:val="24"/>
        </w:rPr>
        <w:t>（1）《中华人民共和国环境保护法》，2015年1月1日；</w:t>
      </w:r>
    </w:p>
    <w:p>
      <w:pPr>
        <w:adjustRightInd w:val="0"/>
        <w:snapToGrid w:val="0"/>
        <w:ind w:firstLine="480" w:firstLineChars="200"/>
        <w:rPr>
          <w:snapToGrid w:val="0"/>
          <w:color w:val="000000" w:themeColor="text1"/>
          <w:kern w:val="0"/>
          <w:sz w:val="24"/>
        </w:rPr>
      </w:pPr>
      <w:bookmarkStart w:id="56" w:name="_Toc465032732"/>
      <w:bookmarkStart w:id="57" w:name="_Toc448265083"/>
      <w:r>
        <w:rPr>
          <w:snapToGrid w:val="0"/>
          <w:color w:val="000000" w:themeColor="text1"/>
          <w:kern w:val="0"/>
          <w:sz w:val="24"/>
        </w:rPr>
        <w:t xml:space="preserve">（2）《中华人民共和国环境影响评价法》， </w:t>
      </w:r>
      <w:r>
        <w:rPr>
          <w:rFonts w:hint="eastAsia"/>
          <w:snapToGrid w:val="0"/>
          <w:color w:val="000000" w:themeColor="text1"/>
          <w:kern w:val="0"/>
          <w:sz w:val="24"/>
        </w:rPr>
        <w:t>2018年12月29日</w:t>
      </w:r>
      <w:r>
        <w:rPr>
          <w:snapToGrid w:val="0"/>
          <w:color w:val="000000" w:themeColor="text1"/>
          <w:kern w:val="0"/>
          <w:sz w:val="24"/>
        </w:rPr>
        <w:t>；</w:t>
      </w:r>
      <w:bookmarkEnd w:id="56"/>
      <w:bookmarkEnd w:id="57"/>
    </w:p>
    <w:p>
      <w:pPr>
        <w:adjustRightInd w:val="0"/>
        <w:snapToGrid w:val="0"/>
        <w:ind w:firstLine="480" w:firstLineChars="200"/>
        <w:rPr>
          <w:snapToGrid w:val="0"/>
          <w:color w:val="000000" w:themeColor="text1"/>
          <w:kern w:val="0"/>
          <w:sz w:val="24"/>
        </w:rPr>
      </w:pPr>
      <w:r>
        <w:rPr>
          <w:snapToGrid w:val="0"/>
          <w:color w:val="000000" w:themeColor="text1"/>
          <w:kern w:val="0"/>
          <w:sz w:val="24"/>
        </w:rPr>
        <w:t>（3）《中华人民共和国水污染防治法》，2018年1月1日；</w:t>
      </w:r>
    </w:p>
    <w:p>
      <w:pPr>
        <w:adjustRightInd w:val="0"/>
        <w:snapToGrid w:val="0"/>
        <w:ind w:firstLine="480" w:firstLineChars="200"/>
        <w:rPr>
          <w:snapToGrid w:val="0"/>
          <w:color w:val="000000" w:themeColor="text1"/>
          <w:kern w:val="0"/>
          <w:sz w:val="24"/>
        </w:rPr>
      </w:pPr>
      <w:bookmarkStart w:id="58" w:name="_Toc465032733"/>
      <w:bookmarkStart w:id="59" w:name="_Toc448265084"/>
      <w:r>
        <w:rPr>
          <w:snapToGrid w:val="0"/>
          <w:color w:val="000000" w:themeColor="text1"/>
          <w:kern w:val="0"/>
          <w:sz w:val="24"/>
        </w:rPr>
        <w:t>（4）《中华人民共和国大气污染防治法》，</w:t>
      </w:r>
      <w:r>
        <w:rPr>
          <w:rFonts w:hint="eastAsia"/>
          <w:snapToGrid w:val="0"/>
          <w:color w:val="000000" w:themeColor="text1"/>
          <w:kern w:val="0"/>
          <w:sz w:val="24"/>
        </w:rPr>
        <w:t>2018年10月26日</w:t>
      </w:r>
      <w:r>
        <w:rPr>
          <w:snapToGrid w:val="0"/>
          <w:color w:val="000000" w:themeColor="text1"/>
          <w:kern w:val="0"/>
          <w:sz w:val="24"/>
        </w:rPr>
        <w:t>；</w:t>
      </w:r>
      <w:bookmarkEnd w:id="58"/>
      <w:bookmarkEnd w:id="59"/>
    </w:p>
    <w:p>
      <w:pPr>
        <w:adjustRightInd w:val="0"/>
        <w:snapToGrid w:val="0"/>
        <w:ind w:firstLine="480" w:firstLineChars="200"/>
        <w:rPr>
          <w:snapToGrid w:val="0"/>
          <w:color w:val="000000" w:themeColor="text1"/>
          <w:kern w:val="0"/>
          <w:sz w:val="24"/>
        </w:rPr>
      </w:pPr>
      <w:r>
        <w:rPr>
          <w:snapToGrid w:val="0"/>
          <w:color w:val="000000" w:themeColor="text1"/>
          <w:kern w:val="0"/>
          <w:sz w:val="24"/>
        </w:rPr>
        <w:t>（5）</w:t>
      </w:r>
      <w:r>
        <w:rPr>
          <w:color w:val="000000" w:themeColor="text1"/>
          <w:sz w:val="24"/>
        </w:rPr>
        <w:t>《中华人民共和国环境噪声污染防治法》，</w:t>
      </w:r>
      <w:r>
        <w:rPr>
          <w:rFonts w:hint="eastAsia"/>
          <w:color w:val="000000" w:themeColor="text1"/>
          <w:sz w:val="24"/>
        </w:rPr>
        <w:t>2018年12月29日修正</w:t>
      </w:r>
      <w:r>
        <w:rPr>
          <w:color w:val="000000" w:themeColor="text1"/>
          <w:sz w:val="24"/>
        </w:rPr>
        <w:t>；</w:t>
      </w:r>
    </w:p>
    <w:p>
      <w:pPr>
        <w:ind w:firstLine="480" w:firstLineChars="200"/>
        <w:rPr>
          <w:color w:val="000000" w:themeColor="text1"/>
          <w:sz w:val="24"/>
        </w:rPr>
      </w:pPr>
      <w:r>
        <w:rPr>
          <w:snapToGrid w:val="0"/>
          <w:color w:val="000000" w:themeColor="text1"/>
          <w:kern w:val="0"/>
          <w:sz w:val="24"/>
        </w:rPr>
        <w:t>（6）</w:t>
      </w:r>
      <w:r>
        <w:rPr>
          <w:color w:val="000000" w:themeColor="text1"/>
          <w:sz w:val="24"/>
        </w:rPr>
        <w:t>《中华人民共和国固体废物污染环境防治法》（2015修正），2015年4月24日；</w:t>
      </w:r>
    </w:p>
    <w:p>
      <w:pPr>
        <w:ind w:firstLine="480" w:firstLineChars="200"/>
        <w:rPr>
          <w:color w:val="000000" w:themeColor="text1"/>
          <w:sz w:val="24"/>
        </w:rPr>
      </w:pPr>
      <w:r>
        <w:rPr>
          <w:color w:val="000000" w:themeColor="text1"/>
          <w:sz w:val="24"/>
        </w:rPr>
        <w:t>（7）《中华人民共和国清洁生产促进法》，2012</w:t>
      </w:r>
      <w:r>
        <w:rPr>
          <w:rFonts w:hint="eastAsia"/>
          <w:color w:val="000000" w:themeColor="text1"/>
          <w:sz w:val="24"/>
        </w:rPr>
        <w:t>年</w:t>
      </w:r>
      <w:r>
        <w:rPr>
          <w:color w:val="000000" w:themeColor="text1"/>
          <w:sz w:val="24"/>
        </w:rPr>
        <w:t>7</w:t>
      </w:r>
      <w:r>
        <w:rPr>
          <w:rFonts w:hint="eastAsia"/>
          <w:color w:val="000000" w:themeColor="text1"/>
          <w:sz w:val="24"/>
        </w:rPr>
        <w:t>月</w:t>
      </w:r>
      <w:r>
        <w:rPr>
          <w:color w:val="000000" w:themeColor="text1"/>
          <w:sz w:val="24"/>
        </w:rPr>
        <w:t>1</w:t>
      </w:r>
      <w:r>
        <w:rPr>
          <w:rFonts w:hint="eastAsia"/>
          <w:color w:val="000000" w:themeColor="text1"/>
          <w:sz w:val="24"/>
        </w:rPr>
        <w:t>日</w:t>
      </w:r>
      <w:r>
        <w:rPr>
          <w:color w:val="000000" w:themeColor="text1"/>
          <w:sz w:val="24"/>
        </w:rPr>
        <w:t>；</w:t>
      </w:r>
    </w:p>
    <w:p>
      <w:pPr>
        <w:ind w:firstLine="480" w:firstLineChars="200"/>
        <w:rPr>
          <w:color w:val="000000" w:themeColor="text1"/>
          <w:sz w:val="24"/>
        </w:rPr>
      </w:pPr>
      <w:r>
        <w:rPr>
          <w:color w:val="000000" w:themeColor="text1"/>
          <w:sz w:val="24"/>
        </w:rPr>
        <w:t>（8）《建设项目环境保护管理条例》，中华人民共和国国务院令第682号</w:t>
      </w:r>
      <w:r>
        <w:rPr>
          <w:rFonts w:hint="eastAsia"/>
          <w:color w:val="000000" w:themeColor="text1"/>
          <w:sz w:val="24"/>
        </w:rPr>
        <w:t>，2017年10月</w:t>
      </w:r>
      <w:r>
        <w:rPr>
          <w:color w:val="000000" w:themeColor="text1"/>
          <w:sz w:val="24"/>
        </w:rPr>
        <w:t>；</w:t>
      </w:r>
    </w:p>
    <w:p>
      <w:pPr>
        <w:ind w:firstLine="480" w:firstLineChars="200"/>
        <w:rPr>
          <w:color w:val="000000" w:themeColor="text1"/>
          <w:sz w:val="24"/>
        </w:rPr>
      </w:pPr>
      <w:r>
        <w:rPr>
          <w:color w:val="000000" w:themeColor="text1"/>
          <w:sz w:val="24"/>
        </w:rPr>
        <w:t>（9）《建设项目环境影响评价信息公开机制方案》（环发[2015]162号）</w:t>
      </w:r>
      <w:r>
        <w:rPr>
          <w:rFonts w:hint="eastAsia"/>
          <w:color w:val="000000" w:themeColor="text1"/>
          <w:sz w:val="24"/>
        </w:rPr>
        <w:t>，2015年12月</w:t>
      </w:r>
      <w:r>
        <w:rPr>
          <w:color w:val="000000" w:themeColor="text1"/>
          <w:sz w:val="24"/>
        </w:rPr>
        <w:t>；</w:t>
      </w:r>
    </w:p>
    <w:p>
      <w:pPr>
        <w:ind w:firstLine="480" w:firstLineChars="200"/>
        <w:rPr>
          <w:color w:val="000000" w:themeColor="text1"/>
          <w:sz w:val="24"/>
        </w:rPr>
      </w:pPr>
      <w:r>
        <w:rPr>
          <w:color w:val="000000" w:themeColor="text1"/>
          <w:sz w:val="24"/>
        </w:rPr>
        <w:t>（10）《建设项目环境影响评价分类管理名录》（</w:t>
      </w:r>
      <w:r>
        <w:rPr>
          <w:rFonts w:hint="eastAsia"/>
          <w:color w:val="000000" w:themeColor="text1"/>
          <w:sz w:val="24"/>
        </w:rPr>
        <w:t>生态环保</w:t>
      </w:r>
      <w:r>
        <w:rPr>
          <w:color w:val="000000" w:themeColor="text1"/>
          <w:sz w:val="24"/>
        </w:rPr>
        <w:t>部令第</w:t>
      </w:r>
      <w:r>
        <w:rPr>
          <w:rFonts w:hint="eastAsia"/>
          <w:color w:val="000000" w:themeColor="text1"/>
          <w:sz w:val="24"/>
        </w:rPr>
        <w:t>1</w:t>
      </w:r>
      <w:r>
        <w:rPr>
          <w:color w:val="000000" w:themeColor="text1"/>
          <w:sz w:val="24"/>
        </w:rPr>
        <w:t>号）</w:t>
      </w:r>
      <w:r>
        <w:rPr>
          <w:rFonts w:hint="eastAsia"/>
          <w:color w:val="000000" w:themeColor="text1"/>
          <w:sz w:val="24"/>
        </w:rPr>
        <w:t>，</w:t>
      </w:r>
      <w:r>
        <w:rPr>
          <w:color w:val="000000" w:themeColor="text1"/>
          <w:sz w:val="24"/>
        </w:rPr>
        <w:t>20</w:t>
      </w:r>
      <w:r>
        <w:rPr>
          <w:rFonts w:hint="eastAsia"/>
          <w:color w:val="000000" w:themeColor="text1"/>
          <w:sz w:val="24"/>
        </w:rPr>
        <w:t>18</w:t>
      </w:r>
      <w:r>
        <w:rPr>
          <w:color w:val="000000" w:themeColor="text1"/>
          <w:sz w:val="24"/>
        </w:rPr>
        <w:t>年</w:t>
      </w:r>
      <w:r>
        <w:rPr>
          <w:rFonts w:hint="eastAsia"/>
          <w:color w:val="000000" w:themeColor="text1"/>
          <w:sz w:val="24"/>
        </w:rPr>
        <w:t>4</w:t>
      </w:r>
      <w:r>
        <w:rPr>
          <w:color w:val="000000" w:themeColor="text1"/>
          <w:sz w:val="24"/>
        </w:rPr>
        <w:t>月；</w:t>
      </w:r>
    </w:p>
    <w:p>
      <w:pPr>
        <w:adjustRightInd w:val="0"/>
        <w:snapToGrid w:val="0"/>
        <w:ind w:firstLine="480" w:firstLineChars="200"/>
        <w:rPr>
          <w:snapToGrid w:val="0"/>
          <w:color w:val="000000" w:themeColor="text1"/>
          <w:kern w:val="0"/>
          <w:sz w:val="24"/>
        </w:rPr>
      </w:pPr>
      <w:r>
        <w:rPr>
          <w:snapToGrid w:val="0"/>
          <w:color w:val="000000" w:themeColor="text1"/>
          <w:kern w:val="0"/>
          <w:sz w:val="24"/>
        </w:rPr>
        <w:t>（1</w:t>
      </w:r>
      <w:r>
        <w:rPr>
          <w:rFonts w:hint="eastAsia"/>
          <w:snapToGrid w:val="0"/>
          <w:color w:val="000000" w:themeColor="text1"/>
          <w:kern w:val="0"/>
          <w:sz w:val="24"/>
        </w:rPr>
        <w:t>1</w:t>
      </w:r>
      <w:r>
        <w:rPr>
          <w:snapToGrid w:val="0"/>
          <w:color w:val="000000" w:themeColor="text1"/>
          <w:kern w:val="0"/>
          <w:sz w:val="24"/>
        </w:rPr>
        <w:t>）《国务院关于印发大气污染防治行动计划的通知》，国发〔2013〕37号；</w:t>
      </w:r>
    </w:p>
    <w:p>
      <w:pPr>
        <w:adjustRightInd w:val="0"/>
        <w:snapToGrid w:val="0"/>
        <w:ind w:firstLine="480" w:firstLineChars="200"/>
        <w:rPr>
          <w:snapToGrid w:val="0"/>
          <w:color w:val="000000" w:themeColor="text1"/>
          <w:kern w:val="0"/>
          <w:sz w:val="24"/>
        </w:rPr>
      </w:pPr>
      <w:r>
        <w:rPr>
          <w:snapToGrid w:val="0"/>
          <w:color w:val="000000" w:themeColor="text1"/>
          <w:kern w:val="0"/>
          <w:sz w:val="24"/>
        </w:rPr>
        <w:t>（1</w:t>
      </w:r>
      <w:r>
        <w:rPr>
          <w:rFonts w:hint="eastAsia"/>
          <w:snapToGrid w:val="0"/>
          <w:color w:val="000000" w:themeColor="text1"/>
          <w:kern w:val="0"/>
          <w:sz w:val="24"/>
        </w:rPr>
        <w:t>2</w:t>
      </w:r>
      <w:r>
        <w:rPr>
          <w:snapToGrid w:val="0"/>
          <w:color w:val="000000" w:themeColor="text1"/>
          <w:kern w:val="0"/>
          <w:sz w:val="24"/>
        </w:rPr>
        <w:t>）《国务院关于印发水污染防治行动计划的通知》，国发〔2015〕17号；</w:t>
      </w:r>
    </w:p>
    <w:p>
      <w:pPr>
        <w:adjustRightInd w:val="0"/>
        <w:snapToGrid w:val="0"/>
        <w:ind w:firstLine="480" w:firstLineChars="200"/>
        <w:rPr>
          <w:snapToGrid w:val="0"/>
          <w:color w:val="000000" w:themeColor="text1"/>
          <w:kern w:val="0"/>
          <w:sz w:val="24"/>
        </w:rPr>
      </w:pPr>
      <w:r>
        <w:rPr>
          <w:snapToGrid w:val="0"/>
          <w:color w:val="000000" w:themeColor="text1"/>
          <w:kern w:val="0"/>
          <w:sz w:val="24"/>
        </w:rPr>
        <w:t>（1</w:t>
      </w:r>
      <w:r>
        <w:rPr>
          <w:rFonts w:hint="eastAsia"/>
          <w:snapToGrid w:val="0"/>
          <w:color w:val="000000" w:themeColor="text1"/>
          <w:kern w:val="0"/>
          <w:sz w:val="24"/>
        </w:rPr>
        <w:t>3</w:t>
      </w:r>
      <w:r>
        <w:rPr>
          <w:snapToGrid w:val="0"/>
          <w:color w:val="000000" w:themeColor="text1"/>
          <w:kern w:val="0"/>
          <w:sz w:val="24"/>
        </w:rPr>
        <w:t>）《国务院关于印发土壤污染防治行动计划的通知》，国发〔201</w:t>
      </w:r>
      <w:r>
        <w:rPr>
          <w:rFonts w:hint="eastAsia"/>
          <w:snapToGrid w:val="0"/>
          <w:color w:val="000000" w:themeColor="text1"/>
          <w:kern w:val="0"/>
          <w:sz w:val="24"/>
        </w:rPr>
        <w:t>6</w:t>
      </w:r>
      <w:r>
        <w:rPr>
          <w:snapToGrid w:val="0"/>
          <w:color w:val="000000" w:themeColor="text1"/>
          <w:kern w:val="0"/>
          <w:sz w:val="24"/>
        </w:rPr>
        <w:t>〕31号；</w:t>
      </w:r>
    </w:p>
    <w:p>
      <w:pPr>
        <w:adjustRightInd w:val="0"/>
        <w:snapToGrid w:val="0"/>
        <w:ind w:firstLine="480" w:firstLineChars="200"/>
        <w:rPr>
          <w:snapToGrid w:val="0"/>
          <w:color w:val="000000" w:themeColor="text1"/>
          <w:kern w:val="0"/>
          <w:sz w:val="24"/>
        </w:rPr>
      </w:pPr>
      <w:r>
        <w:rPr>
          <w:snapToGrid w:val="0"/>
          <w:color w:val="000000" w:themeColor="text1"/>
          <w:kern w:val="0"/>
          <w:sz w:val="24"/>
        </w:rPr>
        <w:t>（1</w:t>
      </w:r>
      <w:r>
        <w:rPr>
          <w:rFonts w:hint="eastAsia"/>
          <w:snapToGrid w:val="0"/>
          <w:color w:val="000000" w:themeColor="text1"/>
          <w:kern w:val="0"/>
          <w:sz w:val="24"/>
        </w:rPr>
        <w:t>4</w:t>
      </w:r>
      <w:r>
        <w:rPr>
          <w:snapToGrid w:val="0"/>
          <w:color w:val="000000" w:themeColor="text1"/>
          <w:kern w:val="0"/>
          <w:sz w:val="24"/>
        </w:rPr>
        <w:t>）</w:t>
      </w:r>
      <w:r>
        <w:rPr>
          <w:color w:val="000000" w:themeColor="text1"/>
          <w:sz w:val="24"/>
        </w:rPr>
        <w:t>《国家危险废物名录》，2016</w:t>
      </w:r>
      <w:r>
        <w:rPr>
          <w:rFonts w:hint="eastAsia"/>
          <w:color w:val="000000" w:themeColor="text1"/>
          <w:sz w:val="24"/>
        </w:rPr>
        <w:t>年</w:t>
      </w:r>
      <w:r>
        <w:rPr>
          <w:color w:val="000000" w:themeColor="text1"/>
          <w:sz w:val="24"/>
        </w:rPr>
        <w:t>；</w:t>
      </w:r>
    </w:p>
    <w:p>
      <w:pPr>
        <w:adjustRightInd w:val="0"/>
        <w:snapToGrid w:val="0"/>
        <w:ind w:firstLine="480" w:firstLineChars="200"/>
        <w:rPr>
          <w:snapToGrid w:val="0"/>
          <w:color w:val="000000" w:themeColor="text1"/>
          <w:kern w:val="0"/>
          <w:sz w:val="24"/>
        </w:rPr>
      </w:pPr>
      <w:r>
        <w:rPr>
          <w:snapToGrid w:val="0"/>
          <w:color w:val="000000" w:themeColor="text1"/>
          <w:kern w:val="0"/>
          <w:sz w:val="24"/>
        </w:rPr>
        <w:t>（16）</w:t>
      </w:r>
      <w:r>
        <w:rPr>
          <w:color w:val="000000" w:themeColor="text1"/>
          <w:sz w:val="24"/>
        </w:rPr>
        <w:t>《危险废物转移联单管理办法》</w:t>
      </w:r>
      <w:r>
        <w:rPr>
          <w:rFonts w:hint="eastAsia"/>
          <w:color w:val="000000" w:themeColor="text1"/>
          <w:sz w:val="24"/>
        </w:rPr>
        <w:t>，</w:t>
      </w:r>
      <w:r>
        <w:rPr>
          <w:color w:val="000000" w:themeColor="text1"/>
          <w:sz w:val="24"/>
        </w:rPr>
        <w:t>1999</w:t>
      </w:r>
      <w:r>
        <w:rPr>
          <w:rFonts w:hint="eastAsia"/>
          <w:color w:val="000000" w:themeColor="text1"/>
          <w:sz w:val="24"/>
        </w:rPr>
        <w:t>年</w:t>
      </w:r>
      <w:r>
        <w:rPr>
          <w:color w:val="000000" w:themeColor="text1"/>
          <w:sz w:val="24"/>
        </w:rPr>
        <w:t>10</w:t>
      </w:r>
      <w:r>
        <w:rPr>
          <w:rFonts w:hint="eastAsia"/>
          <w:color w:val="000000" w:themeColor="text1"/>
          <w:sz w:val="24"/>
        </w:rPr>
        <w:t>月</w:t>
      </w:r>
      <w:r>
        <w:rPr>
          <w:color w:val="000000" w:themeColor="text1"/>
          <w:sz w:val="24"/>
        </w:rPr>
        <w:t>；</w:t>
      </w:r>
    </w:p>
    <w:p>
      <w:pPr>
        <w:adjustRightInd w:val="0"/>
        <w:snapToGrid w:val="0"/>
        <w:ind w:firstLine="480" w:firstLineChars="200"/>
        <w:rPr>
          <w:color w:val="000000" w:themeColor="text1"/>
          <w:sz w:val="24"/>
        </w:rPr>
      </w:pPr>
      <w:bookmarkStart w:id="60" w:name="_Toc465032736"/>
      <w:bookmarkStart w:id="61" w:name="_Toc448265086"/>
      <w:r>
        <w:rPr>
          <w:snapToGrid w:val="0"/>
          <w:color w:val="000000" w:themeColor="text1"/>
          <w:kern w:val="0"/>
          <w:sz w:val="24"/>
        </w:rPr>
        <w:t>（17）</w:t>
      </w:r>
      <w:bookmarkEnd w:id="60"/>
      <w:bookmarkEnd w:id="61"/>
      <w:r>
        <w:rPr>
          <w:color w:val="000000" w:themeColor="text1"/>
          <w:sz w:val="24"/>
        </w:rPr>
        <w:t>《关于病害动物无害化处理有关意见的复函》（环办函[2014]789号）；</w:t>
      </w:r>
    </w:p>
    <w:p>
      <w:pPr>
        <w:adjustRightInd w:val="0"/>
        <w:snapToGrid w:val="0"/>
        <w:ind w:firstLine="480" w:firstLineChars="200"/>
        <w:rPr>
          <w:color w:val="000000" w:themeColor="text1"/>
          <w:sz w:val="24"/>
        </w:rPr>
      </w:pPr>
      <w:r>
        <w:rPr>
          <w:snapToGrid w:val="0"/>
          <w:color w:val="000000" w:themeColor="text1"/>
          <w:kern w:val="0"/>
          <w:sz w:val="24"/>
        </w:rPr>
        <w:t>（18）</w:t>
      </w:r>
      <w:r>
        <w:rPr>
          <w:color w:val="000000" w:themeColor="text1"/>
          <w:sz w:val="24"/>
        </w:rPr>
        <w:t>《产业结构调整指导目录（2011年本）》（201</w:t>
      </w:r>
      <w:r>
        <w:rPr>
          <w:rFonts w:hint="eastAsia"/>
          <w:color w:val="000000" w:themeColor="text1"/>
          <w:sz w:val="24"/>
        </w:rPr>
        <w:t>3</w:t>
      </w:r>
      <w:r>
        <w:rPr>
          <w:color w:val="000000" w:themeColor="text1"/>
          <w:sz w:val="24"/>
        </w:rPr>
        <w:t>修正）；</w:t>
      </w:r>
    </w:p>
    <w:p>
      <w:pPr>
        <w:ind w:firstLine="480" w:firstLineChars="200"/>
        <w:rPr>
          <w:color w:val="000000" w:themeColor="text1"/>
          <w:sz w:val="24"/>
        </w:rPr>
      </w:pPr>
      <w:r>
        <w:rPr>
          <w:color w:val="000000" w:themeColor="text1"/>
          <w:sz w:val="24"/>
        </w:rPr>
        <w:t>（19）《畜禽规模养殖污染防治条例》国务院令第643号，2014</w:t>
      </w:r>
      <w:r>
        <w:rPr>
          <w:rFonts w:hint="eastAsia"/>
          <w:color w:val="000000" w:themeColor="text1"/>
          <w:sz w:val="24"/>
        </w:rPr>
        <w:t>年</w:t>
      </w:r>
      <w:r>
        <w:rPr>
          <w:color w:val="000000" w:themeColor="text1"/>
          <w:sz w:val="24"/>
        </w:rPr>
        <w:t>1</w:t>
      </w:r>
      <w:r>
        <w:rPr>
          <w:rFonts w:hint="eastAsia"/>
          <w:color w:val="000000" w:themeColor="text1"/>
          <w:sz w:val="24"/>
        </w:rPr>
        <w:t>月</w:t>
      </w:r>
      <w:r>
        <w:rPr>
          <w:color w:val="000000" w:themeColor="text1"/>
          <w:sz w:val="24"/>
        </w:rPr>
        <w:t>；</w:t>
      </w:r>
    </w:p>
    <w:p>
      <w:pPr>
        <w:adjustRightInd w:val="0"/>
        <w:snapToGrid w:val="0"/>
        <w:ind w:firstLine="480" w:firstLineChars="200"/>
        <w:rPr>
          <w:color w:val="000000" w:themeColor="text1"/>
          <w:sz w:val="24"/>
        </w:rPr>
      </w:pPr>
      <w:bookmarkStart w:id="62" w:name="_Toc448265087"/>
      <w:bookmarkStart w:id="63" w:name="_Toc465032737"/>
      <w:r>
        <w:rPr>
          <w:color w:val="000000" w:themeColor="text1"/>
          <w:sz w:val="24"/>
        </w:rPr>
        <w:t>（20）</w:t>
      </w:r>
      <w:bookmarkEnd w:id="62"/>
      <w:bookmarkEnd w:id="63"/>
      <w:r>
        <w:rPr>
          <w:color w:val="000000" w:themeColor="text1"/>
          <w:sz w:val="24"/>
        </w:rPr>
        <w:t>《关于加强环境影响评价管理防范环境风险的通知》国家环保总局环发[2005]152号；</w:t>
      </w:r>
    </w:p>
    <w:p>
      <w:pPr>
        <w:ind w:firstLine="480" w:firstLineChars="200"/>
        <w:rPr>
          <w:color w:val="000000" w:themeColor="text1"/>
          <w:sz w:val="24"/>
        </w:rPr>
      </w:pPr>
      <w:r>
        <w:rPr>
          <w:bCs/>
          <w:color w:val="000000" w:themeColor="text1"/>
          <w:sz w:val="24"/>
        </w:rPr>
        <w:t>（21）</w:t>
      </w:r>
      <w:r>
        <w:rPr>
          <w:color w:val="000000" w:themeColor="text1"/>
          <w:sz w:val="24"/>
        </w:rPr>
        <w:t>《畜禽养殖污染防治管理办法》（国家环保总局9号令 2001.5）</w:t>
      </w:r>
      <w:r>
        <w:rPr>
          <w:rFonts w:hint="eastAsia"/>
          <w:color w:val="000000" w:themeColor="text1"/>
          <w:sz w:val="24"/>
        </w:rPr>
        <w:t>；</w:t>
      </w:r>
    </w:p>
    <w:p>
      <w:pPr>
        <w:ind w:firstLine="480" w:firstLineChars="200"/>
        <w:rPr>
          <w:color w:val="000000" w:themeColor="text1"/>
          <w:sz w:val="24"/>
        </w:rPr>
      </w:pPr>
      <w:r>
        <w:rPr>
          <w:rFonts w:hint="eastAsia"/>
          <w:color w:val="000000" w:themeColor="text1"/>
          <w:sz w:val="24"/>
        </w:rPr>
        <w:t>（22）</w:t>
      </w:r>
      <w:r>
        <w:rPr>
          <w:color w:val="000000" w:themeColor="text1"/>
          <w:sz w:val="24"/>
        </w:rPr>
        <w:t>《畜禽养殖业污染防治技术政策》（国家环保部环发[2010]151号文），2010年12月；</w:t>
      </w:r>
    </w:p>
    <w:p>
      <w:pPr>
        <w:pStyle w:val="157"/>
        <w:adjustRightInd w:val="0"/>
        <w:snapToGrid w:val="0"/>
        <w:ind w:firstLineChars="0"/>
        <w:rPr>
          <w:rFonts w:ascii="Times New Roman" w:hAnsi="Times New Roman"/>
          <w:color w:val="000000" w:themeColor="text1"/>
          <w:sz w:val="24"/>
        </w:rPr>
      </w:pPr>
      <w:r>
        <w:rPr>
          <w:rFonts w:hint="eastAsia" w:ascii="Times New Roman" w:hAnsi="Times New Roman"/>
          <w:color w:val="000000" w:themeColor="text1"/>
          <w:sz w:val="24"/>
          <w:szCs w:val="24"/>
        </w:rPr>
        <w:t>（23）</w:t>
      </w:r>
      <w:r>
        <w:rPr>
          <w:rFonts w:ascii="Times New Roman" w:hAnsi="Times New Roman"/>
          <w:color w:val="000000" w:themeColor="text1"/>
          <w:sz w:val="24"/>
          <w:szCs w:val="24"/>
        </w:rPr>
        <w:t>《国家突发重大动物疫情应急预案》；</w:t>
      </w:r>
    </w:p>
    <w:p>
      <w:pPr>
        <w:pStyle w:val="157"/>
        <w:adjustRightInd w:val="0"/>
        <w:snapToGrid w:val="0"/>
        <w:ind w:firstLineChars="0"/>
        <w:rPr>
          <w:color w:val="000000" w:themeColor="text1"/>
          <w:sz w:val="24"/>
        </w:rPr>
      </w:pPr>
      <w:r>
        <w:rPr>
          <w:rFonts w:hint="eastAsia" w:ascii="Times New Roman" w:hAnsi="Times New Roman"/>
          <w:color w:val="000000" w:themeColor="text1"/>
          <w:sz w:val="24"/>
          <w:szCs w:val="24"/>
        </w:rPr>
        <w:t>（24）</w:t>
      </w:r>
      <w:r>
        <w:rPr>
          <w:rFonts w:ascii="Times New Roman" w:hAnsi="Times New Roman"/>
          <w:color w:val="000000" w:themeColor="text1"/>
          <w:sz w:val="24"/>
          <w:szCs w:val="24"/>
        </w:rPr>
        <w:t>《农业部关于加快推进畜禽标准化规模养殖的意见》（农牧发[2010]6号）</w:t>
      </w:r>
      <w:r>
        <w:rPr>
          <w:rFonts w:hint="eastAsia" w:ascii="Times New Roman" w:hAnsi="Times New Roman"/>
          <w:color w:val="000000" w:themeColor="text1"/>
          <w:sz w:val="24"/>
          <w:szCs w:val="24"/>
        </w:rPr>
        <w:t>。</w:t>
      </w:r>
    </w:p>
    <w:p>
      <w:pPr>
        <w:pStyle w:val="4"/>
        <w:adjustRightInd w:val="0"/>
        <w:snapToGrid w:val="0"/>
        <w:spacing w:before="0" w:after="0" w:line="360" w:lineRule="auto"/>
        <w:rPr>
          <w:color w:val="000000" w:themeColor="text1"/>
        </w:rPr>
      </w:pPr>
      <w:bookmarkStart w:id="64" w:name="_Toc510547254"/>
      <w:bookmarkStart w:id="65" w:name="_Toc504403776"/>
      <w:bookmarkStart w:id="66" w:name="_Toc506218029"/>
      <w:r>
        <w:rPr>
          <w:color w:val="000000" w:themeColor="text1"/>
        </w:rPr>
        <w:t>2.2.2地方相关环保法规</w:t>
      </w:r>
      <w:bookmarkEnd w:id="64"/>
      <w:bookmarkEnd w:id="65"/>
      <w:bookmarkEnd w:id="66"/>
    </w:p>
    <w:p>
      <w:pPr>
        <w:ind w:firstLine="482"/>
        <w:rPr>
          <w:color w:val="000000" w:themeColor="text1"/>
          <w:sz w:val="24"/>
        </w:rPr>
      </w:pPr>
      <w:r>
        <w:rPr>
          <w:color w:val="000000" w:themeColor="text1"/>
          <w:sz w:val="24"/>
        </w:rPr>
        <w:t>（1）《云南省大气污染防治行动实施方案》，云政发〔2014〕9号；</w:t>
      </w:r>
    </w:p>
    <w:p>
      <w:pPr>
        <w:adjustRightInd w:val="0"/>
        <w:snapToGrid w:val="0"/>
        <w:ind w:firstLine="480" w:firstLineChars="200"/>
        <w:rPr>
          <w:color w:val="000000" w:themeColor="text1"/>
          <w:sz w:val="24"/>
        </w:rPr>
      </w:pPr>
      <w:r>
        <w:rPr>
          <w:color w:val="000000" w:themeColor="text1"/>
          <w:sz w:val="24"/>
        </w:rPr>
        <w:t>（2）《云南省水污染防治工作方案》，云政发〔2016〕3号；</w:t>
      </w:r>
    </w:p>
    <w:p>
      <w:pPr>
        <w:adjustRightInd w:val="0"/>
        <w:snapToGrid w:val="0"/>
        <w:ind w:firstLine="480" w:firstLineChars="200"/>
        <w:rPr>
          <w:color w:val="000000" w:themeColor="text1"/>
          <w:sz w:val="24"/>
        </w:rPr>
      </w:pPr>
      <w:r>
        <w:rPr>
          <w:color w:val="000000" w:themeColor="text1"/>
          <w:sz w:val="24"/>
        </w:rPr>
        <w:t>（3）云南省人民政府令第105号《云南省建设项目环境保护管理规定》</w:t>
      </w:r>
      <w:r>
        <w:rPr>
          <w:rFonts w:hint="eastAsia"/>
          <w:color w:val="000000" w:themeColor="text1"/>
          <w:sz w:val="24"/>
        </w:rPr>
        <w:t>，</w:t>
      </w:r>
      <w:r>
        <w:rPr>
          <w:color w:val="000000" w:themeColor="text1"/>
          <w:sz w:val="24"/>
        </w:rPr>
        <w:t>2001年10月；</w:t>
      </w:r>
    </w:p>
    <w:p>
      <w:pPr>
        <w:adjustRightInd w:val="0"/>
        <w:snapToGrid w:val="0"/>
        <w:ind w:firstLine="480" w:firstLineChars="200"/>
        <w:rPr>
          <w:color w:val="000000" w:themeColor="text1"/>
          <w:sz w:val="24"/>
        </w:rPr>
      </w:pPr>
      <w:r>
        <w:rPr>
          <w:color w:val="000000" w:themeColor="text1"/>
          <w:sz w:val="24"/>
        </w:rPr>
        <w:t>（4）关于印发《云南省地表水水环境功能区划（2010-2020）》的通知，云环发[2014]34号；</w:t>
      </w:r>
    </w:p>
    <w:p>
      <w:pPr>
        <w:adjustRightInd w:val="0"/>
        <w:snapToGrid w:val="0"/>
        <w:ind w:firstLine="480" w:firstLineChars="200"/>
        <w:rPr>
          <w:color w:val="000000" w:themeColor="text1"/>
          <w:sz w:val="24"/>
        </w:rPr>
      </w:pPr>
      <w:r>
        <w:rPr>
          <w:rFonts w:hint="eastAsia"/>
          <w:color w:val="000000" w:themeColor="text1"/>
          <w:sz w:val="24"/>
        </w:rPr>
        <w:t>（5）《关于规模化畜禽养殖主要污染物减排量认定条件的函（云环函[2012]343号）》；</w:t>
      </w:r>
    </w:p>
    <w:p>
      <w:pPr>
        <w:pStyle w:val="157"/>
        <w:adjustRightInd w:val="0"/>
        <w:snapToGrid w:val="0"/>
        <w:ind w:firstLineChars="0"/>
        <w:rPr>
          <w:rFonts w:ascii="Times New Roman" w:hAnsi="Times New Roman"/>
          <w:color w:val="000000" w:themeColor="text1"/>
          <w:sz w:val="24"/>
        </w:rPr>
      </w:pPr>
      <w:r>
        <w:rPr>
          <w:rFonts w:hint="eastAsia" w:ascii="Times New Roman" w:hAnsi="Times New Roman"/>
          <w:color w:val="000000" w:themeColor="text1"/>
          <w:sz w:val="24"/>
          <w:szCs w:val="24"/>
        </w:rPr>
        <w:t>（6）</w:t>
      </w:r>
      <w:r>
        <w:rPr>
          <w:rFonts w:ascii="Times New Roman" w:hAnsi="Times New Roman"/>
          <w:color w:val="000000" w:themeColor="text1"/>
          <w:sz w:val="24"/>
          <w:szCs w:val="24"/>
        </w:rPr>
        <w:t>《</w:t>
      </w:r>
      <w:r>
        <w:rPr>
          <w:rFonts w:ascii="Times New Roman" w:hAnsi="Times New Roman"/>
          <w:bCs/>
          <w:color w:val="000000" w:themeColor="text1"/>
          <w:sz w:val="24"/>
          <w:szCs w:val="24"/>
        </w:rPr>
        <w:t>云南省高原特色现代农业产业发展规划（2016—2020年</w:t>
      </w:r>
      <w:r>
        <w:rPr>
          <w:rFonts w:ascii="Times New Roman" w:hAnsi="Times New Roman"/>
          <w:color w:val="000000" w:themeColor="text1"/>
          <w:sz w:val="24"/>
          <w:szCs w:val="24"/>
        </w:rPr>
        <w:t>》云政办发〔2017〕7号</w:t>
      </w:r>
      <w:r>
        <w:rPr>
          <w:rFonts w:hint="eastAsia" w:ascii="Times New Roman" w:hAnsi="Times New Roman"/>
          <w:bCs/>
          <w:color w:val="000000" w:themeColor="text1"/>
          <w:sz w:val="24"/>
          <w:szCs w:val="24"/>
        </w:rPr>
        <w:t>，</w:t>
      </w:r>
      <w:r>
        <w:rPr>
          <w:rFonts w:ascii="Times New Roman" w:hAnsi="Times New Roman"/>
          <w:bCs/>
          <w:color w:val="000000" w:themeColor="text1"/>
          <w:sz w:val="24"/>
          <w:szCs w:val="24"/>
        </w:rPr>
        <w:t>2017年1月13号；</w:t>
      </w:r>
    </w:p>
    <w:p>
      <w:pPr>
        <w:pStyle w:val="157"/>
        <w:adjustRightInd w:val="0"/>
        <w:snapToGrid w:val="0"/>
        <w:ind w:firstLineChars="0"/>
        <w:rPr>
          <w:rFonts w:ascii="Times New Roman" w:hAnsi="Times New Roman"/>
          <w:color w:val="000000" w:themeColor="text1"/>
          <w:sz w:val="24"/>
          <w:szCs w:val="24"/>
        </w:rPr>
      </w:pPr>
      <w:r>
        <w:rPr>
          <w:rFonts w:hint="eastAsia" w:ascii="Times New Roman" w:hAnsi="Times New Roman"/>
          <w:bCs/>
          <w:color w:val="000000" w:themeColor="text1"/>
          <w:sz w:val="24"/>
          <w:szCs w:val="24"/>
        </w:rPr>
        <w:t>（7）</w:t>
      </w:r>
      <w:r>
        <w:rPr>
          <w:rFonts w:ascii="Times New Roman" w:hAnsi="Times New Roman"/>
          <w:bCs/>
          <w:color w:val="000000" w:themeColor="text1"/>
          <w:sz w:val="24"/>
          <w:szCs w:val="24"/>
        </w:rPr>
        <w:t>《进一步促进畜牧业标准化生产保障城市有效供给的意见》</w:t>
      </w:r>
      <w:r>
        <w:rPr>
          <w:rFonts w:hint="eastAsia" w:ascii="Times New Roman" w:hAnsi="Times New Roman"/>
          <w:bCs/>
          <w:color w:val="000000" w:themeColor="text1"/>
          <w:sz w:val="24"/>
          <w:szCs w:val="24"/>
        </w:rPr>
        <w:t>，</w:t>
      </w:r>
      <w:r>
        <w:rPr>
          <w:rFonts w:ascii="Times New Roman" w:hAnsi="Times New Roman"/>
          <w:bCs/>
          <w:color w:val="000000" w:themeColor="text1"/>
          <w:sz w:val="24"/>
          <w:szCs w:val="24"/>
        </w:rPr>
        <w:t>2012年2月23日</w:t>
      </w:r>
      <w:r>
        <w:rPr>
          <w:rFonts w:hint="eastAsia" w:ascii="Times New Roman" w:hAnsi="Times New Roman"/>
          <w:color w:val="000000" w:themeColor="text1"/>
          <w:sz w:val="24"/>
          <w:szCs w:val="24"/>
        </w:rPr>
        <w:t>；</w:t>
      </w:r>
    </w:p>
    <w:p>
      <w:pPr>
        <w:pStyle w:val="157"/>
        <w:adjustRightInd w:val="0"/>
        <w:snapToGrid w:val="0"/>
        <w:ind w:firstLine="480"/>
        <w:rPr>
          <w:rFonts w:ascii="Times New Roman" w:hAnsi="Times New Roman"/>
          <w:color w:val="000000" w:themeColor="text1"/>
          <w:sz w:val="24"/>
          <w:szCs w:val="24"/>
        </w:rPr>
      </w:pPr>
      <w:r>
        <w:rPr>
          <w:rFonts w:hint="eastAsia" w:ascii="Times New Roman" w:hAnsi="Times New Roman"/>
          <w:color w:val="000000" w:themeColor="text1"/>
          <w:sz w:val="24"/>
          <w:szCs w:val="24"/>
        </w:rPr>
        <w:t>（8）《玉溪市人民政府办公室关于印发玉溪市大气污染防治行动实施方案的通知》，2016年6月；</w:t>
      </w:r>
    </w:p>
    <w:p>
      <w:pPr>
        <w:adjustRightInd w:val="0"/>
        <w:snapToGrid w:val="0"/>
        <w:ind w:firstLine="480" w:firstLineChars="200"/>
        <w:rPr>
          <w:color w:val="000000" w:themeColor="text1"/>
          <w:sz w:val="24"/>
        </w:rPr>
      </w:pPr>
      <w:r>
        <w:rPr>
          <w:color w:val="000000" w:themeColor="text1"/>
          <w:sz w:val="24"/>
        </w:rPr>
        <w:t>（</w:t>
      </w:r>
      <w:r>
        <w:rPr>
          <w:rFonts w:hint="eastAsia"/>
          <w:color w:val="000000" w:themeColor="text1"/>
          <w:sz w:val="24"/>
        </w:rPr>
        <w:t>9</w:t>
      </w:r>
      <w:r>
        <w:rPr>
          <w:color w:val="000000" w:themeColor="text1"/>
          <w:sz w:val="24"/>
        </w:rPr>
        <w:t>）《</w:t>
      </w:r>
      <w:r>
        <w:rPr>
          <w:rFonts w:hint="eastAsia"/>
          <w:color w:val="000000" w:themeColor="text1"/>
          <w:sz w:val="24"/>
        </w:rPr>
        <w:t>玉溪市人民政府关于印发玉溪市水污染防治工作方案的通知》（玉政办发[2016]109号）；</w:t>
      </w:r>
    </w:p>
    <w:p>
      <w:pPr>
        <w:adjustRightInd w:val="0"/>
        <w:snapToGrid w:val="0"/>
        <w:ind w:firstLine="480" w:firstLineChars="200"/>
        <w:rPr>
          <w:color w:val="000000" w:themeColor="text1"/>
          <w:sz w:val="24"/>
        </w:rPr>
      </w:pPr>
      <w:r>
        <w:rPr>
          <w:rFonts w:hint="eastAsia"/>
          <w:color w:val="000000" w:themeColor="text1"/>
          <w:sz w:val="24"/>
        </w:rPr>
        <w:t>（10）《关于印发玉溪市土壤污染防治工作方案的通知》，玉政办通〔2017〕44号；</w:t>
      </w:r>
    </w:p>
    <w:p>
      <w:pPr>
        <w:adjustRightInd w:val="0"/>
        <w:snapToGrid w:val="0"/>
        <w:ind w:firstLine="480" w:firstLineChars="200"/>
        <w:rPr>
          <w:color w:val="000000" w:themeColor="text1"/>
          <w:sz w:val="24"/>
        </w:rPr>
      </w:pPr>
      <w:r>
        <w:rPr>
          <w:rFonts w:hint="eastAsia"/>
          <w:color w:val="000000" w:themeColor="text1"/>
          <w:sz w:val="24"/>
        </w:rPr>
        <w:t>（11）《新平县畜禽养殖禁养区限养区划定方案》（新政规[2018]1号）。</w:t>
      </w:r>
    </w:p>
    <w:p>
      <w:pPr>
        <w:pStyle w:val="4"/>
        <w:adjustRightInd w:val="0"/>
        <w:snapToGrid w:val="0"/>
        <w:spacing w:before="0" w:after="0" w:line="360" w:lineRule="auto"/>
        <w:rPr>
          <w:color w:val="000000" w:themeColor="text1"/>
        </w:rPr>
      </w:pPr>
      <w:bookmarkStart w:id="67" w:name="_Toc504403777"/>
      <w:bookmarkStart w:id="68" w:name="_Toc510547255"/>
      <w:bookmarkStart w:id="69" w:name="_Toc506218030"/>
      <w:r>
        <w:rPr>
          <w:color w:val="000000" w:themeColor="text1"/>
        </w:rPr>
        <w:t>2.2.3相关导则及技术规范</w:t>
      </w:r>
      <w:bookmarkEnd w:id="67"/>
      <w:bookmarkEnd w:id="68"/>
      <w:bookmarkEnd w:id="69"/>
    </w:p>
    <w:p>
      <w:pPr>
        <w:adjustRightInd w:val="0"/>
        <w:snapToGrid w:val="0"/>
        <w:ind w:firstLine="480" w:firstLineChars="200"/>
        <w:textAlignment w:val="baseline"/>
        <w:rPr>
          <w:color w:val="000000" w:themeColor="text1"/>
          <w:sz w:val="24"/>
        </w:rPr>
      </w:pPr>
      <w:r>
        <w:rPr>
          <w:color w:val="000000" w:themeColor="text1"/>
          <w:sz w:val="24"/>
        </w:rPr>
        <w:t>（1）《</w:t>
      </w:r>
      <w:r>
        <w:rPr>
          <w:rFonts w:hint="eastAsia"/>
          <w:color w:val="000000" w:themeColor="text1"/>
          <w:sz w:val="24"/>
        </w:rPr>
        <w:t>建设项目环境影响评价技术导则</w:t>
      </w:r>
      <w:r>
        <w:rPr>
          <w:color w:val="000000" w:themeColor="text1"/>
          <w:sz w:val="24"/>
        </w:rPr>
        <w:t>-总纲》（HJ2.l-201</w:t>
      </w:r>
      <w:r>
        <w:rPr>
          <w:rFonts w:hint="eastAsia"/>
          <w:color w:val="000000" w:themeColor="text1"/>
          <w:sz w:val="24"/>
        </w:rPr>
        <w:t>6</w:t>
      </w:r>
      <w:r>
        <w:rPr>
          <w:color w:val="000000" w:themeColor="text1"/>
          <w:sz w:val="24"/>
        </w:rPr>
        <w:t>）；</w:t>
      </w:r>
    </w:p>
    <w:p>
      <w:pPr>
        <w:adjustRightInd w:val="0"/>
        <w:snapToGrid w:val="0"/>
        <w:ind w:firstLine="480" w:firstLineChars="200"/>
        <w:textAlignment w:val="baseline"/>
        <w:rPr>
          <w:color w:val="000000" w:themeColor="text1"/>
          <w:sz w:val="24"/>
        </w:rPr>
      </w:pPr>
      <w:r>
        <w:rPr>
          <w:color w:val="000000" w:themeColor="text1"/>
          <w:sz w:val="24"/>
        </w:rPr>
        <w:t>（2）《环境影响评价技术导则-大气环境》（HJ2.2-20</w:t>
      </w:r>
      <w:r>
        <w:rPr>
          <w:rFonts w:hint="eastAsia"/>
          <w:color w:val="000000" w:themeColor="text1"/>
          <w:sz w:val="24"/>
        </w:rPr>
        <w:t>1</w:t>
      </w:r>
      <w:r>
        <w:rPr>
          <w:color w:val="000000" w:themeColor="text1"/>
          <w:sz w:val="24"/>
        </w:rPr>
        <w:t>8）；</w:t>
      </w:r>
    </w:p>
    <w:p>
      <w:pPr>
        <w:adjustRightInd w:val="0"/>
        <w:snapToGrid w:val="0"/>
        <w:ind w:firstLine="480" w:firstLineChars="200"/>
        <w:textAlignment w:val="baseline"/>
        <w:rPr>
          <w:color w:val="000000" w:themeColor="text1"/>
          <w:sz w:val="24"/>
        </w:rPr>
      </w:pPr>
      <w:r>
        <w:rPr>
          <w:color w:val="000000" w:themeColor="text1"/>
          <w:sz w:val="24"/>
        </w:rPr>
        <w:t>（3）《环境影响评价技术导则-地</w:t>
      </w:r>
      <w:r>
        <w:rPr>
          <w:rFonts w:hint="eastAsia"/>
          <w:color w:val="000000" w:themeColor="text1"/>
          <w:sz w:val="24"/>
        </w:rPr>
        <w:t>表</w:t>
      </w:r>
      <w:r>
        <w:rPr>
          <w:color w:val="000000" w:themeColor="text1"/>
          <w:sz w:val="24"/>
        </w:rPr>
        <w:t>水环境》（HJ/T2.3-93）；</w:t>
      </w:r>
    </w:p>
    <w:p>
      <w:pPr>
        <w:adjustRightInd w:val="0"/>
        <w:snapToGrid w:val="0"/>
        <w:ind w:firstLine="480" w:firstLineChars="200"/>
        <w:textAlignment w:val="baseline"/>
        <w:rPr>
          <w:color w:val="000000" w:themeColor="text1"/>
          <w:sz w:val="24"/>
        </w:rPr>
      </w:pPr>
      <w:r>
        <w:rPr>
          <w:color w:val="000000" w:themeColor="text1"/>
          <w:sz w:val="24"/>
        </w:rPr>
        <w:t>（4）《环境影环境影响评价技术导则-地下水环境》（HJ610-201</w:t>
      </w:r>
      <w:r>
        <w:rPr>
          <w:rFonts w:hint="eastAsia"/>
          <w:color w:val="000000" w:themeColor="text1"/>
          <w:sz w:val="24"/>
        </w:rPr>
        <w:t>6</w:t>
      </w:r>
      <w:r>
        <w:rPr>
          <w:color w:val="000000" w:themeColor="text1"/>
          <w:sz w:val="24"/>
        </w:rPr>
        <w:t>）；</w:t>
      </w:r>
    </w:p>
    <w:p>
      <w:pPr>
        <w:adjustRightInd w:val="0"/>
        <w:snapToGrid w:val="0"/>
        <w:ind w:firstLine="480" w:firstLineChars="200"/>
        <w:textAlignment w:val="baseline"/>
        <w:rPr>
          <w:color w:val="000000" w:themeColor="text1"/>
          <w:sz w:val="24"/>
        </w:rPr>
      </w:pPr>
      <w:r>
        <w:rPr>
          <w:color w:val="000000" w:themeColor="text1"/>
          <w:sz w:val="24"/>
        </w:rPr>
        <w:t>（5）《环境影响评价技术导则-声环境》（HJ2.4-2009）；</w:t>
      </w:r>
    </w:p>
    <w:p>
      <w:pPr>
        <w:adjustRightInd w:val="0"/>
        <w:snapToGrid w:val="0"/>
        <w:ind w:firstLine="480" w:firstLineChars="200"/>
        <w:textAlignment w:val="baseline"/>
        <w:rPr>
          <w:color w:val="000000" w:themeColor="text1"/>
          <w:sz w:val="24"/>
        </w:rPr>
      </w:pPr>
      <w:r>
        <w:rPr>
          <w:color w:val="000000" w:themeColor="text1"/>
          <w:sz w:val="24"/>
        </w:rPr>
        <w:t>（6）《环境影响评价技术导则-生态影响》（HJ19-2011）；</w:t>
      </w:r>
    </w:p>
    <w:p>
      <w:pPr>
        <w:adjustRightInd w:val="0"/>
        <w:snapToGrid w:val="0"/>
        <w:ind w:firstLine="480" w:firstLineChars="200"/>
        <w:rPr>
          <w:color w:val="000000" w:themeColor="text1"/>
          <w:sz w:val="24"/>
        </w:rPr>
      </w:pPr>
      <w:r>
        <w:rPr>
          <w:color w:val="000000" w:themeColor="text1"/>
          <w:sz w:val="24"/>
        </w:rPr>
        <w:t>（7）《建设项目环境风险评价技术导则》（HJ/T169-2004）</w:t>
      </w:r>
      <w:r>
        <w:rPr>
          <w:rFonts w:hint="eastAsia"/>
          <w:color w:val="000000" w:themeColor="text1"/>
          <w:sz w:val="24"/>
        </w:rPr>
        <w:t>；</w:t>
      </w:r>
      <w:r>
        <w:rPr>
          <w:color w:val="000000" w:themeColor="text1"/>
          <w:sz w:val="24"/>
        </w:rPr>
        <w:t>；</w:t>
      </w:r>
    </w:p>
    <w:p>
      <w:pPr>
        <w:adjustRightInd w:val="0"/>
        <w:snapToGrid w:val="0"/>
        <w:ind w:firstLine="480" w:firstLineChars="200"/>
        <w:rPr>
          <w:color w:val="000000" w:themeColor="text1"/>
          <w:sz w:val="24"/>
        </w:rPr>
      </w:pPr>
      <w:r>
        <w:rPr>
          <w:color w:val="000000" w:themeColor="text1"/>
          <w:sz w:val="24"/>
        </w:rPr>
        <w:t>（8）《畜禽养殖业污染防治技术规范》（HJ/T81-2001）；</w:t>
      </w:r>
    </w:p>
    <w:p>
      <w:pPr>
        <w:pStyle w:val="12"/>
        <w:ind w:firstLine="480" w:firstLineChars="200"/>
        <w:jc w:val="both"/>
        <w:rPr>
          <w:color w:val="000000" w:themeColor="text1"/>
          <w:sz w:val="24"/>
        </w:rPr>
      </w:pPr>
      <w:r>
        <w:rPr>
          <w:color w:val="000000" w:themeColor="text1"/>
          <w:sz w:val="24"/>
        </w:rPr>
        <w:t>（</w:t>
      </w:r>
      <w:r>
        <w:rPr>
          <w:rFonts w:hint="eastAsia"/>
          <w:color w:val="000000" w:themeColor="text1"/>
          <w:sz w:val="24"/>
        </w:rPr>
        <w:t>9</w:t>
      </w:r>
      <w:r>
        <w:rPr>
          <w:color w:val="000000" w:themeColor="text1"/>
          <w:sz w:val="24"/>
        </w:rPr>
        <w:t>）《云南省地方标准用水定额》（DB53/T168-2013）；</w:t>
      </w:r>
    </w:p>
    <w:p>
      <w:pPr>
        <w:adjustRightInd w:val="0"/>
        <w:snapToGrid w:val="0"/>
        <w:ind w:left="479" w:leftChars="228"/>
        <w:rPr>
          <w:color w:val="000000" w:themeColor="text1"/>
          <w:sz w:val="24"/>
        </w:rPr>
      </w:pPr>
      <w:r>
        <w:rPr>
          <w:color w:val="000000" w:themeColor="text1"/>
          <w:sz w:val="24"/>
        </w:rPr>
        <w:t>（1</w:t>
      </w:r>
      <w:r>
        <w:rPr>
          <w:rFonts w:hint="eastAsia"/>
          <w:color w:val="000000" w:themeColor="text1"/>
          <w:sz w:val="24"/>
        </w:rPr>
        <w:t>0</w:t>
      </w:r>
      <w:r>
        <w:rPr>
          <w:color w:val="000000" w:themeColor="text1"/>
          <w:sz w:val="24"/>
        </w:rPr>
        <w:t>）《畜禽病害肉尸及其产品无害化处理规程》（GB16548-1996）；</w:t>
      </w:r>
    </w:p>
    <w:p>
      <w:pPr>
        <w:adjustRightInd w:val="0"/>
        <w:snapToGrid w:val="0"/>
        <w:ind w:left="479" w:leftChars="228"/>
        <w:rPr>
          <w:color w:val="000000" w:themeColor="text1"/>
          <w:sz w:val="24"/>
        </w:rPr>
      </w:pPr>
      <w:r>
        <w:rPr>
          <w:color w:val="000000" w:themeColor="text1"/>
          <w:sz w:val="24"/>
        </w:rPr>
        <w:t>（1</w:t>
      </w:r>
      <w:r>
        <w:rPr>
          <w:rFonts w:hint="eastAsia"/>
          <w:color w:val="000000" w:themeColor="text1"/>
          <w:sz w:val="24"/>
        </w:rPr>
        <w:t>1</w:t>
      </w:r>
      <w:r>
        <w:rPr>
          <w:color w:val="000000" w:themeColor="text1"/>
          <w:sz w:val="24"/>
        </w:rPr>
        <w:t>）《畜禽养殖产地环境评价规范》</w:t>
      </w:r>
      <w:r>
        <w:rPr>
          <w:rFonts w:hint="eastAsia"/>
          <w:color w:val="000000" w:themeColor="text1"/>
          <w:sz w:val="24"/>
        </w:rPr>
        <w:t>（</w:t>
      </w:r>
      <w:r>
        <w:rPr>
          <w:color w:val="000000" w:themeColor="text1"/>
          <w:sz w:val="24"/>
        </w:rPr>
        <w:t>HJ568-2010</w:t>
      </w:r>
      <w:r>
        <w:rPr>
          <w:rFonts w:hint="eastAsia"/>
          <w:color w:val="000000" w:themeColor="text1"/>
          <w:sz w:val="24"/>
        </w:rPr>
        <w:t>）</w:t>
      </w:r>
      <w:r>
        <w:rPr>
          <w:color w:val="000000" w:themeColor="text1"/>
          <w:sz w:val="24"/>
        </w:rPr>
        <w:t>；</w:t>
      </w:r>
    </w:p>
    <w:p>
      <w:pPr>
        <w:adjustRightInd w:val="0"/>
        <w:snapToGrid w:val="0"/>
        <w:ind w:firstLine="480" w:firstLineChars="200"/>
        <w:rPr>
          <w:color w:val="000000" w:themeColor="text1"/>
          <w:sz w:val="24"/>
        </w:rPr>
      </w:pPr>
      <w:r>
        <w:rPr>
          <w:color w:val="000000" w:themeColor="text1"/>
          <w:sz w:val="24"/>
        </w:rPr>
        <w:t>（1</w:t>
      </w:r>
      <w:r>
        <w:rPr>
          <w:rFonts w:hint="eastAsia"/>
          <w:color w:val="000000" w:themeColor="text1"/>
          <w:sz w:val="24"/>
        </w:rPr>
        <w:t>2</w:t>
      </w:r>
      <w:r>
        <w:rPr>
          <w:color w:val="000000" w:themeColor="text1"/>
          <w:sz w:val="24"/>
        </w:rPr>
        <w:t>）《病害动物和病害动物产品生物安全处理规程》（GB16548-2006）</w:t>
      </w:r>
    </w:p>
    <w:p>
      <w:pPr>
        <w:adjustRightInd w:val="0"/>
        <w:snapToGrid w:val="0"/>
        <w:ind w:firstLine="480" w:firstLineChars="200"/>
        <w:rPr>
          <w:color w:val="000000" w:themeColor="text1"/>
          <w:sz w:val="24"/>
        </w:rPr>
      </w:pPr>
      <w:r>
        <w:rPr>
          <w:color w:val="000000" w:themeColor="text1"/>
          <w:sz w:val="24"/>
        </w:rPr>
        <w:t>（1</w:t>
      </w:r>
      <w:r>
        <w:rPr>
          <w:rFonts w:hint="eastAsia"/>
          <w:color w:val="000000" w:themeColor="text1"/>
          <w:sz w:val="24"/>
        </w:rPr>
        <w:t>3</w:t>
      </w:r>
      <w:r>
        <w:rPr>
          <w:color w:val="000000" w:themeColor="text1"/>
          <w:sz w:val="24"/>
        </w:rPr>
        <w:t>）《危险废物收集储存运输技术规范》（HJ2025-2012）；</w:t>
      </w:r>
    </w:p>
    <w:p>
      <w:pPr>
        <w:adjustRightInd w:val="0"/>
        <w:snapToGrid w:val="0"/>
        <w:ind w:firstLine="480" w:firstLineChars="200"/>
        <w:rPr>
          <w:color w:val="000000" w:themeColor="text1"/>
          <w:sz w:val="24"/>
        </w:rPr>
      </w:pPr>
      <w:r>
        <w:rPr>
          <w:color w:val="000000" w:themeColor="text1"/>
          <w:sz w:val="24"/>
        </w:rPr>
        <w:t>（1</w:t>
      </w:r>
      <w:r>
        <w:rPr>
          <w:rFonts w:hint="eastAsia"/>
          <w:color w:val="000000" w:themeColor="text1"/>
          <w:sz w:val="24"/>
        </w:rPr>
        <w:t>4</w:t>
      </w:r>
      <w:r>
        <w:rPr>
          <w:color w:val="000000" w:themeColor="text1"/>
          <w:sz w:val="24"/>
        </w:rPr>
        <w:t>）《畜禽粪便无害化处理技术规范》（NY/T1168-2006）；</w:t>
      </w:r>
    </w:p>
    <w:p>
      <w:pPr>
        <w:adjustRightInd w:val="0"/>
        <w:snapToGrid w:val="0"/>
        <w:ind w:firstLine="480" w:firstLineChars="200"/>
        <w:rPr>
          <w:color w:val="000000" w:themeColor="text1"/>
          <w:sz w:val="24"/>
        </w:rPr>
      </w:pPr>
      <w:r>
        <w:rPr>
          <w:color w:val="000000" w:themeColor="text1"/>
          <w:sz w:val="24"/>
        </w:rPr>
        <w:t>（1</w:t>
      </w:r>
      <w:r>
        <w:rPr>
          <w:rFonts w:hint="eastAsia"/>
          <w:color w:val="000000" w:themeColor="text1"/>
          <w:sz w:val="24"/>
        </w:rPr>
        <w:t>5</w:t>
      </w:r>
      <w:r>
        <w:rPr>
          <w:color w:val="000000" w:themeColor="text1"/>
          <w:sz w:val="24"/>
        </w:rPr>
        <w:t>）《畜禽场环境质量及卫生控制规范》（NY/T1167）</w:t>
      </w:r>
    </w:p>
    <w:p>
      <w:pPr>
        <w:pStyle w:val="157"/>
        <w:adjustRightInd w:val="0"/>
        <w:snapToGrid w:val="0"/>
        <w:ind w:firstLine="480"/>
        <w:rPr>
          <w:rFonts w:ascii="Times New Roman" w:hAnsi="Times New Roman"/>
          <w:color w:val="000000" w:themeColor="text1"/>
          <w:sz w:val="24"/>
        </w:rPr>
      </w:pPr>
      <w:r>
        <w:rPr>
          <w:rFonts w:ascii="Times New Roman" w:hAnsi="Times New Roman"/>
          <w:color w:val="000000" w:themeColor="text1"/>
          <w:sz w:val="24"/>
        </w:rPr>
        <w:t>（1</w:t>
      </w:r>
      <w:r>
        <w:rPr>
          <w:rFonts w:hint="eastAsia" w:ascii="Times New Roman" w:hAnsi="Times New Roman"/>
          <w:color w:val="000000" w:themeColor="text1"/>
          <w:sz w:val="24"/>
        </w:rPr>
        <w:t>6</w:t>
      </w:r>
      <w:r>
        <w:rPr>
          <w:rFonts w:ascii="Times New Roman" w:hAnsi="Times New Roman"/>
          <w:color w:val="000000" w:themeColor="text1"/>
          <w:sz w:val="24"/>
        </w:rPr>
        <w:t>）《第一次全国污染源普查畜禽养殖业源产排污系数手册》（2009年2月）；</w:t>
      </w:r>
    </w:p>
    <w:p>
      <w:pPr>
        <w:pStyle w:val="157"/>
        <w:adjustRightInd w:val="0"/>
        <w:snapToGrid w:val="0"/>
        <w:ind w:firstLine="480"/>
        <w:rPr>
          <w:rFonts w:ascii="Times New Roman" w:hAnsi="Times New Roman"/>
          <w:color w:val="000000" w:themeColor="text1"/>
          <w:sz w:val="24"/>
        </w:rPr>
      </w:pPr>
      <w:r>
        <w:rPr>
          <w:rFonts w:ascii="Times New Roman" w:hAnsi="Times New Roman"/>
          <w:color w:val="000000" w:themeColor="text1"/>
          <w:sz w:val="24"/>
        </w:rPr>
        <w:t>（</w:t>
      </w:r>
      <w:r>
        <w:rPr>
          <w:rFonts w:hint="eastAsia" w:ascii="Times New Roman" w:hAnsi="Times New Roman"/>
          <w:color w:val="000000" w:themeColor="text1"/>
          <w:sz w:val="24"/>
        </w:rPr>
        <w:t>17</w:t>
      </w:r>
      <w:r>
        <w:rPr>
          <w:rFonts w:ascii="Times New Roman" w:hAnsi="Times New Roman"/>
          <w:color w:val="000000" w:themeColor="text1"/>
          <w:sz w:val="24"/>
        </w:rPr>
        <w:t>）《畜禽粪便还田技术规范》（GB/T25246-2010）；</w:t>
      </w:r>
    </w:p>
    <w:p>
      <w:pPr>
        <w:pStyle w:val="157"/>
        <w:adjustRightInd w:val="0"/>
        <w:snapToGrid w:val="0"/>
        <w:ind w:firstLine="480"/>
        <w:rPr>
          <w:rFonts w:ascii="Times New Roman" w:hAnsi="Times New Roman"/>
          <w:color w:val="000000" w:themeColor="text1"/>
          <w:sz w:val="24"/>
        </w:rPr>
      </w:pPr>
      <w:r>
        <w:rPr>
          <w:rFonts w:ascii="Times New Roman" w:hAnsi="Times New Roman"/>
          <w:color w:val="000000" w:themeColor="text1"/>
          <w:sz w:val="24"/>
        </w:rPr>
        <w:t>（</w:t>
      </w:r>
      <w:r>
        <w:rPr>
          <w:rFonts w:hint="eastAsia" w:ascii="Times New Roman" w:hAnsi="Times New Roman"/>
          <w:color w:val="000000" w:themeColor="text1"/>
          <w:sz w:val="24"/>
        </w:rPr>
        <w:t>18</w:t>
      </w:r>
      <w:r>
        <w:rPr>
          <w:rFonts w:ascii="Times New Roman" w:hAnsi="Times New Roman"/>
          <w:color w:val="000000" w:themeColor="text1"/>
          <w:sz w:val="24"/>
        </w:rPr>
        <w:t>）《畜禽粪便农田利用环境影响评价准则》（GB/T26622-2011）。</w:t>
      </w:r>
    </w:p>
    <w:p>
      <w:pPr>
        <w:pStyle w:val="4"/>
        <w:adjustRightInd w:val="0"/>
        <w:snapToGrid w:val="0"/>
        <w:spacing w:before="0" w:after="0" w:line="360" w:lineRule="auto"/>
        <w:rPr>
          <w:color w:val="000000" w:themeColor="text1"/>
        </w:rPr>
      </w:pPr>
      <w:bookmarkStart w:id="70" w:name="_Toc506218031"/>
      <w:bookmarkStart w:id="71" w:name="_Toc504403778"/>
      <w:bookmarkStart w:id="72" w:name="_Toc510547256"/>
      <w:r>
        <w:rPr>
          <w:color w:val="000000" w:themeColor="text1"/>
        </w:rPr>
        <w:t>2.2.4其他相关文件</w:t>
      </w:r>
      <w:bookmarkEnd w:id="70"/>
      <w:bookmarkEnd w:id="71"/>
      <w:bookmarkEnd w:id="72"/>
    </w:p>
    <w:p>
      <w:pPr>
        <w:adjustRightInd w:val="0"/>
        <w:snapToGrid w:val="0"/>
        <w:ind w:firstLine="480" w:firstLineChars="200"/>
        <w:jc w:val="left"/>
        <w:rPr>
          <w:color w:val="000000" w:themeColor="text1"/>
          <w:sz w:val="24"/>
        </w:rPr>
      </w:pPr>
      <w:r>
        <w:rPr>
          <w:color w:val="000000" w:themeColor="text1"/>
          <w:sz w:val="24"/>
        </w:rPr>
        <w:t>（1）投资项目备案证；</w:t>
      </w:r>
    </w:p>
    <w:p>
      <w:pPr>
        <w:tabs>
          <w:tab w:val="left" w:pos="540"/>
        </w:tabs>
        <w:adjustRightInd w:val="0"/>
        <w:snapToGrid w:val="0"/>
        <w:ind w:firstLine="480" w:firstLineChars="200"/>
        <w:rPr>
          <w:color w:val="000000" w:themeColor="text1"/>
          <w:kern w:val="0"/>
          <w:sz w:val="24"/>
        </w:rPr>
      </w:pPr>
      <w:r>
        <w:rPr>
          <w:color w:val="000000" w:themeColor="text1"/>
          <w:kern w:val="0"/>
          <w:sz w:val="24"/>
        </w:rPr>
        <w:t>（2）</w:t>
      </w:r>
      <w:r>
        <w:rPr>
          <w:rFonts w:hint="eastAsia"/>
          <w:color w:val="000000" w:themeColor="text1"/>
          <w:kern w:val="0"/>
          <w:sz w:val="24"/>
        </w:rPr>
        <w:t>设施农用地实地踏勘表</w:t>
      </w:r>
      <w:r>
        <w:rPr>
          <w:color w:val="000000" w:themeColor="text1"/>
          <w:kern w:val="0"/>
          <w:sz w:val="24"/>
        </w:rPr>
        <w:t>；</w:t>
      </w:r>
    </w:p>
    <w:p>
      <w:pPr>
        <w:tabs>
          <w:tab w:val="left" w:pos="540"/>
        </w:tabs>
        <w:adjustRightInd w:val="0"/>
        <w:snapToGrid w:val="0"/>
        <w:ind w:firstLine="480" w:firstLineChars="200"/>
        <w:rPr>
          <w:color w:val="000000" w:themeColor="text1"/>
          <w:kern w:val="0"/>
          <w:sz w:val="24"/>
        </w:rPr>
      </w:pPr>
      <w:r>
        <w:rPr>
          <w:rFonts w:hint="eastAsia"/>
          <w:color w:val="000000" w:themeColor="text1"/>
          <w:kern w:val="0"/>
          <w:sz w:val="24"/>
        </w:rPr>
        <w:t>（3）设施农用地备案表；</w:t>
      </w:r>
    </w:p>
    <w:p>
      <w:pPr>
        <w:tabs>
          <w:tab w:val="left" w:pos="540"/>
        </w:tabs>
        <w:adjustRightInd w:val="0"/>
        <w:snapToGrid w:val="0"/>
        <w:ind w:firstLine="480" w:firstLineChars="200"/>
        <w:rPr>
          <w:color w:val="000000" w:themeColor="text1"/>
          <w:kern w:val="0"/>
          <w:sz w:val="24"/>
        </w:rPr>
      </w:pPr>
      <w:r>
        <w:rPr>
          <w:color w:val="000000" w:themeColor="text1"/>
          <w:sz w:val="24"/>
        </w:rPr>
        <w:t>（</w:t>
      </w:r>
      <w:r>
        <w:rPr>
          <w:rFonts w:hint="eastAsia"/>
          <w:color w:val="000000" w:themeColor="text1"/>
          <w:kern w:val="0"/>
          <w:sz w:val="24"/>
        </w:rPr>
        <w:t>4</w:t>
      </w:r>
      <w:r>
        <w:rPr>
          <w:color w:val="000000" w:themeColor="text1"/>
          <w:kern w:val="0"/>
          <w:sz w:val="24"/>
        </w:rPr>
        <w:t>）租地合同；</w:t>
      </w:r>
    </w:p>
    <w:p>
      <w:pPr>
        <w:adjustRightInd w:val="0"/>
        <w:snapToGrid w:val="0"/>
        <w:ind w:firstLine="480" w:firstLineChars="200"/>
        <w:rPr>
          <w:color w:val="000000" w:themeColor="text1"/>
          <w:sz w:val="24"/>
        </w:rPr>
      </w:pPr>
      <w:r>
        <w:rPr>
          <w:color w:val="000000" w:themeColor="text1"/>
          <w:kern w:val="0"/>
          <w:sz w:val="24"/>
        </w:rPr>
        <w:t>（</w:t>
      </w:r>
      <w:r>
        <w:rPr>
          <w:rFonts w:hint="eastAsia"/>
          <w:color w:val="000000" w:themeColor="text1"/>
          <w:kern w:val="0"/>
          <w:sz w:val="24"/>
        </w:rPr>
        <w:t>5</w:t>
      </w:r>
      <w:r>
        <w:rPr>
          <w:color w:val="000000" w:themeColor="text1"/>
          <w:kern w:val="0"/>
          <w:sz w:val="24"/>
        </w:rPr>
        <w:t>）</w:t>
      </w:r>
      <w:r>
        <w:rPr>
          <w:color w:val="000000" w:themeColor="text1"/>
          <w:sz w:val="24"/>
        </w:rPr>
        <w:t>《</w:t>
      </w:r>
      <w:r>
        <w:rPr>
          <w:rFonts w:hint="eastAsia"/>
          <w:color w:val="000000" w:themeColor="text1"/>
          <w:sz w:val="24"/>
        </w:rPr>
        <w:t>新平生猪及子猪标准化规模养殖小区一期建设项目</w:t>
      </w:r>
      <w:r>
        <w:rPr>
          <w:color w:val="000000" w:themeColor="text1"/>
          <w:sz w:val="24"/>
        </w:rPr>
        <w:t>可行性研究报告》</w:t>
      </w:r>
      <w:r>
        <w:rPr>
          <w:color w:val="000000" w:themeColor="text1"/>
          <w:kern w:val="0"/>
          <w:sz w:val="24"/>
        </w:rPr>
        <w:t>；</w:t>
      </w:r>
    </w:p>
    <w:p>
      <w:pPr>
        <w:tabs>
          <w:tab w:val="left" w:pos="540"/>
        </w:tabs>
        <w:adjustRightInd w:val="0"/>
        <w:snapToGrid w:val="0"/>
        <w:ind w:firstLine="480" w:firstLineChars="200"/>
        <w:rPr>
          <w:color w:val="000000" w:themeColor="text1"/>
          <w:kern w:val="0"/>
          <w:sz w:val="24"/>
        </w:rPr>
      </w:pPr>
      <w:r>
        <w:rPr>
          <w:color w:val="000000" w:themeColor="text1"/>
          <w:kern w:val="0"/>
          <w:sz w:val="24"/>
        </w:rPr>
        <w:t>（</w:t>
      </w:r>
      <w:r>
        <w:rPr>
          <w:rFonts w:hint="eastAsia"/>
          <w:color w:val="000000" w:themeColor="text1"/>
          <w:kern w:val="0"/>
          <w:sz w:val="24"/>
        </w:rPr>
        <w:t>6</w:t>
      </w:r>
      <w:r>
        <w:rPr>
          <w:color w:val="000000" w:themeColor="text1"/>
          <w:kern w:val="0"/>
          <w:sz w:val="24"/>
        </w:rPr>
        <w:t>）</w:t>
      </w:r>
      <w:r>
        <w:rPr>
          <w:color w:val="000000" w:themeColor="text1"/>
          <w:sz w:val="24"/>
        </w:rPr>
        <w:t>环境影响评价工作的委托书</w:t>
      </w:r>
      <w:r>
        <w:rPr>
          <w:color w:val="000000" w:themeColor="text1"/>
          <w:kern w:val="0"/>
          <w:sz w:val="24"/>
        </w:rPr>
        <w:t>；</w:t>
      </w:r>
    </w:p>
    <w:p>
      <w:pPr>
        <w:tabs>
          <w:tab w:val="left" w:pos="540"/>
        </w:tabs>
        <w:adjustRightInd w:val="0"/>
        <w:snapToGrid w:val="0"/>
        <w:ind w:firstLine="480" w:firstLineChars="200"/>
        <w:rPr>
          <w:color w:val="000000" w:themeColor="text1"/>
          <w:sz w:val="24"/>
        </w:rPr>
      </w:pPr>
      <w:r>
        <w:rPr>
          <w:color w:val="000000" w:themeColor="text1"/>
          <w:kern w:val="0"/>
          <w:sz w:val="24"/>
        </w:rPr>
        <w:t>（7）</w:t>
      </w:r>
      <w:r>
        <w:rPr>
          <w:color w:val="000000" w:themeColor="text1"/>
          <w:sz w:val="24"/>
        </w:rPr>
        <w:t>玉溪华恒环境科技有限公司出具的《</w:t>
      </w:r>
      <w:r>
        <w:rPr>
          <w:rFonts w:hint="eastAsia"/>
          <w:color w:val="000000" w:themeColor="text1"/>
          <w:sz w:val="24"/>
        </w:rPr>
        <w:t>新平生猪及子猪标准化规模养殖小区一期建设项目</w:t>
      </w:r>
      <w:r>
        <w:rPr>
          <w:color w:val="000000" w:themeColor="text1"/>
          <w:sz w:val="24"/>
        </w:rPr>
        <w:t>环境现状监测报告》（华环监字[2018]第075号）</w:t>
      </w:r>
      <w:r>
        <w:rPr>
          <w:rFonts w:hint="eastAsia"/>
          <w:color w:val="000000" w:themeColor="text1"/>
          <w:sz w:val="24"/>
        </w:rPr>
        <w:t>；</w:t>
      </w:r>
    </w:p>
    <w:p>
      <w:pPr>
        <w:tabs>
          <w:tab w:val="left" w:pos="540"/>
        </w:tabs>
        <w:adjustRightInd w:val="0"/>
        <w:snapToGrid w:val="0"/>
        <w:ind w:firstLine="480" w:firstLineChars="200"/>
        <w:rPr>
          <w:color w:val="000000" w:themeColor="text1"/>
          <w:sz w:val="24"/>
        </w:rPr>
      </w:pPr>
      <w:r>
        <w:rPr>
          <w:color w:val="000000" w:themeColor="text1"/>
          <w:sz w:val="24"/>
        </w:rPr>
        <w:t>（8）玉溪市“十三五”高原特色现代农业发展规划（2016~2020年）</w:t>
      </w:r>
      <w:r>
        <w:rPr>
          <w:rFonts w:hint="eastAsia"/>
          <w:color w:val="000000" w:themeColor="text1"/>
          <w:sz w:val="24"/>
        </w:rPr>
        <w:t>；</w:t>
      </w:r>
    </w:p>
    <w:p>
      <w:pPr>
        <w:tabs>
          <w:tab w:val="left" w:pos="540"/>
        </w:tabs>
        <w:adjustRightInd w:val="0"/>
        <w:snapToGrid w:val="0"/>
        <w:ind w:firstLine="480" w:firstLineChars="200"/>
        <w:rPr>
          <w:color w:val="000000" w:themeColor="text1"/>
          <w:sz w:val="24"/>
        </w:rPr>
      </w:pPr>
      <w:r>
        <w:rPr>
          <w:rFonts w:hint="eastAsia"/>
          <w:color w:val="000000" w:themeColor="text1"/>
          <w:sz w:val="24"/>
        </w:rPr>
        <w:t>（9）新平彝族傣族自治县国民经济和社会发展第十三个五年规划纲要。</w:t>
      </w:r>
    </w:p>
    <w:p>
      <w:pPr>
        <w:pStyle w:val="3"/>
        <w:adjustRightInd w:val="0"/>
        <w:snapToGrid w:val="0"/>
        <w:spacing w:before="0" w:after="0"/>
        <w:rPr>
          <w:rFonts w:ascii="Times New Roman" w:hAnsi="Times New Roman"/>
          <w:color w:val="000000" w:themeColor="text1"/>
        </w:rPr>
      </w:pPr>
      <w:bookmarkStart w:id="73" w:name="_Toc510547257"/>
      <w:bookmarkStart w:id="74" w:name="_Toc4076477"/>
      <w:r>
        <w:rPr>
          <w:rFonts w:ascii="Times New Roman" w:hAnsi="Times New Roman"/>
          <w:color w:val="000000" w:themeColor="text1"/>
        </w:rPr>
        <w:t>2.3环境影响因子识别和评价因子的筛选</w:t>
      </w:r>
      <w:bookmarkEnd w:id="73"/>
      <w:bookmarkEnd w:id="74"/>
    </w:p>
    <w:p>
      <w:pPr>
        <w:pStyle w:val="4"/>
        <w:adjustRightInd w:val="0"/>
        <w:snapToGrid w:val="0"/>
        <w:spacing w:before="0" w:after="0" w:line="360" w:lineRule="auto"/>
        <w:rPr>
          <w:color w:val="000000" w:themeColor="text1"/>
        </w:rPr>
      </w:pPr>
      <w:bookmarkStart w:id="75" w:name="_Toc504403791"/>
      <w:bookmarkStart w:id="76" w:name="_Toc506218044"/>
      <w:bookmarkStart w:id="77" w:name="_Toc510547258"/>
      <w:r>
        <w:rPr>
          <w:color w:val="000000" w:themeColor="text1"/>
        </w:rPr>
        <w:t>2.3.1主要环境问题筛选</w:t>
      </w:r>
      <w:bookmarkEnd w:id="75"/>
      <w:bookmarkEnd w:id="76"/>
      <w:bookmarkEnd w:id="77"/>
    </w:p>
    <w:p>
      <w:pPr>
        <w:adjustRightInd w:val="0"/>
        <w:snapToGrid w:val="0"/>
        <w:ind w:firstLine="480" w:firstLineChars="200"/>
        <w:rPr>
          <w:color w:val="000000" w:themeColor="text1"/>
          <w:sz w:val="24"/>
        </w:rPr>
      </w:pPr>
      <w:r>
        <w:rPr>
          <w:color w:val="000000" w:themeColor="text1"/>
          <w:sz w:val="24"/>
        </w:rPr>
        <w:t>本项目的主要环境问题采用矩阵法进行筛选，详见表2.3-1。</w:t>
      </w:r>
    </w:p>
    <w:p>
      <w:pPr>
        <w:adjustRightInd w:val="0"/>
        <w:snapToGrid w:val="0"/>
        <w:spacing w:line="240" w:lineRule="auto"/>
        <w:jc w:val="center"/>
        <w:rPr>
          <w:b/>
          <w:bCs/>
          <w:color w:val="000000" w:themeColor="text1"/>
          <w:szCs w:val="21"/>
        </w:rPr>
      </w:pPr>
      <w:r>
        <w:rPr>
          <w:b/>
          <w:bCs/>
          <w:color w:val="000000" w:themeColor="text1"/>
          <w:szCs w:val="21"/>
        </w:rPr>
        <w:t>表2.3-1   环境影响因素矩阵</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822"/>
        <w:gridCol w:w="822"/>
        <w:gridCol w:w="822"/>
        <w:gridCol w:w="822"/>
        <w:gridCol w:w="822"/>
        <w:gridCol w:w="822"/>
        <w:gridCol w:w="822"/>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51" w:type="dxa"/>
            <w:gridSpan w:val="2"/>
            <w:vMerge w:val="restart"/>
            <w:tcBorders>
              <w:tl2br w:val="single" w:color="auto" w:sz="4" w:space="0"/>
            </w:tcBorders>
            <w:vAlign w:val="center"/>
          </w:tcPr>
          <w:p>
            <w:pPr>
              <w:adjustRightInd w:val="0"/>
              <w:snapToGrid w:val="0"/>
              <w:spacing w:line="240" w:lineRule="auto"/>
              <w:jc w:val="center"/>
              <w:rPr>
                <w:b/>
                <w:color w:val="000000" w:themeColor="text1"/>
                <w:szCs w:val="21"/>
              </w:rPr>
            </w:pPr>
          </w:p>
          <w:p>
            <w:pPr>
              <w:adjustRightInd w:val="0"/>
              <w:snapToGrid w:val="0"/>
              <w:spacing w:line="240" w:lineRule="auto"/>
              <w:jc w:val="center"/>
              <w:rPr>
                <w:b/>
                <w:color w:val="000000" w:themeColor="text1"/>
                <w:szCs w:val="21"/>
              </w:rPr>
            </w:pPr>
            <w:r>
              <w:rPr>
                <w:b/>
                <w:color w:val="000000" w:themeColor="text1"/>
                <w:szCs w:val="21"/>
              </w:rPr>
              <w:t>污染因子</w:t>
            </w:r>
          </w:p>
          <w:p>
            <w:pPr>
              <w:adjustRightInd w:val="0"/>
              <w:snapToGrid w:val="0"/>
              <w:spacing w:line="240" w:lineRule="auto"/>
              <w:rPr>
                <w:b/>
                <w:color w:val="000000" w:themeColor="text1"/>
                <w:szCs w:val="21"/>
              </w:rPr>
            </w:pPr>
          </w:p>
          <w:p>
            <w:pPr>
              <w:adjustRightInd w:val="0"/>
              <w:snapToGrid w:val="0"/>
              <w:spacing w:line="240" w:lineRule="auto"/>
              <w:rPr>
                <w:b/>
                <w:color w:val="000000" w:themeColor="text1"/>
                <w:szCs w:val="21"/>
              </w:rPr>
            </w:pPr>
            <w:r>
              <w:rPr>
                <w:b/>
                <w:color w:val="000000" w:themeColor="text1"/>
                <w:szCs w:val="21"/>
              </w:rPr>
              <w:t>环境因素</w:t>
            </w:r>
          </w:p>
        </w:tc>
        <w:tc>
          <w:tcPr>
            <w:tcW w:w="1644" w:type="dxa"/>
            <w:gridSpan w:val="2"/>
            <w:vAlign w:val="center"/>
          </w:tcPr>
          <w:p>
            <w:pPr>
              <w:adjustRightInd w:val="0"/>
              <w:snapToGrid w:val="0"/>
              <w:spacing w:line="240" w:lineRule="auto"/>
              <w:jc w:val="center"/>
              <w:rPr>
                <w:b/>
                <w:color w:val="000000" w:themeColor="text1"/>
                <w:szCs w:val="21"/>
              </w:rPr>
            </w:pPr>
            <w:r>
              <w:rPr>
                <w:b/>
                <w:color w:val="000000" w:themeColor="text1"/>
                <w:szCs w:val="21"/>
              </w:rPr>
              <w:t>废气</w:t>
            </w:r>
          </w:p>
        </w:tc>
        <w:tc>
          <w:tcPr>
            <w:tcW w:w="1644" w:type="dxa"/>
            <w:gridSpan w:val="2"/>
            <w:vAlign w:val="center"/>
          </w:tcPr>
          <w:p>
            <w:pPr>
              <w:adjustRightInd w:val="0"/>
              <w:snapToGrid w:val="0"/>
              <w:spacing w:line="240" w:lineRule="auto"/>
              <w:jc w:val="center"/>
              <w:rPr>
                <w:b/>
                <w:color w:val="000000" w:themeColor="text1"/>
                <w:szCs w:val="21"/>
              </w:rPr>
            </w:pPr>
            <w:r>
              <w:rPr>
                <w:b/>
                <w:color w:val="000000" w:themeColor="text1"/>
                <w:szCs w:val="21"/>
              </w:rPr>
              <w:t>废水</w:t>
            </w:r>
          </w:p>
        </w:tc>
        <w:tc>
          <w:tcPr>
            <w:tcW w:w="1644" w:type="dxa"/>
            <w:gridSpan w:val="2"/>
            <w:vAlign w:val="center"/>
          </w:tcPr>
          <w:p>
            <w:pPr>
              <w:adjustRightInd w:val="0"/>
              <w:snapToGrid w:val="0"/>
              <w:spacing w:line="240" w:lineRule="auto"/>
              <w:jc w:val="center"/>
              <w:rPr>
                <w:b/>
                <w:color w:val="000000" w:themeColor="text1"/>
                <w:szCs w:val="21"/>
              </w:rPr>
            </w:pPr>
            <w:r>
              <w:rPr>
                <w:b/>
                <w:color w:val="000000" w:themeColor="text1"/>
                <w:szCs w:val="21"/>
              </w:rPr>
              <w:t>噪声</w:t>
            </w:r>
          </w:p>
        </w:tc>
        <w:tc>
          <w:tcPr>
            <w:tcW w:w="1645" w:type="dxa"/>
            <w:gridSpan w:val="2"/>
            <w:vAlign w:val="center"/>
          </w:tcPr>
          <w:p>
            <w:pPr>
              <w:adjustRightInd w:val="0"/>
              <w:snapToGrid w:val="0"/>
              <w:spacing w:line="240" w:lineRule="auto"/>
              <w:jc w:val="center"/>
              <w:rPr>
                <w:b/>
                <w:color w:val="000000" w:themeColor="text1"/>
                <w:szCs w:val="21"/>
              </w:rPr>
            </w:pPr>
            <w:r>
              <w:rPr>
                <w:b/>
                <w:color w:val="000000" w:themeColor="text1"/>
                <w:szCs w:val="21"/>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951" w:type="dxa"/>
            <w:gridSpan w:val="2"/>
            <w:vMerge w:val="continue"/>
            <w:vAlign w:val="center"/>
          </w:tcPr>
          <w:p>
            <w:pPr>
              <w:adjustRightInd w:val="0"/>
              <w:snapToGrid w:val="0"/>
              <w:spacing w:line="240" w:lineRule="auto"/>
              <w:jc w:val="center"/>
              <w:rPr>
                <w:b/>
                <w:color w:val="000000" w:themeColor="text1"/>
                <w:szCs w:val="21"/>
              </w:rPr>
            </w:pPr>
          </w:p>
        </w:tc>
        <w:tc>
          <w:tcPr>
            <w:tcW w:w="822" w:type="dxa"/>
            <w:vAlign w:val="center"/>
          </w:tcPr>
          <w:p>
            <w:pPr>
              <w:adjustRightInd w:val="0"/>
              <w:snapToGrid w:val="0"/>
              <w:spacing w:line="240" w:lineRule="auto"/>
              <w:jc w:val="center"/>
              <w:rPr>
                <w:b/>
                <w:color w:val="000000" w:themeColor="text1"/>
                <w:szCs w:val="21"/>
              </w:rPr>
            </w:pPr>
            <w:r>
              <w:rPr>
                <w:b/>
                <w:color w:val="000000" w:themeColor="text1"/>
                <w:szCs w:val="21"/>
              </w:rPr>
              <w:t>施工</w:t>
            </w:r>
          </w:p>
          <w:p>
            <w:pPr>
              <w:adjustRightInd w:val="0"/>
              <w:snapToGrid w:val="0"/>
              <w:spacing w:line="240" w:lineRule="auto"/>
              <w:jc w:val="center"/>
              <w:rPr>
                <w:b/>
                <w:color w:val="000000" w:themeColor="text1"/>
                <w:szCs w:val="21"/>
              </w:rPr>
            </w:pPr>
            <w:r>
              <w:rPr>
                <w:b/>
                <w:color w:val="000000" w:themeColor="text1"/>
                <w:szCs w:val="21"/>
              </w:rPr>
              <w:t>期</w:t>
            </w:r>
          </w:p>
        </w:tc>
        <w:tc>
          <w:tcPr>
            <w:tcW w:w="822" w:type="dxa"/>
            <w:vAlign w:val="center"/>
          </w:tcPr>
          <w:p>
            <w:pPr>
              <w:adjustRightInd w:val="0"/>
              <w:snapToGrid w:val="0"/>
              <w:spacing w:line="240" w:lineRule="auto"/>
              <w:jc w:val="center"/>
              <w:rPr>
                <w:b/>
                <w:color w:val="000000" w:themeColor="text1"/>
                <w:szCs w:val="21"/>
              </w:rPr>
            </w:pPr>
            <w:r>
              <w:rPr>
                <w:b/>
                <w:color w:val="000000" w:themeColor="text1"/>
                <w:szCs w:val="21"/>
              </w:rPr>
              <w:t>营运</w:t>
            </w:r>
          </w:p>
          <w:p>
            <w:pPr>
              <w:adjustRightInd w:val="0"/>
              <w:snapToGrid w:val="0"/>
              <w:spacing w:line="240" w:lineRule="auto"/>
              <w:jc w:val="center"/>
              <w:rPr>
                <w:b/>
                <w:color w:val="000000" w:themeColor="text1"/>
                <w:szCs w:val="21"/>
              </w:rPr>
            </w:pPr>
            <w:r>
              <w:rPr>
                <w:b/>
                <w:color w:val="000000" w:themeColor="text1"/>
                <w:szCs w:val="21"/>
              </w:rPr>
              <w:t>期</w:t>
            </w:r>
          </w:p>
        </w:tc>
        <w:tc>
          <w:tcPr>
            <w:tcW w:w="822" w:type="dxa"/>
            <w:vAlign w:val="center"/>
          </w:tcPr>
          <w:p>
            <w:pPr>
              <w:adjustRightInd w:val="0"/>
              <w:snapToGrid w:val="0"/>
              <w:spacing w:line="240" w:lineRule="auto"/>
              <w:jc w:val="center"/>
              <w:rPr>
                <w:b/>
                <w:color w:val="000000" w:themeColor="text1"/>
                <w:szCs w:val="21"/>
              </w:rPr>
            </w:pPr>
            <w:r>
              <w:rPr>
                <w:b/>
                <w:color w:val="000000" w:themeColor="text1"/>
                <w:szCs w:val="21"/>
              </w:rPr>
              <w:t>施工</w:t>
            </w:r>
          </w:p>
          <w:p>
            <w:pPr>
              <w:adjustRightInd w:val="0"/>
              <w:snapToGrid w:val="0"/>
              <w:spacing w:line="240" w:lineRule="auto"/>
              <w:jc w:val="center"/>
              <w:rPr>
                <w:b/>
                <w:color w:val="000000" w:themeColor="text1"/>
                <w:szCs w:val="21"/>
              </w:rPr>
            </w:pPr>
            <w:r>
              <w:rPr>
                <w:b/>
                <w:color w:val="000000" w:themeColor="text1"/>
                <w:szCs w:val="21"/>
              </w:rPr>
              <w:t>期</w:t>
            </w:r>
          </w:p>
        </w:tc>
        <w:tc>
          <w:tcPr>
            <w:tcW w:w="822" w:type="dxa"/>
            <w:vAlign w:val="center"/>
          </w:tcPr>
          <w:p>
            <w:pPr>
              <w:adjustRightInd w:val="0"/>
              <w:snapToGrid w:val="0"/>
              <w:spacing w:line="240" w:lineRule="auto"/>
              <w:jc w:val="center"/>
              <w:rPr>
                <w:b/>
                <w:color w:val="000000" w:themeColor="text1"/>
                <w:szCs w:val="21"/>
              </w:rPr>
            </w:pPr>
            <w:r>
              <w:rPr>
                <w:b/>
                <w:color w:val="000000" w:themeColor="text1"/>
                <w:szCs w:val="21"/>
              </w:rPr>
              <w:t>营运</w:t>
            </w:r>
          </w:p>
          <w:p>
            <w:pPr>
              <w:adjustRightInd w:val="0"/>
              <w:snapToGrid w:val="0"/>
              <w:spacing w:line="240" w:lineRule="auto"/>
              <w:jc w:val="center"/>
              <w:rPr>
                <w:b/>
                <w:color w:val="000000" w:themeColor="text1"/>
                <w:szCs w:val="21"/>
              </w:rPr>
            </w:pPr>
            <w:r>
              <w:rPr>
                <w:b/>
                <w:color w:val="000000" w:themeColor="text1"/>
                <w:szCs w:val="21"/>
              </w:rPr>
              <w:t>期</w:t>
            </w:r>
          </w:p>
        </w:tc>
        <w:tc>
          <w:tcPr>
            <w:tcW w:w="822" w:type="dxa"/>
            <w:vAlign w:val="center"/>
          </w:tcPr>
          <w:p>
            <w:pPr>
              <w:adjustRightInd w:val="0"/>
              <w:snapToGrid w:val="0"/>
              <w:spacing w:line="240" w:lineRule="auto"/>
              <w:jc w:val="center"/>
              <w:rPr>
                <w:b/>
                <w:color w:val="000000" w:themeColor="text1"/>
                <w:szCs w:val="21"/>
              </w:rPr>
            </w:pPr>
            <w:r>
              <w:rPr>
                <w:b/>
                <w:color w:val="000000" w:themeColor="text1"/>
                <w:szCs w:val="21"/>
              </w:rPr>
              <w:t>施工</w:t>
            </w:r>
          </w:p>
          <w:p>
            <w:pPr>
              <w:adjustRightInd w:val="0"/>
              <w:snapToGrid w:val="0"/>
              <w:spacing w:line="240" w:lineRule="auto"/>
              <w:jc w:val="center"/>
              <w:rPr>
                <w:b/>
                <w:color w:val="000000" w:themeColor="text1"/>
                <w:szCs w:val="21"/>
              </w:rPr>
            </w:pPr>
            <w:r>
              <w:rPr>
                <w:b/>
                <w:color w:val="000000" w:themeColor="text1"/>
                <w:szCs w:val="21"/>
              </w:rPr>
              <w:t>期</w:t>
            </w:r>
          </w:p>
        </w:tc>
        <w:tc>
          <w:tcPr>
            <w:tcW w:w="822" w:type="dxa"/>
            <w:vAlign w:val="center"/>
          </w:tcPr>
          <w:p>
            <w:pPr>
              <w:adjustRightInd w:val="0"/>
              <w:snapToGrid w:val="0"/>
              <w:spacing w:line="240" w:lineRule="auto"/>
              <w:jc w:val="center"/>
              <w:rPr>
                <w:b/>
                <w:color w:val="000000" w:themeColor="text1"/>
                <w:szCs w:val="21"/>
              </w:rPr>
            </w:pPr>
            <w:r>
              <w:rPr>
                <w:b/>
                <w:color w:val="000000" w:themeColor="text1"/>
                <w:szCs w:val="21"/>
              </w:rPr>
              <w:t>营运</w:t>
            </w:r>
          </w:p>
          <w:p>
            <w:pPr>
              <w:adjustRightInd w:val="0"/>
              <w:snapToGrid w:val="0"/>
              <w:spacing w:line="240" w:lineRule="auto"/>
              <w:jc w:val="center"/>
              <w:rPr>
                <w:b/>
                <w:color w:val="000000" w:themeColor="text1"/>
                <w:szCs w:val="21"/>
              </w:rPr>
            </w:pPr>
            <w:r>
              <w:rPr>
                <w:b/>
                <w:color w:val="000000" w:themeColor="text1"/>
                <w:szCs w:val="21"/>
              </w:rPr>
              <w:t>期</w:t>
            </w:r>
          </w:p>
        </w:tc>
        <w:tc>
          <w:tcPr>
            <w:tcW w:w="822" w:type="dxa"/>
            <w:vAlign w:val="center"/>
          </w:tcPr>
          <w:p>
            <w:pPr>
              <w:adjustRightInd w:val="0"/>
              <w:snapToGrid w:val="0"/>
              <w:spacing w:line="240" w:lineRule="auto"/>
              <w:jc w:val="center"/>
              <w:rPr>
                <w:b/>
                <w:color w:val="000000" w:themeColor="text1"/>
                <w:szCs w:val="21"/>
              </w:rPr>
            </w:pPr>
            <w:r>
              <w:rPr>
                <w:b/>
                <w:color w:val="000000" w:themeColor="text1"/>
                <w:szCs w:val="21"/>
              </w:rPr>
              <w:t>施工</w:t>
            </w:r>
          </w:p>
          <w:p>
            <w:pPr>
              <w:adjustRightInd w:val="0"/>
              <w:snapToGrid w:val="0"/>
              <w:spacing w:line="240" w:lineRule="auto"/>
              <w:jc w:val="center"/>
              <w:rPr>
                <w:b/>
                <w:color w:val="000000" w:themeColor="text1"/>
                <w:szCs w:val="21"/>
              </w:rPr>
            </w:pPr>
            <w:r>
              <w:rPr>
                <w:b/>
                <w:color w:val="000000" w:themeColor="text1"/>
                <w:szCs w:val="21"/>
              </w:rPr>
              <w:t>期</w:t>
            </w:r>
          </w:p>
        </w:tc>
        <w:tc>
          <w:tcPr>
            <w:tcW w:w="823" w:type="dxa"/>
            <w:vAlign w:val="center"/>
          </w:tcPr>
          <w:p>
            <w:pPr>
              <w:adjustRightInd w:val="0"/>
              <w:snapToGrid w:val="0"/>
              <w:spacing w:line="240" w:lineRule="auto"/>
              <w:jc w:val="center"/>
              <w:rPr>
                <w:b/>
                <w:color w:val="000000" w:themeColor="text1"/>
                <w:szCs w:val="21"/>
              </w:rPr>
            </w:pPr>
            <w:r>
              <w:rPr>
                <w:b/>
                <w:color w:val="000000" w:themeColor="text1"/>
                <w:szCs w:val="21"/>
              </w:rPr>
              <w:t>营运</w:t>
            </w:r>
          </w:p>
          <w:p>
            <w:pPr>
              <w:adjustRightInd w:val="0"/>
              <w:snapToGrid w:val="0"/>
              <w:spacing w:line="240" w:lineRule="auto"/>
              <w:jc w:val="center"/>
              <w:rPr>
                <w:b/>
                <w:color w:val="000000" w:themeColor="text1"/>
                <w:szCs w:val="21"/>
              </w:rPr>
            </w:pPr>
            <w:r>
              <w:rPr>
                <w:b/>
                <w:color w:val="000000" w:themeColor="text1"/>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240" w:lineRule="auto"/>
              <w:jc w:val="center"/>
              <w:rPr>
                <w:color w:val="000000" w:themeColor="text1"/>
                <w:szCs w:val="21"/>
              </w:rPr>
            </w:pPr>
            <w:r>
              <w:rPr>
                <w:color w:val="000000" w:themeColor="text1"/>
                <w:szCs w:val="21"/>
              </w:rPr>
              <w:t>自然</w:t>
            </w:r>
          </w:p>
          <w:p>
            <w:pPr>
              <w:adjustRightInd w:val="0"/>
              <w:snapToGrid w:val="0"/>
              <w:spacing w:line="240" w:lineRule="auto"/>
              <w:jc w:val="center"/>
              <w:rPr>
                <w:color w:val="000000" w:themeColor="text1"/>
                <w:szCs w:val="21"/>
              </w:rPr>
            </w:pPr>
            <w:r>
              <w:rPr>
                <w:color w:val="000000" w:themeColor="text1"/>
                <w:szCs w:val="21"/>
              </w:rPr>
              <w:t>环境</w:t>
            </w: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地下水</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240" w:lineRule="auto"/>
              <w:jc w:val="center"/>
              <w:rPr>
                <w:color w:val="000000" w:themeColor="text1"/>
                <w:szCs w:val="21"/>
              </w:rPr>
            </w:pP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大气</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240" w:lineRule="auto"/>
              <w:jc w:val="center"/>
              <w:rPr>
                <w:color w:val="000000" w:themeColor="text1"/>
                <w:szCs w:val="21"/>
              </w:rPr>
            </w:pP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地表水</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240" w:lineRule="auto"/>
              <w:jc w:val="center"/>
              <w:rPr>
                <w:color w:val="000000" w:themeColor="text1"/>
                <w:szCs w:val="21"/>
              </w:rPr>
            </w:pP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植被</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240" w:lineRule="auto"/>
              <w:jc w:val="center"/>
              <w:rPr>
                <w:color w:val="000000" w:themeColor="text1"/>
                <w:szCs w:val="21"/>
              </w:rPr>
            </w:pP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土壤</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rPr>
            </w:pPr>
            <w:r>
              <w:rPr>
                <w:color w:val="000000" w:themeColor="text1"/>
                <w:szCs w:val="21"/>
              </w:rPr>
              <w:t>□</w:t>
            </w:r>
          </w:p>
        </w:tc>
        <w:tc>
          <w:tcPr>
            <w:tcW w:w="822" w:type="dxa"/>
            <w:vAlign w:val="center"/>
          </w:tcPr>
          <w:p>
            <w:pPr>
              <w:adjustRightInd w:val="0"/>
              <w:snapToGrid w:val="0"/>
              <w:spacing w:line="240" w:lineRule="auto"/>
              <w:jc w:val="center"/>
              <w:rPr>
                <w:color w:val="000000" w:themeColor="text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rPr>
            </w:pPr>
            <w:r>
              <w:rPr>
                <w:color w:val="000000" w:themeColor="text1"/>
                <w:szCs w:val="21"/>
              </w:rPr>
              <w:t>□</w:t>
            </w:r>
          </w:p>
        </w:tc>
        <w:tc>
          <w:tcPr>
            <w:tcW w:w="823" w:type="dxa"/>
            <w:vAlign w:val="center"/>
          </w:tcPr>
          <w:p>
            <w:pPr>
              <w:adjustRightInd w:val="0"/>
              <w:snapToGrid w:val="0"/>
              <w:spacing w:line="240" w:lineRule="auto"/>
              <w:jc w:val="center"/>
              <w:rPr>
                <w:color w:val="000000" w:themeColor="text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240" w:lineRule="auto"/>
              <w:jc w:val="center"/>
              <w:rPr>
                <w:color w:val="000000" w:themeColor="text1"/>
                <w:szCs w:val="21"/>
              </w:rPr>
            </w:pP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声环境</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75" w:type="dxa"/>
            <w:vMerge w:val="restart"/>
            <w:vAlign w:val="center"/>
          </w:tcPr>
          <w:p>
            <w:pPr>
              <w:adjustRightInd w:val="0"/>
              <w:snapToGrid w:val="0"/>
              <w:spacing w:line="240" w:lineRule="auto"/>
              <w:jc w:val="center"/>
              <w:rPr>
                <w:color w:val="000000" w:themeColor="text1"/>
                <w:szCs w:val="21"/>
              </w:rPr>
            </w:pPr>
            <w:r>
              <w:rPr>
                <w:color w:val="000000" w:themeColor="text1"/>
                <w:szCs w:val="21"/>
              </w:rPr>
              <w:t>自然资源</w:t>
            </w: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土地资源</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75" w:type="dxa"/>
            <w:vMerge w:val="continue"/>
            <w:vAlign w:val="center"/>
          </w:tcPr>
          <w:p>
            <w:pPr>
              <w:adjustRightInd w:val="0"/>
              <w:snapToGrid w:val="0"/>
              <w:spacing w:line="240" w:lineRule="auto"/>
              <w:jc w:val="center"/>
              <w:rPr>
                <w:color w:val="000000" w:themeColor="text1"/>
                <w:szCs w:val="21"/>
              </w:rPr>
            </w:pP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水资源</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75" w:type="dxa"/>
            <w:vMerge w:val="continue"/>
            <w:vAlign w:val="center"/>
          </w:tcPr>
          <w:p>
            <w:pPr>
              <w:adjustRightInd w:val="0"/>
              <w:snapToGrid w:val="0"/>
              <w:spacing w:line="240" w:lineRule="auto"/>
              <w:jc w:val="center"/>
              <w:rPr>
                <w:color w:val="000000" w:themeColor="text1"/>
                <w:szCs w:val="21"/>
              </w:rPr>
            </w:pP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森林资源</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5" w:type="dxa"/>
            <w:vMerge w:val="restart"/>
            <w:vAlign w:val="center"/>
          </w:tcPr>
          <w:p>
            <w:pPr>
              <w:adjustRightInd w:val="0"/>
              <w:snapToGrid w:val="0"/>
              <w:spacing w:line="240" w:lineRule="auto"/>
              <w:jc w:val="center"/>
              <w:rPr>
                <w:color w:val="000000" w:themeColor="text1"/>
                <w:szCs w:val="21"/>
              </w:rPr>
            </w:pPr>
            <w:r>
              <w:rPr>
                <w:color w:val="000000" w:themeColor="text1"/>
                <w:szCs w:val="21"/>
              </w:rPr>
              <w:t>社会</w:t>
            </w:r>
          </w:p>
          <w:p>
            <w:pPr>
              <w:adjustRightInd w:val="0"/>
              <w:snapToGrid w:val="0"/>
              <w:spacing w:line="240" w:lineRule="auto"/>
              <w:jc w:val="center"/>
              <w:rPr>
                <w:color w:val="000000" w:themeColor="text1"/>
                <w:szCs w:val="21"/>
              </w:rPr>
            </w:pPr>
            <w:r>
              <w:rPr>
                <w:color w:val="000000" w:themeColor="text1"/>
                <w:szCs w:val="21"/>
              </w:rPr>
              <w:t>环境</w:t>
            </w: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区域经济</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75" w:type="dxa"/>
            <w:vMerge w:val="continue"/>
            <w:vAlign w:val="center"/>
          </w:tcPr>
          <w:p>
            <w:pPr>
              <w:adjustRightInd w:val="0"/>
              <w:snapToGrid w:val="0"/>
              <w:spacing w:line="240" w:lineRule="auto"/>
              <w:jc w:val="center"/>
              <w:rPr>
                <w:color w:val="000000" w:themeColor="text1"/>
                <w:szCs w:val="21"/>
              </w:rPr>
            </w:pP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农业经济</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240" w:lineRule="auto"/>
              <w:jc w:val="center"/>
              <w:rPr>
                <w:color w:val="000000" w:themeColor="text1"/>
                <w:szCs w:val="21"/>
              </w:rPr>
            </w:pP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人群经济</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2"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823" w:type="dxa"/>
            <w:vAlign w:val="center"/>
          </w:tcPr>
          <w:p>
            <w:pPr>
              <w:adjustRightInd w:val="0"/>
              <w:snapToGrid w:val="0"/>
              <w:spacing w:line="240" w:lineRule="auto"/>
              <w:jc w:val="center"/>
              <w:rPr>
                <w:color w:val="000000" w:themeColor="text1"/>
                <w:szCs w:val="21"/>
              </w:rPr>
            </w:pPr>
            <w:r>
              <w:rPr>
                <w:color w:val="000000" w:themeColor="text1"/>
                <w:szCs w:val="21"/>
              </w:rPr>
              <w:t>□</w:t>
            </w:r>
          </w:p>
        </w:tc>
      </w:tr>
    </w:tbl>
    <w:p>
      <w:pPr>
        <w:adjustRightInd w:val="0"/>
        <w:snapToGrid w:val="0"/>
        <w:ind w:firstLine="420" w:firstLineChars="200"/>
        <w:rPr>
          <w:color w:val="000000" w:themeColor="text1"/>
          <w:szCs w:val="21"/>
        </w:rPr>
      </w:pPr>
      <w:r>
        <w:rPr>
          <w:color w:val="000000" w:themeColor="text1"/>
          <w:szCs w:val="21"/>
        </w:rPr>
        <w:t>表中▲中度影响；□轻度影响，-影响很小或无影响。</w:t>
      </w:r>
    </w:p>
    <w:p>
      <w:pPr>
        <w:pStyle w:val="4"/>
        <w:adjustRightInd w:val="0"/>
        <w:snapToGrid w:val="0"/>
        <w:spacing w:before="0" w:after="0" w:line="360" w:lineRule="auto"/>
        <w:rPr>
          <w:color w:val="000000" w:themeColor="text1"/>
        </w:rPr>
      </w:pPr>
      <w:bookmarkStart w:id="78" w:name="_Toc504403792"/>
      <w:bookmarkStart w:id="79" w:name="_Toc510547259"/>
      <w:bookmarkStart w:id="80" w:name="_Toc506218045"/>
      <w:r>
        <w:rPr>
          <w:color w:val="000000" w:themeColor="text1"/>
        </w:rPr>
        <w:t>2.3.2评价因子的筛选</w:t>
      </w:r>
      <w:bookmarkEnd w:id="78"/>
      <w:bookmarkEnd w:id="79"/>
      <w:bookmarkEnd w:id="80"/>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综合考虑项目的污染特点及本次环境影响评价的工作重点等，经过筛选，确定本次环境影响评价的因子见下表：</w:t>
      </w:r>
    </w:p>
    <w:p>
      <w:pPr>
        <w:adjustRightInd w:val="0"/>
        <w:snapToGrid w:val="0"/>
        <w:spacing w:line="240" w:lineRule="auto"/>
        <w:jc w:val="center"/>
        <w:rPr>
          <w:b/>
          <w:bCs/>
          <w:color w:val="000000" w:themeColor="text1"/>
          <w:szCs w:val="21"/>
        </w:rPr>
      </w:pPr>
      <w:r>
        <w:rPr>
          <w:b/>
          <w:bCs/>
          <w:color w:val="000000" w:themeColor="text1"/>
          <w:szCs w:val="21"/>
        </w:rPr>
        <w:t>表2.3-2   项目主要环境影响评价因子</w:t>
      </w:r>
    </w:p>
    <w:tbl>
      <w:tblPr>
        <w:tblStyle w:val="42"/>
        <w:tblW w:w="8505" w:type="dxa"/>
        <w:tblInd w:w="0" w:type="dxa"/>
        <w:tblLayout w:type="fixed"/>
        <w:tblCellMar>
          <w:top w:w="0" w:type="dxa"/>
          <w:left w:w="108" w:type="dxa"/>
          <w:bottom w:w="0" w:type="dxa"/>
          <w:right w:w="108" w:type="dxa"/>
        </w:tblCellMar>
      </w:tblPr>
      <w:tblGrid>
        <w:gridCol w:w="1330"/>
        <w:gridCol w:w="4023"/>
        <w:gridCol w:w="3152"/>
      </w:tblGrid>
      <w:tr>
        <w:tblPrEx>
          <w:tblCellMar>
            <w:top w:w="0" w:type="dxa"/>
            <w:left w:w="108" w:type="dxa"/>
            <w:bottom w:w="0" w:type="dxa"/>
            <w:right w:w="108" w:type="dxa"/>
          </w:tblCellMar>
        </w:tblPrEx>
        <w:tc>
          <w:tcPr>
            <w:tcW w:w="1330"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uto"/>
              <w:jc w:val="center"/>
              <w:rPr>
                <w:b/>
                <w:color w:val="000000" w:themeColor="text1"/>
                <w:kern w:val="0"/>
                <w:szCs w:val="21"/>
              </w:rPr>
            </w:pPr>
            <w:r>
              <w:rPr>
                <w:b/>
                <w:color w:val="000000" w:themeColor="text1"/>
                <w:kern w:val="0"/>
                <w:szCs w:val="21"/>
              </w:rPr>
              <w:t>项目</w:t>
            </w:r>
          </w:p>
        </w:tc>
        <w:tc>
          <w:tcPr>
            <w:tcW w:w="7175" w:type="dxa"/>
            <w:gridSpan w:val="2"/>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b/>
                <w:color w:val="000000" w:themeColor="text1"/>
                <w:kern w:val="0"/>
                <w:szCs w:val="21"/>
              </w:rPr>
            </w:pPr>
            <w:r>
              <w:rPr>
                <w:b/>
                <w:color w:val="000000" w:themeColor="text1"/>
                <w:kern w:val="0"/>
                <w:szCs w:val="21"/>
              </w:rPr>
              <w:t>评价因子</w:t>
            </w:r>
          </w:p>
        </w:tc>
      </w:tr>
      <w:tr>
        <w:tblPrEx>
          <w:tblCellMar>
            <w:top w:w="0" w:type="dxa"/>
            <w:left w:w="108" w:type="dxa"/>
            <w:bottom w:w="0" w:type="dxa"/>
            <w:right w:w="108" w:type="dxa"/>
          </w:tblCellMar>
        </w:tblPrEx>
        <w:tc>
          <w:tcPr>
            <w:tcW w:w="1330"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uto"/>
              <w:jc w:val="center"/>
              <w:rPr>
                <w:b/>
                <w:color w:val="000000" w:themeColor="text1"/>
                <w:kern w:val="0"/>
                <w:szCs w:val="21"/>
              </w:rPr>
            </w:pPr>
          </w:p>
        </w:tc>
        <w:tc>
          <w:tcPr>
            <w:tcW w:w="4023" w:type="dxa"/>
            <w:tcBorders>
              <w:top w:val="nil"/>
              <w:left w:val="nil"/>
              <w:bottom w:val="single" w:color="000000" w:sz="4" w:space="0"/>
              <w:right w:val="single" w:color="000000" w:sz="4" w:space="0"/>
            </w:tcBorders>
            <w:vAlign w:val="center"/>
          </w:tcPr>
          <w:p>
            <w:pPr>
              <w:widowControl/>
              <w:adjustRightInd w:val="0"/>
              <w:snapToGrid w:val="0"/>
              <w:spacing w:line="240" w:lineRule="auto"/>
              <w:jc w:val="center"/>
              <w:rPr>
                <w:b/>
                <w:color w:val="000000" w:themeColor="text1"/>
                <w:kern w:val="0"/>
                <w:szCs w:val="21"/>
              </w:rPr>
            </w:pPr>
            <w:r>
              <w:rPr>
                <w:b/>
                <w:color w:val="000000" w:themeColor="text1"/>
                <w:kern w:val="0"/>
                <w:szCs w:val="21"/>
              </w:rPr>
              <w:t>现状评价因子</w:t>
            </w:r>
          </w:p>
        </w:tc>
        <w:tc>
          <w:tcPr>
            <w:tcW w:w="3152" w:type="dxa"/>
            <w:tcBorders>
              <w:top w:val="single" w:color="000000" w:sz="4" w:space="0"/>
              <w:left w:val="nil"/>
              <w:right w:val="single" w:color="000000" w:sz="4" w:space="0"/>
            </w:tcBorders>
            <w:vAlign w:val="center"/>
          </w:tcPr>
          <w:p>
            <w:pPr>
              <w:widowControl/>
              <w:adjustRightInd w:val="0"/>
              <w:snapToGrid w:val="0"/>
              <w:spacing w:line="240" w:lineRule="auto"/>
              <w:jc w:val="center"/>
              <w:rPr>
                <w:b/>
                <w:color w:val="000000" w:themeColor="text1"/>
                <w:kern w:val="0"/>
                <w:szCs w:val="21"/>
              </w:rPr>
            </w:pPr>
            <w:r>
              <w:rPr>
                <w:b/>
                <w:color w:val="000000" w:themeColor="text1"/>
                <w:kern w:val="0"/>
                <w:szCs w:val="21"/>
              </w:rPr>
              <w:t>影响评价因子</w:t>
            </w:r>
          </w:p>
        </w:tc>
      </w:tr>
      <w:tr>
        <w:tblPrEx>
          <w:tblCellMar>
            <w:top w:w="0" w:type="dxa"/>
            <w:left w:w="108" w:type="dxa"/>
            <w:bottom w:w="0" w:type="dxa"/>
            <w:right w:w="108" w:type="dxa"/>
          </w:tblCellMar>
        </w:tblPrEx>
        <w:tc>
          <w:tcPr>
            <w:tcW w:w="133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环境空气</w:t>
            </w:r>
          </w:p>
        </w:tc>
        <w:tc>
          <w:tcPr>
            <w:tcW w:w="4023" w:type="dxa"/>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szCs w:val="21"/>
              </w:rPr>
              <w:t>TSP、PM</w:t>
            </w:r>
            <w:r>
              <w:rPr>
                <w:color w:val="000000" w:themeColor="text1"/>
                <w:szCs w:val="21"/>
                <w:vertAlign w:val="subscript"/>
              </w:rPr>
              <w:t>10</w:t>
            </w:r>
            <w:r>
              <w:rPr>
                <w:color w:val="000000" w:themeColor="text1"/>
                <w:szCs w:val="21"/>
              </w:rPr>
              <w:t>、NH</w:t>
            </w:r>
            <w:r>
              <w:rPr>
                <w:color w:val="000000" w:themeColor="text1"/>
                <w:szCs w:val="21"/>
                <w:vertAlign w:val="subscript"/>
              </w:rPr>
              <w:t>3</w:t>
            </w:r>
            <w:r>
              <w:rPr>
                <w:color w:val="000000" w:themeColor="text1"/>
                <w:szCs w:val="21"/>
              </w:rPr>
              <w:t>、H</w:t>
            </w:r>
            <w:r>
              <w:rPr>
                <w:color w:val="000000" w:themeColor="text1"/>
                <w:szCs w:val="21"/>
                <w:vertAlign w:val="subscript"/>
              </w:rPr>
              <w:t>2</w:t>
            </w:r>
            <w:r>
              <w:rPr>
                <w:color w:val="000000" w:themeColor="text1"/>
                <w:szCs w:val="21"/>
              </w:rPr>
              <w:t>S、SO</w:t>
            </w:r>
            <w:r>
              <w:rPr>
                <w:color w:val="000000" w:themeColor="text1"/>
                <w:szCs w:val="21"/>
                <w:vertAlign w:val="subscript"/>
              </w:rPr>
              <w:t>2</w:t>
            </w:r>
            <w:r>
              <w:rPr>
                <w:color w:val="000000" w:themeColor="text1"/>
                <w:szCs w:val="21"/>
              </w:rPr>
              <w:t>、NO</w:t>
            </w:r>
            <w:r>
              <w:rPr>
                <w:color w:val="000000" w:themeColor="text1"/>
                <w:szCs w:val="21"/>
                <w:vertAlign w:val="subscript"/>
              </w:rPr>
              <w:t>2</w:t>
            </w:r>
          </w:p>
        </w:tc>
        <w:tc>
          <w:tcPr>
            <w:tcW w:w="3152" w:type="dxa"/>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szCs w:val="21"/>
              </w:rPr>
              <w:t>NH</w:t>
            </w:r>
            <w:r>
              <w:rPr>
                <w:color w:val="000000" w:themeColor="text1"/>
                <w:szCs w:val="21"/>
                <w:vertAlign w:val="subscript"/>
              </w:rPr>
              <w:t>3</w:t>
            </w:r>
            <w:r>
              <w:rPr>
                <w:color w:val="000000" w:themeColor="text1"/>
                <w:szCs w:val="21"/>
              </w:rPr>
              <w:t>、H</w:t>
            </w:r>
            <w:r>
              <w:rPr>
                <w:color w:val="000000" w:themeColor="text1"/>
                <w:szCs w:val="21"/>
                <w:vertAlign w:val="subscript"/>
              </w:rPr>
              <w:t>2</w:t>
            </w:r>
            <w:r>
              <w:rPr>
                <w:color w:val="000000" w:themeColor="text1"/>
                <w:szCs w:val="21"/>
              </w:rPr>
              <w:t>S</w:t>
            </w:r>
            <w:r>
              <w:rPr>
                <w:rFonts w:hint="eastAsia"/>
                <w:color w:val="000000" w:themeColor="text1"/>
                <w:szCs w:val="21"/>
              </w:rPr>
              <w:t>、臭气浓度</w:t>
            </w:r>
          </w:p>
        </w:tc>
      </w:tr>
      <w:tr>
        <w:tblPrEx>
          <w:tblCellMar>
            <w:top w:w="0" w:type="dxa"/>
            <w:left w:w="108" w:type="dxa"/>
            <w:bottom w:w="0" w:type="dxa"/>
            <w:right w:w="108" w:type="dxa"/>
          </w:tblCellMar>
        </w:tblPrEx>
        <w:tc>
          <w:tcPr>
            <w:tcW w:w="133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地表水环境</w:t>
            </w:r>
          </w:p>
        </w:tc>
        <w:tc>
          <w:tcPr>
            <w:tcW w:w="4023" w:type="dxa"/>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rFonts w:hint="eastAsia" w:hAnsi="宋体"/>
                <w:color w:val="000000" w:themeColor="text1"/>
                <w:szCs w:val="21"/>
              </w:rPr>
              <w:t>pH、石油类、COD、BOD</w:t>
            </w:r>
            <w:r>
              <w:rPr>
                <w:rFonts w:hint="eastAsia" w:hAnsi="宋体"/>
                <w:color w:val="000000" w:themeColor="text1"/>
                <w:szCs w:val="21"/>
                <w:vertAlign w:val="subscript"/>
              </w:rPr>
              <w:t>5</w:t>
            </w:r>
            <w:r>
              <w:rPr>
                <w:rFonts w:hint="eastAsia" w:hAnsi="宋体"/>
                <w:color w:val="000000" w:themeColor="text1"/>
                <w:szCs w:val="21"/>
              </w:rPr>
              <w:t>、NH</w:t>
            </w:r>
            <w:r>
              <w:rPr>
                <w:rFonts w:hint="eastAsia" w:hAnsi="宋体"/>
                <w:color w:val="000000" w:themeColor="text1"/>
                <w:szCs w:val="21"/>
                <w:vertAlign w:val="subscript"/>
              </w:rPr>
              <w:t>3</w:t>
            </w:r>
            <w:r>
              <w:rPr>
                <w:rFonts w:hint="eastAsia" w:hAnsi="宋体"/>
                <w:color w:val="000000" w:themeColor="text1"/>
                <w:szCs w:val="21"/>
              </w:rPr>
              <w:t>-N、TP、DO、粪大肠菌群</w:t>
            </w:r>
          </w:p>
        </w:tc>
        <w:tc>
          <w:tcPr>
            <w:tcW w:w="3152" w:type="dxa"/>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szCs w:val="21"/>
              </w:rPr>
              <w:t>pH</w:t>
            </w:r>
            <w:r>
              <w:rPr>
                <w:color w:val="000000" w:themeColor="text1"/>
                <w:szCs w:val="21"/>
                <w:lang w:val="zh-CN"/>
              </w:rPr>
              <w:t>、</w:t>
            </w:r>
            <w:r>
              <w:rPr>
                <w:color w:val="000000" w:themeColor="text1"/>
                <w:szCs w:val="21"/>
              </w:rPr>
              <w:t>COD</w:t>
            </w:r>
            <w:r>
              <w:rPr>
                <w:color w:val="000000" w:themeColor="text1"/>
                <w:szCs w:val="21"/>
                <w:lang w:val="zh-CN"/>
              </w:rPr>
              <w:t>、</w:t>
            </w:r>
            <w:r>
              <w:rPr>
                <w:color w:val="000000" w:themeColor="text1"/>
                <w:szCs w:val="21"/>
              </w:rPr>
              <w:t>BOD</w:t>
            </w:r>
            <w:r>
              <w:rPr>
                <w:color w:val="000000" w:themeColor="text1"/>
                <w:szCs w:val="21"/>
                <w:vertAlign w:val="subscript"/>
              </w:rPr>
              <w:t>5</w:t>
            </w:r>
            <w:r>
              <w:rPr>
                <w:color w:val="000000" w:themeColor="text1"/>
                <w:szCs w:val="21"/>
                <w:lang w:val="zh-CN"/>
              </w:rPr>
              <w:t>、</w:t>
            </w:r>
            <w:r>
              <w:rPr>
                <w:color w:val="000000" w:themeColor="text1"/>
                <w:szCs w:val="21"/>
              </w:rPr>
              <w:t>TN</w:t>
            </w:r>
            <w:r>
              <w:rPr>
                <w:color w:val="000000" w:themeColor="text1"/>
                <w:szCs w:val="21"/>
                <w:lang w:val="zh-CN"/>
              </w:rPr>
              <w:t>、</w:t>
            </w:r>
            <w:r>
              <w:rPr>
                <w:rFonts w:hint="eastAsia"/>
                <w:color w:val="000000" w:themeColor="text1"/>
                <w:szCs w:val="21"/>
              </w:rPr>
              <w:t>NH</w:t>
            </w:r>
            <w:r>
              <w:rPr>
                <w:rFonts w:hint="eastAsia"/>
                <w:color w:val="000000" w:themeColor="text1"/>
                <w:szCs w:val="21"/>
                <w:vertAlign w:val="subscript"/>
              </w:rPr>
              <w:t>3</w:t>
            </w:r>
            <w:r>
              <w:rPr>
                <w:rFonts w:hint="eastAsia"/>
                <w:color w:val="000000" w:themeColor="text1"/>
                <w:szCs w:val="21"/>
              </w:rPr>
              <w:t>-N</w:t>
            </w:r>
            <w:r>
              <w:rPr>
                <w:rFonts w:hint="eastAsia"/>
                <w:color w:val="000000" w:themeColor="text1"/>
                <w:szCs w:val="21"/>
                <w:lang w:val="zh-CN"/>
              </w:rPr>
              <w:t>、</w:t>
            </w:r>
            <w:r>
              <w:rPr>
                <w:rFonts w:hint="eastAsia"/>
                <w:color w:val="000000" w:themeColor="text1"/>
                <w:szCs w:val="21"/>
              </w:rPr>
              <w:t>TP</w:t>
            </w:r>
          </w:p>
        </w:tc>
      </w:tr>
      <w:tr>
        <w:tblPrEx>
          <w:tblCellMar>
            <w:top w:w="0" w:type="dxa"/>
            <w:left w:w="108" w:type="dxa"/>
            <w:bottom w:w="0" w:type="dxa"/>
            <w:right w:w="108" w:type="dxa"/>
          </w:tblCellMar>
        </w:tblPrEx>
        <w:tc>
          <w:tcPr>
            <w:tcW w:w="133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地下水环境</w:t>
            </w:r>
          </w:p>
        </w:tc>
        <w:tc>
          <w:tcPr>
            <w:tcW w:w="4023" w:type="dxa"/>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color w:val="000000" w:themeColor="text1"/>
                <w:szCs w:val="21"/>
                <w:lang w:val="zh-CN"/>
              </w:rPr>
            </w:pPr>
            <w:r>
              <w:rPr>
                <w:rFonts w:hint="eastAsia" w:hAnsi="宋体"/>
                <w:color w:val="000000" w:themeColor="text1"/>
                <w:szCs w:val="21"/>
              </w:rPr>
              <w:t>pH、氨氮、硝酸盐、亚硝酸盐、溶解性总固体、耗氧量、硫酸盐、氯化物、总大肠菌群数、细菌总数</w:t>
            </w:r>
          </w:p>
        </w:tc>
        <w:tc>
          <w:tcPr>
            <w:tcW w:w="3152" w:type="dxa"/>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color w:val="000000" w:themeColor="text1"/>
                <w:szCs w:val="21"/>
                <w:lang w:val="zh-CN"/>
              </w:rPr>
            </w:pPr>
            <w:r>
              <w:rPr>
                <w:color w:val="000000" w:themeColor="text1"/>
                <w:szCs w:val="21"/>
                <w:lang w:val="zh-CN"/>
              </w:rPr>
              <w:t>pH、</w:t>
            </w:r>
            <w:r>
              <w:rPr>
                <w:rFonts w:hint="eastAsia"/>
                <w:color w:val="000000" w:themeColor="text1"/>
                <w:szCs w:val="21"/>
                <w:lang w:val="zh-CN"/>
              </w:rPr>
              <w:t>耗氧量、</w:t>
            </w:r>
            <w:r>
              <w:rPr>
                <w:color w:val="000000" w:themeColor="text1"/>
                <w:szCs w:val="21"/>
                <w:lang w:val="zh-CN"/>
              </w:rPr>
              <w:t>硝硝酸盐、</w:t>
            </w:r>
            <w:r>
              <w:rPr>
                <w:color w:val="000000" w:themeColor="text1"/>
                <w:szCs w:val="21"/>
              </w:rPr>
              <w:t>亚硝酸盐、氨氮</w:t>
            </w:r>
            <w:r>
              <w:rPr>
                <w:color w:val="000000" w:themeColor="text1"/>
                <w:szCs w:val="21"/>
                <w:lang w:val="zh-CN"/>
              </w:rPr>
              <w:t>等</w:t>
            </w:r>
          </w:p>
        </w:tc>
      </w:tr>
      <w:tr>
        <w:tblPrEx>
          <w:tblCellMar>
            <w:top w:w="0" w:type="dxa"/>
            <w:left w:w="108" w:type="dxa"/>
            <w:bottom w:w="0" w:type="dxa"/>
            <w:right w:w="108" w:type="dxa"/>
          </w:tblCellMar>
        </w:tblPrEx>
        <w:tc>
          <w:tcPr>
            <w:tcW w:w="133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声环境</w:t>
            </w:r>
          </w:p>
        </w:tc>
        <w:tc>
          <w:tcPr>
            <w:tcW w:w="7175" w:type="dxa"/>
            <w:gridSpan w:val="2"/>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连续等效噪声LeqdB(A)</w:t>
            </w:r>
          </w:p>
        </w:tc>
      </w:tr>
      <w:tr>
        <w:tblPrEx>
          <w:tblCellMar>
            <w:top w:w="0" w:type="dxa"/>
            <w:left w:w="108" w:type="dxa"/>
            <w:bottom w:w="0" w:type="dxa"/>
            <w:right w:w="108" w:type="dxa"/>
          </w:tblCellMar>
        </w:tblPrEx>
        <w:tc>
          <w:tcPr>
            <w:tcW w:w="133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固体废物</w:t>
            </w:r>
          </w:p>
        </w:tc>
        <w:tc>
          <w:tcPr>
            <w:tcW w:w="7175" w:type="dxa"/>
            <w:gridSpan w:val="2"/>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szCs w:val="21"/>
              </w:rPr>
              <w:t>猪粪、病死猪及胎衣、医疗固废、污水处理站污泥、生活垃圾</w:t>
            </w:r>
          </w:p>
        </w:tc>
      </w:tr>
      <w:tr>
        <w:tblPrEx>
          <w:tblCellMar>
            <w:top w:w="0" w:type="dxa"/>
            <w:left w:w="108" w:type="dxa"/>
            <w:bottom w:w="0" w:type="dxa"/>
            <w:right w:w="108" w:type="dxa"/>
          </w:tblCellMar>
        </w:tblPrEx>
        <w:tc>
          <w:tcPr>
            <w:tcW w:w="133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生态环境</w:t>
            </w:r>
          </w:p>
        </w:tc>
        <w:tc>
          <w:tcPr>
            <w:tcW w:w="7175" w:type="dxa"/>
            <w:gridSpan w:val="2"/>
            <w:tcBorders>
              <w:top w:val="single" w:color="000000" w:sz="4" w:space="0"/>
              <w:left w:val="nil"/>
              <w:bottom w:val="single" w:color="000000" w:sz="4" w:space="0"/>
              <w:right w:val="single" w:color="000000" w:sz="4" w:space="0"/>
            </w:tcBorders>
            <w:vAlign w:val="center"/>
          </w:tcPr>
          <w:p>
            <w:pPr>
              <w:widowControl/>
              <w:adjustRightInd w:val="0"/>
              <w:snapToGrid w:val="0"/>
              <w:spacing w:line="240" w:lineRule="auto"/>
              <w:jc w:val="center"/>
              <w:rPr>
                <w:color w:val="000000" w:themeColor="text1"/>
                <w:kern w:val="0"/>
                <w:szCs w:val="21"/>
              </w:rPr>
            </w:pPr>
            <w:r>
              <w:rPr>
                <w:color w:val="000000" w:themeColor="text1"/>
                <w:szCs w:val="21"/>
              </w:rPr>
              <w:t>土地利用、土壤、植被、水土流失</w:t>
            </w:r>
          </w:p>
        </w:tc>
      </w:tr>
    </w:tbl>
    <w:p>
      <w:pPr>
        <w:pStyle w:val="3"/>
        <w:adjustRightInd w:val="0"/>
        <w:snapToGrid w:val="0"/>
        <w:spacing w:before="0" w:after="0"/>
        <w:rPr>
          <w:rFonts w:ascii="Times New Roman" w:hAnsi="Times New Roman"/>
          <w:color w:val="000000" w:themeColor="text1"/>
        </w:rPr>
      </w:pPr>
      <w:bookmarkStart w:id="81" w:name="_Toc28176"/>
      <w:bookmarkStart w:id="82" w:name="_Toc402186353"/>
      <w:bookmarkStart w:id="83" w:name="_Toc300743749"/>
      <w:bookmarkStart w:id="84" w:name="_Toc291775984"/>
      <w:bookmarkStart w:id="85" w:name="_Toc9009"/>
      <w:bookmarkStart w:id="86" w:name="_Toc4145"/>
      <w:bookmarkStart w:id="87" w:name="_Toc4076478"/>
      <w:bookmarkStart w:id="88" w:name="_Toc510547260"/>
      <w:r>
        <w:rPr>
          <w:rFonts w:ascii="Times New Roman" w:hAnsi="Times New Roman"/>
          <w:color w:val="000000" w:themeColor="text1"/>
        </w:rPr>
        <w:t>2.4评价</w:t>
      </w:r>
      <w:bookmarkEnd w:id="81"/>
      <w:bookmarkEnd w:id="82"/>
      <w:bookmarkEnd w:id="83"/>
      <w:bookmarkEnd w:id="84"/>
      <w:bookmarkEnd w:id="85"/>
      <w:bookmarkEnd w:id="86"/>
      <w:r>
        <w:rPr>
          <w:rFonts w:ascii="Times New Roman" w:hAnsi="Times New Roman"/>
          <w:color w:val="000000" w:themeColor="text1"/>
        </w:rPr>
        <w:t>重点</w:t>
      </w:r>
      <w:bookmarkEnd w:id="87"/>
      <w:bookmarkEnd w:id="88"/>
    </w:p>
    <w:p>
      <w:pPr>
        <w:adjustRightInd w:val="0"/>
        <w:snapToGrid w:val="0"/>
        <w:ind w:firstLine="480" w:firstLineChars="200"/>
        <w:jc w:val="left"/>
        <w:rPr>
          <w:color w:val="000000" w:themeColor="text1"/>
          <w:sz w:val="24"/>
        </w:rPr>
      </w:pPr>
      <w:r>
        <w:rPr>
          <w:color w:val="000000" w:themeColor="text1"/>
          <w:sz w:val="24"/>
        </w:rPr>
        <w:t>根据建设项目的性质和初步污染牲的分析结果，结合当地环境特点，确定本次环评的重点为：</w:t>
      </w:r>
    </w:p>
    <w:p>
      <w:pPr>
        <w:adjustRightInd w:val="0"/>
        <w:snapToGrid w:val="0"/>
        <w:ind w:firstLine="480" w:firstLineChars="200"/>
        <w:jc w:val="left"/>
        <w:rPr>
          <w:color w:val="000000" w:themeColor="text1"/>
          <w:sz w:val="24"/>
        </w:rPr>
      </w:pPr>
      <w:r>
        <w:rPr>
          <w:color w:val="000000" w:themeColor="text1"/>
          <w:sz w:val="24"/>
        </w:rPr>
        <w:t>（1）项目选址合理性分析。</w:t>
      </w:r>
    </w:p>
    <w:p>
      <w:pPr>
        <w:adjustRightInd w:val="0"/>
        <w:snapToGrid w:val="0"/>
        <w:ind w:firstLine="480" w:firstLineChars="200"/>
        <w:jc w:val="left"/>
        <w:rPr>
          <w:color w:val="000000" w:themeColor="text1"/>
          <w:sz w:val="24"/>
        </w:rPr>
      </w:pPr>
      <w:r>
        <w:rPr>
          <w:color w:val="000000" w:themeColor="text1"/>
          <w:sz w:val="24"/>
        </w:rPr>
        <w:t>（2）工程分析：包括养殖工艺及病死猪处理工艺介绍，畜禽养殖产生的废弃物种类和数量，废弃物综合利用和化处理方案和措施。</w:t>
      </w:r>
    </w:p>
    <w:p>
      <w:pPr>
        <w:adjustRightInd w:val="0"/>
        <w:snapToGrid w:val="0"/>
        <w:ind w:firstLine="480" w:firstLineChars="200"/>
        <w:jc w:val="left"/>
        <w:rPr>
          <w:color w:val="000000" w:themeColor="text1"/>
          <w:sz w:val="24"/>
        </w:rPr>
      </w:pPr>
      <w:r>
        <w:rPr>
          <w:color w:val="000000" w:themeColor="text1"/>
          <w:sz w:val="24"/>
        </w:rPr>
        <w:t>（3）大气环境影响评价：根据工程分析中废气核算情况，结合项目区空气环境本底值预测分析项目运营期废气对区域空气环境及周边保护目标的影响程度。</w:t>
      </w:r>
    </w:p>
    <w:p>
      <w:pPr>
        <w:adjustRightInd w:val="0"/>
        <w:snapToGrid w:val="0"/>
        <w:ind w:firstLine="480" w:firstLineChars="200"/>
        <w:jc w:val="left"/>
        <w:rPr>
          <w:color w:val="000000" w:themeColor="text1"/>
          <w:sz w:val="24"/>
        </w:rPr>
      </w:pPr>
      <w:r>
        <w:rPr>
          <w:color w:val="000000" w:themeColor="text1"/>
          <w:sz w:val="24"/>
        </w:rPr>
        <w:t>（4）对污水处理方案可行性、可靠性进行重点分析。</w:t>
      </w:r>
    </w:p>
    <w:p>
      <w:pPr>
        <w:adjustRightInd w:val="0"/>
        <w:snapToGrid w:val="0"/>
        <w:ind w:firstLine="480" w:firstLineChars="200"/>
        <w:jc w:val="left"/>
        <w:rPr>
          <w:color w:val="000000" w:themeColor="text1"/>
          <w:sz w:val="24"/>
        </w:rPr>
      </w:pPr>
      <w:r>
        <w:rPr>
          <w:color w:val="000000" w:themeColor="text1"/>
          <w:sz w:val="24"/>
        </w:rPr>
        <w:t>（5）固体废物（包括猪尿、猪粪、病死猪）的消纳和处理情况以及向环境直接排放的情况，最终可能对水环境和人体健康产生的影响以及控制和减少影响的方案和措施等。</w:t>
      </w:r>
    </w:p>
    <w:p>
      <w:pPr>
        <w:adjustRightInd w:val="0"/>
        <w:snapToGrid w:val="0"/>
        <w:ind w:firstLine="480" w:firstLineChars="200"/>
        <w:jc w:val="left"/>
        <w:rPr>
          <w:color w:val="000000" w:themeColor="text1"/>
          <w:sz w:val="24"/>
        </w:rPr>
      </w:pPr>
      <w:r>
        <w:rPr>
          <w:color w:val="000000" w:themeColor="text1"/>
          <w:sz w:val="24"/>
        </w:rPr>
        <w:t>评价重点时间段主要是项目的运营期。</w:t>
      </w:r>
    </w:p>
    <w:p>
      <w:pPr>
        <w:pStyle w:val="3"/>
        <w:adjustRightInd w:val="0"/>
        <w:snapToGrid w:val="0"/>
        <w:spacing w:before="0" w:after="0"/>
        <w:rPr>
          <w:rFonts w:ascii="Times New Roman" w:hAnsi="Times New Roman"/>
          <w:color w:val="000000" w:themeColor="text1"/>
        </w:rPr>
      </w:pPr>
      <w:bookmarkStart w:id="89" w:name="_Toc402186351"/>
      <w:bookmarkStart w:id="90" w:name="_Toc291775982"/>
      <w:bookmarkStart w:id="91" w:name="_Toc300743747"/>
      <w:bookmarkStart w:id="92" w:name="_Toc28003"/>
      <w:bookmarkStart w:id="93" w:name="_Toc25750"/>
      <w:bookmarkStart w:id="94" w:name="_Toc19540"/>
      <w:bookmarkStart w:id="95" w:name="_Toc510547261"/>
      <w:bookmarkStart w:id="96" w:name="_Toc4076479"/>
      <w:r>
        <w:rPr>
          <w:rFonts w:ascii="Times New Roman" w:hAnsi="Times New Roman"/>
          <w:color w:val="000000" w:themeColor="text1"/>
        </w:rPr>
        <w:t>2.</w:t>
      </w:r>
      <w:bookmarkEnd w:id="89"/>
      <w:bookmarkEnd w:id="90"/>
      <w:bookmarkEnd w:id="91"/>
      <w:bookmarkEnd w:id="92"/>
      <w:bookmarkEnd w:id="93"/>
      <w:bookmarkEnd w:id="94"/>
      <w:r>
        <w:rPr>
          <w:rFonts w:ascii="Times New Roman" w:hAnsi="Times New Roman"/>
          <w:color w:val="000000" w:themeColor="text1"/>
        </w:rPr>
        <w:t>5评价采用标准</w:t>
      </w:r>
      <w:bookmarkEnd w:id="95"/>
      <w:bookmarkEnd w:id="96"/>
    </w:p>
    <w:p>
      <w:pPr>
        <w:pStyle w:val="4"/>
        <w:adjustRightInd w:val="0"/>
        <w:snapToGrid w:val="0"/>
        <w:spacing w:before="0" w:after="0" w:line="360" w:lineRule="auto"/>
        <w:rPr>
          <w:color w:val="000000" w:themeColor="text1"/>
        </w:rPr>
      </w:pPr>
      <w:bookmarkStart w:id="97" w:name="_Toc506218033"/>
      <w:bookmarkStart w:id="98" w:name="_Toc504403780"/>
      <w:bookmarkStart w:id="99" w:name="_Toc510547262"/>
      <w:bookmarkStart w:id="100" w:name="_Toc26147"/>
      <w:bookmarkStart w:id="101" w:name="_Toc291775983"/>
      <w:bookmarkStart w:id="102" w:name="_Toc402186352"/>
      <w:bookmarkStart w:id="103" w:name="_Toc300743748"/>
      <w:bookmarkStart w:id="104" w:name="_Toc15094"/>
      <w:bookmarkStart w:id="105" w:name="_Toc13153"/>
      <w:r>
        <w:rPr>
          <w:color w:val="000000" w:themeColor="text1"/>
        </w:rPr>
        <w:t>2.5.1环境质量标准</w:t>
      </w:r>
      <w:bookmarkEnd w:id="97"/>
      <w:bookmarkEnd w:id="98"/>
      <w:bookmarkEnd w:id="99"/>
    </w:p>
    <w:p>
      <w:pPr>
        <w:adjustRightInd w:val="0"/>
        <w:snapToGrid w:val="0"/>
        <w:ind w:firstLine="480" w:firstLineChars="200"/>
        <w:rPr>
          <w:color w:val="000000" w:themeColor="text1"/>
          <w:sz w:val="24"/>
        </w:rPr>
      </w:pPr>
      <w:r>
        <w:rPr>
          <w:color w:val="000000" w:themeColor="text1"/>
          <w:sz w:val="24"/>
        </w:rPr>
        <w:t>（1）环境空气质量标准</w:t>
      </w:r>
    </w:p>
    <w:p>
      <w:pPr>
        <w:ind w:firstLine="480" w:firstLineChars="200"/>
        <w:rPr>
          <w:color w:val="000000" w:themeColor="text1"/>
          <w:sz w:val="24"/>
        </w:rPr>
      </w:pPr>
      <w:r>
        <w:rPr>
          <w:color w:val="000000" w:themeColor="text1"/>
          <w:sz w:val="24"/>
        </w:rPr>
        <w:t>建设项目场址及周围关心点执行《环境空气质量标准》（GB3095-2012）二级标准中的要求，标准值见表2.5-1。</w:t>
      </w:r>
    </w:p>
    <w:p>
      <w:pPr>
        <w:pStyle w:val="116"/>
        <w:wordWrap/>
        <w:spacing w:line="240" w:lineRule="auto"/>
        <w:rPr>
          <w:color w:val="000000" w:themeColor="text1"/>
          <w:sz w:val="21"/>
          <w:szCs w:val="21"/>
        </w:rPr>
      </w:pPr>
      <w:r>
        <w:rPr>
          <w:color w:val="000000" w:themeColor="text1"/>
          <w:sz w:val="21"/>
          <w:szCs w:val="21"/>
        </w:rPr>
        <w:t>表2.5-1  环境空气质量标准（</w:t>
      </w:r>
      <w:r>
        <w:rPr>
          <w:bCs/>
          <w:color w:val="000000" w:themeColor="text1"/>
          <w:sz w:val="21"/>
          <w:szCs w:val="21"/>
        </w:rPr>
        <w:t>单位: µg/m</w:t>
      </w:r>
      <w:r>
        <w:rPr>
          <w:bCs/>
          <w:color w:val="000000" w:themeColor="text1"/>
          <w:sz w:val="21"/>
          <w:szCs w:val="21"/>
          <w:vertAlign w:val="superscript"/>
        </w:rPr>
        <w:t>3</w:t>
      </w:r>
      <w:r>
        <w:rPr>
          <w:color w:val="000000" w:themeColor="text1"/>
          <w:sz w:val="21"/>
          <w:szCs w:val="21"/>
        </w:rPr>
        <w:t>）</w:t>
      </w:r>
    </w:p>
    <w:tbl>
      <w:tblPr>
        <w:tblStyle w:val="4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8"/>
        <w:gridCol w:w="2844"/>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Align w:val="center"/>
          </w:tcPr>
          <w:p>
            <w:pPr>
              <w:adjustRightInd w:val="0"/>
              <w:snapToGrid w:val="0"/>
              <w:spacing w:line="240" w:lineRule="auto"/>
              <w:jc w:val="center"/>
              <w:rPr>
                <w:b/>
                <w:bCs/>
                <w:color w:val="000000" w:themeColor="text1"/>
                <w:szCs w:val="21"/>
              </w:rPr>
            </w:pPr>
            <w:r>
              <w:rPr>
                <w:b/>
                <w:bCs/>
                <w:color w:val="000000" w:themeColor="text1"/>
                <w:szCs w:val="21"/>
              </w:rPr>
              <w:t>污染物名称</w:t>
            </w:r>
          </w:p>
        </w:tc>
        <w:tc>
          <w:tcPr>
            <w:tcW w:w="2844" w:type="dxa"/>
            <w:vAlign w:val="center"/>
          </w:tcPr>
          <w:p>
            <w:pPr>
              <w:adjustRightInd w:val="0"/>
              <w:snapToGrid w:val="0"/>
              <w:spacing w:line="240" w:lineRule="auto"/>
              <w:jc w:val="center"/>
              <w:rPr>
                <w:b/>
                <w:bCs/>
                <w:color w:val="000000" w:themeColor="text1"/>
                <w:szCs w:val="21"/>
              </w:rPr>
            </w:pPr>
            <w:r>
              <w:rPr>
                <w:b/>
                <w:bCs/>
                <w:color w:val="000000" w:themeColor="text1"/>
                <w:szCs w:val="21"/>
              </w:rPr>
              <w:t>取值时间</w:t>
            </w:r>
          </w:p>
        </w:tc>
        <w:tc>
          <w:tcPr>
            <w:tcW w:w="2838" w:type="dxa"/>
            <w:vAlign w:val="center"/>
          </w:tcPr>
          <w:p>
            <w:pPr>
              <w:adjustRightInd w:val="0"/>
              <w:snapToGrid w:val="0"/>
              <w:spacing w:line="240" w:lineRule="auto"/>
              <w:jc w:val="center"/>
              <w:rPr>
                <w:b/>
                <w:bCs/>
                <w:color w:val="000000" w:themeColor="text1"/>
                <w:szCs w:val="21"/>
              </w:rPr>
            </w:pPr>
            <w:r>
              <w:rPr>
                <w:b/>
                <w:bCs/>
                <w:color w:val="000000" w:themeColor="text1"/>
                <w:szCs w:val="21"/>
              </w:rPr>
              <w:t>二级标准浓度限值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restart"/>
            <w:vAlign w:val="center"/>
          </w:tcPr>
          <w:p>
            <w:pPr>
              <w:adjustRightInd w:val="0"/>
              <w:snapToGrid w:val="0"/>
              <w:spacing w:line="240" w:lineRule="auto"/>
              <w:jc w:val="center"/>
              <w:rPr>
                <w:bCs/>
                <w:color w:val="000000" w:themeColor="text1"/>
                <w:szCs w:val="21"/>
              </w:rPr>
            </w:pPr>
            <w:r>
              <w:rPr>
                <w:bCs/>
                <w:color w:val="000000" w:themeColor="text1"/>
                <w:szCs w:val="21"/>
              </w:rPr>
              <w:t>总悬浮颗粒物（TSP）</w:t>
            </w: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年平均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vAlign w:val="center"/>
          </w:tcPr>
          <w:p>
            <w:pPr>
              <w:adjustRightInd w:val="0"/>
              <w:snapToGrid w:val="0"/>
              <w:spacing w:line="240" w:lineRule="auto"/>
              <w:jc w:val="center"/>
              <w:rPr>
                <w:bCs/>
                <w:color w:val="000000" w:themeColor="text1"/>
                <w:szCs w:val="21"/>
              </w:rPr>
            </w:pP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24小时平均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restart"/>
            <w:vAlign w:val="center"/>
          </w:tcPr>
          <w:p>
            <w:pPr>
              <w:adjustRightInd w:val="0"/>
              <w:snapToGrid w:val="0"/>
              <w:spacing w:line="240" w:lineRule="auto"/>
              <w:jc w:val="center"/>
              <w:rPr>
                <w:bCs/>
                <w:color w:val="000000" w:themeColor="text1"/>
                <w:szCs w:val="21"/>
              </w:rPr>
            </w:pPr>
            <w:r>
              <w:rPr>
                <w:bCs/>
                <w:color w:val="000000" w:themeColor="text1"/>
                <w:szCs w:val="21"/>
              </w:rPr>
              <w:t>可吸入颗粒物（PM</w:t>
            </w:r>
            <w:r>
              <w:rPr>
                <w:bCs/>
                <w:color w:val="000000" w:themeColor="text1"/>
                <w:szCs w:val="21"/>
                <w:vertAlign w:val="subscript"/>
              </w:rPr>
              <w:t>10</w:t>
            </w:r>
            <w:r>
              <w:rPr>
                <w:bCs/>
                <w:color w:val="000000" w:themeColor="text1"/>
                <w:szCs w:val="21"/>
              </w:rPr>
              <w:t>）</w:t>
            </w: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年平均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vAlign w:val="center"/>
          </w:tcPr>
          <w:p>
            <w:pPr>
              <w:adjustRightInd w:val="0"/>
              <w:snapToGrid w:val="0"/>
              <w:spacing w:line="240" w:lineRule="auto"/>
              <w:jc w:val="center"/>
              <w:rPr>
                <w:bCs/>
                <w:color w:val="000000" w:themeColor="text1"/>
                <w:szCs w:val="21"/>
              </w:rPr>
            </w:pP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24小时平均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restart"/>
            <w:vAlign w:val="center"/>
          </w:tcPr>
          <w:p>
            <w:pPr>
              <w:adjustRightInd w:val="0"/>
              <w:snapToGrid w:val="0"/>
              <w:spacing w:line="240" w:lineRule="auto"/>
              <w:jc w:val="center"/>
              <w:rPr>
                <w:bCs/>
                <w:color w:val="000000" w:themeColor="text1"/>
                <w:szCs w:val="21"/>
              </w:rPr>
            </w:pPr>
            <w:r>
              <w:rPr>
                <w:bCs/>
                <w:color w:val="000000" w:themeColor="text1"/>
                <w:szCs w:val="21"/>
              </w:rPr>
              <w:t>可吸入颗粒物（PM</w:t>
            </w:r>
            <w:r>
              <w:rPr>
                <w:bCs/>
                <w:color w:val="000000" w:themeColor="text1"/>
                <w:szCs w:val="21"/>
                <w:vertAlign w:val="subscript"/>
              </w:rPr>
              <w:t>2.5</w:t>
            </w:r>
            <w:r>
              <w:rPr>
                <w:bCs/>
                <w:color w:val="000000" w:themeColor="text1"/>
                <w:szCs w:val="21"/>
              </w:rPr>
              <w:t>）</w:t>
            </w: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年平均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vAlign w:val="center"/>
          </w:tcPr>
          <w:p>
            <w:pPr>
              <w:adjustRightInd w:val="0"/>
              <w:snapToGrid w:val="0"/>
              <w:spacing w:line="240" w:lineRule="auto"/>
              <w:jc w:val="center"/>
              <w:rPr>
                <w:bCs/>
                <w:color w:val="000000" w:themeColor="text1"/>
                <w:szCs w:val="21"/>
              </w:rPr>
            </w:pP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24小时平均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restart"/>
            <w:vAlign w:val="center"/>
          </w:tcPr>
          <w:p>
            <w:pPr>
              <w:adjustRightInd w:val="0"/>
              <w:snapToGrid w:val="0"/>
              <w:spacing w:line="240" w:lineRule="auto"/>
              <w:jc w:val="center"/>
              <w:rPr>
                <w:bCs/>
                <w:color w:val="000000" w:themeColor="text1"/>
                <w:szCs w:val="21"/>
              </w:rPr>
            </w:pPr>
            <w:r>
              <w:rPr>
                <w:bCs/>
                <w:color w:val="000000" w:themeColor="text1"/>
                <w:szCs w:val="21"/>
              </w:rPr>
              <w:t>二氧化氮（NO</w:t>
            </w:r>
            <w:r>
              <w:rPr>
                <w:bCs/>
                <w:color w:val="000000" w:themeColor="text1"/>
                <w:szCs w:val="21"/>
                <w:vertAlign w:val="subscript"/>
              </w:rPr>
              <w:t>2</w:t>
            </w:r>
            <w:r>
              <w:rPr>
                <w:bCs/>
                <w:color w:val="000000" w:themeColor="text1"/>
                <w:szCs w:val="21"/>
              </w:rPr>
              <w:t>）</w:t>
            </w: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年平均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vAlign w:val="center"/>
          </w:tcPr>
          <w:p>
            <w:pPr>
              <w:adjustRightInd w:val="0"/>
              <w:snapToGrid w:val="0"/>
              <w:spacing w:line="240" w:lineRule="auto"/>
              <w:jc w:val="center"/>
              <w:rPr>
                <w:bCs/>
                <w:color w:val="000000" w:themeColor="text1"/>
                <w:szCs w:val="21"/>
              </w:rPr>
            </w:pP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24小时平均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vAlign w:val="center"/>
          </w:tcPr>
          <w:p>
            <w:pPr>
              <w:adjustRightInd w:val="0"/>
              <w:snapToGrid w:val="0"/>
              <w:spacing w:line="240" w:lineRule="auto"/>
              <w:jc w:val="center"/>
              <w:rPr>
                <w:bCs/>
                <w:color w:val="000000" w:themeColor="text1"/>
                <w:szCs w:val="21"/>
              </w:rPr>
            </w:pP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1小时平均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restart"/>
            <w:vAlign w:val="center"/>
          </w:tcPr>
          <w:p>
            <w:pPr>
              <w:adjustRightInd w:val="0"/>
              <w:snapToGrid w:val="0"/>
              <w:spacing w:line="240" w:lineRule="auto"/>
              <w:jc w:val="center"/>
              <w:rPr>
                <w:bCs/>
                <w:color w:val="000000" w:themeColor="text1"/>
                <w:szCs w:val="21"/>
              </w:rPr>
            </w:pPr>
            <w:r>
              <w:rPr>
                <w:bCs/>
                <w:color w:val="000000" w:themeColor="text1"/>
                <w:szCs w:val="21"/>
              </w:rPr>
              <w:t>二氧化硫（SO</w:t>
            </w:r>
            <w:r>
              <w:rPr>
                <w:bCs/>
                <w:color w:val="000000" w:themeColor="text1"/>
                <w:szCs w:val="21"/>
                <w:vertAlign w:val="subscript"/>
              </w:rPr>
              <w:t>2</w:t>
            </w:r>
            <w:r>
              <w:rPr>
                <w:bCs/>
                <w:color w:val="000000" w:themeColor="text1"/>
                <w:szCs w:val="21"/>
              </w:rPr>
              <w:t>）</w:t>
            </w: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年平均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vAlign w:val="center"/>
          </w:tcPr>
          <w:p>
            <w:pPr>
              <w:adjustRightInd w:val="0"/>
              <w:snapToGrid w:val="0"/>
              <w:spacing w:line="240" w:lineRule="auto"/>
              <w:jc w:val="center"/>
              <w:rPr>
                <w:bCs/>
                <w:color w:val="000000" w:themeColor="text1"/>
                <w:szCs w:val="21"/>
              </w:rPr>
            </w:pP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24小时平均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vAlign w:val="center"/>
          </w:tcPr>
          <w:p>
            <w:pPr>
              <w:adjustRightInd w:val="0"/>
              <w:snapToGrid w:val="0"/>
              <w:spacing w:line="240" w:lineRule="auto"/>
              <w:jc w:val="center"/>
              <w:rPr>
                <w:bCs/>
                <w:color w:val="000000" w:themeColor="text1"/>
                <w:szCs w:val="21"/>
              </w:rPr>
            </w:pPr>
          </w:p>
        </w:tc>
        <w:tc>
          <w:tcPr>
            <w:tcW w:w="2844" w:type="dxa"/>
            <w:vAlign w:val="center"/>
          </w:tcPr>
          <w:p>
            <w:pPr>
              <w:adjustRightInd w:val="0"/>
              <w:snapToGrid w:val="0"/>
              <w:spacing w:line="240" w:lineRule="auto"/>
              <w:jc w:val="center"/>
              <w:rPr>
                <w:bCs/>
                <w:color w:val="000000" w:themeColor="text1"/>
                <w:szCs w:val="21"/>
              </w:rPr>
            </w:pPr>
            <w:r>
              <w:rPr>
                <w:bCs/>
                <w:color w:val="000000" w:themeColor="text1"/>
                <w:szCs w:val="21"/>
              </w:rPr>
              <w:t>1小时平均</w:t>
            </w:r>
          </w:p>
        </w:tc>
        <w:tc>
          <w:tcPr>
            <w:tcW w:w="2838" w:type="dxa"/>
            <w:vAlign w:val="center"/>
          </w:tcPr>
          <w:p>
            <w:pPr>
              <w:adjustRightInd w:val="0"/>
              <w:snapToGrid w:val="0"/>
              <w:spacing w:line="240" w:lineRule="auto"/>
              <w:jc w:val="center"/>
              <w:rPr>
                <w:bCs/>
                <w:color w:val="000000" w:themeColor="text1"/>
                <w:szCs w:val="21"/>
              </w:rPr>
            </w:pPr>
            <w:r>
              <w:rPr>
                <w:bCs/>
                <w:color w:val="000000" w:themeColor="text1"/>
                <w:szCs w:val="21"/>
              </w:rPr>
              <w:t>500</w:t>
            </w:r>
          </w:p>
        </w:tc>
      </w:tr>
    </w:tbl>
    <w:p>
      <w:pPr>
        <w:adjustRightInd w:val="0"/>
        <w:snapToGrid w:val="0"/>
        <w:ind w:firstLine="480" w:firstLineChars="200"/>
        <w:rPr>
          <w:color w:val="000000" w:themeColor="text1"/>
          <w:sz w:val="24"/>
        </w:rPr>
      </w:pPr>
      <w:r>
        <w:rPr>
          <w:color w:val="000000" w:themeColor="text1"/>
          <w:sz w:val="24"/>
        </w:rPr>
        <w:t>NH</w:t>
      </w:r>
      <w:r>
        <w:rPr>
          <w:color w:val="000000" w:themeColor="text1"/>
          <w:sz w:val="24"/>
          <w:vertAlign w:val="subscript"/>
        </w:rPr>
        <w:t>3</w:t>
      </w:r>
      <w:r>
        <w:rPr>
          <w:color w:val="000000" w:themeColor="text1"/>
          <w:sz w:val="24"/>
        </w:rPr>
        <w:t>和H</w:t>
      </w:r>
      <w:r>
        <w:rPr>
          <w:color w:val="000000" w:themeColor="text1"/>
          <w:sz w:val="24"/>
          <w:vertAlign w:val="subscript"/>
        </w:rPr>
        <w:t>2</w:t>
      </w:r>
      <w:r>
        <w:rPr>
          <w:color w:val="000000" w:themeColor="text1"/>
          <w:sz w:val="24"/>
        </w:rPr>
        <w:t>S参照《</w:t>
      </w:r>
      <w:r>
        <w:rPr>
          <w:rFonts w:hint="eastAsia"/>
          <w:color w:val="000000" w:themeColor="text1"/>
          <w:sz w:val="24"/>
        </w:rPr>
        <w:t>环境影响评价技术导则 大气环境</w:t>
      </w:r>
      <w:r>
        <w:rPr>
          <w:color w:val="000000" w:themeColor="text1"/>
          <w:sz w:val="24"/>
        </w:rPr>
        <w:t>》</w:t>
      </w:r>
      <w:r>
        <w:rPr>
          <w:rFonts w:hint="eastAsia"/>
          <w:color w:val="000000" w:themeColor="text1"/>
          <w:sz w:val="24"/>
        </w:rPr>
        <w:t>（HJ2.2-2018）附录D中</w:t>
      </w:r>
      <w:r>
        <w:rPr>
          <w:color w:val="000000" w:themeColor="text1"/>
          <w:sz w:val="24"/>
        </w:rPr>
        <w:t>限值，标准值如下表所示。</w:t>
      </w:r>
    </w:p>
    <w:p>
      <w:pPr>
        <w:spacing w:line="240" w:lineRule="auto"/>
        <w:jc w:val="center"/>
        <w:rPr>
          <w:b/>
          <w:color w:val="000000" w:themeColor="text1"/>
        </w:rPr>
      </w:pPr>
      <w:r>
        <w:rPr>
          <w:b/>
          <w:color w:val="000000" w:themeColor="text1"/>
        </w:rPr>
        <w:t xml:space="preserve">表2.5-2  </w:t>
      </w:r>
      <w:r>
        <w:rPr>
          <w:rFonts w:hint="eastAsia"/>
          <w:b/>
          <w:bCs/>
          <w:color w:val="000000" w:themeColor="text1"/>
        </w:rPr>
        <w:t xml:space="preserve">其他污染物空气质量浓度参考值 </w:t>
      </w:r>
      <w:r>
        <w:rPr>
          <w:b/>
          <w:bCs/>
          <w:color w:val="000000" w:themeColor="text1"/>
        </w:rPr>
        <w:t>单位：</w:t>
      </w:r>
      <w:r>
        <w:rPr>
          <w:rFonts w:hint="eastAsia"/>
          <w:b/>
          <w:color w:val="000000" w:themeColor="text1"/>
        </w:rPr>
        <w:t>μ</w:t>
      </w:r>
      <w:r>
        <w:rPr>
          <w:b/>
          <w:color w:val="000000" w:themeColor="text1"/>
        </w:rPr>
        <w:t>g/m</w:t>
      </w:r>
      <w:r>
        <w:rPr>
          <w:b/>
          <w:color w:val="000000" w:themeColor="text1"/>
          <w:vertAlign w:val="superscript"/>
        </w:rPr>
        <w:t>3</w:t>
      </w:r>
    </w:p>
    <w:tbl>
      <w:tblPr>
        <w:tblStyle w:val="4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58"/>
        <w:gridCol w:w="5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6" w:hRule="atLeast"/>
          <w:jc w:val="center"/>
        </w:trPr>
        <w:tc>
          <w:tcPr>
            <w:tcW w:w="1734" w:type="pct"/>
            <w:vAlign w:val="center"/>
          </w:tcPr>
          <w:p>
            <w:pPr>
              <w:adjustRightInd w:val="0"/>
              <w:snapToGrid w:val="0"/>
              <w:spacing w:line="240" w:lineRule="auto"/>
              <w:jc w:val="center"/>
              <w:rPr>
                <w:b/>
                <w:color w:val="000000" w:themeColor="text1"/>
                <w:szCs w:val="21"/>
              </w:rPr>
            </w:pPr>
            <w:r>
              <w:rPr>
                <w:b/>
                <w:color w:val="000000" w:themeColor="text1"/>
                <w:szCs w:val="21"/>
              </w:rPr>
              <w:t>污染物</w:t>
            </w:r>
          </w:p>
        </w:tc>
        <w:tc>
          <w:tcPr>
            <w:tcW w:w="3266" w:type="pct"/>
            <w:vAlign w:val="center"/>
          </w:tcPr>
          <w:p>
            <w:pPr>
              <w:adjustRightInd w:val="0"/>
              <w:snapToGrid w:val="0"/>
              <w:spacing w:line="240" w:lineRule="auto"/>
              <w:jc w:val="center"/>
              <w:rPr>
                <w:b/>
                <w:color w:val="000000" w:themeColor="text1"/>
                <w:szCs w:val="21"/>
              </w:rPr>
            </w:pPr>
            <w:r>
              <w:rPr>
                <w:rFonts w:hint="eastAsia"/>
                <w:b/>
                <w:color w:val="000000" w:themeColor="text1"/>
                <w:szCs w:val="21"/>
              </w:rPr>
              <w:t>1h平均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6" w:hRule="atLeast"/>
          <w:jc w:val="center"/>
        </w:trPr>
        <w:tc>
          <w:tcPr>
            <w:tcW w:w="1734" w:type="pct"/>
            <w:vAlign w:val="center"/>
          </w:tcPr>
          <w:p>
            <w:pPr>
              <w:adjustRightInd w:val="0"/>
              <w:snapToGrid w:val="0"/>
              <w:spacing w:line="240" w:lineRule="auto"/>
              <w:jc w:val="center"/>
              <w:rPr>
                <w:color w:val="000000" w:themeColor="text1"/>
                <w:szCs w:val="21"/>
              </w:rPr>
            </w:pPr>
            <w:r>
              <w:rPr>
                <w:color w:val="000000" w:themeColor="text1"/>
                <w:szCs w:val="21"/>
              </w:rPr>
              <w:t>NH</w:t>
            </w:r>
            <w:r>
              <w:rPr>
                <w:color w:val="000000" w:themeColor="text1"/>
                <w:szCs w:val="21"/>
                <w:vertAlign w:val="subscript"/>
              </w:rPr>
              <w:t>3</w:t>
            </w:r>
          </w:p>
        </w:tc>
        <w:tc>
          <w:tcPr>
            <w:tcW w:w="3266" w:type="pct"/>
            <w:vAlign w:val="center"/>
          </w:tcPr>
          <w:p>
            <w:pPr>
              <w:adjustRightInd w:val="0"/>
              <w:snapToGrid w:val="0"/>
              <w:spacing w:line="240" w:lineRule="auto"/>
              <w:jc w:val="center"/>
              <w:rPr>
                <w:color w:val="000000" w:themeColor="text1"/>
                <w:szCs w:val="21"/>
              </w:rPr>
            </w:pPr>
            <w:r>
              <w:rPr>
                <w:rFonts w:hint="eastAsia"/>
                <w:color w:val="000000" w:themeColor="text1"/>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1734" w:type="pct"/>
            <w:vAlign w:val="center"/>
          </w:tcPr>
          <w:p>
            <w:pPr>
              <w:adjustRightInd w:val="0"/>
              <w:snapToGrid w:val="0"/>
              <w:spacing w:line="240" w:lineRule="auto"/>
              <w:jc w:val="center"/>
              <w:rPr>
                <w:color w:val="000000" w:themeColor="text1"/>
                <w:szCs w:val="21"/>
              </w:rPr>
            </w:pPr>
            <w:r>
              <w:rPr>
                <w:color w:val="000000" w:themeColor="text1"/>
                <w:szCs w:val="21"/>
              </w:rPr>
              <w:t>H</w:t>
            </w:r>
            <w:r>
              <w:rPr>
                <w:color w:val="000000" w:themeColor="text1"/>
                <w:szCs w:val="21"/>
                <w:vertAlign w:val="subscript"/>
              </w:rPr>
              <w:t>2</w:t>
            </w:r>
            <w:r>
              <w:rPr>
                <w:color w:val="000000" w:themeColor="text1"/>
                <w:szCs w:val="21"/>
              </w:rPr>
              <w:t>S</w:t>
            </w:r>
          </w:p>
        </w:tc>
        <w:tc>
          <w:tcPr>
            <w:tcW w:w="3266" w:type="pct"/>
            <w:vAlign w:val="center"/>
          </w:tcPr>
          <w:p>
            <w:pPr>
              <w:adjustRightInd w:val="0"/>
              <w:snapToGrid w:val="0"/>
              <w:spacing w:line="240" w:lineRule="auto"/>
              <w:jc w:val="center"/>
              <w:rPr>
                <w:color w:val="000000" w:themeColor="text1"/>
                <w:szCs w:val="21"/>
              </w:rPr>
            </w:pPr>
            <w:r>
              <w:rPr>
                <w:rFonts w:hint="eastAsia"/>
                <w:color w:val="000000" w:themeColor="text1"/>
                <w:szCs w:val="21"/>
              </w:rPr>
              <w:t>10</w:t>
            </w:r>
          </w:p>
        </w:tc>
      </w:tr>
    </w:tbl>
    <w:p>
      <w:pPr>
        <w:adjustRightInd w:val="0"/>
        <w:snapToGrid w:val="0"/>
        <w:ind w:firstLine="480" w:firstLineChars="200"/>
        <w:rPr>
          <w:color w:val="000000" w:themeColor="text1"/>
          <w:sz w:val="24"/>
        </w:rPr>
      </w:pPr>
      <w:r>
        <w:rPr>
          <w:color w:val="000000" w:themeColor="text1"/>
          <w:sz w:val="24"/>
        </w:rPr>
        <w:t>（2）地表水环境质量标准</w:t>
      </w:r>
    </w:p>
    <w:p>
      <w:pPr>
        <w:adjustRightInd w:val="0"/>
        <w:snapToGrid w:val="0"/>
        <w:ind w:firstLine="480" w:firstLineChars="200"/>
        <w:rPr>
          <w:color w:val="000000" w:themeColor="text1"/>
          <w:sz w:val="24"/>
        </w:rPr>
      </w:pPr>
      <w:r>
        <w:rPr>
          <w:color w:val="000000" w:themeColor="text1"/>
          <w:sz w:val="24"/>
        </w:rPr>
        <w:t>与项目区有关的地表水体为</w:t>
      </w:r>
      <w:r>
        <w:rPr>
          <w:rFonts w:hint="eastAsia"/>
          <w:color w:val="000000" w:themeColor="text1"/>
          <w:sz w:val="24"/>
        </w:rPr>
        <w:t>箐沟以及项目西北侧</w:t>
      </w:r>
      <w:r>
        <w:rPr>
          <w:rFonts w:hint="eastAsia"/>
          <w:snapToGrid w:val="0"/>
          <w:color w:val="000000" w:themeColor="text1"/>
          <w:kern w:val="0"/>
          <w:sz w:val="24"/>
        </w:rPr>
        <w:t>水塘</w:t>
      </w:r>
      <w:r>
        <w:rPr>
          <w:color w:val="000000" w:themeColor="text1"/>
          <w:sz w:val="24"/>
        </w:rPr>
        <w:t>，</w:t>
      </w:r>
      <w:r>
        <w:rPr>
          <w:rFonts w:hint="eastAsia"/>
          <w:color w:val="000000" w:themeColor="text1"/>
          <w:sz w:val="24"/>
        </w:rPr>
        <w:t>箐沟汇入康之康河，属于小河底河支流。</w:t>
      </w:r>
      <w:r>
        <w:rPr>
          <w:color w:val="000000" w:themeColor="text1"/>
          <w:sz w:val="24"/>
        </w:rPr>
        <w:t>根据《云南省地表水水环境功能区划（2010-2020）》，</w:t>
      </w:r>
      <w:r>
        <w:rPr>
          <w:rFonts w:hint="eastAsia"/>
          <w:color w:val="000000" w:themeColor="text1"/>
          <w:sz w:val="24"/>
        </w:rPr>
        <w:t>小河底河</w:t>
      </w:r>
      <w:r>
        <w:rPr>
          <w:color w:val="000000" w:themeColor="text1"/>
          <w:sz w:val="24"/>
        </w:rPr>
        <w:t>水环境功能为工业用水、农业用水，水质类别执行《地表水环境质量标准》（GB3838-2002）</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康之康河参照执行</w:t>
      </w:r>
      <w:r>
        <w:rPr>
          <w:color w:val="000000" w:themeColor="text1"/>
          <w:sz w:val="24"/>
        </w:rPr>
        <w:t>《地表水环境质量标准》（GB3838-2002）</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。水塘主要功能为</w:t>
      </w:r>
      <w:r>
        <w:rPr>
          <w:rFonts w:hint="eastAsia"/>
          <w:snapToGrid w:val="0"/>
          <w:color w:val="000000" w:themeColor="text1"/>
          <w:kern w:val="0"/>
          <w:sz w:val="24"/>
        </w:rPr>
        <w:t>灌溉及养鱼，无饮用功能，执行</w:t>
      </w:r>
      <w:r>
        <w:rPr>
          <w:color w:val="000000" w:themeColor="text1"/>
          <w:sz w:val="24"/>
        </w:rPr>
        <w:t>《地表水环境质量标准》（GB3838-2002）</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w:t>
      </w:r>
      <w:r>
        <w:rPr>
          <w:color w:val="000000" w:themeColor="text1"/>
          <w:sz w:val="24"/>
        </w:rPr>
        <w:t>标准值见下表。</w:t>
      </w:r>
    </w:p>
    <w:p>
      <w:pPr>
        <w:pStyle w:val="116"/>
        <w:wordWrap/>
        <w:spacing w:line="240" w:lineRule="auto"/>
        <w:rPr>
          <w:color w:val="000000" w:themeColor="text1"/>
          <w:sz w:val="21"/>
          <w:szCs w:val="21"/>
        </w:rPr>
      </w:pPr>
      <w:r>
        <w:rPr>
          <w:color w:val="000000" w:themeColor="text1"/>
          <w:sz w:val="21"/>
          <w:szCs w:val="21"/>
        </w:rPr>
        <w:t>表2.5-3  地表水环境质量标准限值</w:t>
      </w:r>
    </w:p>
    <w:tbl>
      <w:tblPr>
        <w:tblStyle w:val="4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595"/>
        <w:gridCol w:w="4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1702" w:type="dxa"/>
            <w:vAlign w:val="center"/>
          </w:tcPr>
          <w:p>
            <w:pPr>
              <w:adjustRightInd w:val="0"/>
              <w:snapToGrid w:val="0"/>
              <w:spacing w:line="240" w:lineRule="auto"/>
              <w:jc w:val="center"/>
              <w:rPr>
                <w:b/>
                <w:color w:val="000000" w:themeColor="text1"/>
              </w:rPr>
            </w:pPr>
            <w:r>
              <w:rPr>
                <w:b/>
                <w:color w:val="000000" w:themeColor="text1"/>
              </w:rPr>
              <w:t>序号</w:t>
            </w:r>
          </w:p>
        </w:tc>
        <w:tc>
          <w:tcPr>
            <w:tcW w:w="2595" w:type="dxa"/>
            <w:vAlign w:val="center"/>
          </w:tcPr>
          <w:p>
            <w:pPr>
              <w:adjustRightInd w:val="0"/>
              <w:snapToGrid w:val="0"/>
              <w:spacing w:line="240" w:lineRule="auto"/>
              <w:jc w:val="center"/>
              <w:rPr>
                <w:b/>
                <w:color w:val="000000" w:themeColor="text1"/>
              </w:rPr>
            </w:pPr>
            <w:r>
              <w:rPr>
                <w:b/>
                <w:color w:val="000000" w:themeColor="text1"/>
              </w:rPr>
              <w:t>项目</w:t>
            </w:r>
          </w:p>
        </w:tc>
        <w:tc>
          <w:tcPr>
            <w:tcW w:w="4208" w:type="dxa"/>
            <w:vAlign w:val="center"/>
          </w:tcPr>
          <w:p>
            <w:pPr>
              <w:adjustRightInd w:val="0"/>
              <w:snapToGrid w:val="0"/>
              <w:spacing w:line="240" w:lineRule="auto"/>
              <w:jc w:val="center"/>
              <w:rPr>
                <w:b/>
                <w:color w:val="000000" w:themeColor="text1"/>
                <w:szCs w:val="21"/>
              </w:rPr>
            </w:pPr>
            <w:r>
              <w:rPr>
                <w:rFonts w:hint="eastAsia" w:ascii="宋体" w:hAnsi="宋体" w:cs="宋体"/>
                <w:b/>
                <w:color w:val="000000" w:themeColor="text1"/>
                <w:szCs w:val="21"/>
              </w:rPr>
              <w:t>Ⅳ</w:t>
            </w:r>
            <w:r>
              <w:rPr>
                <w:b/>
                <w:color w:val="000000" w:themeColor="text1"/>
                <w:szCs w:val="21"/>
              </w:rPr>
              <w:t>类标准值（mg/L）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702" w:type="dxa"/>
            <w:vAlign w:val="center"/>
          </w:tcPr>
          <w:p>
            <w:pPr>
              <w:adjustRightInd w:val="0"/>
              <w:snapToGrid w:val="0"/>
              <w:spacing w:line="240" w:lineRule="auto"/>
              <w:jc w:val="center"/>
              <w:rPr>
                <w:color w:val="000000" w:themeColor="text1"/>
              </w:rPr>
            </w:pPr>
            <w:r>
              <w:rPr>
                <w:color w:val="000000" w:themeColor="text1"/>
              </w:rPr>
              <w:t>1</w:t>
            </w:r>
          </w:p>
        </w:tc>
        <w:tc>
          <w:tcPr>
            <w:tcW w:w="2595" w:type="dxa"/>
            <w:vAlign w:val="center"/>
          </w:tcPr>
          <w:p>
            <w:pPr>
              <w:adjustRightInd w:val="0"/>
              <w:snapToGrid w:val="0"/>
              <w:spacing w:line="240" w:lineRule="auto"/>
              <w:jc w:val="center"/>
              <w:rPr>
                <w:color w:val="000000" w:themeColor="text1"/>
              </w:rPr>
            </w:pPr>
            <w:r>
              <w:rPr>
                <w:color w:val="000000" w:themeColor="text1"/>
              </w:rPr>
              <w:t>pH</w:t>
            </w:r>
          </w:p>
        </w:tc>
        <w:tc>
          <w:tcPr>
            <w:tcW w:w="4208" w:type="dxa"/>
            <w:vAlign w:val="center"/>
          </w:tcPr>
          <w:p>
            <w:pPr>
              <w:adjustRightInd w:val="0"/>
              <w:snapToGrid w:val="0"/>
              <w:spacing w:line="240" w:lineRule="auto"/>
              <w:jc w:val="center"/>
              <w:rPr>
                <w:color w:val="000000" w:themeColor="text1"/>
                <w:szCs w:val="21"/>
              </w:rPr>
            </w:pPr>
            <w:r>
              <w:rPr>
                <w:color w:val="000000" w:themeColor="text1"/>
                <w:szCs w:val="21"/>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702" w:type="dxa"/>
            <w:vAlign w:val="center"/>
          </w:tcPr>
          <w:p>
            <w:pPr>
              <w:adjustRightInd w:val="0"/>
              <w:snapToGrid w:val="0"/>
              <w:spacing w:line="240" w:lineRule="auto"/>
              <w:jc w:val="center"/>
              <w:rPr>
                <w:color w:val="000000" w:themeColor="text1"/>
              </w:rPr>
            </w:pPr>
            <w:r>
              <w:rPr>
                <w:color w:val="000000" w:themeColor="text1"/>
              </w:rPr>
              <w:t>2</w:t>
            </w:r>
          </w:p>
        </w:tc>
        <w:tc>
          <w:tcPr>
            <w:tcW w:w="2595" w:type="dxa"/>
            <w:vAlign w:val="center"/>
          </w:tcPr>
          <w:p>
            <w:pPr>
              <w:adjustRightInd w:val="0"/>
              <w:snapToGrid w:val="0"/>
              <w:spacing w:line="240" w:lineRule="auto"/>
              <w:jc w:val="center"/>
              <w:rPr>
                <w:color w:val="000000" w:themeColor="text1"/>
              </w:rPr>
            </w:pPr>
            <w:r>
              <w:rPr>
                <w:color w:val="000000" w:themeColor="text1"/>
              </w:rPr>
              <w:t>COD</w:t>
            </w:r>
          </w:p>
        </w:tc>
        <w:tc>
          <w:tcPr>
            <w:tcW w:w="4208" w:type="dxa"/>
            <w:vAlign w:val="center"/>
          </w:tcPr>
          <w:p>
            <w:pPr>
              <w:adjustRightInd w:val="0"/>
              <w:snapToGrid w:val="0"/>
              <w:spacing w:line="240" w:lineRule="auto"/>
              <w:jc w:val="center"/>
              <w:rPr>
                <w:color w:val="000000" w:themeColor="text1"/>
                <w:szCs w:val="21"/>
              </w:rPr>
            </w:pPr>
            <w:r>
              <w:rPr>
                <w:color w:val="000000" w:themeColor="text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702" w:type="dxa"/>
            <w:vAlign w:val="center"/>
          </w:tcPr>
          <w:p>
            <w:pPr>
              <w:adjustRightInd w:val="0"/>
              <w:snapToGrid w:val="0"/>
              <w:spacing w:line="240" w:lineRule="auto"/>
              <w:jc w:val="center"/>
              <w:rPr>
                <w:color w:val="000000" w:themeColor="text1"/>
              </w:rPr>
            </w:pPr>
            <w:r>
              <w:rPr>
                <w:color w:val="000000" w:themeColor="text1"/>
              </w:rPr>
              <w:t>3</w:t>
            </w:r>
          </w:p>
        </w:tc>
        <w:tc>
          <w:tcPr>
            <w:tcW w:w="2595" w:type="dxa"/>
            <w:vAlign w:val="center"/>
          </w:tcPr>
          <w:p>
            <w:pPr>
              <w:adjustRightInd w:val="0"/>
              <w:snapToGrid w:val="0"/>
              <w:spacing w:line="240" w:lineRule="auto"/>
              <w:jc w:val="center"/>
              <w:rPr>
                <w:color w:val="000000" w:themeColor="text1"/>
              </w:rPr>
            </w:pPr>
            <w:r>
              <w:rPr>
                <w:color w:val="000000" w:themeColor="text1"/>
              </w:rPr>
              <w:t>BOD</w:t>
            </w:r>
            <w:r>
              <w:rPr>
                <w:color w:val="000000" w:themeColor="text1"/>
                <w:vertAlign w:val="subscript"/>
              </w:rPr>
              <w:t>5</w:t>
            </w:r>
          </w:p>
        </w:tc>
        <w:tc>
          <w:tcPr>
            <w:tcW w:w="4208" w:type="dxa"/>
            <w:vAlign w:val="center"/>
          </w:tcPr>
          <w:p>
            <w:pPr>
              <w:adjustRightInd w:val="0"/>
              <w:snapToGrid w:val="0"/>
              <w:spacing w:line="240" w:lineRule="auto"/>
              <w:jc w:val="center"/>
              <w:rPr>
                <w:color w:val="000000" w:themeColor="text1"/>
                <w:szCs w:val="21"/>
              </w:rPr>
            </w:pPr>
            <w:r>
              <w:rPr>
                <w:color w:val="000000" w:themeColor="text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702" w:type="dxa"/>
            <w:vAlign w:val="center"/>
          </w:tcPr>
          <w:p>
            <w:pPr>
              <w:adjustRightInd w:val="0"/>
              <w:snapToGrid w:val="0"/>
              <w:spacing w:line="240" w:lineRule="auto"/>
              <w:jc w:val="center"/>
              <w:rPr>
                <w:color w:val="000000" w:themeColor="text1"/>
              </w:rPr>
            </w:pPr>
            <w:r>
              <w:rPr>
                <w:color w:val="000000" w:themeColor="text1"/>
              </w:rPr>
              <w:t>4</w:t>
            </w:r>
          </w:p>
        </w:tc>
        <w:tc>
          <w:tcPr>
            <w:tcW w:w="2595" w:type="dxa"/>
            <w:vAlign w:val="center"/>
          </w:tcPr>
          <w:p>
            <w:pPr>
              <w:adjustRightInd w:val="0"/>
              <w:snapToGrid w:val="0"/>
              <w:spacing w:line="240" w:lineRule="auto"/>
              <w:jc w:val="center"/>
              <w:rPr>
                <w:color w:val="000000" w:themeColor="text1"/>
              </w:rPr>
            </w:pPr>
            <w:r>
              <w:rPr>
                <w:color w:val="000000" w:themeColor="text1"/>
              </w:rPr>
              <w:t>氨氮</w:t>
            </w:r>
          </w:p>
        </w:tc>
        <w:tc>
          <w:tcPr>
            <w:tcW w:w="4208" w:type="dxa"/>
            <w:vAlign w:val="center"/>
          </w:tcPr>
          <w:p>
            <w:pPr>
              <w:adjustRightInd w:val="0"/>
              <w:snapToGrid w:val="0"/>
              <w:spacing w:line="240" w:lineRule="auto"/>
              <w:jc w:val="center"/>
              <w:rPr>
                <w:color w:val="000000" w:themeColor="text1"/>
                <w:szCs w:val="21"/>
              </w:rPr>
            </w:pPr>
            <w:r>
              <w:rPr>
                <w:color w:val="000000" w:themeColor="text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702" w:type="dxa"/>
            <w:vAlign w:val="center"/>
          </w:tcPr>
          <w:p>
            <w:pPr>
              <w:adjustRightInd w:val="0"/>
              <w:snapToGrid w:val="0"/>
              <w:spacing w:line="240" w:lineRule="auto"/>
              <w:jc w:val="center"/>
              <w:rPr>
                <w:color w:val="000000" w:themeColor="text1"/>
              </w:rPr>
            </w:pPr>
            <w:r>
              <w:rPr>
                <w:color w:val="000000" w:themeColor="text1"/>
              </w:rPr>
              <w:t>5</w:t>
            </w:r>
          </w:p>
        </w:tc>
        <w:tc>
          <w:tcPr>
            <w:tcW w:w="2595" w:type="dxa"/>
            <w:vAlign w:val="center"/>
          </w:tcPr>
          <w:p>
            <w:pPr>
              <w:adjustRightInd w:val="0"/>
              <w:snapToGrid w:val="0"/>
              <w:spacing w:line="240" w:lineRule="auto"/>
              <w:jc w:val="center"/>
              <w:rPr>
                <w:color w:val="000000" w:themeColor="text1"/>
              </w:rPr>
            </w:pPr>
            <w:r>
              <w:rPr>
                <w:color w:val="000000" w:themeColor="text1"/>
              </w:rPr>
              <w:t>总磷</w:t>
            </w:r>
          </w:p>
        </w:tc>
        <w:tc>
          <w:tcPr>
            <w:tcW w:w="4208" w:type="dxa"/>
            <w:vAlign w:val="center"/>
          </w:tcPr>
          <w:p>
            <w:pPr>
              <w:adjustRightInd w:val="0"/>
              <w:snapToGrid w:val="0"/>
              <w:spacing w:line="240" w:lineRule="auto"/>
              <w:jc w:val="center"/>
              <w:rPr>
                <w:color w:val="000000" w:themeColor="text1"/>
                <w:szCs w:val="21"/>
              </w:rPr>
            </w:pPr>
            <w:r>
              <w:rPr>
                <w:color w:val="000000" w:themeColor="text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702" w:type="dxa"/>
            <w:vAlign w:val="center"/>
          </w:tcPr>
          <w:p>
            <w:pPr>
              <w:adjustRightInd w:val="0"/>
              <w:snapToGrid w:val="0"/>
              <w:spacing w:line="240" w:lineRule="auto"/>
              <w:jc w:val="center"/>
              <w:rPr>
                <w:color w:val="000000" w:themeColor="text1"/>
              </w:rPr>
            </w:pPr>
            <w:r>
              <w:rPr>
                <w:rFonts w:hint="eastAsia"/>
                <w:color w:val="000000" w:themeColor="text1"/>
              </w:rPr>
              <w:t>6</w:t>
            </w:r>
          </w:p>
        </w:tc>
        <w:tc>
          <w:tcPr>
            <w:tcW w:w="2595" w:type="dxa"/>
            <w:vAlign w:val="center"/>
          </w:tcPr>
          <w:p>
            <w:pPr>
              <w:adjustRightInd w:val="0"/>
              <w:snapToGrid w:val="0"/>
              <w:spacing w:line="240" w:lineRule="auto"/>
              <w:jc w:val="center"/>
              <w:rPr>
                <w:color w:val="000000" w:themeColor="text1"/>
              </w:rPr>
            </w:pPr>
            <w:r>
              <w:rPr>
                <w:color w:val="000000" w:themeColor="text1"/>
              </w:rPr>
              <w:t>石油类</w:t>
            </w:r>
          </w:p>
        </w:tc>
        <w:tc>
          <w:tcPr>
            <w:tcW w:w="4208" w:type="dxa"/>
            <w:vAlign w:val="center"/>
          </w:tcPr>
          <w:p>
            <w:pPr>
              <w:adjustRightInd w:val="0"/>
              <w:snapToGrid w:val="0"/>
              <w:spacing w:line="240" w:lineRule="auto"/>
              <w:jc w:val="center"/>
              <w:rPr>
                <w:color w:val="000000" w:themeColor="text1"/>
                <w:szCs w:val="21"/>
              </w:rPr>
            </w:pPr>
            <w:r>
              <w:rPr>
                <w:color w:val="000000" w:themeColor="text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702" w:type="dxa"/>
            <w:vAlign w:val="center"/>
          </w:tcPr>
          <w:p>
            <w:pPr>
              <w:adjustRightInd w:val="0"/>
              <w:snapToGrid w:val="0"/>
              <w:spacing w:line="240" w:lineRule="auto"/>
              <w:jc w:val="center"/>
              <w:rPr>
                <w:color w:val="000000" w:themeColor="text1"/>
              </w:rPr>
            </w:pPr>
            <w:r>
              <w:rPr>
                <w:rFonts w:hint="eastAsia"/>
                <w:color w:val="000000" w:themeColor="text1"/>
              </w:rPr>
              <w:t>7</w:t>
            </w:r>
          </w:p>
        </w:tc>
        <w:tc>
          <w:tcPr>
            <w:tcW w:w="2595" w:type="dxa"/>
            <w:vAlign w:val="center"/>
          </w:tcPr>
          <w:p>
            <w:pPr>
              <w:adjustRightInd w:val="0"/>
              <w:snapToGrid w:val="0"/>
              <w:spacing w:line="240" w:lineRule="auto"/>
              <w:jc w:val="center"/>
              <w:rPr>
                <w:color w:val="000000" w:themeColor="text1"/>
              </w:rPr>
            </w:pPr>
            <w:r>
              <w:rPr>
                <w:color w:val="000000" w:themeColor="text1"/>
              </w:rPr>
              <w:t>粪大肠菌群（个/L）</w:t>
            </w:r>
          </w:p>
        </w:tc>
        <w:tc>
          <w:tcPr>
            <w:tcW w:w="4208" w:type="dxa"/>
            <w:vAlign w:val="center"/>
          </w:tcPr>
          <w:p>
            <w:pPr>
              <w:adjustRightInd w:val="0"/>
              <w:snapToGrid w:val="0"/>
              <w:spacing w:line="240" w:lineRule="auto"/>
              <w:jc w:val="center"/>
              <w:rPr>
                <w:color w:val="000000" w:themeColor="text1"/>
                <w:szCs w:val="21"/>
              </w:rPr>
            </w:pPr>
            <w:r>
              <w:rPr>
                <w:color w:val="000000" w:themeColor="text1"/>
                <w:szCs w:val="21"/>
              </w:rPr>
              <w:t>20000</w:t>
            </w:r>
          </w:p>
        </w:tc>
      </w:tr>
    </w:tbl>
    <w:p>
      <w:pPr>
        <w:adjustRightInd w:val="0"/>
        <w:snapToGrid w:val="0"/>
        <w:ind w:firstLine="480" w:firstLineChars="200"/>
        <w:rPr>
          <w:color w:val="000000" w:themeColor="text1"/>
          <w:position w:val="6"/>
          <w:sz w:val="24"/>
        </w:rPr>
      </w:pPr>
      <w:r>
        <w:rPr>
          <w:color w:val="000000" w:themeColor="text1"/>
          <w:position w:val="6"/>
          <w:sz w:val="24"/>
        </w:rPr>
        <w:t>（3）地下水环境质量标准</w:t>
      </w:r>
    </w:p>
    <w:p>
      <w:pPr>
        <w:adjustRightInd w:val="0"/>
        <w:snapToGrid w:val="0"/>
        <w:ind w:firstLine="480" w:firstLineChars="200"/>
        <w:rPr>
          <w:color w:val="000000" w:themeColor="text1"/>
          <w:sz w:val="24"/>
        </w:rPr>
      </w:pPr>
      <w:r>
        <w:rPr>
          <w:color w:val="000000" w:themeColor="text1"/>
          <w:position w:val="6"/>
          <w:sz w:val="24"/>
        </w:rPr>
        <w:t>项目评价区地下水环境质量执行《地下水质量标准》（GB/T14848-</w:t>
      </w:r>
      <w:r>
        <w:rPr>
          <w:rFonts w:hint="eastAsia"/>
          <w:color w:val="000000" w:themeColor="text1"/>
          <w:position w:val="6"/>
          <w:sz w:val="24"/>
        </w:rPr>
        <w:t>2017</w:t>
      </w:r>
      <w:r>
        <w:rPr>
          <w:color w:val="000000" w:themeColor="text1"/>
          <w:position w:val="6"/>
          <w:sz w:val="24"/>
        </w:rPr>
        <w:t>）</w:t>
      </w:r>
      <w:r>
        <w:rPr>
          <w:rFonts w:hint="eastAsia" w:ascii="宋体" w:hAnsi="宋体" w:cs="宋体"/>
          <w:color w:val="000000" w:themeColor="text1"/>
          <w:sz w:val="24"/>
        </w:rPr>
        <w:t>Ⅲ</w:t>
      </w:r>
      <w:r>
        <w:rPr>
          <w:color w:val="000000" w:themeColor="text1"/>
          <w:sz w:val="24"/>
        </w:rPr>
        <w:t>类标准，标准值见下表。</w:t>
      </w:r>
    </w:p>
    <w:p>
      <w:pPr>
        <w:tabs>
          <w:tab w:val="left" w:pos="3810"/>
        </w:tabs>
        <w:spacing w:line="240" w:lineRule="auto"/>
        <w:ind w:firstLine="482"/>
        <w:jc w:val="center"/>
        <w:rPr>
          <w:rFonts w:eastAsia="黑体"/>
          <w:b/>
          <w:color w:val="000000" w:themeColor="text1"/>
          <w:szCs w:val="21"/>
        </w:rPr>
      </w:pPr>
      <w:r>
        <w:rPr>
          <w:rFonts w:eastAsia="黑体"/>
          <w:b/>
          <w:color w:val="000000" w:themeColor="text1"/>
          <w:szCs w:val="21"/>
        </w:rPr>
        <w:t>表2.5-4  地下水质量评价标准</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7"/>
        <w:gridCol w:w="2918"/>
        <w:gridCol w:w="2918"/>
        <w:gridCol w:w="19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737"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序号</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项目</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标准值</w:t>
            </w:r>
          </w:p>
        </w:tc>
        <w:tc>
          <w:tcPr>
            <w:tcW w:w="1955"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737"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1</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pH</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6.5~8.5</w:t>
            </w:r>
          </w:p>
        </w:tc>
        <w:tc>
          <w:tcPr>
            <w:tcW w:w="1955"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无量纲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737"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2</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氨氮</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≤0.</w:t>
            </w:r>
            <w:r>
              <w:rPr>
                <w:rFonts w:hint="eastAsia" w:ascii="Times New Roman" w:hAnsi="Times New Roman" w:cs="Times New Roman"/>
                <w:color w:val="000000" w:themeColor="text1"/>
              </w:rPr>
              <w:t>5</w:t>
            </w:r>
          </w:p>
        </w:tc>
        <w:tc>
          <w:tcPr>
            <w:tcW w:w="1955" w:type="dxa"/>
            <w:vMerge w:val="restart"/>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737"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3</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硝酸盐氮</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≤20</w:t>
            </w:r>
          </w:p>
        </w:tc>
        <w:tc>
          <w:tcPr>
            <w:tcW w:w="1955" w:type="dxa"/>
            <w:vMerge w:val="continue"/>
            <w:vAlign w:val="center"/>
          </w:tcPr>
          <w:p>
            <w:pPr>
              <w:pStyle w:val="100"/>
              <w:rPr>
                <w:rFonts w:ascii="Times New Roman" w:hAnsi="Times New Roman" w:cs="Times New Roman"/>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737"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4</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亚硝酸盐氮</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w:t>
            </w:r>
            <w:r>
              <w:rPr>
                <w:rFonts w:hint="eastAsia" w:ascii="Times New Roman" w:hAnsi="Times New Roman" w:cs="Times New Roman"/>
                <w:color w:val="000000" w:themeColor="text1"/>
              </w:rPr>
              <w:t>1.0</w:t>
            </w:r>
          </w:p>
        </w:tc>
        <w:tc>
          <w:tcPr>
            <w:tcW w:w="1955" w:type="dxa"/>
            <w:vMerge w:val="continue"/>
            <w:vAlign w:val="center"/>
          </w:tcPr>
          <w:p>
            <w:pPr>
              <w:pStyle w:val="100"/>
              <w:rPr>
                <w:rFonts w:ascii="Times New Roman" w:hAnsi="Times New Roman" w:cs="Times New Roman"/>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737" w:type="dxa"/>
            <w:vAlign w:val="center"/>
          </w:tcPr>
          <w:p>
            <w:pPr>
              <w:pStyle w:val="100"/>
              <w:rPr>
                <w:rFonts w:ascii="Times New Roman" w:hAnsi="Times New Roman" w:cs="Times New Roman"/>
                <w:color w:val="000000" w:themeColor="text1"/>
              </w:rPr>
            </w:pPr>
            <w:r>
              <w:rPr>
                <w:rFonts w:hint="eastAsia" w:ascii="Times New Roman" w:hAnsi="Times New Roman" w:cs="Times New Roman"/>
                <w:color w:val="000000" w:themeColor="text1"/>
              </w:rPr>
              <w:t>5</w:t>
            </w:r>
          </w:p>
        </w:tc>
        <w:tc>
          <w:tcPr>
            <w:tcW w:w="2918" w:type="dxa"/>
            <w:vAlign w:val="center"/>
          </w:tcPr>
          <w:p>
            <w:pPr>
              <w:pStyle w:val="100"/>
              <w:rPr>
                <w:rFonts w:ascii="Times New Roman" w:hAnsi="Times New Roman" w:cs="Times New Roman"/>
                <w:color w:val="000000" w:themeColor="text1"/>
              </w:rPr>
            </w:pPr>
            <w:r>
              <w:rPr>
                <w:rFonts w:hint="eastAsia" w:ascii="Times New Roman" w:hAnsi="Times New Roman" w:cs="Times New Roman"/>
                <w:color w:val="000000" w:themeColor="text1"/>
              </w:rPr>
              <w:t>总</w:t>
            </w:r>
            <w:r>
              <w:rPr>
                <w:rFonts w:ascii="Times New Roman" w:hAnsi="Times New Roman" w:cs="Times New Roman"/>
                <w:color w:val="000000" w:themeColor="text1"/>
              </w:rPr>
              <w:t>大肠</w:t>
            </w:r>
            <w:r>
              <w:rPr>
                <w:rFonts w:hint="eastAsia" w:ascii="Times New Roman" w:hAnsi="Times New Roman" w:cs="Times New Roman"/>
                <w:color w:val="000000" w:themeColor="text1"/>
              </w:rPr>
              <w:t>菌群</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w:t>
            </w:r>
            <w:r>
              <w:rPr>
                <w:rFonts w:hint="eastAsia" w:ascii="Times New Roman" w:hAnsi="Times New Roman" w:cs="Times New Roman"/>
                <w:color w:val="000000" w:themeColor="text1"/>
              </w:rPr>
              <w:t>3.0</w:t>
            </w:r>
          </w:p>
        </w:tc>
        <w:tc>
          <w:tcPr>
            <w:tcW w:w="1955" w:type="dxa"/>
            <w:vMerge w:val="restart"/>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个/L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737" w:type="dxa"/>
            <w:vAlign w:val="center"/>
          </w:tcPr>
          <w:p>
            <w:pPr>
              <w:pStyle w:val="100"/>
              <w:rPr>
                <w:rFonts w:ascii="Times New Roman" w:hAnsi="Times New Roman" w:cs="Times New Roman"/>
                <w:color w:val="000000" w:themeColor="text1"/>
              </w:rPr>
            </w:pPr>
            <w:r>
              <w:rPr>
                <w:rFonts w:hint="eastAsia" w:ascii="Times New Roman" w:hAnsi="Times New Roman" w:cs="Times New Roman"/>
                <w:color w:val="000000" w:themeColor="text1"/>
              </w:rPr>
              <w:t>6</w:t>
            </w:r>
          </w:p>
        </w:tc>
        <w:tc>
          <w:tcPr>
            <w:tcW w:w="2918" w:type="dxa"/>
            <w:vAlign w:val="center"/>
          </w:tcPr>
          <w:p>
            <w:pPr>
              <w:pStyle w:val="100"/>
              <w:rPr>
                <w:rFonts w:ascii="Times New Roman" w:hAnsi="Times New Roman" w:cs="Times New Roman"/>
                <w:color w:val="000000" w:themeColor="text1"/>
              </w:rPr>
            </w:pPr>
            <w:r>
              <w:rPr>
                <w:rFonts w:hint="eastAsia" w:ascii="Times New Roman" w:hAnsi="Times New Roman" w:cs="Times New Roman"/>
                <w:color w:val="000000" w:themeColor="text1"/>
              </w:rPr>
              <w:t>菌落总数</w:t>
            </w:r>
          </w:p>
        </w:tc>
        <w:tc>
          <w:tcPr>
            <w:tcW w:w="2918" w:type="dxa"/>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rPr>
              <w:t>≤</w:t>
            </w:r>
            <w:r>
              <w:rPr>
                <w:rFonts w:hint="eastAsia" w:ascii="Times New Roman" w:hAnsi="Times New Roman" w:cs="Times New Roman"/>
                <w:color w:val="000000" w:themeColor="text1"/>
              </w:rPr>
              <w:t>100</w:t>
            </w:r>
          </w:p>
        </w:tc>
        <w:tc>
          <w:tcPr>
            <w:tcW w:w="1955" w:type="dxa"/>
            <w:vMerge w:val="continue"/>
            <w:vAlign w:val="center"/>
          </w:tcPr>
          <w:p>
            <w:pPr>
              <w:pStyle w:val="100"/>
              <w:rPr>
                <w:rFonts w:ascii="Times New Roman" w:hAnsi="Times New Roman" w:cs="Times New Roman"/>
                <w:color w:val="000000" w:themeColor="text1"/>
              </w:rPr>
            </w:pPr>
          </w:p>
        </w:tc>
      </w:tr>
    </w:tbl>
    <w:p>
      <w:pPr>
        <w:adjustRightInd w:val="0"/>
        <w:snapToGrid w:val="0"/>
        <w:ind w:firstLine="480" w:firstLineChars="200"/>
        <w:rPr>
          <w:color w:val="000000" w:themeColor="text1"/>
          <w:position w:val="6"/>
          <w:sz w:val="24"/>
        </w:rPr>
      </w:pPr>
      <w:r>
        <w:rPr>
          <w:color w:val="000000" w:themeColor="text1"/>
          <w:position w:val="6"/>
          <w:sz w:val="24"/>
        </w:rPr>
        <w:t>（4）声环境质量标准</w:t>
      </w:r>
    </w:p>
    <w:p>
      <w:pPr>
        <w:adjustRightInd w:val="0"/>
        <w:snapToGrid w:val="0"/>
        <w:ind w:firstLine="480" w:firstLineChars="200"/>
        <w:rPr>
          <w:color w:val="000000" w:themeColor="text1"/>
          <w:sz w:val="24"/>
        </w:rPr>
      </w:pPr>
      <w:r>
        <w:rPr>
          <w:color w:val="000000" w:themeColor="text1"/>
          <w:sz w:val="24"/>
        </w:rPr>
        <w:t>项目区声环境执行《声环境质量标准》</w:t>
      </w:r>
      <w:r>
        <w:rPr>
          <w:rFonts w:hint="eastAsia"/>
          <w:color w:val="000000" w:themeColor="text1"/>
          <w:sz w:val="24"/>
        </w:rPr>
        <w:t>（</w:t>
      </w:r>
      <w:r>
        <w:rPr>
          <w:color w:val="000000" w:themeColor="text1"/>
          <w:sz w:val="24"/>
        </w:rPr>
        <w:t>GB3096-2008</w:t>
      </w:r>
      <w:r>
        <w:rPr>
          <w:rFonts w:hint="eastAsia"/>
          <w:color w:val="000000" w:themeColor="text1"/>
          <w:sz w:val="24"/>
        </w:rPr>
        <w:t>）1</w:t>
      </w:r>
      <w:r>
        <w:rPr>
          <w:color w:val="000000" w:themeColor="text1"/>
          <w:sz w:val="24"/>
        </w:rPr>
        <w:t>类标准，标准值见下表。</w:t>
      </w:r>
    </w:p>
    <w:p>
      <w:pPr>
        <w:adjustRightInd w:val="0"/>
        <w:snapToGrid w:val="0"/>
        <w:spacing w:line="240" w:lineRule="auto"/>
        <w:jc w:val="center"/>
        <w:rPr>
          <w:b/>
          <w:color w:val="000000" w:themeColor="text1"/>
          <w:szCs w:val="21"/>
        </w:rPr>
      </w:pPr>
      <w:r>
        <w:rPr>
          <w:b/>
          <w:color w:val="000000" w:themeColor="text1"/>
          <w:szCs w:val="21"/>
        </w:rPr>
        <w:t>表2.5-5  声环境质量标准单位：dB（A）</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3"/>
        <w:gridCol w:w="3022"/>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603" w:type="dxa"/>
            <w:vAlign w:val="center"/>
          </w:tcPr>
          <w:p>
            <w:pPr>
              <w:pStyle w:val="115"/>
              <w:wordWrap/>
              <w:spacing w:line="240" w:lineRule="auto"/>
              <w:rPr>
                <w:rFonts w:ascii="Times New Roman" w:hAnsi="Times New Roman" w:cs="Times New Roman"/>
                <w:color w:val="000000" w:themeColor="text1"/>
              </w:rPr>
            </w:pPr>
            <w:r>
              <w:rPr>
                <w:rFonts w:ascii="Times New Roman" w:hAnsi="Times New Roman" w:cs="Times New Roman"/>
                <w:color w:val="000000" w:themeColor="text1"/>
              </w:rPr>
              <w:t>评价标准</w:t>
            </w:r>
          </w:p>
        </w:tc>
        <w:tc>
          <w:tcPr>
            <w:tcW w:w="5925" w:type="dxa"/>
            <w:gridSpan w:val="2"/>
            <w:vAlign w:val="center"/>
          </w:tcPr>
          <w:p>
            <w:pPr>
              <w:pStyle w:val="115"/>
              <w:wordWrap/>
              <w:spacing w:line="240" w:lineRule="auto"/>
              <w:rPr>
                <w:rFonts w:ascii="Times New Roman" w:hAnsi="Times New Roman" w:cs="Times New Roman"/>
                <w:color w:val="000000" w:themeColor="text1"/>
              </w:rPr>
            </w:pPr>
            <w:r>
              <w:rPr>
                <w:rFonts w:ascii="Times New Roman" w:hAnsi="Times New Roman" w:cs="Times New Roman"/>
                <w:color w:val="000000" w:themeColor="text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603" w:type="dxa"/>
            <w:vMerge w:val="restart"/>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w:t>
            </w:r>
            <w:r>
              <w:rPr>
                <w:rFonts w:ascii="Times New Roman" w:hAnsi="Times New Roman" w:cs="Times New Roman"/>
                <w:b w:val="0"/>
                <w:color w:val="000000" w:themeColor="text1"/>
              </w:rPr>
              <w:t>类</w:t>
            </w:r>
          </w:p>
        </w:tc>
        <w:tc>
          <w:tcPr>
            <w:tcW w:w="3022" w:type="dxa"/>
            <w:vAlign w:val="center"/>
          </w:tcPr>
          <w:p>
            <w:pPr>
              <w:pStyle w:val="115"/>
              <w:wordWrap/>
              <w:spacing w:line="240" w:lineRule="auto"/>
              <w:rPr>
                <w:rFonts w:ascii="Times New Roman" w:hAnsi="Times New Roman" w:cs="Times New Roman"/>
                <w:b w:val="0"/>
                <w:color w:val="000000" w:themeColor="text1"/>
              </w:rPr>
            </w:pPr>
            <w:r>
              <w:rPr>
                <w:rFonts w:ascii="Times New Roman" w:hAnsi="Times New Roman" w:cs="Times New Roman"/>
                <w:b w:val="0"/>
                <w:color w:val="000000" w:themeColor="text1"/>
              </w:rPr>
              <w:t>昼间</w:t>
            </w:r>
          </w:p>
        </w:tc>
        <w:tc>
          <w:tcPr>
            <w:tcW w:w="2903" w:type="dxa"/>
            <w:vAlign w:val="center"/>
          </w:tcPr>
          <w:p>
            <w:pPr>
              <w:pStyle w:val="115"/>
              <w:wordWrap/>
              <w:spacing w:line="240" w:lineRule="auto"/>
              <w:rPr>
                <w:rFonts w:ascii="Times New Roman" w:hAnsi="Times New Roman" w:cs="Times New Roman"/>
                <w:b w:val="0"/>
                <w:color w:val="000000" w:themeColor="text1"/>
              </w:rPr>
            </w:pPr>
            <w:r>
              <w:rPr>
                <w:rFonts w:ascii="Times New Roman" w:hAnsi="Times New Roman" w:cs="Times New Roman"/>
                <w:b w:val="0"/>
                <w:color w:val="000000" w:themeColor="text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603" w:type="dxa"/>
            <w:vMerge w:val="continue"/>
            <w:vAlign w:val="center"/>
          </w:tcPr>
          <w:p>
            <w:pPr>
              <w:pStyle w:val="115"/>
              <w:wordWrap/>
              <w:spacing w:line="240" w:lineRule="auto"/>
              <w:rPr>
                <w:rFonts w:ascii="Times New Roman" w:hAnsi="Times New Roman" w:cs="Times New Roman"/>
                <w:b w:val="0"/>
                <w:color w:val="000000" w:themeColor="text1"/>
              </w:rPr>
            </w:pPr>
          </w:p>
        </w:tc>
        <w:tc>
          <w:tcPr>
            <w:tcW w:w="3022" w:type="dxa"/>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55</w:t>
            </w:r>
          </w:p>
        </w:tc>
        <w:tc>
          <w:tcPr>
            <w:tcW w:w="2903" w:type="dxa"/>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45</w:t>
            </w:r>
          </w:p>
        </w:tc>
      </w:tr>
    </w:tbl>
    <w:p>
      <w:pPr>
        <w:pStyle w:val="4"/>
        <w:adjustRightInd w:val="0"/>
        <w:snapToGrid w:val="0"/>
        <w:spacing w:before="0" w:after="0" w:line="360" w:lineRule="auto"/>
        <w:rPr>
          <w:color w:val="000000" w:themeColor="text1"/>
        </w:rPr>
      </w:pPr>
      <w:bookmarkStart w:id="106" w:name="_Toc506218034"/>
      <w:bookmarkStart w:id="107" w:name="_Toc504403781"/>
      <w:bookmarkStart w:id="108" w:name="_Toc510547263"/>
      <w:r>
        <w:rPr>
          <w:color w:val="000000" w:themeColor="text1"/>
        </w:rPr>
        <w:t>2.5.2污染物排放标准</w:t>
      </w:r>
      <w:bookmarkEnd w:id="106"/>
      <w:bookmarkEnd w:id="107"/>
      <w:bookmarkEnd w:id="108"/>
    </w:p>
    <w:p>
      <w:pPr>
        <w:adjustRightInd w:val="0"/>
        <w:snapToGrid w:val="0"/>
        <w:ind w:firstLine="480" w:firstLineChars="200"/>
        <w:rPr>
          <w:color w:val="000000" w:themeColor="text1"/>
          <w:sz w:val="24"/>
        </w:rPr>
      </w:pPr>
      <w:r>
        <w:rPr>
          <w:color w:val="000000" w:themeColor="text1"/>
          <w:sz w:val="24"/>
        </w:rPr>
        <w:t>（1）大气污染物排放标准</w:t>
      </w:r>
    </w:p>
    <w:p>
      <w:pPr>
        <w:adjustRightInd w:val="0"/>
        <w:snapToGrid w:val="0"/>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施工期</w:t>
      </w:r>
    </w:p>
    <w:p>
      <w:pPr>
        <w:snapToGrid w:val="0"/>
        <w:ind w:firstLine="480" w:firstLineChars="200"/>
        <w:rPr>
          <w:color w:val="000000" w:themeColor="text1"/>
          <w:sz w:val="24"/>
        </w:rPr>
      </w:pPr>
      <w:r>
        <w:rPr>
          <w:color w:val="000000" w:themeColor="text1"/>
          <w:sz w:val="24"/>
        </w:rPr>
        <w:t>施工期废气排放执行《大气污染物综合排放标准》</w:t>
      </w:r>
      <w:r>
        <w:rPr>
          <w:rFonts w:hint="eastAsia"/>
          <w:color w:val="000000" w:themeColor="text1"/>
          <w:sz w:val="24"/>
        </w:rPr>
        <w:t>（</w:t>
      </w:r>
      <w:r>
        <w:rPr>
          <w:color w:val="000000" w:themeColor="text1"/>
          <w:sz w:val="24"/>
        </w:rPr>
        <w:t>GB16297-1996</w:t>
      </w:r>
      <w:r>
        <w:rPr>
          <w:rFonts w:hint="eastAsia"/>
          <w:color w:val="000000" w:themeColor="text1"/>
          <w:sz w:val="24"/>
        </w:rPr>
        <w:t>）</w:t>
      </w:r>
      <w:r>
        <w:rPr>
          <w:color w:val="000000" w:themeColor="text1"/>
          <w:sz w:val="24"/>
        </w:rPr>
        <w:t>表2限值：无组织颗粒物周界外最高监控浓度≤1.0mg/m</w:t>
      </w:r>
      <w:r>
        <w:rPr>
          <w:color w:val="000000" w:themeColor="text1"/>
          <w:sz w:val="24"/>
          <w:vertAlign w:val="superscript"/>
        </w:rPr>
        <w:t>3</w:t>
      </w:r>
      <w:r>
        <w:rPr>
          <w:color w:val="000000" w:themeColor="text1"/>
          <w:sz w:val="24"/>
        </w:rPr>
        <w:t>。</w:t>
      </w:r>
    </w:p>
    <w:p>
      <w:pPr>
        <w:spacing w:line="240" w:lineRule="auto"/>
        <w:jc w:val="center"/>
        <w:rPr>
          <w:b/>
          <w:color w:val="000000" w:themeColor="text1"/>
          <w:szCs w:val="21"/>
        </w:rPr>
      </w:pPr>
      <w:r>
        <w:rPr>
          <w:b/>
          <w:color w:val="000000" w:themeColor="text1"/>
          <w:szCs w:val="21"/>
        </w:rPr>
        <w:t>表2.5-6  大气污染物综合排放标准</w:t>
      </w:r>
    </w:p>
    <w:tbl>
      <w:tblPr>
        <w:tblStyle w:val="4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2076"/>
        <w:gridCol w:w="2545"/>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839" w:type="dxa"/>
            <w:vAlign w:val="center"/>
          </w:tcPr>
          <w:p>
            <w:pPr>
              <w:adjustRightInd w:val="0"/>
              <w:snapToGrid w:val="0"/>
              <w:spacing w:line="240" w:lineRule="auto"/>
              <w:jc w:val="center"/>
              <w:rPr>
                <w:b/>
                <w:color w:val="000000" w:themeColor="text1"/>
                <w:szCs w:val="21"/>
              </w:rPr>
            </w:pPr>
            <w:r>
              <w:rPr>
                <w:b/>
                <w:color w:val="000000" w:themeColor="text1"/>
                <w:szCs w:val="21"/>
              </w:rPr>
              <w:t>污染物</w:t>
            </w:r>
          </w:p>
        </w:tc>
        <w:tc>
          <w:tcPr>
            <w:tcW w:w="2076" w:type="dxa"/>
            <w:vAlign w:val="center"/>
          </w:tcPr>
          <w:p>
            <w:pPr>
              <w:adjustRightInd w:val="0"/>
              <w:snapToGrid w:val="0"/>
              <w:spacing w:line="240" w:lineRule="auto"/>
              <w:jc w:val="center"/>
              <w:rPr>
                <w:b/>
                <w:color w:val="000000" w:themeColor="text1"/>
                <w:szCs w:val="21"/>
              </w:rPr>
            </w:pPr>
            <w:r>
              <w:rPr>
                <w:b/>
                <w:color w:val="000000" w:themeColor="text1"/>
                <w:szCs w:val="21"/>
              </w:rPr>
              <w:t>监控点</w:t>
            </w:r>
          </w:p>
        </w:tc>
        <w:tc>
          <w:tcPr>
            <w:tcW w:w="2545" w:type="dxa"/>
            <w:vAlign w:val="center"/>
          </w:tcPr>
          <w:p>
            <w:pPr>
              <w:adjustRightInd w:val="0"/>
              <w:snapToGrid w:val="0"/>
              <w:spacing w:line="240" w:lineRule="auto"/>
              <w:jc w:val="center"/>
              <w:rPr>
                <w:b/>
                <w:color w:val="000000" w:themeColor="text1"/>
                <w:szCs w:val="21"/>
              </w:rPr>
            </w:pPr>
            <w:r>
              <w:rPr>
                <w:b/>
                <w:color w:val="000000" w:themeColor="text1"/>
                <w:szCs w:val="21"/>
              </w:rPr>
              <w:t>无组织排放浓度限值</w:t>
            </w:r>
          </w:p>
        </w:tc>
        <w:tc>
          <w:tcPr>
            <w:tcW w:w="2045" w:type="dxa"/>
            <w:vAlign w:val="center"/>
          </w:tcPr>
          <w:p>
            <w:pPr>
              <w:adjustRightInd w:val="0"/>
              <w:snapToGrid w:val="0"/>
              <w:spacing w:line="240" w:lineRule="auto"/>
              <w:jc w:val="center"/>
              <w:rPr>
                <w:b/>
                <w:color w:val="000000" w:themeColor="text1"/>
                <w:szCs w:val="21"/>
              </w:rPr>
            </w:pPr>
            <w:r>
              <w:rPr>
                <w:b/>
                <w:color w:val="000000" w:themeColor="text1"/>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39" w:type="dxa"/>
            <w:vAlign w:val="center"/>
          </w:tcPr>
          <w:p>
            <w:pPr>
              <w:adjustRightInd w:val="0"/>
              <w:snapToGrid w:val="0"/>
              <w:spacing w:line="240" w:lineRule="auto"/>
              <w:jc w:val="center"/>
              <w:rPr>
                <w:color w:val="000000" w:themeColor="text1"/>
                <w:szCs w:val="21"/>
              </w:rPr>
            </w:pPr>
            <w:r>
              <w:rPr>
                <w:color w:val="000000" w:themeColor="text1"/>
                <w:szCs w:val="21"/>
              </w:rPr>
              <w:t>颗粒物</w:t>
            </w:r>
          </w:p>
        </w:tc>
        <w:tc>
          <w:tcPr>
            <w:tcW w:w="2076" w:type="dxa"/>
            <w:vAlign w:val="center"/>
          </w:tcPr>
          <w:p>
            <w:pPr>
              <w:adjustRightInd w:val="0"/>
              <w:snapToGrid w:val="0"/>
              <w:spacing w:line="240" w:lineRule="auto"/>
              <w:jc w:val="center"/>
              <w:rPr>
                <w:color w:val="000000" w:themeColor="text1"/>
                <w:szCs w:val="21"/>
              </w:rPr>
            </w:pPr>
            <w:r>
              <w:rPr>
                <w:color w:val="000000" w:themeColor="text1"/>
                <w:szCs w:val="21"/>
              </w:rPr>
              <w:t>周界外浓度最高点</w:t>
            </w:r>
          </w:p>
        </w:tc>
        <w:tc>
          <w:tcPr>
            <w:tcW w:w="2545" w:type="dxa"/>
            <w:vAlign w:val="center"/>
          </w:tcPr>
          <w:p>
            <w:pPr>
              <w:adjustRightInd w:val="0"/>
              <w:snapToGrid w:val="0"/>
              <w:spacing w:line="240" w:lineRule="auto"/>
              <w:jc w:val="center"/>
              <w:rPr>
                <w:color w:val="000000" w:themeColor="text1"/>
                <w:szCs w:val="21"/>
              </w:rPr>
            </w:pPr>
            <w:r>
              <w:rPr>
                <w:color w:val="000000" w:themeColor="text1"/>
                <w:szCs w:val="21"/>
              </w:rPr>
              <w:t>1.0mg/m</w:t>
            </w:r>
            <w:r>
              <w:rPr>
                <w:color w:val="000000" w:themeColor="text1"/>
                <w:szCs w:val="21"/>
                <w:vertAlign w:val="superscript"/>
              </w:rPr>
              <w:t>3</w:t>
            </w:r>
          </w:p>
        </w:tc>
        <w:tc>
          <w:tcPr>
            <w:tcW w:w="2045" w:type="dxa"/>
            <w:vAlign w:val="center"/>
          </w:tcPr>
          <w:p>
            <w:pPr>
              <w:adjustRightInd w:val="0"/>
              <w:snapToGrid w:val="0"/>
              <w:spacing w:line="240" w:lineRule="auto"/>
              <w:jc w:val="center"/>
              <w:rPr>
                <w:color w:val="000000" w:themeColor="text1"/>
                <w:szCs w:val="21"/>
              </w:rPr>
            </w:pPr>
            <w:r>
              <w:rPr>
                <w:color w:val="000000" w:themeColor="text1"/>
                <w:szCs w:val="21"/>
              </w:rPr>
              <w:t>GB16297-1996</w:t>
            </w:r>
          </w:p>
        </w:tc>
      </w:tr>
    </w:tbl>
    <w:p>
      <w:pPr>
        <w:adjustRightInd w:val="0"/>
        <w:snapToGrid w:val="0"/>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运营期</w:t>
      </w:r>
    </w:p>
    <w:p>
      <w:pPr>
        <w:adjustRightInd w:val="0"/>
        <w:snapToGrid w:val="0"/>
        <w:ind w:firstLine="480" w:firstLineChars="200"/>
        <w:rPr>
          <w:color w:val="000000" w:themeColor="text1"/>
          <w:sz w:val="24"/>
        </w:rPr>
      </w:pPr>
      <w:r>
        <w:rPr>
          <w:color w:val="000000" w:themeColor="text1"/>
          <w:sz w:val="24"/>
        </w:rPr>
        <w:t>a.项目产生的</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、H</w:t>
      </w:r>
      <w:r>
        <w:rPr>
          <w:rFonts w:hint="eastAsia"/>
          <w:color w:val="000000" w:themeColor="text1"/>
          <w:sz w:val="24"/>
          <w:vertAlign w:val="subscript"/>
        </w:rPr>
        <w:t>2</w:t>
      </w:r>
      <w:r>
        <w:rPr>
          <w:rFonts w:hint="eastAsia"/>
          <w:color w:val="000000" w:themeColor="text1"/>
          <w:sz w:val="24"/>
        </w:rPr>
        <w:t>S</w:t>
      </w:r>
      <w:r>
        <w:rPr>
          <w:color w:val="000000" w:themeColor="text1"/>
          <w:sz w:val="24"/>
        </w:rPr>
        <w:t>气体执行《恶臭污染物排放标准》（GB14554-93）中恶臭污染物厂界标准限值二级标准；臭气浓度排放执行《畜禽养殖业污染物排放标准》</w:t>
      </w:r>
      <w:r>
        <w:rPr>
          <w:rFonts w:hint="eastAsia"/>
          <w:color w:val="000000" w:themeColor="text1"/>
          <w:sz w:val="24"/>
        </w:rPr>
        <w:t>（</w:t>
      </w:r>
      <w:r>
        <w:rPr>
          <w:color w:val="000000" w:themeColor="text1"/>
          <w:sz w:val="24"/>
        </w:rPr>
        <w:t>GB18596-2001</w:t>
      </w:r>
      <w:r>
        <w:rPr>
          <w:rFonts w:hint="eastAsia"/>
          <w:color w:val="000000" w:themeColor="text1"/>
          <w:sz w:val="24"/>
        </w:rPr>
        <w:t>）</w:t>
      </w:r>
      <w:r>
        <w:rPr>
          <w:color w:val="000000" w:themeColor="text1"/>
          <w:sz w:val="24"/>
        </w:rPr>
        <w:t>表7中的要求，具体标准值见表2.5-7和表2.5-8。</w:t>
      </w:r>
    </w:p>
    <w:p>
      <w:pPr>
        <w:adjustRightInd w:val="0"/>
        <w:snapToGrid w:val="0"/>
        <w:spacing w:line="240" w:lineRule="auto"/>
        <w:jc w:val="center"/>
        <w:rPr>
          <w:b/>
          <w:color w:val="000000" w:themeColor="text1"/>
          <w:szCs w:val="21"/>
        </w:rPr>
      </w:pPr>
      <w:r>
        <w:rPr>
          <w:b/>
          <w:color w:val="000000" w:themeColor="text1"/>
          <w:szCs w:val="21"/>
        </w:rPr>
        <w:t>表2.5-7  恶臭污染物排放标准</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451"/>
        <w:gridCol w:w="1384"/>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adjustRightInd w:val="0"/>
              <w:snapToGrid w:val="0"/>
              <w:spacing w:line="240" w:lineRule="auto"/>
              <w:ind w:firstLine="420"/>
              <w:jc w:val="center"/>
              <w:rPr>
                <w:b/>
                <w:color w:val="000000" w:themeColor="text1"/>
                <w:szCs w:val="21"/>
              </w:rPr>
            </w:pPr>
            <w:r>
              <w:rPr>
                <w:b/>
                <w:color w:val="000000" w:themeColor="text1"/>
                <w:szCs w:val="21"/>
              </w:rPr>
              <w:t>控制项目</w:t>
            </w:r>
          </w:p>
        </w:tc>
        <w:tc>
          <w:tcPr>
            <w:tcW w:w="2835" w:type="dxa"/>
            <w:gridSpan w:val="2"/>
            <w:vAlign w:val="center"/>
          </w:tcPr>
          <w:p>
            <w:pPr>
              <w:pStyle w:val="175"/>
              <w:widowControl w:val="0"/>
              <w:pBdr>
                <w:bottom w:val="none" w:color="auto" w:sz="0" w:space="0"/>
              </w:pBdr>
              <w:adjustRightInd w:val="0"/>
              <w:snapToGrid w:val="0"/>
              <w:spacing w:before="0" w:after="0" w:line="240" w:lineRule="auto"/>
              <w:rPr>
                <w:rFonts w:ascii="Times New Roman" w:hAnsi="Times New Roman"/>
                <w:b/>
                <w:color w:val="000000" w:themeColor="text1"/>
                <w:kern w:val="2"/>
                <w:szCs w:val="21"/>
              </w:rPr>
            </w:pPr>
            <w:r>
              <w:rPr>
                <w:rFonts w:hint="eastAsia" w:ascii="Times New Roman" w:hAnsi="Times New Roman"/>
                <w:b/>
                <w:color w:val="000000" w:themeColor="text1"/>
                <w:kern w:val="2"/>
                <w:szCs w:val="21"/>
              </w:rPr>
              <w:t>有组织排放（kg/h）</w:t>
            </w:r>
          </w:p>
        </w:tc>
        <w:tc>
          <w:tcPr>
            <w:tcW w:w="3317" w:type="dxa"/>
            <w:tcBorders>
              <w:bottom w:val="single" w:color="auto" w:sz="4" w:space="0"/>
            </w:tcBorders>
            <w:vAlign w:val="center"/>
          </w:tcPr>
          <w:p>
            <w:pPr>
              <w:pStyle w:val="175"/>
              <w:widowControl w:val="0"/>
              <w:adjustRightInd w:val="0"/>
              <w:snapToGrid w:val="0"/>
              <w:spacing w:before="0" w:after="0" w:line="240" w:lineRule="auto"/>
              <w:rPr>
                <w:rFonts w:ascii="Times New Roman" w:hAnsi="Times New Roman"/>
                <w:b/>
                <w:color w:val="000000" w:themeColor="text1"/>
                <w:kern w:val="2"/>
                <w:szCs w:val="21"/>
              </w:rPr>
            </w:pPr>
            <w:r>
              <w:rPr>
                <w:rFonts w:hint="eastAsia" w:ascii="Times New Roman" w:hAnsi="Times New Roman"/>
                <w:b/>
                <w:color w:val="000000" w:themeColor="text1"/>
                <w:kern w:val="2"/>
                <w:szCs w:val="21"/>
              </w:rPr>
              <w:t>无组织排放</w:t>
            </w:r>
            <w:r>
              <w:rPr>
                <w:rFonts w:ascii="Times New Roman" w:hAnsi="Times New Roman"/>
                <w:b/>
                <w:color w:val="000000" w:themeColor="text1"/>
                <w:kern w:val="2"/>
                <w:szCs w:val="21"/>
              </w:rPr>
              <w:t>（mg/m</w:t>
            </w:r>
            <w:r>
              <w:rPr>
                <w:rFonts w:ascii="Times New Roman" w:hAnsi="Times New Roman"/>
                <w:b/>
                <w:color w:val="000000" w:themeColor="text1"/>
                <w:kern w:val="2"/>
                <w:szCs w:val="21"/>
                <w:vertAlign w:val="superscript"/>
              </w:rPr>
              <w:t>3</w:t>
            </w:r>
            <w:r>
              <w:rPr>
                <w:rFonts w:ascii="Times New Roman" w:hAnsi="Times New Roman"/>
                <w:b/>
                <w:color w:val="000000" w:themeColor="text1"/>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adjustRightInd w:val="0"/>
              <w:snapToGrid w:val="0"/>
              <w:spacing w:line="240" w:lineRule="auto"/>
              <w:ind w:firstLine="420"/>
              <w:jc w:val="center"/>
              <w:rPr>
                <w:color w:val="000000" w:themeColor="text1"/>
                <w:szCs w:val="21"/>
              </w:rPr>
            </w:pPr>
            <w:r>
              <w:rPr>
                <w:color w:val="000000" w:themeColor="text1"/>
                <w:szCs w:val="21"/>
              </w:rPr>
              <w:t>NH</w:t>
            </w:r>
            <w:r>
              <w:rPr>
                <w:color w:val="000000" w:themeColor="text1"/>
                <w:szCs w:val="21"/>
                <w:vertAlign w:val="subscript"/>
              </w:rPr>
              <w:t>3</w:t>
            </w:r>
          </w:p>
        </w:tc>
        <w:tc>
          <w:tcPr>
            <w:tcW w:w="1451"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15m排气筒</w:t>
            </w:r>
          </w:p>
        </w:tc>
        <w:tc>
          <w:tcPr>
            <w:tcW w:w="1384" w:type="dxa"/>
            <w:vAlign w:val="center"/>
          </w:tcPr>
          <w:p>
            <w:pPr>
              <w:adjustRightInd w:val="0"/>
              <w:snapToGrid w:val="0"/>
              <w:spacing w:line="240" w:lineRule="auto"/>
              <w:jc w:val="center"/>
              <w:rPr>
                <w:color w:val="000000" w:themeColor="text1"/>
                <w:szCs w:val="21"/>
              </w:rPr>
            </w:pPr>
            <w:r>
              <w:rPr>
                <w:rFonts w:hint="eastAsia"/>
                <w:color w:val="000000" w:themeColor="text1"/>
                <w:szCs w:val="21"/>
              </w:rPr>
              <w:t>4.9</w:t>
            </w:r>
          </w:p>
        </w:tc>
        <w:tc>
          <w:tcPr>
            <w:tcW w:w="3317" w:type="dxa"/>
            <w:tcBorders>
              <w:top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adjustRightInd w:val="0"/>
              <w:snapToGrid w:val="0"/>
              <w:spacing w:line="240" w:lineRule="auto"/>
              <w:ind w:firstLine="420"/>
              <w:jc w:val="center"/>
              <w:rPr>
                <w:color w:val="000000" w:themeColor="text1"/>
                <w:szCs w:val="21"/>
              </w:rPr>
            </w:pPr>
            <w:r>
              <w:rPr>
                <w:color w:val="000000" w:themeColor="text1"/>
                <w:szCs w:val="21"/>
              </w:rPr>
              <w:t>H</w:t>
            </w:r>
            <w:r>
              <w:rPr>
                <w:color w:val="000000" w:themeColor="text1"/>
                <w:szCs w:val="21"/>
                <w:vertAlign w:val="subscript"/>
              </w:rPr>
              <w:t>2</w:t>
            </w:r>
            <w:r>
              <w:rPr>
                <w:color w:val="000000" w:themeColor="text1"/>
                <w:szCs w:val="21"/>
              </w:rPr>
              <w:t>S</w:t>
            </w:r>
          </w:p>
        </w:tc>
        <w:tc>
          <w:tcPr>
            <w:tcW w:w="1451" w:type="dxa"/>
            <w:vMerge w:val="continue"/>
            <w:vAlign w:val="center"/>
          </w:tcPr>
          <w:p>
            <w:pPr>
              <w:adjustRightInd w:val="0"/>
              <w:snapToGrid w:val="0"/>
              <w:spacing w:line="240" w:lineRule="auto"/>
              <w:jc w:val="center"/>
              <w:rPr>
                <w:color w:val="000000" w:themeColor="text1"/>
                <w:szCs w:val="21"/>
              </w:rPr>
            </w:pPr>
          </w:p>
        </w:tc>
        <w:tc>
          <w:tcPr>
            <w:tcW w:w="1384" w:type="dxa"/>
            <w:vAlign w:val="center"/>
          </w:tcPr>
          <w:p>
            <w:pPr>
              <w:adjustRightInd w:val="0"/>
              <w:snapToGrid w:val="0"/>
              <w:spacing w:line="240" w:lineRule="auto"/>
              <w:jc w:val="center"/>
              <w:rPr>
                <w:color w:val="000000" w:themeColor="text1"/>
                <w:szCs w:val="21"/>
              </w:rPr>
            </w:pPr>
            <w:r>
              <w:rPr>
                <w:rFonts w:hint="eastAsia"/>
                <w:color w:val="000000" w:themeColor="text1"/>
                <w:szCs w:val="21"/>
              </w:rPr>
              <w:t>0.33</w:t>
            </w:r>
          </w:p>
        </w:tc>
        <w:tc>
          <w:tcPr>
            <w:tcW w:w="3317" w:type="dxa"/>
            <w:vAlign w:val="center"/>
          </w:tcPr>
          <w:p>
            <w:pPr>
              <w:adjustRightInd w:val="0"/>
              <w:snapToGrid w:val="0"/>
              <w:spacing w:line="240" w:lineRule="auto"/>
              <w:jc w:val="center"/>
              <w:rPr>
                <w:color w:val="000000" w:themeColor="text1"/>
                <w:szCs w:val="21"/>
              </w:rPr>
            </w:pPr>
            <w:r>
              <w:rPr>
                <w:color w:val="000000" w:themeColor="text1"/>
                <w:szCs w:val="21"/>
              </w:rPr>
              <w:t>0.06</w:t>
            </w:r>
          </w:p>
        </w:tc>
      </w:tr>
    </w:tbl>
    <w:p>
      <w:pPr>
        <w:adjustRightInd w:val="0"/>
        <w:snapToGrid w:val="0"/>
        <w:spacing w:line="240" w:lineRule="auto"/>
        <w:jc w:val="center"/>
        <w:rPr>
          <w:b/>
          <w:color w:val="000000" w:themeColor="text1"/>
          <w:szCs w:val="21"/>
        </w:rPr>
      </w:pPr>
    </w:p>
    <w:p>
      <w:pPr>
        <w:adjustRightInd w:val="0"/>
        <w:snapToGrid w:val="0"/>
        <w:spacing w:line="240" w:lineRule="auto"/>
        <w:jc w:val="center"/>
        <w:rPr>
          <w:b/>
          <w:color w:val="000000" w:themeColor="text1"/>
          <w:szCs w:val="21"/>
        </w:rPr>
      </w:pPr>
    </w:p>
    <w:p>
      <w:pPr>
        <w:adjustRightInd w:val="0"/>
        <w:snapToGrid w:val="0"/>
        <w:spacing w:line="240" w:lineRule="auto"/>
        <w:jc w:val="center"/>
        <w:rPr>
          <w:b/>
          <w:color w:val="000000" w:themeColor="text1"/>
          <w:szCs w:val="21"/>
        </w:rPr>
      </w:pPr>
    </w:p>
    <w:p>
      <w:pPr>
        <w:adjustRightInd w:val="0"/>
        <w:snapToGrid w:val="0"/>
        <w:spacing w:line="240" w:lineRule="auto"/>
        <w:jc w:val="center"/>
        <w:rPr>
          <w:b/>
          <w:color w:val="000000" w:themeColor="text1"/>
          <w:szCs w:val="21"/>
        </w:rPr>
      </w:pPr>
    </w:p>
    <w:p>
      <w:pPr>
        <w:adjustRightInd w:val="0"/>
        <w:snapToGrid w:val="0"/>
        <w:spacing w:line="240" w:lineRule="auto"/>
        <w:jc w:val="center"/>
        <w:rPr>
          <w:b/>
          <w:color w:val="000000" w:themeColor="text1"/>
          <w:szCs w:val="21"/>
        </w:rPr>
      </w:pPr>
      <w:r>
        <w:rPr>
          <w:b/>
          <w:color w:val="000000" w:themeColor="text1"/>
          <w:szCs w:val="21"/>
        </w:rPr>
        <w:t>表2.5-8  集约化畜禽养殖业恶臭污染物排放标准</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0"/>
        <w:gridCol w:w="3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0" w:type="dxa"/>
            <w:vAlign w:val="center"/>
          </w:tcPr>
          <w:p>
            <w:pPr>
              <w:adjustRightInd w:val="0"/>
              <w:snapToGrid w:val="0"/>
              <w:spacing w:line="240" w:lineRule="auto"/>
              <w:ind w:firstLine="420"/>
              <w:jc w:val="center"/>
              <w:rPr>
                <w:b/>
                <w:color w:val="000000" w:themeColor="text1"/>
                <w:szCs w:val="21"/>
              </w:rPr>
            </w:pPr>
            <w:r>
              <w:rPr>
                <w:b/>
                <w:color w:val="000000" w:themeColor="text1"/>
                <w:szCs w:val="21"/>
              </w:rPr>
              <w:t>控制项目</w:t>
            </w:r>
          </w:p>
        </w:tc>
        <w:tc>
          <w:tcPr>
            <w:tcW w:w="3868" w:type="dxa"/>
            <w:vAlign w:val="center"/>
          </w:tcPr>
          <w:p>
            <w:pPr>
              <w:pStyle w:val="175"/>
              <w:widowControl w:val="0"/>
              <w:pBdr>
                <w:bottom w:val="none" w:color="auto" w:sz="0" w:space="0"/>
              </w:pBdr>
              <w:adjustRightInd w:val="0"/>
              <w:snapToGrid w:val="0"/>
              <w:spacing w:before="0" w:after="0" w:line="240" w:lineRule="auto"/>
              <w:rPr>
                <w:rFonts w:ascii="Times New Roman" w:hAnsi="Times New Roman"/>
                <w:b/>
                <w:color w:val="000000" w:themeColor="text1"/>
                <w:kern w:val="2"/>
                <w:szCs w:val="21"/>
              </w:rPr>
            </w:pPr>
            <w:r>
              <w:rPr>
                <w:rFonts w:ascii="Times New Roman" w:hAnsi="Times New Roman"/>
                <w:b/>
                <w:color w:val="000000" w:themeColor="text1"/>
                <w:kern w:val="2"/>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0" w:type="dxa"/>
            <w:vAlign w:val="center"/>
          </w:tcPr>
          <w:p>
            <w:pPr>
              <w:adjustRightInd w:val="0"/>
              <w:snapToGrid w:val="0"/>
              <w:spacing w:line="240" w:lineRule="auto"/>
              <w:ind w:firstLine="420"/>
              <w:jc w:val="center"/>
              <w:rPr>
                <w:color w:val="000000" w:themeColor="text1"/>
                <w:szCs w:val="21"/>
              </w:rPr>
            </w:pPr>
            <w:r>
              <w:rPr>
                <w:color w:val="000000" w:themeColor="text1"/>
                <w:szCs w:val="21"/>
              </w:rPr>
              <w:t>臭气浓度（无量纲）</w:t>
            </w:r>
          </w:p>
        </w:tc>
        <w:tc>
          <w:tcPr>
            <w:tcW w:w="3868" w:type="dxa"/>
            <w:vAlign w:val="center"/>
          </w:tcPr>
          <w:p>
            <w:pPr>
              <w:adjustRightInd w:val="0"/>
              <w:snapToGrid w:val="0"/>
              <w:spacing w:line="240" w:lineRule="auto"/>
              <w:ind w:firstLine="420"/>
              <w:jc w:val="center"/>
              <w:rPr>
                <w:color w:val="000000" w:themeColor="text1"/>
                <w:szCs w:val="21"/>
              </w:rPr>
            </w:pPr>
            <w:r>
              <w:rPr>
                <w:color w:val="000000" w:themeColor="text1"/>
                <w:szCs w:val="21"/>
              </w:rPr>
              <w:t>70</w:t>
            </w:r>
          </w:p>
        </w:tc>
      </w:tr>
    </w:tbl>
    <w:p>
      <w:pPr>
        <w:adjustRightInd w:val="0"/>
        <w:snapToGrid w:val="0"/>
        <w:ind w:firstLine="480" w:firstLineChars="200"/>
        <w:rPr>
          <w:color w:val="000000" w:themeColor="text1"/>
          <w:sz w:val="24"/>
        </w:rPr>
      </w:pPr>
      <w:r>
        <w:rPr>
          <w:color w:val="000000" w:themeColor="text1"/>
          <w:sz w:val="24"/>
        </w:rPr>
        <w:t>b.食堂油烟：排放参照执行《饮食业油烟排放标准》（试行）（GB18483-2001）中表2</w:t>
      </w:r>
      <w:r>
        <w:rPr>
          <w:rFonts w:hint="eastAsia"/>
          <w:color w:val="000000" w:themeColor="text1"/>
          <w:sz w:val="24"/>
        </w:rPr>
        <w:t>小</w:t>
      </w:r>
      <w:r>
        <w:rPr>
          <w:color w:val="000000" w:themeColor="text1"/>
          <w:sz w:val="24"/>
        </w:rPr>
        <w:t>型标准，标准值下表。</w:t>
      </w:r>
    </w:p>
    <w:p>
      <w:pPr>
        <w:spacing w:line="240" w:lineRule="auto"/>
        <w:jc w:val="center"/>
        <w:rPr>
          <w:b/>
          <w:color w:val="000000" w:themeColor="text1"/>
          <w:szCs w:val="21"/>
        </w:rPr>
      </w:pPr>
      <w:r>
        <w:rPr>
          <w:b/>
          <w:color w:val="000000" w:themeColor="text1"/>
          <w:szCs w:val="21"/>
        </w:rPr>
        <w:t>表2.5-9  饮食业油烟排放标准</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491"/>
        <w:gridCol w:w="403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4491" w:type="dxa"/>
            <w:vAlign w:val="center"/>
          </w:tcPr>
          <w:p>
            <w:pPr>
              <w:autoSpaceDE w:val="0"/>
              <w:autoSpaceDN w:val="0"/>
              <w:adjustRightInd w:val="0"/>
              <w:snapToGrid w:val="0"/>
              <w:spacing w:line="240" w:lineRule="auto"/>
              <w:ind w:firstLine="422" w:firstLineChars="200"/>
              <w:jc w:val="center"/>
              <w:rPr>
                <w:b/>
                <w:color w:val="000000" w:themeColor="text1"/>
                <w:kern w:val="0"/>
                <w:szCs w:val="21"/>
              </w:rPr>
            </w:pPr>
            <w:r>
              <w:rPr>
                <w:b/>
                <w:color w:val="000000" w:themeColor="text1"/>
                <w:kern w:val="0"/>
                <w:szCs w:val="21"/>
              </w:rPr>
              <w:t>规模</w:t>
            </w:r>
          </w:p>
        </w:tc>
        <w:tc>
          <w:tcPr>
            <w:tcW w:w="4037" w:type="dxa"/>
            <w:vAlign w:val="center"/>
          </w:tcPr>
          <w:p>
            <w:pPr>
              <w:autoSpaceDE w:val="0"/>
              <w:autoSpaceDN w:val="0"/>
              <w:adjustRightInd w:val="0"/>
              <w:snapToGrid w:val="0"/>
              <w:spacing w:line="240" w:lineRule="auto"/>
              <w:jc w:val="center"/>
              <w:rPr>
                <w:b/>
                <w:color w:val="000000" w:themeColor="text1"/>
                <w:kern w:val="0"/>
                <w:szCs w:val="21"/>
              </w:rPr>
            </w:pPr>
            <w:r>
              <w:rPr>
                <w:b/>
                <w:color w:val="000000" w:themeColor="text1"/>
                <w:kern w:val="0"/>
                <w:szCs w:val="21"/>
              </w:rPr>
              <w:t>中型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9" w:hRule="atLeast"/>
          <w:jc w:val="center"/>
        </w:trPr>
        <w:tc>
          <w:tcPr>
            <w:tcW w:w="4491" w:type="dxa"/>
            <w:vAlign w:val="center"/>
          </w:tcPr>
          <w:p>
            <w:pPr>
              <w:autoSpaceDE w:val="0"/>
              <w:autoSpaceDN w:val="0"/>
              <w:adjustRightInd w:val="0"/>
              <w:snapToGrid w:val="0"/>
              <w:spacing w:line="240" w:lineRule="auto"/>
              <w:ind w:firstLine="420" w:firstLineChars="200"/>
              <w:jc w:val="center"/>
              <w:rPr>
                <w:color w:val="000000" w:themeColor="text1"/>
                <w:kern w:val="0"/>
                <w:szCs w:val="21"/>
              </w:rPr>
            </w:pPr>
            <w:r>
              <w:rPr>
                <w:color w:val="000000" w:themeColor="text1"/>
                <w:kern w:val="0"/>
                <w:szCs w:val="21"/>
              </w:rPr>
              <w:t>最高允许排放浓度（mg/m</w:t>
            </w:r>
            <w:r>
              <w:rPr>
                <w:color w:val="000000" w:themeColor="text1"/>
                <w:kern w:val="0"/>
                <w:szCs w:val="21"/>
                <w:vertAlign w:val="superscript"/>
              </w:rPr>
              <w:t>3</w:t>
            </w:r>
            <w:r>
              <w:rPr>
                <w:color w:val="000000" w:themeColor="text1"/>
                <w:kern w:val="0"/>
                <w:szCs w:val="21"/>
              </w:rPr>
              <w:t>）</w:t>
            </w:r>
          </w:p>
        </w:tc>
        <w:tc>
          <w:tcPr>
            <w:tcW w:w="4037" w:type="dxa"/>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491" w:type="dxa"/>
            <w:vAlign w:val="center"/>
          </w:tcPr>
          <w:p>
            <w:pPr>
              <w:autoSpaceDE w:val="0"/>
              <w:autoSpaceDN w:val="0"/>
              <w:adjustRightInd w:val="0"/>
              <w:snapToGrid w:val="0"/>
              <w:spacing w:line="240" w:lineRule="auto"/>
              <w:ind w:firstLine="420" w:firstLineChars="200"/>
              <w:jc w:val="center"/>
              <w:rPr>
                <w:color w:val="000000" w:themeColor="text1"/>
                <w:kern w:val="0"/>
                <w:szCs w:val="21"/>
              </w:rPr>
            </w:pPr>
            <w:r>
              <w:rPr>
                <w:color w:val="000000" w:themeColor="text1"/>
                <w:kern w:val="0"/>
                <w:szCs w:val="21"/>
              </w:rPr>
              <w:t>净化设施最低去除效率（%）</w:t>
            </w:r>
          </w:p>
        </w:tc>
        <w:tc>
          <w:tcPr>
            <w:tcW w:w="4037"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60</w:t>
            </w:r>
          </w:p>
        </w:tc>
      </w:tr>
    </w:tbl>
    <w:p>
      <w:pPr>
        <w:adjustRightInd w:val="0"/>
        <w:snapToGrid w:val="0"/>
        <w:ind w:firstLine="480" w:firstLineChars="200"/>
        <w:rPr>
          <w:color w:val="000000" w:themeColor="text1"/>
          <w:sz w:val="24"/>
        </w:rPr>
      </w:pPr>
      <w:r>
        <w:rPr>
          <w:rFonts w:hint="eastAsia"/>
          <w:color w:val="000000" w:themeColor="text1"/>
          <w:sz w:val="24"/>
        </w:rPr>
        <w:t>c.沼气发电机：沼气发电机尾气执行《火电厂大气污染物排放标准》（GB13223-2011）表1相关标准</w:t>
      </w:r>
      <w:r>
        <w:rPr>
          <w:color w:val="000000" w:themeColor="text1"/>
          <w:sz w:val="24"/>
        </w:rPr>
        <w:t>，标准值下表。</w:t>
      </w:r>
    </w:p>
    <w:p>
      <w:pPr>
        <w:spacing w:line="240" w:lineRule="auto"/>
        <w:jc w:val="center"/>
        <w:rPr>
          <w:b/>
          <w:color w:val="000000" w:themeColor="text1"/>
          <w:szCs w:val="21"/>
        </w:rPr>
      </w:pPr>
      <w:r>
        <w:rPr>
          <w:b/>
          <w:color w:val="000000" w:themeColor="text1"/>
          <w:szCs w:val="21"/>
        </w:rPr>
        <w:t>表2.5-</w:t>
      </w:r>
      <w:r>
        <w:rPr>
          <w:rFonts w:hint="eastAsia"/>
          <w:b/>
          <w:color w:val="000000" w:themeColor="text1"/>
          <w:szCs w:val="21"/>
        </w:rPr>
        <w:t>10</w:t>
      </w:r>
      <w:r>
        <w:rPr>
          <w:b/>
          <w:color w:val="000000" w:themeColor="text1"/>
          <w:szCs w:val="21"/>
        </w:rPr>
        <w:t xml:space="preserve">  </w:t>
      </w:r>
      <w:r>
        <w:rPr>
          <w:rFonts w:hint="eastAsia"/>
          <w:b/>
          <w:color w:val="000000" w:themeColor="text1"/>
          <w:szCs w:val="21"/>
        </w:rPr>
        <w:t>燃气轮机组大气污染物排放浓度限值  单位：</w:t>
      </w:r>
      <w:r>
        <w:rPr>
          <w:b/>
          <w:color w:val="000000" w:themeColor="text1"/>
          <w:kern w:val="0"/>
          <w:szCs w:val="21"/>
        </w:rPr>
        <w:t>mg/m</w:t>
      </w:r>
      <w:r>
        <w:rPr>
          <w:b/>
          <w:color w:val="000000" w:themeColor="text1"/>
          <w:kern w:val="0"/>
          <w:szCs w:val="21"/>
          <w:vertAlign w:val="superscript"/>
        </w:rPr>
        <w:t>3</w:t>
      </w:r>
    </w:p>
    <w:tbl>
      <w:tblPr>
        <w:tblStyle w:val="4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2076"/>
        <w:gridCol w:w="2545"/>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839" w:type="dxa"/>
            <w:vAlign w:val="center"/>
          </w:tcPr>
          <w:p>
            <w:pPr>
              <w:adjustRightInd w:val="0"/>
              <w:snapToGrid w:val="0"/>
              <w:spacing w:line="240" w:lineRule="auto"/>
              <w:jc w:val="center"/>
              <w:rPr>
                <w:b/>
                <w:color w:val="000000" w:themeColor="text1"/>
                <w:szCs w:val="21"/>
              </w:rPr>
            </w:pPr>
            <w:r>
              <w:rPr>
                <w:rFonts w:hint="eastAsia"/>
                <w:b/>
                <w:color w:val="000000" w:themeColor="text1"/>
                <w:szCs w:val="21"/>
              </w:rPr>
              <w:t>燃料和热能转化设施类型</w:t>
            </w:r>
          </w:p>
        </w:tc>
        <w:tc>
          <w:tcPr>
            <w:tcW w:w="2076" w:type="dxa"/>
            <w:vAlign w:val="center"/>
          </w:tcPr>
          <w:p>
            <w:pPr>
              <w:adjustRightInd w:val="0"/>
              <w:snapToGrid w:val="0"/>
              <w:spacing w:line="240" w:lineRule="auto"/>
              <w:jc w:val="center"/>
              <w:rPr>
                <w:b/>
                <w:color w:val="000000" w:themeColor="text1"/>
                <w:szCs w:val="21"/>
              </w:rPr>
            </w:pPr>
            <w:r>
              <w:rPr>
                <w:rFonts w:hint="eastAsia"/>
                <w:b/>
                <w:color w:val="000000" w:themeColor="text1"/>
                <w:szCs w:val="21"/>
              </w:rPr>
              <w:t>污染物项目</w:t>
            </w:r>
          </w:p>
        </w:tc>
        <w:tc>
          <w:tcPr>
            <w:tcW w:w="2545" w:type="dxa"/>
            <w:vAlign w:val="center"/>
          </w:tcPr>
          <w:p>
            <w:pPr>
              <w:adjustRightInd w:val="0"/>
              <w:snapToGrid w:val="0"/>
              <w:spacing w:line="240" w:lineRule="auto"/>
              <w:jc w:val="center"/>
              <w:rPr>
                <w:b/>
                <w:color w:val="000000" w:themeColor="text1"/>
                <w:szCs w:val="21"/>
              </w:rPr>
            </w:pPr>
            <w:r>
              <w:rPr>
                <w:rFonts w:hint="eastAsia"/>
                <w:b/>
                <w:color w:val="000000" w:themeColor="text1"/>
                <w:szCs w:val="21"/>
              </w:rPr>
              <w:t>适用条件</w:t>
            </w:r>
          </w:p>
        </w:tc>
        <w:tc>
          <w:tcPr>
            <w:tcW w:w="2045" w:type="dxa"/>
            <w:vAlign w:val="center"/>
          </w:tcPr>
          <w:p>
            <w:pPr>
              <w:adjustRightInd w:val="0"/>
              <w:snapToGrid w:val="0"/>
              <w:spacing w:line="240" w:lineRule="auto"/>
              <w:jc w:val="center"/>
              <w:rPr>
                <w:b/>
                <w:color w:val="000000" w:themeColor="text1"/>
                <w:szCs w:val="21"/>
              </w:rPr>
            </w:pPr>
            <w:r>
              <w:rPr>
                <w:rFonts w:hint="eastAsia"/>
                <w:b/>
                <w:color w:val="000000" w:themeColor="text1"/>
                <w:szCs w:val="21"/>
              </w:rPr>
              <w:t>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39"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以气体为燃料的锅炉或燃气轮机组</w:t>
            </w:r>
          </w:p>
        </w:tc>
        <w:tc>
          <w:tcPr>
            <w:tcW w:w="2076" w:type="dxa"/>
            <w:vAlign w:val="center"/>
          </w:tcPr>
          <w:p>
            <w:pPr>
              <w:adjustRightInd w:val="0"/>
              <w:snapToGrid w:val="0"/>
              <w:spacing w:line="240" w:lineRule="auto"/>
              <w:jc w:val="center"/>
              <w:rPr>
                <w:color w:val="000000" w:themeColor="text1"/>
                <w:szCs w:val="21"/>
              </w:rPr>
            </w:pPr>
            <w:r>
              <w:rPr>
                <w:rFonts w:hint="eastAsia"/>
                <w:color w:val="000000" w:themeColor="text1"/>
                <w:szCs w:val="21"/>
              </w:rPr>
              <w:t>烟尘</w:t>
            </w:r>
          </w:p>
        </w:tc>
        <w:tc>
          <w:tcPr>
            <w:tcW w:w="2545"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天然气锅炉及燃气轮机组</w:t>
            </w:r>
          </w:p>
        </w:tc>
        <w:tc>
          <w:tcPr>
            <w:tcW w:w="2045" w:type="dxa"/>
            <w:vAlign w:val="center"/>
          </w:tcPr>
          <w:p>
            <w:pPr>
              <w:adjustRightInd w:val="0"/>
              <w:snapToGrid w:val="0"/>
              <w:spacing w:line="240" w:lineRule="auto"/>
              <w:jc w:val="center"/>
              <w:rPr>
                <w:color w:val="000000" w:themeColor="text1"/>
                <w:szCs w:val="21"/>
              </w:rPr>
            </w:pPr>
            <w:r>
              <w:rPr>
                <w:rFonts w:hint="eastAsia"/>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39" w:type="dxa"/>
            <w:vMerge w:val="continue"/>
            <w:vAlign w:val="center"/>
          </w:tcPr>
          <w:p>
            <w:pPr>
              <w:adjustRightInd w:val="0"/>
              <w:snapToGrid w:val="0"/>
              <w:spacing w:line="240" w:lineRule="auto"/>
              <w:jc w:val="center"/>
              <w:rPr>
                <w:color w:val="000000" w:themeColor="text1"/>
                <w:szCs w:val="21"/>
              </w:rPr>
            </w:pPr>
          </w:p>
        </w:tc>
        <w:tc>
          <w:tcPr>
            <w:tcW w:w="2076" w:type="dxa"/>
            <w:vAlign w:val="center"/>
          </w:tcPr>
          <w:p>
            <w:pPr>
              <w:adjustRightInd w:val="0"/>
              <w:snapToGrid w:val="0"/>
              <w:spacing w:line="240" w:lineRule="auto"/>
              <w:jc w:val="center"/>
              <w:rPr>
                <w:color w:val="000000" w:themeColor="text1"/>
                <w:szCs w:val="21"/>
              </w:rPr>
            </w:pPr>
            <w:r>
              <w:rPr>
                <w:rFonts w:hint="eastAsia"/>
                <w:color w:val="000000" w:themeColor="text1"/>
                <w:szCs w:val="21"/>
              </w:rPr>
              <w:t>SO</w:t>
            </w:r>
            <w:r>
              <w:rPr>
                <w:rFonts w:hint="eastAsia"/>
                <w:color w:val="000000" w:themeColor="text1"/>
                <w:szCs w:val="21"/>
                <w:vertAlign w:val="subscript"/>
              </w:rPr>
              <w:t>2</w:t>
            </w:r>
          </w:p>
        </w:tc>
        <w:tc>
          <w:tcPr>
            <w:tcW w:w="2545" w:type="dxa"/>
            <w:vMerge w:val="continue"/>
            <w:vAlign w:val="center"/>
          </w:tcPr>
          <w:p>
            <w:pPr>
              <w:adjustRightInd w:val="0"/>
              <w:snapToGrid w:val="0"/>
              <w:spacing w:line="240" w:lineRule="auto"/>
              <w:jc w:val="center"/>
              <w:rPr>
                <w:color w:val="000000" w:themeColor="text1"/>
                <w:szCs w:val="21"/>
              </w:rPr>
            </w:pPr>
          </w:p>
        </w:tc>
        <w:tc>
          <w:tcPr>
            <w:tcW w:w="2045" w:type="dxa"/>
            <w:vAlign w:val="center"/>
          </w:tcPr>
          <w:p>
            <w:pPr>
              <w:adjustRightInd w:val="0"/>
              <w:snapToGrid w:val="0"/>
              <w:spacing w:line="240" w:lineRule="auto"/>
              <w:jc w:val="center"/>
              <w:rPr>
                <w:color w:val="000000" w:themeColor="text1"/>
                <w:szCs w:val="21"/>
              </w:rPr>
            </w:pPr>
            <w:r>
              <w:rPr>
                <w:rFonts w:hint="eastAsia"/>
                <w:color w:val="000000" w:themeColor="text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39" w:type="dxa"/>
            <w:vMerge w:val="continue"/>
            <w:vAlign w:val="center"/>
          </w:tcPr>
          <w:p>
            <w:pPr>
              <w:adjustRightInd w:val="0"/>
              <w:snapToGrid w:val="0"/>
              <w:spacing w:line="240" w:lineRule="auto"/>
              <w:jc w:val="center"/>
              <w:rPr>
                <w:color w:val="000000" w:themeColor="text1"/>
                <w:szCs w:val="21"/>
              </w:rPr>
            </w:pPr>
          </w:p>
        </w:tc>
        <w:tc>
          <w:tcPr>
            <w:tcW w:w="2076" w:type="dxa"/>
            <w:vAlign w:val="center"/>
          </w:tcPr>
          <w:p>
            <w:pPr>
              <w:adjustRightInd w:val="0"/>
              <w:snapToGrid w:val="0"/>
              <w:spacing w:line="240" w:lineRule="auto"/>
              <w:jc w:val="center"/>
              <w:rPr>
                <w:color w:val="000000" w:themeColor="text1"/>
                <w:szCs w:val="21"/>
              </w:rPr>
            </w:pPr>
            <w:r>
              <w:rPr>
                <w:rFonts w:hint="eastAsia"/>
                <w:color w:val="000000" w:themeColor="text1"/>
                <w:szCs w:val="21"/>
              </w:rPr>
              <w:t>NO</w:t>
            </w:r>
            <w:r>
              <w:rPr>
                <w:rFonts w:hint="eastAsia"/>
                <w:color w:val="000000" w:themeColor="text1"/>
                <w:szCs w:val="21"/>
                <w:vertAlign w:val="subscript"/>
              </w:rPr>
              <w:t>2</w:t>
            </w:r>
          </w:p>
        </w:tc>
        <w:tc>
          <w:tcPr>
            <w:tcW w:w="2545" w:type="dxa"/>
            <w:vMerge w:val="continue"/>
            <w:vAlign w:val="center"/>
          </w:tcPr>
          <w:p>
            <w:pPr>
              <w:adjustRightInd w:val="0"/>
              <w:snapToGrid w:val="0"/>
              <w:spacing w:line="240" w:lineRule="auto"/>
              <w:jc w:val="center"/>
              <w:rPr>
                <w:color w:val="000000" w:themeColor="text1"/>
                <w:szCs w:val="21"/>
              </w:rPr>
            </w:pPr>
          </w:p>
        </w:tc>
        <w:tc>
          <w:tcPr>
            <w:tcW w:w="2045" w:type="dxa"/>
            <w:vAlign w:val="center"/>
          </w:tcPr>
          <w:p>
            <w:pPr>
              <w:adjustRightInd w:val="0"/>
              <w:snapToGrid w:val="0"/>
              <w:spacing w:line="240" w:lineRule="auto"/>
              <w:jc w:val="center"/>
              <w:rPr>
                <w:color w:val="000000" w:themeColor="text1"/>
                <w:szCs w:val="21"/>
              </w:rPr>
            </w:pPr>
            <w:r>
              <w:rPr>
                <w:rFonts w:hint="eastAsia"/>
                <w:color w:val="000000" w:themeColor="text1"/>
                <w:szCs w:val="21"/>
              </w:rPr>
              <w:t>50</w:t>
            </w:r>
          </w:p>
        </w:tc>
      </w:tr>
    </w:tbl>
    <w:p>
      <w:pPr>
        <w:adjustRightInd w:val="0"/>
        <w:snapToGrid w:val="0"/>
        <w:ind w:firstLine="480" w:firstLineChars="200"/>
        <w:rPr>
          <w:color w:val="000000" w:themeColor="text1"/>
          <w:sz w:val="24"/>
        </w:rPr>
      </w:pPr>
      <w:r>
        <w:rPr>
          <w:color w:val="000000" w:themeColor="text1"/>
          <w:sz w:val="24"/>
        </w:rPr>
        <w:t>（2）水污染物排放标准</w:t>
      </w:r>
    </w:p>
    <w:p>
      <w:pPr>
        <w:adjustRightInd w:val="0"/>
        <w:snapToGrid w:val="0"/>
        <w:ind w:firstLine="480" w:firstLineChars="200"/>
        <w:rPr>
          <w:color w:val="000000" w:themeColor="text1"/>
          <w:sz w:val="24"/>
        </w:rPr>
      </w:pPr>
      <w:r>
        <w:rPr>
          <w:color w:val="000000" w:themeColor="text1"/>
          <w:sz w:val="24"/>
        </w:rPr>
        <w:t>运行期本项目产生的废水主要为猪尿、猪舍冲洗废水以及生活污水、消毒废水，项目产生的废水经自建</w:t>
      </w:r>
      <w:r>
        <w:rPr>
          <w:rFonts w:hint="eastAsia"/>
          <w:color w:val="000000" w:themeColor="text1"/>
          <w:sz w:val="24"/>
        </w:rPr>
        <w:t>沼气工程</w:t>
      </w:r>
      <w:r>
        <w:rPr>
          <w:color w:val="000000" w:themeColor="text1"/>
          <w:sz w:val="24"/>
        </w:rPr>
        <w:t>（</w:t>
      </w:r>
      <w:r>
        <w:rPr>
          <w:rFonts w:hint="eastAsia"/>
          <w:color w:val="000000" w:themeColor="text1"/>
          <w:sz w:val="24"/>
        </w:rPr>
        <w:t>预处理</w:t>
      </w:r>
      <w:r>
        <w:rPr>
          <w:color w:val="000000" w:themeColor="text1"/>
          <w:sz w:val="24"/>
        </w:rPr>
        <w:t>+</w:t>
      </w:r>
      <w:r>
        <w:rPr>
          <w:rFonts w:hint="eastAsia"/>
          <w:color w:val="000000" w:themeColor="text1"/>
          <w:sz w:val="24"/>
        </w:rPr>
        <w:t>中温厌氧消化</w:t>
      </w:r>
      <w:r>
        <w:rPr>
          <w:color w:val="000000" w:themeColor="text1"/>
          <w:sz w:val="24"/>
        </w:rPr>
        <w:t>）处理后</w:t>
      </w:r>
      <w:r>
        <w:rPr>
          <w:rFonts w:hint="eastAsia"/>
          <w:color w:val="000000" w:themeColor="text1"/>
          <w:sz w:val="24"/>
        </w:rPr>
        <w:t>沼液一部分用于种植区施肥，剩余部分进入异位发酵车间发酵处理，实现粪污水零排放</w:t>
      </w:r>
      <w:r>
        <w:rPr>
          <w:color w:val="000000" w:themeColor="text1"/>
          <w:sz w:val="24"/>
        </w:rPr>
        <w:t>。</w:t>
      </w:r>
    </w:p>
    <w:p>
      <w:pPr>
        <w:adjustRightInd w:val="0"/>
        <w:snapToGrid w:val="0"/>
        <w:ind w:firstLine="480" w:firstLineChars="200"/>
        <w:rPr>
          <w:color w:val="000000" w:themeColor="text1"/>
          <w:sz w:val="24"/>
        </w:rPr>
      </w:pPr>
      <w:r>
        <w:rPr>
          <w:color w:val="000000" w:themeColor="text1"/>
          <w:sz w:val="24"/>
        </w:rPr>
        <w:t>（3）噪声排放标准</w:t>
      </w:r>
    </w:p>
    <w:p>
      <w:pPr>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施工期</w:t>
      </w:r>
    </w:p>
    <w:p>
      <w:pPr>
        <w:ind w:firstLine="480" w:firstLineChars="200"/>
        <w:rPr>
          <w:color w:val="000000" w:themeColor="text1"/>
          <w:sz w:val="24"/>
        </w:rPr>
      </w:pPr>
      <w:r>
        <w:rPr>
          <w:color w:val="000000" w:themeColor="text1"/>
          <w:sz w:val="24"/>
        </w:rPr>
        <w:t>本项目施工期噪声执行（GB12523-2011）《建筑施工场界环境噪声排放标准》。</w:t>
      </w:r>
    </w:p>
    <w:p>
      <w:pPr>
        <w:adjustRightInd w:val="0"/>
        <w:snapToGrid w:val="0"/>
        <w:spacing w:line="240" w:lineRule="auto"/>
        <w:jc w:val="center"/>
        <w:rPr>
          <w:b/>
          <w:color w:val="000000" w:themeColor="text1"/>
          <w:szCs w:val="21"/>
        </w:rPr>
      </w:pPr>
      <w:r>
        <w:rPr>
          <w:b/>
          <w:color w:val="000000" w:themeColor="text1"/>
          <w:szCs w:val="21"/>
        </w:rPr>
        <w:t>表2.5-1</w:t>
      </w:r>
      <w:r>
        <w:rPr>
          <w:rFonts w:hint="eastAsia"/>
          <w:b/>
          <w:color w:val="000000" w:themeColor="text1"/>
          <w:szCs w:val="21"/>
        </w:rPr>
        <w:t>1</w:t>
      </w:r>
      <w:r>
        <w:rPr>
          <w:b/>
          <w:color w:val="000000" w:themeColor="text1"/>
          <w:szCs w:val="21"/>
        </w:rPr>
        <w:t xml:space="preserve">  建筑施工场界环境噪声排放限值单位：dB（A）</w:t>
      </w:r>
    </w:p>
    <w:tbl>
      <w:tblPr>
        <w:tblStyle w:val="4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7"/>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7" w:type="dxa"/>
            <w:vAlign w:val="center"/>
          </w:tcPr>
          <w:p>
            <w:pPr>
              <w:adjustRightInd w:val="0"/>
              <w:snapToGrid w:val="0"/>
              <w:spacing w:line="240" w:lineRule="auto"/>
              <w:jc w:val="center"/>
              <w:rPr>
                <w:b/>
                <w:color w:val="000000" w:themeColor="text1"/>
                <w:szCs w:val="21"/>
              </w:rPr>
            </w:pPr>
            <w:r>
              <w:rPr>
                <w:b/>
                <w:color w:val="000000" w:themeColor="text1"/>
                <w:szCs w:val="21"/>
              </w:rPr>
              <w:t>昼间</w:t>
            </w:r>
          </w:p>
        </w:tc>
        <w:tc>
          <w:tcPr>
            <w:tcW w:w="4338" w:type="dxa"/>
            <w:vAlign w:val="center"/>
          </w:tcPr>
          <w:p>
            <w:pPr>
              <w:adjustRightInd w:val="0"/>
              <w:snapToGrid w:val="0"/>
              <w:spacing w:line="240" w:lineRule="auto"/>
              <w:jc w:val="center"/>
              <w:rPr>
                <w:b/>
                <w:color w:val="000000" w:themeColor="text1"/>
                <w:szCs w:val="21"/>
              </w:rPr>
            </w:pPr>
            <w:r>
              <w:rPr>
                <w:b/>
                <w:color w:val="000000" w:themeColor="text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7" w:type="dxa"/>
            <w:vAlign w:val="center"/>
          </w:tcPr>
          <w:p>
            <w:pPr>
              <w:adjustRightInd w:val="0"/>
              <w:snapToGrid w:val="0"/>
              <w:spacing w:line="240" w:lineRule="auto"/>
              <w:jc w:val="center"/>
              <w:rPr>
                <w:color w:val="000000" w:themeColor="text1"/>
                <w:szCs w:val="21"/>
              </w:rPr>
            </w:pPr>
            <w:r>
              <w:rPr>
                <w:color w:val="000000" w:themeColor="text1"/>
                <w:szCs w:val="21"/>
              </w:rPr>
              <w:t>70</w:t>
            </w:r>
          </w:p>
        </w:tc>
        <w:tc>
          <w:tcPr>
            <w:tcW w:w="4338" w:type="dxa"/>
            <w:vAlign w:val="center"/>
          </w:tcPr>
          <w:p>
            <w:pPr>
              <w:adjustRightInd w:val="0"/>
              <w:snapToGrid w:val="0"/>
              <w:spacing w:line="240" w:lineRule="auto"/>
              <w:jc w:val="center"/>
              <w:rPr>
                <w:color w:val="000000" w:themeColor="text1"/>
                <w:szCs w:val="21"/>
              </w:rPr>
            </w:pPr>
            <w:r>
              <w:rPr>
                <w:color w:val="000000" w:themeColor="text1"/>
                <w:szCs w:val="21"/>
              </w:rPr>
              <w:t>55</w:t>
            </w:r>
          </w:p>
        </w:tc>
      </w:tr>
    </w:tbl>
    <w:p>
      <w:pPr>
        <w:adjustRightInd w:val="0"/>
        <w:snapToGrid w:val="0"/>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运营期</w:t>
      </w:r>
    </w:p>
    <w:p>
      <w:pPr>
        <w:adjustRightInd w:val="0"/>
        <w:snapToGrid w:val="0"/>
        <w:ind w:firstLine="480" w:firstLineChars="200"/>
        <w:rPr>
          <w:color w:val="000000" w:themeColor="text1"/>
          <w:sz w:val="24"/>
        </w:rPr>
      </w:pPr>
      <w:r>
        <w:rPr>
          <w:color w:val="000000" w:themeColor="text1"/>
          <w:sz w:val="24"/>
        </w:rPr>
        <w:t>项目运营期厂界噪声执行《工业企业厂界环境噪声排放标准》（GB12348-2008）</w:t>
      </w:r>
      <w:r>
        <w:rPr>
          <w:rFonts w:hint="eastAsia"/>
          <w:color w:val="000000" w:themeColor="text1"/>
          <w:sz w:val="24"/>
        </w:rPr>
        <w:t>1</w:t>
      </w:r>
      <w:r>
        <w:rPr>
          <w:color w:val="000000" w:themeColor="text1"/>
          <w:sz w:val="24"/>
        </w:rPr>
        <w:t>类标准，标准值见下表。</w:t>
      </w:r>
    </w:p>
    <w:p>
      <w:pPr>
        <w:adjustRightInd w:val="0"/>
        <w:snapToGrid w:val="0"/>
        <w:spacing w:line="240" w:lineRule="auto"/>
        <w:jc w:val="center"/>
        <w:rPr>
          <w:b/>
          <w:color w:val="000000" w:themeColor="text1"/>
          <w:szCs w:val="21"/>
        </w:rPr>
      </w:pPr>
      <w:r>
        <w:rPr>
          <w:b/>
          <w:color w:val="000000" w:themeColor="text1"/>
          <w:szCs w:val="21"/>
        </w:rPr>
        <w:t>表2.5-1</w:t>
      </w:r>
      <w:r>
        <w:rPr>
          <w:rFonts w:hint="eastAsia"/>
          <w:b/>
          <w:color w:val="000000" w:themeColor="text1"/>
          <w:szCs w:val="21"/>
        </w:rPr>
        <w:t>2</w:t>
      </w:r>
      <w:r>
        <w:rPr>
          <w:b/>
          <w:color w:val="000000" w:themeColor="text1"/>
          <w:szCs w:val="21"/>
        </w:rPr>
        <w:t xml:space="preserve">  噪声排放标准限值单位：dB（A）</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0"/>
        <w:gridCol w:w="2459"/>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0" w:type="dxa"/>
            <w:vMerge w:val="restart"/>
            <w:vAlign w:val="center"/>
          </w:tcPr>
          <w:p>
            <w:pPr>
              <w:adjustRightInd w:val="0"/>
              <w:snapToGrid w:val="0"/>
              <w:spacing w:line="240" w:lineRule="auto"/>
              <w:ind w:firstLine="527" w:firstLineChars="250"/>
              <w:rPr>
                <w:b/>
                <w:color w:val="000000" w:themeColor="text1"/>
                <w:szCs w:val="21"/>
              </w:rPr>
            </w:pPr>
            <w:r>
              <w:rPr>
                <w:b/>
                <w:color w:val="000000" w:themeColor="text1"/>
                <w:szCs w:val="21"/>
              </w:rPr>
              <w:t>声环境功能区类别</w:t>
            </w:r>
          </w:p>
        </w:tc>
        <w:tc>
          <w:tcPr>
            <w:tcW w:w="4818" w:type="dxa"/>
            <w:gridSpan w:val="2"/>
            <w:vAlign w:val="center"/>
          </w:tcPr>
          <w:p>
            <w:pPr>
              <w:adjustRightInd w:val="0"/>
              <w:snapToGrid w:val="0"/>
              <w:spacing w:line="240" w:lineRule="auto"/>
              <w:jc w:val="center"/>
              <w:rPr>
                <w:b/>
                <w:color w:val="000000" w:themeColor="text1"/>
                <w:szCs w:val="21"/>
              </w:rPr>
            </w:pPr>
            <w:r>
              <w:rPr>
                <w:b/>
                <w:color w:val="000000" w:themeColor="text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0" w:type="dxa"/>
            <w:vMerge w:val="continue"/>
            <w:vAlign w:val="center"/>
          </w:tcPr>
          <w:p>
            <w:pPr>
              <w:adjustRightInd w:val="0"/>
              <w:snapToGrid w:val="0"/>
              <w:spacing w:line="240" w:lineRule="auto"/>
              <w:jc w:val="center"/>
              <w:rPr>
                <w:b/>
                <w:color w:val="000000" w:themeColor="text1"/>
                <w:szCs w:val="21"/>
              </w:rPr>
            </w:pPr>
          </w:p>
        </w:tc>
        <w:tc>
          <w:tcPr>
            <w:tcW w:w="2459" w:type="dxa"/>
            <w:vAlign w:val="center"/>
          </w:tcPr>
          <w:p>
            <w:pPr>
              <w:adjustRightInd w:val="0"/>
              <w:snapToGrid w:val="0"/>
              <w:spacing w:line="240" w:lineRule="auto"/>
              <w:jc w:val="center"/>
              <w:rPr>
                <w:b/>
                <w:color w:val="000000" w:themeColor="text1"/>
                <w:szCs w:val="21"/>
              </w:rPr>
            </w:pPr>
            <w:r>
              <w:rPr>
                <w:b/>
                <w:color w:val="000000" w:themeColor="text1"/>
                <w:szCs w:val="21"/>
              </w:rPr>
              <w:t>昼间</w:t>
            </w:r>
          </w:p>
        </w:tc>
        <w:tc>
          <w:tcPr>
            <w:tcW w:w="2359" w:type="dxa"/>
            <w:vAlign w:val="center"/>
          </w:tcPr>
          <w:p>
            <w:pPr>
              <w:adjustRightInd w:val="0"/>
              <w:snapToGrid w:val="0"/>
              <w:spacing w:line="240" w:lineRule="auto"/>
              <w:jc w:val="center"/>
              <w:rPr>
                <w:b/>
                <w:color w:val="000000" w:themeColor="text1"/>
                <w:szCs w:val="21"/>
              </w:rPr>
            </w:pPr>
            <w:r>
              <w:rPr>
                <w:b/>
                <w:color w:val="000000" w:themeColor="text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0" w:type="dxa"/>
            <w:vAlign w:val="center"/>
          </w:tcPr>
          <w:p>
            <w:pPr>
              <w:adjustRightInd w:val="0"/>
              <w:snapToGrid w:val="0"/>
              <w:spacing w:line="240" w:lineRule="auto"/>
              <w:jc w:val="center"/>
              <w:rPr>
                <w:color w:val="000000" w:themeColor="text1"/>
                <w:szCs w:val="21"/>
              </w:rPr>
            </w:pPr>
            <w:r>
              <w:rPr>
                <w:rFonts w:hint="eastAsia"/>
                <w:color w:val="000000" w:themeColor="text1"/>
                <w:szCs w:val="21"/>
              </w:rPr>
              <w:t>1</w:t>
            </w:r>
            <w:r>
              <w:rPr>
                <w:color w:val="000000" w:themeColor="text1"/>
                <w:szCs w:val="21"/>
              </w:rPr>
              <w:t>类</w:t>
            </w:r>
          </w:p>
        </w:tc>
        <w:tc>
          <w:tcPr>
            <w:tcW w:w="24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55</w:t>
            </w:r>
          </w:p>
        </w:tc>
        <w:tc>
          <w:tcPr>
            <w:tcW w:w="23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45</w:t>
            </w:r>
          </w:p>
        </w:tc>
      </w:tr>
    </w:tbl>
    <w:p>
      <w:pPr>
        <w:adjustRightInd w:val="0"/>
        <w:snapToGrid w:val="0"/>
        <w:ind w:firstLine="480" w:firstLineChars="200"/>
        <w:rPr>
          <w:color w:val="000000" w:themeColor="text1"/>
          <w:sz w:val="24"/>
        </w:rPr>
      </w:pPr>
      <w:r>
        <w:rPr>
          <w:color w:val="000000" w:themeColor="text1"/>
          <w:sz w:val="24"/>
        </w:rPr>
        <w:t>（4）固废排放标准</w:t>
      </w:r>
    </w:p>
    <w:p>
      <w:pPr>
        <w:adjustRightInd w:val="0"/>
        <w:snapToGrid w:val="0"/>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项目的猪尿进入</w:t>
      </w:r>
      <w:r>
        <w:rPr>
          <w:rFonts w:hint="eastAsia"/>
          <w:color w:val="000000" w:themeColor="text1"/>
          <w:sz w:val="24"/>
        </w:rPr>
        <w:t>沼气</w:t>
      </w:r>
      <w:r>
        <w:rPr>
          <w:color w:val="000000" w:themeColor="text1"/>
          <w:sz w:val="24"/>
        </w:rPr>
        <w:t>系统处理后</w:t>
      </w:r>
      <w:r>
        <w:rPr>
          <w:rFonts w:hint="eastAsia"/>
          <w:color w:val="000000" w:themeColor="text1"/>
          <w:sz w:val="24"/>
        </w:rPr>
        <w:t>沼液</w:t>
      </w:r>
      <w:r>
        <w:rPr>
          <w:color w:val="000000" w:themeColor="text1"/>
          <w:sz w:val="24"/>
        </w:rPr>
        <w:t>用作</w:t>
      </w:r>
      <w:r>
        <w:rPr>
          <w:rFonts w:hint="eastAsia"/>
          <w:color w:val="000000" w:themeColor="text1"/>
          <w:sz w:val="24"/>
        </w:rPr>
        <w:t>种植区</w:t>
      </w:r>
      <w:r>
        <w:rPr>
          <w:color w:val="000000" w:themeColor="text1"/>
          <w:sz w:val="24"/>
        </w:rPr>
        <w:t>肥料，执行《畜禽粪便无害化处理技术规范》（NT/T1168-2006）中表2液态粪便厌氧无害化卫生学要求详见表2.5-1</w:t>
      </w:r>
      <w:r>
        <w:rPr>
          <w:rFonts w:hint="eastAsia"/>
          <w:color w:val="000000" w:themeColor="text1"/>
          <w:sz w:val="24"/>
        </w:rPr>
        <w:t>3</w:t>
      </w:r>
      <w:r>
        <w:rPr>
          <w:color w:val="000000" w:themeColor="text1"/>
          <w:sz w:val="24"/>
        </w:rPr>
        <w:t>。</w:t>
      </w:r>
    </w:p>
    <w:p>
      <w:pPr>
        <w:adjustRightInd w:val="0"/>
        <w:snapToGrid w:val="0"/>
        <w:spacing w:line="240" w:lineRule="auto"/>
        <w:jc w:val="center"/>
        <w:rPr>
          <w:b/>
          <w:color w:val="000000" w:themeColor="text1"/>
          <w:szCs w:val="21"/>
        </w:rPr>
      </w:pPr>
      <w:r>
        <w:rPr>
          <w:b/>
          <w:color w:val="000000" w:themeColor="text1"/>
          <w:szCs w:val="21"/>
        </w:rPr>
        <w:t>表2.5-1</w:t>
      </w:r>
      <w:r>
        <w:rPr>
          <w:rFonts w:hint="eastAsia"/>
          <w:b/>
          <w:color w:val="000000" w:themeColor="text1"/>
          <w:szCs w:val="21"/>
        </w:rPr>
        <w:t>3</w:t>
      </w:r>
      <w:r>
        <w:rPr>
          <w:b/>
          <w:color w:val="000000" w:themeColor="text1"/>
          <w:szCs w:val="21"/>
        </w:rPr>
        <w:t xml:space="preserve">  液态粪便厌氧无害化卫生学要求</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6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0" w:type="dxa"/>
            <w:vAlign w:val="center"/>
          </w:tcPr>
          <w:p>
            <w:pPr>
              <w:adjustRightInd w:val="0"/>
              <w:snapToGrid w:val="0"/>
              <w:spacing w:line="240" w:lineRule="auto"/>
              <w:jc w:val="center"/>
              <w:rPr>
                <w:b/>
                <w:color w:val="000000" w:themeColor="text1"/>
                <w:szCs w:val="21"/>
              </w:rPr>
            </w:pPr>
            <w:r>
              <w:rPr>
                <w:b/>
                <w:color w:val="000000" w:themeColor="text1"/>
                <w:szCs w:val="21"/>
              </w:rPr>
              <w:t>项目</w:t>
            </w:r>
          </w:p>
        </w:tc>
        <w:tc>
          <w:tcPr>
            <w:tcW w:w="6358" w:type="dxa"/>
            <w:vAlign w:val="center"/>
          </w:tcPr>
          <w:p>
            <w:pPr>
              <w:adjustRightInd w:val="0"/>
              <w:snapToGrid w:val="0"/>
              <w:spacing w:line="240" w:lineRule="auto"/>
              <w:jc w:val="center"/>
              <w:rPr>
                <w:color w:val="000000" w:themeColor="text1"/>
                <w:szCs w:val="21"/>
              </w:rPr>
            </w:pPr>
            <w:r>
              <w:rPr>
                <w:color w:val="000000" w:themeColor="text1"/>
                <w:szCs w:val="21"/>
              </w:rPr>
              <w:t>卫生标准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0" w:type="dxa"/>
            <w:vAlign w:val="center"/>
          </w:tcPr>
          <w:p>
            <w:pPr>
              <w:adjustRightInd w:val="0"/>
              <w:snapToGrid w:val="0"/>
              <w:spacing w:line="240" w:lineRule="auto"/>
              <w:jc w:val="center"/>
              <w:rPr>
                <w:b/>
                <w:color w:val="000000" w:themeColor="text1"/>
                <w:szCs w:val="21"/>
              </w:rPr>
            </w:pPr>
            <w:r>
              <w:rPr>
                <w:b/>
                <w:color w:val="000000" w:themeColor="text1"/>
                <w:szCs w:val="21"/>
              </w:rPr>
              <w:t>寄生虫卵</w:t>
            </w:r>
          </w:p>
        </w:tc>
        <w:tc>
          <w:tcPr>
            <w:tcW w:w="6358" w:type="dxa"/>
            <w:vAlign w:val="center"/>
          </w:tcPr>
          <w:p>
            <w:pPr>
              <w:adjustRightInd w:val="0"/>
              <w:snapToGrid w:val="0"/>
              <w:spacing w:line="240" w:lineRule="auto"/>
              <w:jc w:val="center"/>
              <w:rPr>
                <w:color w:val="000000" w:themeColor="text1"/>
                <w:szCs w:val="21"/>
              </w:rPr>
            </w:pPr>
            <w:r>
              <w:rPr>
                <w:color w:val="000000" w:themeColor="text1"/>
                <w:szCs w:val="21"/>
              </w:rPr>
              <w:t>死亡率≥95%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0" w:type="dxa"/>
            <w:vAlign w:val="center"/>
          </w:tcPr>
          <w:p>
            <w:pPr>
              <w:adjustRightInd w:val="0"/>
              <w:snapToGrid w:val="0"/>
              <w:spacing w:line="240" w:lineRule="auto"/>
              <w:jc w:val="center"/>
              <w:rPr>
                <w:b/>
                <w:color w:val="000000" w:themeColor="text1"/>
                <w:szCs w:val="21"/>
              </w:rPr>
            </w:pPr>
            <w:r>
              <w:rPr>
                <w:b/>
                <w:color w:val="000000" w:themeColor="text1"/>
                <w:szCs w:val="21"/>
              </w:rPr>
              <w:t>血吸虫卵</w:t>
            </w:r>
          </w:p>
        </w:tc>
        <w:tc>
          <w:tcPr>
            <w:tcW w:w="6358" w:type="dxa"/>
            <w:vAlign w:val="center"/>
          </w:tcPr>
          <w:p>
            <w:pPr>
              <w:adjustRightInd w:val="0"/>
              <w:snapToGrid w:val="0"/>
              <w:spacing w:line="240" w:lineRule="auto"/>
              <w:jc w:val="center"/>
              <w:rPr>
                <w:color w:val="000000" w:themeColor="text1"/>
                <w:szCs w:val="21"/>
              </w:rPr>
            </w:pPr>
            <w:r>
              <w:rPr>
                <w:color w:val="000000" w:themeColor="text1"/>
                <w:szCs w:val="21"/>
              </w:rPr>
              <w:t>在使用粪液中不得检出活的血吸虫卵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0" w:type="dxa"/>
            <w:vAlign w:val="center"/>
          </w:tcPr>
          <w:p>
            <w:pPr>
              <w:adjustRightInd w:val="0"/>
              <w:snapToGrid w:val="0"/>
              <w:spacing w:line="240" w:lineRule="auto"/>
              <w:jc w:val="center"/>
              <w:rPr>
                <w:b/>
                <w:color w:val="000000" w:themeColor="text1"/>
                <w:szCs w:val="21"/>
              </w:rPr>
            </w:pPr>
            <w:r>
              <w:rPr>
                <w:b/>
                <w:color w:val="000000" w:themeColor="text1"/>
                <w:szCs w:val="21"/>
              </w:rPr>
              <w:t>粪大肠菌群数</w:t>
            </w:r>
          </w:p>
        </w:tc>
        <w:tc>
          <w:tcPr>
            <w:tcW w:w="6358" w:type="dxa"/>
            <w:vAlign w:val="center"/>
          </w:tcPr>
          <w:p>
            <w:pPr>
              <w:adjustRightInd w:val="0"/>
              <w:snapToGrid w:val="0"/>
              <w:spacing w:line="240" w:lineRule="auto"/>
              <w:jc w:val="center"/>
              <w:rPr>
                <w:color w:val="000000" w:themeColor="text1"/>
                <w:szCs w:val="21"/>
              </w:rPr>
            </w:pPr>
            <w:r>
              <w:rPr>
                <w:color w:val="000000" w:themeColor="text1"/>
                <w:szCs w:val="21"/>
              </w:rPr>
              <w:t>常温沼气发酵≤10000个/L，高温沼气发酵≤100个/L；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0" w:type="dxa"/>
            <w:vAlign w:val="center"/>
          </w:tcPr>
          <w:p>
            <w:pPr>
              <w:adjustRightInd w:val="0"/>
              <w:snapToGrid w:val="0"/>
              <w:spacing w:line="240" w:lineRule="auto"/>
              <w:jc w:val="center"/>
              <w:rPr>
                <w:b/>
                <w:color w:val="000000" w:themeColor="text1"/>
                <w:szCs w:val="21"/>
              </w:rPr>
            </w:pPr>
            <w:r>
              <w:rPr>
                <w:b/>
                <w:color w:val="000000" w:themeColor="text1"/>
                <w:szCs w:val="21"/>
              </w:rPr>
              <w:t>蚊子、苍蝇</w:t>
            </w:r>
          </w:p>
        </w:tc>
        <w:tc>
          <w:tcPr>
            <w:tcW w:w="6358" w:type="dxa"/>
            <w:vAlign w:val="center"/>
          </w:tcPr>
          <w:p>
            <w:pPr>
              <w:adjustRightInd w:val="0"/>
              <w:snapToGrid w:val="0"/>
              <w:spacing w:line="240" w:lineRule="auto"/>
              <w:jc w:val="center"/>
              <w:rPr>
                <w:color w:val="000000" w:themeColor="text1"/>
                <w:szCs w:val="21"/>
              </w:rPr>
            </w:pPr>
            <w:r>
              <w:rPr>
                <w:color w:val="000000" w:themeColor="text1"/>
                <w:szCs w:val="21"/>
              </w:rPr>
              <w:t>有效控制苍蝇孳生，池的周围没有活的蛆、蛹或新羽化的成蝇</w:t>
            </w:r>
          </w:p>
        </w:tc>
      </w:tr>
    </w:tbl>
    <w:p>
      <w:pPr>
        <w:pStyle w:val="9"/>
        <w:ind w:firstLine="480"/>
        <w:rPr>
          <w:color w:val="000000" w:themeColor="text1"/>
        </w:rPr>
      </w:pPr>
      <w:r>
        <w:rPr>
          <w:rFonts w:hint="eastAsia" w:ascii="宋体" w:hAnsi="宋体" w:cs="宋体"/>
          <w:color w:val="000000" w:themeColor="text1"/>
        </w:rPr>
        <w:t>②</w:t>
      </w:r>
      <w:r>
        <w:rPr>
          <w:color w:val="000000" w:themeColor="text1"/>
        </w:rPr>
        <w:t>项目病死猪执行《病死动物无害化处理技术规范》中掩埋法的相关要求。</w:t>
      </w:r>
      <w:r>
        <w:rPr>
          <w:rFonts w:hint="eastAsia"/>
          <w:color w:val="000000" w:themeColor="text1"/>
        </w:rPr>
        <w:t>项目</w:t>
      </w:r>
      <w:r>
        <w:rPr>
          <w:color w:val="000000" w:themeColor="text1"/>
        </w:rPr>
        <w:t>拟建猪粪无害化处理场，该项目粪便执行《畜禽养殖业污染物排放标准》（GB18596-2001）中的无害化规定，具体标准值见表2.5-1</w:t>
      </w:r>
      <w:r>
        <w:rPr>
          <w:rFonts w:hint="eastAsia"/>
          <w:color w:val="000000" w:themeColor="text1"/>
        </w:rPr>
        <w:t>4</w:t>
      </w:r>
      <w:r>
        <w:rPr>
          <w:color w:val="000000" w:themeColor="text1"/>
        </w:rPr>
        <w:t>。</w:t>
      </w:r>
    </w:p>
    <w:p>
      <w:pPr>
        <w:adjustRightInd w:val="0"/>
        <w:snapToGrid w:val="0"/>
        <w:spacing w:line="240" w:lineRule="auto"/>
        <w:jc w:val="center"/>
        <w:rPr>
          <w:b/>
          <w:bCs/>
          <w:color w:val="000000" w:themeColor="text1"/>
          <w:szCs w:val="21"/>
        </w:rPr>
      </w:pPr>
      <w:r>
        <w:rPr>
          <w:b/>
          <w:bCs/>
          <w:color w:val="000000" w:themeColor="text1"/>
          <w:szCs w:val="21"/>
        </w:rPr>
        <w:t>表2.5-1</w:t>
      </w:r>
      <w:r>
        <w:rPr>
          <w:rFonts w:hint="eastAsia"/>
          <w:b/>
          <w:bCs/>
          <w:color w:val="000000" w:themeColor="text1"/>
          <w:szCs w:val="21"/>
        </w:rPr>
        <w:t>4</w:t>
      </w:r>
      <w:r>
        <w:rPr>
          <w:b/>
          <w:bCs/>
          <w:color w:val="000000" w:themeColor="text1"/>
          <w:szCs w:val="21"/>
        </w:rPr>
        <w:t xml:space="preserve">  畜禽养殖业废渣无害化环境标准</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8"/>
        <w:gridCol w:w="6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8" w:type="dxa"/>
            <w:vAlign w:val="center"/>
          </w:tcPr>
          <w:p>
            <w:pPr>
              <w:adjustRightInd w:val="0"/>
              <w:snapToGrid w:val="0"/>
              <w:spacing w:line="240" w:lineRule="auto"/>
              <w:jc w:val="center"/>
              <w:rPr>
                <w:b/>
                <w:bCs/>
                <w:color w:val="000000" w:themeColor="text1"/>
                <w:szCs w:val="21"/>
              </w:rPr>
            </w:pPr>
            <w:r>
              <w:rPr>
                <w:b/>
                <w:bCs/>
                <w:color w:val="000000" w:themeColor="text1"/>
                <w:szCs w:val="21"/>
              </w:rPr>
              <w:t>控制项目</w:t>
            </w:r>
          </w:p>
        </w:tc>
        <w:tc>
          <w:tcPr>
            <w:tcW w:w="6060" w:type="dxa"/>
            <w:vAlign w:val="center"/>
          </w:tcPr>
          <w:p>
            <w:pPr>
              <w:adjustRightInd w:val="0"/>
              <w:snapToGrid w:val="0"/>
              <w:spacing w:line="240" w:lineRule="auto"/>
              <w:jc w:val="center"/>
              <w:rPr>
                <w:b/>
                <w:bCs/>
                <w:color w:val="000000" w:themeColor="text1"/>
                <w:szCs w:val="21"/>
              </w:rPr>
            </w:pPr>
            <w:r>
              <w:rPr>
                <w:b/>
                <w:bCs/>
                <w:color w:val="000000" w:themeColor="text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8" w:type="dxa"/>
            <w:vAlign w:val="center"/>
          </w:tcPr>
          <w:p>
            <w:pPr>
              <w:adjustRightInd w:val="0"/>
              <w:snapToGrid w:val="0"/>
              <w:spacing w:line="240" w:lineRule="auto"/>
              <w:jc w:val="center"/>
              <w:rPr>
                <w:color w:val="000000" w:themeColor="text1"/>
                <w:szCs w:val="21"/>
              </w:rPr>
            </w:pPr>
            <w:r>
              <w:rPr>
                <w:color w:val="000000" w:themeColor="text1"/>
                <w:szCs w:val="21"/>
              </w:rPr>
              <w:t>蛔虫卵</w:t>
            </w:r>
          </w:p>
        </w:tc>
        <w:tc>
          <w:tcPr>
            <w:tcW w:w="6060" w:type="dxa"/>
            <w:vAlign w:val="center"/>
          </w:tcPr>
          <w:p>
            <w:pPr>
              <w:adjustRightInd w:val="0"/>
              <w:snapToGrid w:val="0"/>
              <w:spacing w:line="240" w:lineRule="auto"/>
              <w:jc w:val="center"/>
              <w:rPr>
                <w:color w:val="000000" w:themeColor="text1"/>
                <w:szCs w:val="21"/>
              </w:rPr>
            </w:pPr>
            <w:r>
              <w:rPr>
                <w:color w:val="000000" w:themeColor="text1"/>
                <w:szCs w:val="21"/>
              </w:rPr>
              <w:t>死亡率≥95%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8" w:type="dxa"/>
            <w:vAlign w:val="center"/>
          </w:tcPr>
          <w:p>
            <w:pPr>
              <w:adjustRightInd w:val="0"/>
              <w:snapToGrid w:val="0"/>
              <w:spacing w:line="240" w:lineRule="auto"/>
              <w:jc w:val="center"/>
              <w:rPr>
                <w:color w:val="000000" w:themeColor="text1"/>
                <w:szCs w:val="21"/>
              </w:rPr>
            </w:pPr>
            <w:r>
              <w:rPr>
                <w:color w:val="000000" w:themeColor="text1"/>
                <w:szCs w:val="21"/>
              </w:rPr>
              <w:t>类大肠菌群数</w:t>
            </w:r>
          </w:p>
        </w:tc>
        <w:tc>
          <w:tcPr>
            <w:tcW w:w="6060" w:type="dxa"/>
            <w:vAlign w:val="center"/>
          </w:tcPr>
          <w:p>
            <w:pPr>
              <w:adjustRightInd w:val="0"/>
              <w:snapToGrid w:val="0"/>
              <w:spacing w:line="240" w:lineRule="auto"/>
              <w:jc w:val="center"/>
              <w:rPr>
                <w:color w:val="000000" w:themeColor="text1"/>
                <w:szCs w:val="21"/>
              </w:rPr>
            </w:pPr>
            <w:r>
              <w:rPr>
                <w:color w:val="000000" w:themeColor="text1"/>
                <w:szCs w:val="21"/>
              </w:rPr>
              <w:t>≤10</w:t>
            </w:r>
            <w:r>
              <w:rPr>
                <w:color w:val="000000" w:themeColor="text1"/>
                <w:szCs w:val="21"/>
                <w:vertAlign w:val="superscript"/>
              </w:rPr>
              <w:t>5</w:t>
            </w:r>
            <w:r>
              <w:rPr>
                <w:color w:val="000000" w:themeColor="text1"/>
                <w:szCs w:val="21"/>
              </w:rPr>
              <w:t>个/公斤</w:t>
            </w:r>
          </w:p>
        </w:tc>
      </w:tr>
    </w:tbl>
    <w:p>
      <w:pPr>
        <w:pStyle w:val="9"/>
        <w:ind w:firstLine="480"/>
        <w:rPr>
          <w:snapToGrid w:val="0"/>
          <w:color w:val="000000" w:themeColor="text1"/>
        </w:rPr>
      </w:pPr>
      <w:r>
        <w:rPr>
          <w:rFonts w:hint="eastAsia" w:ascii="宋体" w:hAnsi="宋体" w:cs="宋体"/>
          <w:color w:val="000000" w:themeColor="text1"/>
        </w:rPr>
        <w:t>③</w:t>
      </w:r>
      <w:r>
        <w:rPr>
          <w:color w:val="000000" w:themeColor="text1"/>
        </w:rPr>
        <w:t>防疫产生的医疗废物执行《危险废物贮存污染控制标准》（GB18597-2001）和《危险废物填埋污染控制标准》（GB18598-2001）。</w:t>
      </w:r>
      <w:r>
        <w:rPr>
          <w:snapToGrid w:val="0"/>
          <w:color w:val="000000" w:themeColor="text1"/>
        </w:rPr>
        <w:t>一般固体废物堆存处置执行《一般工业固体废物贮存、处置场污染控制标准》（GB18599-2001）及修改单公告中要求。</w:t>
      </w:r>
    </w:p>
    <w:p>
      <w:pPr>
        <w:pStyle w:val="3"/>
        <w:adjustRightInd w:val="0"/>
        <w:snapToGrid w:val="0"/>
        <w:spacing w:before="0" w:after="0"/>
        <w:rPr>
          <w:rFonts w:ascii="Times New Roman" w:hAnsi="Times New Roman"/>
          <w:color w:val="000000" w:themeColor="text1"/>
        </w:rPr>
      </w:pPr>
      <w:bookmarkStart w:id="109" w:name="_Toc4076480"/>
      <w:bookmarkStart w:id="110" w:name="_Toc510547264"/>
      <w:r>
        <w:rPr>
          <w:rFonts w:ascii="Times New Roman" w:hAnsi="Times New Roman"/>
          <w:color w:val="000000" w:themeColor="text1"/>
        </w:rPr>
        <w:t>2.6评价等级及评价范围</w:t>
      </w:r>
      <w:bookmarkEnd w:id="109"/>
      <w:bookmarkEnd w:id="110"/>
    </w:p>
    <w:p>
      <w:pPr>
        <w:pStyle w:val="4"/>
        <w:adjustRightInd w:val="0"/>
        <w:snapToGrid w:val="0"/>
        <w:spacing w:before="0" w:after="0" w:line="360" w:lineRule="auto"/>
        <w:rPr>
          <w:color w:val="000000" w:themeColor="text1"/>
        </w:rPr>
      </w:pPr>
      <w:bookmarkStart w:id="111" w:name="_Toc510547265"/>
      <w:bookmarkStart w:id="112" w:name="_Toc506218036"/>
      <w:bookmarkStart w:id="113" w:name="_Toc504403783"/>
      <w:r>
        <w:rPr>
          <w:color w:val="000000" w:themeColor="text1"/>
        </w:rPr>
        <w:t>2.6.1大气环境评价等级和评价范围</w:t>
      </w:r>
      <w:bookmarkEnd w:id="111"/>
      <w:bookmarkEnd w:id="112"/>
      <w:bookmarkEnd w:id="113"/>
    </w:p>
    <w:p>
      <w:pPr>
        <w:adjustRightInd w:val="0"/>
        <w:snapToGrid w:val="0"/>
        <w:ind w:right="-44" w:rightChars="-21" w:firstLine="480" w:firstLineChars="200"/>
        <w:rPr>
          <w:color w:val="000000" w:themeColor="text1"/>
          <w:sz w:val="24"/>
        </w:rPr>
      </w:pPr>
      <w:r>
        <w:rPr>
          <w:color w:val="000000" w:themeColor="text1"/>
          <w:sz w:val="24"/>
        </w:rPr>
        <w:t>（1）评价等级</w:t>
      </w:r>
    </w:p>
    <w:p>
      <w:pPr>
        <w:adjustRightInd w:val="0"/>
        <w:snapToGrid w:val="0"/>
        <w:ind w:right="-44" w:rightChars="-21" w:firstLine="480" w:firstLineChars="200"/>
        <w:rPr>
          <w:color w:val="000000" w:themeColor="text1"/>
          <w:sz w:val="24"/>
        </w:rPr>
      </w:pPr>
      <w:r>
        <w:rPr>
          <w:color w:val="000000" w:themeColor="text1"/>
          <w:sz w:val="24"/>
        </w:rPr>
        <w:t>依据《环境影响评价技术导则-大气环境》（HJ2.2-20</w:t>
      </w:r>
      <w:r>
        <w:rPr>
          <w:rFonts w:hint="eastAsia"/>
          <w:color w:val="000000" w:themeColor="text1"/>
          <w:sz w:val="24"/>
        </w:rPr>
        <w:t>1</w:t>
      </w:r>
      <w:r>
        <w:rPr>
          <w:color w:val="000000" w:themeColor="text1"/>
          <w:sz w:val="24"/>
        </w:rPr>
        <w:t>8）的规定，选择NH</w:t>
      </w:r>
      <w:r>
        <w:rPr>
          <w:color w:val="000000" w:themeColor="text1"/>
          <w:sz w:val="24"/>
          <w:vertAlign w:val="subscript"/>
        </w:rPr>
        <w:t>3</w:t>
      </w:r>
      <w:r>
        <w:rPr>
          <w:color w:val="000000" w:themeColor="text1"/>
          <w:sz w:val="24"/>
        </w:rPr>
        <w:t>、H</w:t>
      </w:r>
      <w:r>
        <w:rPr>
          <w:color w:val="000000" w:themeColor="text1"/>
          <w:sz w:val="24"/>
          <w:vertAlign w:val="subscript"/>
        </w:rPr>
        <w:t>2</w:t>
      </w:r>
      <w:r>
        <w:rPr>
          <w:color w:val="000000" w:themeColor="text1"/>
          <w:sz w:val="24"/>
        </w:rPr>
        <w:t>S主要污染物，分别计算每一种污染物的最大地面浓度占标率</w:t>
      </w:r>
      <w:r>
        <w:rPr>
          <w:i/>
          <w:color w:val="000000" w:themeColor="text1"/>
          <w:sz w:val="24"/>
        </w:rPr>
        <w:t>P</w:t>
      </w:r>
      <w:r>
        <w:rPr>
          <w:i/>
          <w:color w:val="000000" w:themeColor="text1"/>
          <w:sz w:val="24"/>
          <w:vertAlign w:val="subscript"/>
        </w:rPr>
        <w:t>i</w:t>
      </w:r>
      <w:r>
        <w:rPr>
          <w:color w:val="000000" w:themeColor="text1"/>
          <w:sz w:val="24"/>
        </w:rPr>
        <w:t>（第</w:t>
      </w:r>
      <w:r>
        <w:rPr>
          <w:i/>
          <w:color w:val="000000" w:themeColor="text1"/>
          <w:sz w:val="24"/>
        </w:rPr>
        <w:t>i</w:t>
      </w:r>
      <w:r>
        <w:rPr>
          <w:color w:val="000000" w:themeColor="text1"/>
          <w:sz w:val="24"/>
        </w:rPr>
        <w:t>个污染物），及第</w:t>
      </w:r>
      <w:r>
        <w:rPr>
          <w:i/>
          <w:color w:val="000000" w:themeColor="text1"/>
          <w:sz w:val="24"/>
        </w:rPr>
        <w:t>i</w:t>
      </w:r>
      <w:r>
        <w:rPr>
          <w:color w:val="000000" w:themeColor="text1"/>
          <w:sz w:val="24"/>
        </w:rPr>
        <w:t>个污染物的地面浓度达标准限值10%时所对应的最远距离</w:t>
      </w:r>
      <w:r>
        <w:rPr>
          <w:i/>
          <w:color w:val="000000" w:themeColor="text1"/>
          <w:sz w:val="24"/>
        </w:rPr>
        <w:t>D</w:t>
      </w:r>
      <w:r>
        <w:rPr>
          <w:i/>
          <w:color w:val="000000" w:themeColor="text1"/>
          <w:sz w:val="24"/>
          <w:vertAlign w:val="subscript"/>
        </w:rPr>
        <w:t>10%</w:t>
      </w:r>
      <w:r>
        <w:rPr>
          <w:color w:val="000000" w:themeColor="text1"/>
          <w:sz w:val="24"/>
        </w:rPr>
        <w:t>。其中P</w:t>
      </w:r>
      <w:r>
        <w:rPr>
          <w:color w:val="000000" w:themeColor="text1"/>
          <w:sz w:val="24"/>
          <w:vertAlign w:val="subscript"/>
        </w:rPr>
        <w:t>i</w:t>
      </w:r>
      <w:r>
        <w:rPr>
          <w:color w:val="000000" w:themeColor="text1"/>
          <w:sz w:val="24"/>
        </w:rPr>
        <w:t>定义为：</w:t>
      </w:r>
    </w:p>
    <w:p>
      <w:pPr>
        <w:adjustRightInd w:val="0"/>
        <w:snapToGrid w:val="0"/>
        <w:ind w:firstLine="200"/>
        <w:jc w:val="center"/>
        <w:rPr>
          <w:color w:val="000000" w:themeColor="text1"/>
          <w:sz w:val="24"/>
        </w:rPr>
      </w:pPr>
      <w:r>
        <w:rPr>
          <w:i/>
          <w:color w:val="000000" w:themeColor="text1"/>
          <w:sz w:val="24"/>
        </w:rPr>
        <w:t>P</w:t>
      </w:r>
      <w:r>
        <w:rPr>
          <w:i/>
          <w:color w:val="000000" w:themeColor="text1"/>
          <w:sz w:val="24"/>
          <w:vertAlign w:val="subscript"/>
        </w:rPr>
        <w:t>i</w:t>
      </w:r>
      <w:r>
        <w:rPr>
          <w:i/>
          <w:color w:val="000000" w:themeColor="text1"/>
          <w:sz w:val="24"/>
        </w:rPr>
        <w:t>=Ci/C</w:t>
      </w:r>
      <w:r>
        <w:rPr>
          <w:i/>
          <w:color w:val="000000" w:themeColor="text1"/>
          <w:sz w:val="24"/>
          <w:vertAlign w:val="subscript"/>
        </w:rPr>
        <w:t>0i</w:t>
      </w:r>
      <w:r>
        <w:rPr>
          <w:color w:val="000000" w:themeColor="text1"/>
          <w:sz w:val="24"/>
        </w:rPr>
        <w:t>×100%</w:t>
      </w:r>
    </w:p>
    <w:p>
      <w:pPr>
        <w:adjustRightInd w:val="0"/>
        <w:snapToGrid w:val="0"/>
        <w:ind w:firstLine="200"/>
        <w:rPr>
          <w:color w:val="000000" w:themeColor="text1"/>
          <w:sz w:val="24"/>
        </w:rPr>
      </w:pPr>
      <w:r>
        <w:rPr>
          <w:color w:val="000000" w:themeColor="text1"/>
          <w:sz w:val="24"/>
        </w:rPr>
        <w:t>式中：</w:t>
      </w:r>
      <w:r>
        <w:rPr>
          <w:i/>
          <w:color w:val="000000" w:themeColor="text1"/>
          <w:sz w:val="24"/>
        </w:rPr>
        <w:t>P</w:t>
      </w:r>
      <w:r>
        <w:rPr>
          <w:i/>
          <w:color w:val="000000" w:themeColor="text1"/>
          <w:sz w:val="24"/>
          <w:vertAlign w:val="subscript"/>
        </w:rPr>
        <w:t>i</w:t>
      </w:r>
      <w:r>
        <w:rPr>
          <w:color w:val="000000" w:themeColor="text1"/>
          <w:sz w:val="24"/>
        </w:rPr>
        <w:t>— 第i个污染物的最大地面浓度占标率，%；</w:t>
      </w:r>
    </w:p>
    <w:p>
      <w:pPr>
        <w:adjustRightInd w:val="0"/>
        <w:snapToGrid w:val="0"/>
        <w:ind w:firstLine="840" w:firstLineChars="350"/>
        <w:rPr>
          <w:color w:val="000000" w:themeColor="text1"/>
          <w:sz w:val="24"/>
        </w:rPr>
      </w:pPr>
      <w:r>
        <w:rPr>
          <w:i/>
          <w:color w:val="000000" w:themeColor="text1"/>
          <w:sz w:val="24"/>
        </w:rPr>
        <w:t>C</w:t>
      </w:r>
      <w:r>
        <w:rPr>
          <w:i/>
          <w:color w:val="000000" w:themeColor="text1"/>
          <w:sz w:val="24"/>
          <w:vertAlign w:val="subscript"/>
        </w:rPr>
        <w:t>i</w:t>
      </w:r>
      <w:r>
        <w:rPr>
          <w:color w:val="000000" w:themeColor="text1"/>
          <w:sz w:val="24"/>
        </w:rPr>
        <w:t>— 采用估算模式计算出的第</w:t>
      </w:r>
      <w:r>
        <w:rPr>
          <w:i/>
          <w:color w:val="000000" w:themeColor="text1"/>
          <w:sz w:val="24"/>
        </w:rPr>
        <w:t>i</w:t>
      </w:r>
      <w:r>
        <w:rPr>
          <w:color w:val="000000" w:themeColor="text1"/>
          <w:sz w:val="24"/>
        </w:rPr>
        <w:t>个污染物的最大</w:t>
      </w:r>
      <w:r>
        <w:rPr>
          <w:rFonts w:hint="eastAsia"/>
          <w:color w:val="000000" w:themeColor="text1"/>
          <w:sz w:val="24"/>
        </w:rPr>
        <w:t>1h</w:t>
      </w:r>
      <w:r>
        <w:rPr>
          <w:color w:val="000000" w:themeColor="text1"/>
          <w:sz w:val="24"/>
        </w:rPr>
        <w:t>地面浓度，mg/m</w:t>
      </w:r>
      <w:r>
        <w:rPr>
          <w:color w:val="000000" w:themeColor="text1"/>
          <w:sz w:val="24"/>
          <w:vertAlign w:val="superscript"/>
        </w:rPr>
        <w:t>3</w:t>
      </w:r>
      <w:r>
        <w:rPr>
          <w:color w:val="000000" w:themeColor="text1"/>
          <w:sz w:val="24"/>
        </w:rPr>
        <w:t>；</w:t>
      </w:r>
    </w:p>
    <w:p>
      <w:pPr>
        <w:adjustRightInd w:val="0"/>
        <w:snapToGrid w:val="0"/>
        <w:ind w:firstLine="840" w:firstLineChars="350"/>
        <w:rPr>
          <w:color w:val="000000" w:themeColor="text1"/>
          <w:sz w:val="24"/>
        </w:rPr>
      </w:pPr>
      <w:r>
        <w:rPr>
          <w:i/>
          <w:color w:val="000000" w:themeColor="text1"/>
          <w:sz w:val="24"/>
        </w:rPr>
        <w:t>C</w:t>
      </w:r>
      <w:r>
        <w:rPr>
          <w:i/>
          <w:color w:val="000000" w:themeColor="text1"/>
          <w:sz w:val="24"/>
          <w:vertAlign w:val="subscript"/>
        </w:rPr>
        <w:t>0i</w:t>
      </w:r>
      <w:r>
        <w:rPr>
          <w:color w:val="000000" w:themeColor="text1"/>
          <w:sz w:val="24"/>
        </w:rPr>
        <w:t>— 第</w:t>
      </w:r>
      <w:r>
        <w:rPr>
          <w:i/>
          <w:color w:val="000000" w:themeColor="text1"/>
          <w:sz w:val="24"/>
        </w:rPr>
        <w:t>i</w:t>
      </w:r>
      <w:r>
        <w:rPr>
          <w:color w:val="000000" w:themeColor="text1"/>
          <w:sz w:val="24"/>
        </w:rPr>
        <w:t>个污染物的环境空气质量标准，mg/m</w:t>
      </w:r>
      <w:r>
        <w:rPr>
          <w:color w:val="000000" w:themeColor="text1"/>
          <w:sz w:val="24"/>
          <w:vertAlign w:val="superscript"/>
        </w:rPr>
        <w:t>3</w:t>
      </w:r>
      <w:r>
        <w:rPr>
          <w:color w:val="000000" w:themeColor="text1"/>
          <w:sz w:val="24"/>
        </w:rPr>
        <w:t>。</w:t>
      </w:r>
    </w:p>
    <w:p>
      <w:pPr>
        <w:adjustRightInd w:val="0"/>
        <w:snapToGrid w:val="0"/>
        <w:ind w:firstLine="840" w:firstLineChars="350"/>
        <w:rPr>
          <w:color w:val="000000" w:themeColor="text1"/>
          <w:sz w:val="24"/>
        </w:rPr>
      </w:pPr>
      <w:r>
        <w:rPr>
          <w:i/>
          <w:color w:val="000000" w:themeColor="text1"/>
          <w:sz w:val="24"/>
        </w:rPr>
        <w:t>C</w:t>
      </w:r>
      <w:r>
        <w:rPr>
          <w:i/>
          <w:color w:val="000000" w:themeColor="text1"/>
          <w:sz w:val="24"/>
          <w:vertAlign w:val="subscript"/>
        </w:rPr>
        <w:t>oi</w:t>
      </w:r>
      <w:r>
        <w:rPr>
          <w:color w:val="000000" w:themeColor="text1"/>
          <w:sz w:val="24"/>
        </w:rPr>
        <w:t>— 一般选用GB3095中1小时平均取样时间的二级标准的浓度限值</w:t>
      </w:r>
      <w:r>
        <w:rPr>
          <w:rFonts w:hint="eastAsia"/>
          <w:color w:val="000000" w:themeColor="text1"/>
          <w:sz w:val="24"/>
        </w:rPr>
        <w:t>，对于</w:t>
      </w:r>
      <w:r>
        <w:rPr>
          <w:color w:val="000000" w:themeColor="text1"/>
          <w:sz w:val="24"/>
        </w:rPr>
        <w:t>GB3095中</w:t>
      </w:r>
      <w:r>
        <w:rPr>
          <w:rFonts w:hint="eastAsia"/>
          <w:color w:val="000000" w:themeColor="text1"/>
          <w:sz w:val="24"/>
        </w:rPr>
        <w:t>未包含的污染物，可参照附录D中的浓度限值</w:t>
      </w:r>
      <w:r>
        <w:rPr>
          <w:color w:val="000000" w:themeColor="text1"/>
          <w:sz w:val="24"/>
        </w:rPr>
        <w:t>。</w:t>
      </w:r>
    </w:p>
    <w:p>
      <w:pPr>
        <w:adjustRightInd w:val="0"/>
        <w:snapToGrid w:val="0"/>
        <w:ind w:right="-44" w:rightChars="-21" w:firstLine="480" w:firstLineChars="200"/>
        <w:rPr>
          <w:color w:val="000000" w:themeColor="text1"/>
          <w:sz w:val="24"/>
        </w:rPr>
      </w:pPr>
      <w:r>
        <w:rPr>
          <w:rFonts w:hint="eastAsia"/>
          <w:color w:val="000000" w:themeColor="text1"/>
          <w:sz w:val="24"/>
        </w:rPr>
        <w:t>项目沼气发电机排放的尾气中SO</w:t>
      </w:r>
      <w:r>
        <w:rPr>
          <w:rFonts w:hint="eastAsia"/>
          <w:color w:val="000000" w:themeColor="text1"/>
          <w:sz w:val="24"/>
          <w:vertAlign w:val="subscript"/>
        </w:rPr>
        <w:t>2</w:t>
      </w:r>
      <w:r>
        <w:rPr>
          <w:rFonts w:hint="eastAsia"/>
          <w:color w:val="000000" w:themeColor="text1"/>
          <w:sz w:val="24"/>
        </w:rPr>
        <w:t>、NO</w:t>
      </w:r>
      <w:r>
        <w:rPr>
          <w:rFonts w:hint="eastAsia"/>
          <w:color w:val="000000" w:themeColor="text1"/>
          <w:sz w:val="24"/>
          <w:vertAlign w:val="subscript"/>
        </w:rPr>
        <w:t>2</w:t>
      </w:r>
      <w:r>
        <w:rPr>
          <w:rFonts w:hint="eastAsia"/>
          <w:color w:val="000000" w:themeColor="text1"/>
          <w:sz w:val="24"/>
        </w:rPr>
        <w:t>排放量为0.011t/a（小于500t/a），不进行二次污染物评价。</w:t>
      </w:r>
    </w:p>
    <w:p>
      <w:pPr>
        <w:adjustRightInd w:val="0"/>
        <w:snapToGrid w:val="0"/>
        <w:ind w:right="-44" w:rightChars="-21" w:firstLine="480" w:firstLineChars="200"/>
        <w:rPr>
          <w:color w:val="000000" w:themeColor="text1"/>
          <w:sz w:val="24"/>
        </w:rPr>
      </w:pPr>
      <w:r>
        <w:rPr>
          <w:color w:val="000000" w:themeColor="text1"/>
          <w:sz w:val="24"/>
        </w:rPr>
        <w:t>根据《环境影响评价技术导则-大气环境》（HJ2.2-20</w:t>
      </w:r>
      <w:r>
        <w:rPr>
          <w:rFonts w:hint="eastAsia"/>
          <w:color w:val="000000" w:themeColor="text1"/>
          <w:sz w:val="24"/>
        </w:rPr>
        <w:t>1</w:t>
      </w:r>
      <w:r>
        <w:rPr>
          <w:color w:val="000000" w:themeColor="text1"/>
          <w:sz w:val="24"/>
        </w:rPr>
        <w:t>8）要求，采用</w:t>
      </w:r>
      <w:r>
        <w:rPr>
          <w:rFonts w:hint="eastAsia"/>
          <w:color w:val="000000" w:themeColor="text1"/>
          <w:sz w:val="24"/>
        </w:rPr>
        <w:t>AERSCREEN</w:t>
      </w:r>
      <w:r>
        <w:rPr>
          <w:color w:val="000000" w:themeColor="text1"/>
          <w:sz w:val="24"/>
        </w:rPr>
        <w:t>估算模式进行估算，估算结果统计见下表。</w:t>
      </w:r>
    </w:p>
    <w:p>
      <w:pPr>
        <w:pStyle w:val="132"/>
        <w:adjustRightInd w:val="0"/>
        <w:snapToGrid w:val="0"/>
        <w:spacing w:line="240" w:lineRule="auto"/>
        <w:ind w:firstLine="422"/>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 xml:space="preserve">表2.6-1  </w:t>
      </w:r>
      <w:r>
        <w:rPr>
          <w:rFonts w:hint="eastAsia" w:ascii="Times New Roman" w:hAnsi="Times New Roman" w:cs="Times New Roman"/>
          <w:b/>
          <w:color w:val="000000" w:themeColor="text1"/>
          <w:sz w:val="21"/>
          <w:szCs w:val="21"/>
        </w:rPr>
        <w:t>评价因子和评价标准</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2125"/>
        <w:gridCol w:w="1985"/>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95"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评价因子</w:t>
            </w:r>
          </w:p>
        </w:tc>
        <w:tc>
          <w:tcPr>
            <w:tcW w:w="1246"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平均时段</w:t>
            </w:r>
          </w:p>
        </w:tc>
        <w:tc>
          <w:tcPr>
            <w:tcW w:w="1164"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标准值（μg/m</w:t>
            </w:r>
            <w:r>
              <w:rPr>
                <w:rFonts w:hint="eastAsia" w:ascii="Times New Roman" w:hAnsi="Times New Roman" w:cs="Times New Roman"/>
                <w:b/>
                <w:color w:val="000000" w:themeColor="text1"/>
                <w:sz w:val="21"/>
                <w:szCs w:val="21"/>
                <w:vertAlign w:val="superscript"/>
              </w:rPr>
              <w:t>3</w:t>
            </w:r>
            <w:r>
              <w:rPr>
                <w:rFonts w:hint="eastAsia" w:ascii="Times New Roman" w:hAnsi="Times New Roman" w:cs="Times New Roman"/>
                <w:b/>
                <w:color w:val="000000" w:themeColor="text1"/>
                <w:sz w:val="21"/>
                <w:szCs w:val="21"/>
              </w:rPr>
              <w:t>）</w:t>
            </w:r>
          </w:p>
        </w:tc>
        <w:tc>
          <w:tcPr>
            <w:tcW w:w="1695"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95"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p>
        </w:tc>
        <w:tc>
          <w:tcPr>
            <w:tcW w:w="1246"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p>
        </w:tc>
        <w:tc>
          <w:tcPr>
            <w:tcW w:w="1164"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p>
        </w:tc>
        <w:tc>
          <w:tcPr>
            <w:tcW w:w="1695"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NH</w:t>
            </w:r>
            <w:r>
              <w:rPr>
                <w:rFonts w:ascii="Times New Roman" w:hAnsi="Times New Roman" w:cs="Times New Roman"/>
                <w:color w:val="000000" w:themeColor="text1"/>
                <w:sz w:val="21"/>
                <w:szCs w:val="21"/>
                <w:vertAlign w:val="subscript"/>
              </w:rPr>
              <w:t>3</w:t>
            </w:r>
          </w:p>
        </w:tc>
        <w:tc>
          <w:tcPr>
            <w:tcW w:w="124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1h平均</w:t>
            </w:r>
          </w:p>
        </w:tc>
        <w:tc>
          <w:tcPr>
            <w:tcW w:w="1164"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200</w:t>
            </w:r>
          </w:p>
        </w:tc>
        <w:tc>
          <w:tcPr>
            <w:tcW w:w="1695"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《环境影响评价技术导则-大气环境》（HJ2.2-2018）附录D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H</w:t>
            </w:r>
            <w:r>
              <w:rPr>
                <w:rFonts w:ascii="Times New Roman" w:hAnsi="Times New Roman" w:cs="Times New Roman"/>
                <w:color w:val="000000" w:themeColor="text1"/>
                <w:sz w:val="21"/>
                <w:szCs w:val="21"/>
                <w:vertAlign w:val="subscript"/>
              </w:rPr>
              <w:t>2</w:t>
            </w:r>
            <w:r>
              <w:rPr>
                <w:rFonts w:ascii="Times New Roman" w:hAnsi="Times New Roman" w:cs="Times New Roman"/>
                <w:color w:val="000000" w:themeColor="text1"/>
                <w:sz w:val="21"/>
                <w:szCs w:val="21"/>
              </w:rPr>
              <w:t>S</w:t>
            </w:r>
          </w:p>
        </w:tc>
        <w:tc>
          <w:tcPr>
            <w:tcW w:w="124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1h平均</w:t>
            </w:r>
          </w:p>
        </w:tc>
        <w:tc>
          <w:tcPr>
            <w:tcW w:w="1164"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10</w:t>
            </w:r>
          </w:p>
        </w:tc>
        <w:tc>
          <w:tcPr>
            <w:tcW w:w="1695"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TSP</w:t>
            </w:r>
          </w:p>
        </w:tc>
        <w:tc>
          <w:tcPr>
            <w:tcW w:w="124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1h平均</w:t>
            </w:r>
          </w:p>
        </w:tc>
        <w:tc>
          <w:tcPr>
            <w:tcW w:w="1164"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900</w:t>
            </w:r>
          </w:p>
        </w:tc>
        <w:tc>
          <w:tcPr>
            <w:tcW w:w="1695"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SO</w:t>
            </w:r>
            <w:r>
              <w:rPr>
                <w:rFonts w:hint="eastAsia" w:ascii="Times New Roman" w:hAnsi="Times New Roman" w:cs="Times New Roman"/>
                <w:color w:val="000000" w:themeColor="text1"/>
                <w:sz w:val="21"/>
                <w:szCs w:val="21"/>
                <w:vertAlign w:val="subscript"/>
              </w:rPr>
              <w:t>2</w:t>
            </w:r>
          </w:p>
        </w:tc>
        <w:tc>
          <w:tcPr>
            <w:tcW w:w="124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1h平均</w:t>
            </w:r>
          </w:p>
        </w:tc>
        <w:tc>
          <w:tcPr>
            <w:tcW w:w="1164"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500</w:t>
            </w:r>
          </w:p>
        </w:tc>
        <w:tc>
          <w:tcPr>
            <w:tcW w:w="1695"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NO</w:t>
            </w:r>
            <w:r>
              <w:rPr>
                <w:rFonts w:hint="eastAsia" w:ascii="Times New Roman" w:hAnsi="Times New Roman" w:cs="Times New Roman"/>
                <w:color w:val="000000" w:themeColor="text1"/>
                <w:sz w:val="21"/>
                <w:szCs w:val="21"/>
                <w:vertAlign w:val="subscript"/>
              </w:rPr>
              <w:t>2</w:t>
            </w:r>
          </w:p>
        </w:tc>
        <w:tc>
          <w:tcPr>
            <w:tcW w:w="124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1h平均</w:t>
            </w:r>
          </w:p>
        </w:tc>
        <w:tc>
          <w:tcPr>
            <w:tcW w:w="1164"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200</w:t>
            </w:r>
          </w:p>
        </w:tc>
        <w:tc>
          <w:tcPr>
            <w:tcW w:w="1695"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r>
    </w:tbl>
    <w:p>
      <w:pPr>
        <w:pStyle w:val="116"/>
        <w:wordWrap/>
        <w:spacing w:line="240" w:lineRule="auto"/>
        <w:rPr>
          <w:color w:val="000000" w:themeColor="text1"/>
          <w:sz w:val="21"/>
          <w:szCs w:val="21"/>
        </w:rPr>
      </w:pPr>
    </w:p>
    <w:p>
      <w:pPr>
        <w:rPr>
          <w:color w:val="000000" w:themeColor="text1"/>
        </w:rPr>
      </w:pPr>
    </w:p>
    <w:p>
      <w:pPr>
        <w:rPr>
          <w:color w:val="000000" w:themeColor="text1"/>
        </w:rPr>
      </w:pPr>
    </w:p>
    <w:p>
      <w:pPr>
        <w:rPr>
          <w:color w:val="000000" w:themeColor="text1"/>
        </w:rPr>
        <w:sectPr>
          <w:headerReference r:id="rId10" w:type="first"/>
          <w:footerReference r:id="rId13" w:type="first"/>
          <w:headerReference r:id="rId8" w:type="default"/>
          <w:footerReference r:id="rId11" w:type="default"/>
          <w:headerReference r:id="rId9" w:type="even"/>
          <w:footerReference r:id="rId12" w:type="even"/>
          <w:pgSz w:w="11906" w:h="16838"/>
          <w:pgMar w:top="1440" w:right="1797" w:bottom="1440" w:left="1797" w:header="851" w:footer="992" w:gutter="0"/>
          <w:cols w:space="720" w:num="1"/>
          <w:docGrid w:linePitch="312" w:charSpace="0"/>
        </w:sectPr>
      </w:pPr>
    </w:p>
    <w:p>
      <w:pPr>
        <w:rPr>
          <w:color w:val="000000" w:themeColor="text1"/>
        </w:rPr>
      </w:pPr>
    </w:p>
    <w:p>
      <w:pPr>
        <w:spacing w:line="480" w:lineRule="exact"/>
        <w:ind w:firstLine="371" w:firstLineChars="176"/>
        <w:jc w:val="center"/>
        <w:rPr>
          <w:b/>
          <w:color w:val="000000" w:themeColor="text1"/>
          <w:szCs w:val="21"/>
        </w:rPr>
      </w:pPr>
      <w:r>
        <w:rPr>
          <w:b/>
          <w:color w:val="000000" w:themeColor="text1"/>
          <w:szCs w:val="21"/>
        </w:rPr>
        <w:t>表2.6-</w:t>
      </w:r>
      <w:r>
        <w:rPr>
          <w:rFonts w:hint="eastAsia"/>
          <w:b/>
          <w:color w:val="000000" w:themeColor="text1"/>
          <w:szCs w:val="21"/>
        </w:rPr>
        <w:t>2</w:t>
      </w:r>
      <w:r>
        <w:rPr>
          <w:b/>
          <w:color w:val="000000" w:themeColor="text1"/>
          <w:szCs w:val="21"/>
        </w:rPr>
        <w:t xml:space="preserve">  主要废气污染源参数一览表</w:t>
      </w:r>
      <w:r>
        <w:rPr>
          <w:rFonts w:hint="eastAsia"/>
          <w:b/>
          <w:color w:val="000000" w:themeColor="text1"/>
          <w:szCs w:val="21"/>
        </w:rPr>
        <w:t>（</w:t>
      </w:r>
      <w:r>
        <w:rPr>
          <w:b/>
          <w:color w:val="000000" w:themeColor="text1"/>
          <w:szCs w:val="21"/>
        </w:rPr>
        <w:t>点源</w:t>
      </w:r>
      <w:r>
        <w:rPr>
          <w:rFonts w:hint="eastAsia"/>
          <w:b/>
          <w:color w:val="000000" w:themeColor="text1"/>
          <w:szCs w:val="21"/>
        </w:rPr>
        <w:t>）</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20"/>
        <w:gridCol w:w="1298"/>
        <w:gridCol w:w="956"/>
        <w:gridCol w:w="1065"/>
        <w:gridCol w:w="1124"/>
        <w:gridCol w:w="1292"/>
        <w:gridCol w:w="1606"/>
        <w:gridCol w:w="1410"/>
        <w:gridCol w:w="1561"/>
        <w:gridCol w:w="1345"/>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4" w:type="pct"/>
            <w:vMerge w:val="restart"/>
            <w:vAlign w:val="center"/>
          </w:tcPr>
          <w:p>
            <w:pPr>
              <w:spacing w:line="240" w:lineRule="auto"/>
              <w:jc w:val="center"/>
              <w:rPr>
                <w:b/>
                <w:color w:val="000000" w:themeColor="text1"/>
                <w:szCs w:val="21"/>
              </w:rPr>
            </w:pPr>
            <w:r>
              <w:rPr>
                <w:b/>
                <w:color w:val="000000" w:themeColor="text1"/>
                <w:szCs w:val="21"/>
              </w:rPr>
              <w:t>污染源名称</w:t>
            </w:r>
          </w:p>
        </w:tc>
        <w:tc>
          <w:tcPr>
            <w:tcW w:w="804" w:type="pct"/>
            <w:gridSpan w:val="2"/>
            <w:vAlign w:val="center"/>
          </w:tcPr>
          <w:p>
            <w:pPr>
              <w:snapToGrid w:val="0"/>
              <w:spacing w:line="240" w:lineRule="auto"/>
              <w:jc w:val="center"/>
              <w:rPr>
                <w:b/>
                <w:color w:val="000000" w:themeColor="text1"/>
                <w:szCs w:val="21"/>
              </w:rPr>
            </w:pPr>
            <w:r>
              <w:rPr>
                <w:b/>
                <w:color w:val="000000" w:themeColor="text1"/>
                <w:szCs w:val="21"/>
              </w:rPr>
              <w:t>排气筒底部中心坐标(</w:t>
            </w:r>
            <w:r>
              <w:rPr>
                <w:b/>
                <w:color w:val="000000" w:themeColor="text1"/>
                <w:szCs w:val="21"/>
                <w:vertAlign w:val="superscript"/>
              </w:rPr>
              <w:t>o</w:t>
            </w:r>
            <w:r>
              <w:rPr>
                <w:b/>
                <w:color w:val="000000" w:themeColor="text1"/>
                <w:szCs w:val="21"/>
              </w:rPr>
              <w:t>)</w:t>
            </w:r>
          </w:p>
        </w:tc>
        <w:tc>
          <w:tcPr>
            <w:tcW w:w="380" w:type="pct"/>
            <w:vMerge w:val="restart"/>
            <w:vAlign w:val="center"/>
          </w:tcPr>
          <w:p>
            <w:pPr>
              <w:snapToGrid w:val="0"/>
              <w:spacing w:line="240" w:lineRule="auto"/>
              <w:jc w:val="center"/>
              <w:rPr>
                <w:b/>
                <w:color w:val="000000" w:themeColor="text1"/>
                <w:szCs w:val="21"/>
              </w:rPr>
            </w:pPr>
            <w:r>
              <w:rPr>
                <w:b/>
                <w:color w:val="000000" w:themeColor="text1"/>
                <w:szCs w:val="21"/>
              </w:rPr>
              <w:t>排气筒底部海拔高度(m)</w:t>
            </w:r>
          </w:p>
        </w:tc>
        <w:tc>
          <w:tcPr>
            <w:tcW w:w="1938" w:type="pct"/>
            <w:gridSpan w:val="4"/>
            <w:vAlign w:val="center"/>
          </w:tcPr>
          <w:p>
            <w:pPr>
              <w:snapToGrid w:val="0"/>
              <w:spacing w:line="240" w:lineRule="auto"/>
              <w:jc w:val="center"/>
              <w:rPr>
                <w:b/>
                <w:color w:val="000000" w:themeColor="text1"/>
                <w:szCs w:val="21"/>
              </w:rPr>
            </w:pPr>
            <w:r>
              <w:rPr>
                <w:b/>
                <w:color w:val="000000" w:themeColor="text1"/>
                <w:szCs w:val="21"/>
              </w:rPr>
              <w:t>排气筒参数</w:t>
            </w:r>
          </w:p>
        </w:tc>
        <w:tc>
          <w:tcPr>
            <w:tcW w:w="557" w:type="pct"/>
            <w:vMerge w:val="restart"/>
            <w:vAlign w:val="center"/>
          </w:tcPr>
          <w:p>
            <w:pPr>
              <w:snapToGrid w:val="0"/>
              <w:spacing w:line="240" w:lineRule="auto"/>
              <w:jc w:val="center"/>
              <w:rPr>
                <w:b/>
                <w:color w:val="000000" w:themeColor="text1"/>
                <w:szCs w:val="21"/>
              </w:rPr>
            </w:pPr>
            <w:r>
              <w:rPr>
                <w:b/>
                <w:color w:val="000000" w:themeColor="text1"/>
                <w:szCs w:val="21"/>
              </w:rPr>
              <w:t>污染物名称</w:t>
            </w:r>
          </w:p>
        </w:tc>
        <w:tc>
          <w:tcPr>
            <w:tcW w:w="480" w:type="pct"/>
            <w:vMerge w:val="restart"/>
            <w:vAlign w:val="center"/>
          </w:tcPr>
          <w:p>
            <w:pPr>
              <w:snapToGrid w:val="0"/>
              <w:spacing w:line="240" w:lineRule="auto"/>
              <w:jc w:val="center"/>
              <w:rPr>
                <w:b/>
                <w:color w:val="000000" w:themeColor="text1"/>
                <w:szCs w:val="21"/>
              </w:rPr>
            </w:pPr>
            <w:r>
              <w:rPr>
                <w:b/>
                <w:color w:val="000000" w:themeColor="text1"/>
                <w:szCs w:val="21"/>
              </w:rPr>
              <w:t>排放速率</w:t>
            </w:r>
            <w:r>
              <w:rPr>
                <w:rFonts w:hint="eastAsia"/>
                <w:b/>
                <w:color w:val="000000" w:themeColor="text1"/>
                <w:szCs w:val="21"/>
              </w:rPr>
              <w:t>（kg/h）</w:t>
            </w:r>
          </w:p>
        </w:tc>
        <w:tc>
          <w:tcPr>
            <w:tcW w:w="477" w:type="pct"/>
            <w:vMerge w:val="restart"/>
            <w:vAlign w:val="center"/>
          </w:tcPr>
          <w:p>
            <w:pPr>
              <w:snapToGrid w:val="0"/>
              <w:spacing w:line="240" w:lineRule="auto"/>
              <w:jc w:val="center"/>
              <w:rPr>
                <w:b/>
                <w:color w:val="000000" w:themeColor="text1"/>
                <w:szCs w:val="21"/>
              </w:rPr>
            </w:pPr>
            <w:r>
              <w:rPr>
                <w:b/>
                <w:color w:val="000000" w:themeColor="text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4" w:type="pct"/>
            <w:vMerge w:val="continue"/>
            <w:vAlign w:val="center"/>
          </w:tcPr>
          <w:p>
            <w:pPr>
              <w:snapToGrid w:val="0"/>
              <w:spacing w:line="240" w:lineRule="auto"/>
              <w:jc w:val="center"/>
              <w:rPr>
                <w:b/>
                <w:color w:val="000000" w:themeColor="text1"/>
                <w:szCs w:val="21"/>
              </w:rPr>
            </w:pPr>
          </w:p>
        </w:tc>
        <w:tc>
          <w:tcPr>
            <w:tcW w:w="463" w:type="pct"/>
            <w:vAlign w:val="center"/>
          </w:tcPr>
          <w:p>
            <w:pPr>
              <w:snapToGrid w:val="0"/>
              <w:spacing w:line="240" w:lineRule="auto"/>
              <w:jc w:val="center"/>
              <w:rPr>
                <w:b/>
                <w:color w:val="000000" w:themeColor="text1"/>
                <w:szCs w:val="21"/>
              </w:rPr>
            </w:pPr>
            <w:r>
              <w:rPr>
                <w:rFonts w:hint="eastAsia"/>
                <w:b/>
                <w:color w:val="000000" w:themeColor="text1"/>
                <w:szCs w:val="21"/>
              </w:rPr>
              <w:t>经度</w:t>
            </w:r>
          </w:p>
        </w:tc>
        <w:tc>
          <w:tcPr>
            <w:tcW w:w="341" w:type="pct"/>
            <w:vAlign w:val="center"/>
          </w:tcPr>
          <w:p>
            <w:pPr>
              <w:snapToGrid w:val="0"/>
              <w:spacing w:line="240" w:lineRule="auto"/>
              <w:jc w:val="center"/>
              <w:rPr>
                <w:b/>
                <w:color w:val="000000" w:themeColor="text1"/>
                <w:szCs w:val="21"/>
              </w:rPr>
            </w:pPr>
            <w:r>
              <w:rPr>
                <w:rFonts w:hint="eastAsia"/>
                <w:b/>
                <w:color w:val="000000" w:themeColor="text1"/>
                <w:szCs w:val="21"/>
              </w:rPr>
              <w:t>纬度</w:t>
            </w:r>
          </w:p>
        </w:tc>
        <w:tc>
          <w:tcPr>
            <w:tcW w:w="380" w:type="pct"/>
            <w:vMerge w:val="continue"/>
            <w:vAlign w:val="center"/>
          </w:tcPr>
          <w:p>
            <w:pPr>
              <w:snapToGrid w:val="0"/>
              <w:spacing w:line="240" w:lineRule="auto"/>
              <w:jc w:val="center"/>
              <w:rPr>
                <w:b/>
                <w:color w:val="000000" w:themeColor="text1"/>
                <w:szCs w:val="21"/>
              </w:rPr>
            </w:pPr>
          </w:p>
        </w:tc>
        <w:tc>
          <w:tcPr>
            <w:tcW w:w="401" w:type="pct"/>
            <w:vAlign w:val="center"/>
          </w:tcPr>
          <w:p>
            <w:pPr>
              <w:snapToGrid w:val="0"/>
              <w:spacing w:line="240" w:lineRule="auto"/>
              <w:jc w:val="center"/>
              <w:rPr>
                <w:b/>
                <w:color w:val="000000" w:themeColor="text1"/>
                <w:szCs w:val="21"/>
              </w:rPr>
            </w:pPr>
            <w:r>
              <w:rPr>
                <w:b/>
                <w:color w:val="000000" w:themeColor="text1"/>
                <w:szCs w:val="21"/>
              </w:rPr>
              <w:t>高度(m)</w:t>
            </w:r>
          </w:p>
        </w:tc>
        <w:tc>
          <w:tcPr>
            <w:tcW w:w="461" w:type="pct"/>
            <w:vAlign w:val="center"/>
          </w:tcPr>
          <w:p>
            <w:pPr>
              <w:snapToGrid w:val="0"/>
              <w:spacing w:line="240" w:lineRule="auto"/>
              <w:jc w:val="center"/>
              <w:rPr>
                <w:b/>
                <w:color w:val="000000" w:themeColor="text1"/>
                <w:szCs w:val="21"/>
              </w:rPr>
            </w:pPr>
            <w:r>
              <w:rPr>
                <w:b/>
                <w:color w:val="000000" w:themeColor="text1"/>
                <w:szCs w:val="21"/>
              </w:rPr>
              <w:t>内径(m)</w:t>
            </w:r>
          </w:p>
        </w:tc>
        <w:tc>
          <w:tcPr>
            <w:tcW w:w="573" w:type="pct"/>
            <w:vAlign w:val="center"/>
          </w:tcPr>
          <w:p>
            <w:pPr>
              <w:snapToGrid w:val="0"/>
              <w:spacing w:line="240" w:lineRule="auto"/>
              <w:jc w:val="center"/>
              <w:rPr>
                <w:b/>
                <w:color w:val="000000" w:themeColor="text1"/>
                <w:szCs w:val="21"/>
              </w:rPr>
            </w:pPr>
            <w:r>
              <w:rPr>
                <w:b/>
                <w:color w:val="000000" w:themeColor="text1"/>
                <w:szCs w:val="21"/>
              </w:rPr>
              <w:t>温度(</w:t>
            </w:r>
            <w:r>
              <w:rPr>
                <w:rFonts w:hint="eastAsia" w:ascii="宋体" w:hAnsi="宋体" w:cs="宋体"/>
                <w:b/>
                <w:color w:val="000000" w:themeColor="text1"/>
                <w:szCs w:val="21"/>
              </w:rPr>
              <w:t>℃</w:t>
            </w:r>
            <w:r>
              <w:rPr>
                <w:b/>
                <w:color w:val="000000" w:themeColor="text1"/>
                <w:szCs w:val="21"/>
              </w:rPr>
              <w:t>)</w:t>
            </w:r>
          </w:p>
        </w:tc>
        <w:tc>
          <w:tcPr>
            <w:tcW w:w="503" w:type="pct"/>
            <w:vAlign w:val="center"/>
          </w:tcPr>
          <w:p>
            <w:pPr>
              <w:snapToGrid w:val="0"/>
              <w:spacing w:line="240" w:lineRule="auto"/>
              <w:jc w:val="center"/>
              <w:rPr>
                <w:b/>
                <w:color w:val="000000" w:themeColor="text1"/>
                <w:szCs w:val="21"/>
              </w:rPr>
            </w:pPr>
            <w:r>
              <w:rPr>
                <w:b/>
                <w:color w:val="000000" w:themeColor="text1"/>
                <w:szCs w:val="21"/>
              </w:rPr>
              <w:t>流速(m/s)</w:t>
            </w:r>
          </w:p>
        </w:tc>
        <w:tc>
          <w:tcPr>
            <w:tcW w:w="557" w:type="pct"/>
            <w:vMerge w:val="continue"/>
            <w:vAlign w:val="center"/>
          </w:tcPr>
          <w:p>
            <w:pPr>
              <w:snapToGrid w:val="0"/>
              <w:spacing w:line="240" w:lineRule="auto"/>
              <w:jc w:val="center"/>
              <w:rPr>
                <w:b/>
                <w:color w:val="000000" w:themeColor="text1"/>
                <w:szCs w:val="21"/>
              </w:rPr>
            </w:pPr>
          </w:p>
        </w:tc>
        <w:tc>
          <w:tcPr>
            <w:tcW w:w="480" w:type="pct"/>
            <w:vMerge w:val="continue"/>
            <w:vAlign w:val="center"/>
          </w:tcPr>
          <w:p>
            <w:pPr>
              <w:snapToGrid w:val="0"/>
              <w:spacing w:line="240" w:lineRule="auto"/>
              <w:jc w:val="center"/>
              <w:rPr>
                <w:b/>
                <w:color w:val="000000" w:themeColor="text1"/>
                <w:szCs w:val="21"/>
              </w:rPr>
            </w:pPr>
          </w:p>
        </w:tc>
        <w:tc>
          <w:tcPr>
            <w:tcW w:w="477" w:type="pct"/>
            <w:vMerge w:val="continue"/>
            <w:vAlign w:val="center"/>
          </w:tcPr>
          <w:p>
            <w:pPr>
              <w:snapToGrid w:val="0"/>
              <w:spacing w:line="240" w:lineRule="auto"/>
              <w:jc w:val="center"/>
              <w:rPr>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4" w:type="pct"/>
            <w:vMerge w:val="restart"/>
            <w:vAlign w:val="center"/>
          </w:tcPr>
          <w:p>
            <w:pPr>
              <w:spacing w:line="240" w:lineRule="auto"/>
              <w:jc w:val="center"/>
              <w:rPr>
                <w:color w:val="000000" w:themeColor="text1"/>
                <w:szCs w:val="21"/>
              </w:rPr>
            </w:pPr>
            <w:r>
              <w:rPr>
                <w:color w:val="000000" w:themeColor="text1"/>
                <w:szCs w:val="21"/>
              </w:rPr>
              <w:t xml:space="preserve"> </w:t>
            </w:r>
            <w:r>
              <w:rPr>
                <w:rFonts w:hint="eastAsia"/>
                <w:color w:val="000000" w:themeColor="text1"/>
                <w:szCs w:val="21"/>
              </w:rPr>
              <w:t>沼气发电机</w:t>
            </w:r>
          </w:p>
        </w:tc>
        <w:tc>
          <w:tcPr>
            <w:tcW w:w="463" w:type="pct"/>
            <w:vMerge w:val="restart"/>
            <w:vAlign w:val="center"/>
          </w:tcPr>
          <w:p>
            <w:pPr>
              <w:spacing w:line="240" w:lineRule="auto"/>
              <w:jc w:val="center"/>
              <w:rPr>
                <w:color w:val="000000" w:themeColor="text1"/>
                <w:szCs w:val="21"/>
              </w:rPr>
            </w:pPr>
            <w:r>
              <w:rPr>
                <w:color w:val="000000" w:themeColor="text1"/>
                <w:szCs w:val="21"/>
              </w:rPr>
              <w:t>102° 0'0.41"</w:t>
            </w:r>
            <w:r>
              <w:rPr>
                <w:rFonts w:hint="eastAsia"/>
                <w:color w:val="000000" w:themeColor="text1"/>
                <w:szCs w:val="21"/>
              </w:rPr>
              <w:t>E</w:t>
            </w:r>
          </w:p>
        </w:tc>
        <w:tc>
          <w:tcPr>
            <w:tcW w:w="341" w:type="pct"/>
            <w:vMerge w:val="restart"/>
            <w:vAlign w:val="center"/>
          </w:tcPr>
          <w:p>
            <w:pPr>
              <w:spacing w:line="240" w:lineRule="auto"/>
              <w:jc w:val="center"/>
              <w:rPr>
                <w:color w:val="000000" w:themeColor="text1"/>
                <w:szCs w:val="21"/>
              </w:rPr>
            </w:pPr>
            <w:r>
              <w:rPr>
                <w:color w:val="000000" w:themeColor="text1"/>
                <w:szCs w:val="21"/>
              </w:rPr>
              <w:t>24° 8'39.52"</w:t>
            </w:r>
            <w:r>
              <w:rPr>
                <w:rFonts w:hint="eastAsia"/>
                <w:color w:val="000000" w:themeColor="text1"/>
                <w:szCs w:val="21"/>
              </w:rPr>
              <w:t>N</w:t>
            </w:r>
          </w:p>
        </w:tc>
        <w:tc>
          <w:tcPr>
            <w:tcW w:w="380" w:type="pct"/>
            <w:vMerge w:val="restart"/>
            <w:vAlign w:val="center"/>
          </w:tcPr>
          <w:p>
            <w:pPr>
              <w:spacing w:line="240" w:lineRule="auto"/>
              <w:jc w:val="center"/>
              <w:rPr>
                <w:color w:val="000000" w:themeColor="text1"/>
                <w:szCs w:val="21"/>
              </w:rPr>
            </w:pPr>
            <w:r>
              <w:rPr>
                <w:rFonts w:hint="eastAsia"/>
                <w:color w:val="000000" w:themeColor="text1"/>
                <w:szCs w:val="21"/>
              </w:rPr>
              <w:t>1784</w:t>
            </w:r>
          </w:p>
        </w:tc>
        <w:tc>
          <w:tcPr>
            <w:tcW w:w="401" w:type="pct"/>
            <w:vMerge w:val="restart"/>
            <w:vAlign w:val="center"/>
          </w:tcPr>
          <w:p>
            <w:pPr>
              <w:spacing w:line="240" w:lineRule="auto"/>
              <w:jc w:val="center"/>
              <w:rPr>
                <w:color w:val="000000" w:themeColor="text1"/>
                <w:szCs w:val="21"/>
              </w:rPr>
            </w:pPr>
            <w:r>
              <w:rPr>
                <w:color w:val="000000" w:themeColor="text1"/>
                <w:szCs w:val="21"/>
              </w:rPr>
              <w:t xml:space="preserve"> </w:t>
            </w:r>
            <w:r>
              <w:rPr>
                <w:rFonts w:hint="eastAsia"/>
                <w:color w:val="000000" w:themeColor="text1"/>
                <w:szCs w:val="21"/>
              </w:rPr>
              <w:t>15</w:t>
            </w:r>
          </w:p>
        </w:tc>
        <w:tc>
          <w:tcPr>
            <w:tcW w:w="461" w:type="pct"/>
            <w:vMerge w:val="restart"/>
            <w:vAlign w:val="center"/>
          </w:tcPr>
          <w:p>
            <w:pPr>
              <w:spacing w:line="240" w:lineRule="auto"/>
              <w:jc w:val="center"/>
              <w:rPr>
                <w:color w:val="000000" w:themeColor="text1"/>
                <w:szCs w:val="21"/>
              </w:rPr>
            </w:pPr>
            <w:r>
              <w:rPr>
                <w:rFonts w:hint="eastAsia"/>
                <w:color w:val="000000" w:themeColor="text1"/>
                <w:szCs w:val="21"/>
              </w:rPr>
              <w:t>0.2</w:t>
            </w:r>
            <w:r>
              <w:rPr>
                <w:color w:val="000000" w:themeColor="text1"/>
                <w:szCs w:val="21"/>
              </w:rPr>
              <w:t xml:space="preserve"> </w:t>
            </w:r>
          </w:p>
        </w:tc>
        <w:tc>
          <w:tcPr>
            <w:tcW w:w="573" w:type="pct"/>
            <w:vMerge w:val="restart"/>
            <w:vAlign w:val="center"/>
          </w:tcPr>
          <w:p>
            <w:pPr>
              <w:spacing w:line="240" w:lineRule="auto"/>
              <w:jc w:val="center"/>
              <w:rPr>
                <w:color w:val="000000" w:themeColor="text1"/>
                <w:szCs w:val="21"/>
              </w:rPr>
            </w:pPr>
            <w:r>
              <w:rPr>
                <w:rFonts w:hint="eastAsia"/>
                <w:color w:val="000000" w:themeColor="text1"/>
                <w:szCs w:val="21"/>
              </w:rPr>
              <w:t>500</w:t>
            </w:r>
          </w:p>
        </w:tc>
        <w:tc>
          <w:tcPr>
            <w:tcW w:w="503" w:type="pct"/>
            <w:vMerge w:val="restart"/>
            <w:vAlign w:val="center"/>
          </w:tcPr>
          <w:p>
            <w:pPr>
              <w:spacing w:line="240" w:lineRule="auto"/>
              <w:jc w:val="center"/>
              <w:rPr>
                <w:color w:val="000000" w:themeColor="text1"/>
                <w:szCs w:val="21"/>
              </w:rPr>
            </w:pPr>
            <w:r>
              <w:rPr>
                <w:rFonts w:hint="eastAsia"/>
                <w:color w:val="000000" w:themeColor="text1"/>
                <w:szCs w:val="21"/>
              </w:rPr>
              <w:t>3.67</w:t>
            </w:r>
          </w:p>
        </w:tc>
        <w:tc>
          <w:tcPr>
            <w:tcW w:w="557" w:type="pct"/>
            <w:vAlign w:val="center"/>
          </w:tcPr>
          <w:p>
            <w:pPr>
              <w:spacing w:line="240" w:lineRule="exact"/>
              <w:jc w:val="center"/>
              <w:rPr>
                <w:color w:val="000000" w:themeColor="text1"/>
                <w:szCs w:val="21"/>
              </w:rPr>
            </w:pPr>
            <w:r>
              <w:rPr>
                <w:rFonts w:hint="eastAsia"/>
                <w:color w:val="000000" w:themeColor="text1"/>
                <w:szCs w:val="21"/>
              </w:rPr>
              <w:t>NH</w:t>
            </w:r>
            <w:r>
              <w:rPr>
                <w:rFonts w:hint="eastAsia"/>
                <w:color w:val="000000" w:themeColor="text1"/>
                <w:szCs w:val="21"/>
                <w:vertAlign w:val="subscript"/>
              </w:rPr>
              <w:t>3</w:t>
            </w:r>
          </w:p>
        </w:tc>
        <w:tc>
          <w:tcPr>
            <w:tcW w:w="480" w:type="pct"/>
            <w:vAlign w:val="center"/>
          </w:tcPr>
          <w:p>
            <w:pPr>
              <w:spacing w:line="240" w:lineRule="exact"/>
              <w:jc w:val="center"/>
              <w:rPr>
                <w:color w:val="000000" w:themeColor="text1"/>
                <w:szCs w:val="21"/>
              </w:rPr>
            </w:pPr>
            <w:r>
              <w:rPr>
                <w:rFonts w:hint="eastAsia"/>
                <w:color w:val="000000" w:themeColor="text1"/>
                <w:szCs w:val="21"/>
              </w:rPr>
              <w:t>0.002</w:t>
            </w:r>
          </w:p>
        </w:tc>
        <w:tc>
          <w:tcPr>
            <w:tcW w:w="477" w:type="pct"/>
            <w:vMerge w:val="restart"/>
            <w:vAlign w:val="center"/>
          </w:tcPr>
          <w:p>
            <w:pPr>
              <w:spacing w:line="240" w:lineRule="auto"/>
              <w:jc w:val="center"/>
              <w:rPr>
                <w:color w:val="000000" w:themeColor="text1"/>
                <w:szCs w:val="21"/>
              </w:rPr>
            </w:pPr>
            <w:r>
              <w:rPr>
                <w:color w:val="000000" w:themeColor="text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64" w:type="pct"/>
            <w:vMerge w:val="continue"/>
            <w:vAlign w:val="center"/>
          </w:tcPr>
          <w:p>
            <w:pPr>
              <w:spacing w:line="240" w:lineRule="auto"/>
              <w:jc w:val="center"/>
              <w:rPr>
                <w:color w:val="000000" w:themeColor="text1"/>
                <w:szCs w:val="21"/>
              </w:rPr>
            </w:pPr>
          </w:p>
        </w:tc>
        <w:tc>
          <w:tcPr>
            <w:tcW w:w="463" w:type="pct"/>
            <w:vMerge w:val="continue"/>
            <w:vAlign w:val="center"/>
          </w:tcPr>
          <w:p>
            <w:pPr>
              <w:spacing w:line="240" w:lineRule="auto"/>
              <w:jc w:val="center"/>
              <w:rPr>
                <w:color w:val="000000" w:themeColor="text1"/>
                <w:szCs w:val="21"/>
              </w:rPr>
            </w:pPr>
          </w:p>
        </w:tc>
        <w:tc>
          <w:tcPr>
            <w:tcW w:w="341" w:type="pct"/>
            <w:vMerge w:val="continue"/>
            <w:vAlign w:val="center"/>
          </w:tcPr>
          <w:p>
            <w:pPr>
              <w:spacing w:line="240" w:lineRule="auto"/>
              <w:jc w:val="center"/>
              <w:rPr>
                <w:color w:val="000000" w:themeColor="text1"/>
                <w:szCs w:val="21"/>
              </w:rPr>
            </w:pPr>
          </w:p>
        </w:tc>
        <w:tc>
          <w:tcPr>
            <w:tcW w:w="380" w:type="pct"/>
            <w:vMerge w:val="continue"/>
            <w:vAlign w:val="center"/>
          </w:tcPr>
          <w:p>
            <w:pPr>
              <w:spacing w:line="240" w:lineRule="auto"/>
              <w:jc w:val="center"/>
              <w:rPr>
                <w:color w:val="000000" w:themeColor="text1"/>
                <w:szCs w:val="21"/>
              </w:rPr>
            </w:pPr>
          </w:p>
        </w:tc>
        <w:tc>
          <w:tcPr>
            <w:tcW w:w="401" w:type="pct"/>
            <w:vMerge w:val="continue"/>
            <w:vAlign w:val="center"/>
          </w:tcPr>
          <w:p>
            <w:pPr>
              <w:spacing w:line="240" w:lineRule="auto"/>
              <w:jc w:val="center"/>
              <w:rPr>
                <w:color w:val="000000" w:themeColor="text1"/>
                <w:szCs w:val="21"/>
              </w:rPr>
            </w:pPr>
          </w:p>
        </w:tc>
        <w:tc>
          <w:tcPr>
            <w:tcW w:w="461" w:type="pct"/>
            <w:vMerge w:val="continue"/>
            <w:vAlign w:val="center"/>
          </w:tcPr>
          <w:p>
            <w:pPr>
              <w:spacing w:line="240" w:lineRule="auto"/>
              <w:jc w:val="center"/>
              <w:rPr>
                <w:color w:val="000000" w:themeColor="text1"/>
                <w:szCs w:val="21"/>
              </w:rPr>
            </w:pPr>
          </w:p>
        </w:tc>
        <w:tc>
          <w:tcPr>
            <w:tcW w:w="573" w:type="pct"/>
            <w:vMerge w:val="continue"/>
            <w:vAlign w:val="center"/>
          </w:tcPr>
          <w:p>
            <w:pPr>
              <w:spacing w:line="240" w:lineRule="auto"/>
              <w:jc w:val="center"/>
              <w:rPr>
                <w:color w:val="000000" w:themeColor="text1"/>
                <w:szCs w:val="21"/>
              </w:rPr>
            </w:pPr>
          </w:p>
        </w:tc>
        <w:tc>
          <w:tcPr>
            <w:tcW w:w="503" w:type="pct"/>
            <w:vMerge w:val="continue"/>
            <w:vAlign w:val="center"/>
          </w:tcPr>
          <w:p>
            <w:pPr>
              <w:spacing w:line="240" w:lineRule="auto"/>
              <w:jc w:val="center"/>
              <w:rPr>
                <w:color w:val="000000" w:themeColor="text1"/>
                <w:szCs w:val="21"/>
              </w:rPr>
            </w:pPr>
          </w:p>
        </w:tc>
        <w:tc>
          <w:tcPr>
            <w:tcW w:w="557" w:type="pct"/>
            <w:vAlign w:val="center"/>
          </w:tcPr>
          <w:p>
            <w:pPr>
              <w:spacing w:line="240" w:lineRule="exact"/>
              <w:jc w:val="center"/>
              <w:rPr>
                <w:color w:val="000000" w:themeColor="text1"/>
                <w:szCs w:val="21"/>
              </w:rPr>
            </w:pPr>
            <w:r>
              <w:rPr>
                <w:rFonts w:hint="eastAsia"/>
                <w:color w:val="000000" w:themeColor="text1"/>
                <w:szCs w:val="21"/>
              </w:rPr>
              <w:t>H</w:t>
            </w:r>
            <w:r>
              <w:rPr>
                <w:rFonts w:hint="eastAsia"/>
                <w:color w:val="000000" w:themeColor="text1"/>
                <w:szCs w:val="21"/>
                <w:vertAlign w:val="subscript"/>
              </w:rPr>
              <w:t>2</w:t>
            </w:r>
            <w:r>
              <w:rPr>
                <w:rFonts w:hint="eastAsia"/>
                <w:color w:val="000000" w:themeColor="text1"/>
                <w:szCs w:val="21"/>
              </w:rPr>
              <w:t>S</w:t>
            </w:r>
          </w:p>
        </w:tc>
        <w:tc>
          <w:tcPr>
            <w:tcW w:w="480" w:type="pct"/>
            <w:vAlign w:val="center"/>
          </w:tcPr>
          <w:p>
            <w:pPr>
              <w:spacing w:line="240" w:lineRule="exact"/>
              <w:jc w:val="center"/>
              <w:rPr>
                <w:color w:val="000000" w:themeColor="text1"/>
                <w:szCs w:val="21"/>
              </w:rPr>
            </w:pPr>
            <w:r>
              <w:rPr>
                <w:rFonts w:hint="eastAsia"/>
                <w:color w:val="000000" w:themeColor="text1"/>
                <w:szCs w:val="21"/>
              </w:rPr>
              <w:t>0.004</w:t>
            </w:r>
          </w:p>
        </w:tc>
        <w:tc>
          <w:tcPr>
            <w:tcW w:w="477" w:type="pct"/>
            <w:vMerge w:val="continue"/>
            <w:vAlign w:val="center"/>
          </w:tcPr>
          <w:p>
            <w:pPr>
              <w:spacing w:line="240" w:lineRule="auto"/>
              <w:jc w:val="center"/>
              <w:rPr>
                <w:color w:val="000000" w:themeColor="text1"/>
                <w:szCs w:val="21"/>
              </w:rPr>
            </w:pPr>
          </w:p>
        </w:tc>
      </w:tr>
    </w:tbl>
    <w:p>
      <w:pPr>
        <w:pStyle w:val="116"/>
        <w:wordWrap/>
        <w:spacing w:line="240" w:lineRule="auto"/>
        <w:rPr>
          <w:color w:val="000000" w:themeColor="text1"/>
          <w:sz w:val="21"/>
          <w:szCs w:val="21"/>
        </w:rPr>
      </w:pPr>
      <w:r>
        <w:rPr>
          <w:color w:val="000000" w:themeColor="text1"/>
          <w:sz w:val="21"/>
          <w:szCs w:val="21"/>
        </w:rPr>
        <w:t>表2.6-</w:t>
      </w:r>
      <w:r>
        <w:rPr>
          <w:rFonts w:hint="eastAsia"/>
          <w:color w:val="000000" w:themeColor="text1"/>
          <w:sz w:val="21"/>
          <w:szCs w:val="21"/>
        </w:rPr>
        <w:t>3</w:t>
      </w:r>
      <w:r>
        <w:rPr>
          <w:color w:val="000000" w:themeColor="text1"/>
          <w:sz w:val="21"/>
          <w:szCs w:val="21"/>
        </w:rPr>
        <w:t xml:space="preserve">  主要废气污染源参数一览表</w:t>
      </w:r>
      <w:r>
        <w:rPr>
          <w:rFonts w:hint="eastAsia"/>
          <w:color w:val="000000" w:themeColor="text1"/>
          <w:sz w:val="21"/>
          <w:szCs w:val="21"/>
        </w:rPr>
        <w:t>（面</w:t>
      </w:r>
      <w:r>
        <w:rPr>
          <w:color w:val="000000" w:themeColor="text1"/>
          <w:sz w:val="21"/>
          <w:szCs w:val="21"/>
        </w:rPr>
        <w:t>源</w:t>
      </w:r>
      <w:r>
        <w:rPr>
          <w:rFonts w:hint="eastAsia"/>
          <w:color w:val="000000" w:themeColor="text1"/>
          <w:sz w:val="21"/>
          <w:szCs w:val="21"/>
        </w:rPr>
        <w:t>）</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551"/>
        <w:gridCol w:w="1072"/>
        <w:gridCol w:w="760"/>
        <w:gridCol w:w="1519"/>
        <w:gridCol w:w="1494"/>
        <w:gridCol w:w="1522"/>
        <w:gridCol w:w="1741"/>
        <w:gridCol w:w="1514"/>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Merge w:val="restart"/>
            <w:vAlign w:val="center"/>
          </w:tcPr>
          <w:p>
            <w:pPr>
              <w:spacing w:line="240" w:lineRule="auto"/>
              <w:jc w:val="center"/>
              <w:rPr>
                <w:b/>
                <w:color w:val="000000" w:themeColor="text1"/>
                <w:szCs w:val="21"/>
              </w:rPr>
            </w:pPr>
            <w:r>
              <w:rPr>
                <w:b/>
                <w:color w:val="000000" w:themeColor="text1"/>
                <w:szCs w:val="21"/>
              </w:rPr>
              <w:t>污染源名称</w:t>
            </w:r>
          </w:p>
        </w:tc>
        <w:tc>
          <w:tcPr>
            <w:tcW w:w="925" w:type="pct"/>
            <w:gridSpan w:val="2"/>
            <w:vAlign w:val="center"/>
          </w:tcPr>
          <w:p>
            <w:pPr>
              <w:snapToGrid w:val="0"/>
              <w:spacing w:line="240" w:lineRule="auto"/>
              <w:jc w:val="center"/>
              <w:rPr>
                <w:b/>
                <w:color w:val="000000" w:themeColor="text1"/>
                <w:szCs w:val="21"/>
              </w:rPr>
            </w:pPr>
            <w:r>
              <w:rPr>
                <w:rFonts w:hint="eastAsia"/>
                <w:b/>
                <w:color w:val="000000" w:themeColor="text1"/>
                <w:szCs w:val="21"/>
              </w:rPr>
              <w:t>坐标</w:t>
            </w:r>
          </w:p>
        </w:tc>
        <w:tc>
          <w:tcPr>
            <w:tcW w:w="268" w:type="pct"/>
            <w:vMerge w:val="restart"/>
            <w:vAlign w:val="center"/>
          </w:tcPr>
          <w:p>
            <w:pPr>
              <w:snapToGrid w:val="0"/>
              <w:spacing w:line="240" w:lineRule="auto"/>
              <w:jc w:val="center"/>
              <w:rPr>
                <w:b/>
                <w:color w:val="000000" w:themeColor="text1"/>
                <w:szCs w:val="21"/>
              </w:rPr>
            </w:pPr>
            <w:r>
              <w:rPr>
                <w:rFonts w:hint="eastAsia"/>
                <w:b/>
                <w:color w:val="000000" w:themeColor="text1"/>
                <w:szCs w:val="21"/>
              </w:rPr>
              <w:t>海拔高度/m</w:t>
            </w:r>
          </w:p>
        </w:tc>
        <w:tc>
          <w:tcPr>
            <w:tcW w:w="1600" w:type="pct"/>
            <w:gridSpan w:val="3"/>
            <w:vAlign w:val="center"/>
          </w:tcPr>
          <w:p>
            <w:pPr>
              <w:snapToGrid w:val="0"/>
              <w:spacing w:line="240" w:lineRule="auto"/>
              <w:jc w:val="center"/>
              <w:rPr>
                <w:b/>
                <w:color w:val="000000" w:themeColor="text1"/>
                <w:szCs w:val="21"/>
              </w:rPr>
            </w:pPr>
            <w:r>
              <w:rPr>
                <w:rFonts w:hint="eastAsia"/>
                <w:b/>
                <w:color w:val="000000" w:themeColor="text1"/>
                <w:szCs w:val="21"/>
              </w:rPr>
              <w:t>矩形面源</w:t>
            </w:r>
          </w:p>
        </w:tc>
        <w:tc>
          <w:tcPr>
            <w:tcW w:w="614" w:type="pct"/>
            <w:vMerge w:val="restart"/>
            <w:vAlign w:val="center"/>
          </w:tcPr>
          <w:p>
            <w:pPr>
              <w:snapToGrid w:val="0"/>
              <w:spacing w:line="240" w:lineRule="auto"/>
              <w:jc w:val="center"/>
              <w:rPr>
                <w:b/>
                <w:color w:val="000000" w:themeColor="text1"/>
                <w:szCs w:val="21"/>
              </w:rPr>
            </w:pPr>
            <w:r>
              <w:rPr>
                <w:rFonts w:hint="eastAsia"/>
                <w:b/>
                <w:color w:val="000000" w:themeColor="text1"/>
                <w:szCs w:val="21"/>
              </w:rPr>
              <w:t>污染物</w:t>
            </w:r>
          </w:p>
        </w:tc>
        <w:tc>
          <w:tcPr>
            <w:tcW w:w="534" w:type="pct"/>
            <w:vMerge w:val="restart"/>
            <w:vAlign w:val="center"/>
          </w:tcPr>
          <w:p>
            <w:pPr>
              <w:snapToGrid w:val="0"/>
              <w:spacing w:line="240" w:lineRule="auto"/>
              <w:jc w:val="center"/>
              <w:rPr>
                <w:b/>
                <w:color w:val="000000" w:themeColor="text1"/>
                <w:szCs w:val="21"/>
              </w:rPr>
            </w:pPr>
            <w:r>
              <w:rPr>
                <w:rFonts w:hint="eastAsia"/>
                <w:b/>
                <w:color w:val="000000" w:themeColor="text1"/>
                <w:szCs w:val="21"/>
              </w:rPr>
              <w:t>排放速率（kg/h）</w:t>
            </w:r>
          </w:p>
        </w:tc>
        <w:tc>
          <w:tcPr>
            <w:tcW w:w="534" w:type="pct"/>
            <w:vMerge w:val="restart"/>
            <w:vAlign w:val="center"/>
          </w:tcPr>
          <w:p>
            <w:pPr>
              <w:snapToGrid w:val="0"/>
              <w:spacing w:line="240" w:lineRule="auto"/>
              <w:jc w:val="center"/>
              <w:rPr>
                <w:b/>
                <w:color w:val="000000" w:themeColor="text1"/>
                <w:szCs w:val="21"/>
              </w:rPr>
            </w:pPr>
            <w:r>
              <w:rPr>
                <w:rFonts w:hint="eastAsia"/>
                <w:b/>
                <w:color w:val="000000" w:themeColor="text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pct"/>
            <w:vMerge w:val="continue"/>
            <w:vAlign w:val="center"/>
          </w:tcPr>
          <w:p>
            <w:pPr>
              <w:snapToGrid w:val="0"/>
              <w:spacing w:line="240" w:lineRule="auto"/>
              <w:jc w:val="center"/>
              <w:rPr>
                <w:b/>
                <w:color w:val="000000" w:themeColor="text1"/>
                <w:szCs w:val="21"/>
              </w:rPr>
            </w:pPr>
          </w:p>
        </w:tc>
        <w:tc>
          <w:tcPr>
            <w:tcW w:w="547" w:type="pct"/>
            <w:vAlign w:val="center"/>
          </w:tcPr>
          <w:p>
            <w:pPr>
              <w:snapToGrid w:val="0"/>
              <w:spacing w:line="240" w:lineRule="auto"/>
              <w:jc w:val="center"/>
              <w:rPr>
                <w:b/>
                <w:color w:val="000000" w:themeColor="text1"/>
                <w:szCs w:val="21"/>
              </w:rPr>
            </w:pPr>
            <w:r>
              <w:rPr>
                <w:rFonts w:hint="eastAsia"/>
                <w:b/>
                <w:color w:val="000000" w:themeColor="text1"/>
                <w:szCs w:val="21"/>
              </w:rPr>
              <w:t>经度</w:t>
            </w:r>
          </w:p>
        </w:tc>
        <w:tc>
          <w:tcPr>
            <w:tcW w:w="378" w:type="pct"/>
            <w:vAlign w:val="center"/>
          </w:tcPr>
          <w:p>
            <w:pPr>
              <w:snapToGrid w:val="0"/>
              <w:spacing w:line="240" w:lineRule="auto"/>
              <w:jc w:val="center"/>
              <w:rPr>
                <w:b/>
                <w:color w:val="000000" w:themeColor="text1"/>
                <w:szCs w:val="21"/>
              </w:rPr>
            </w:pPr>
            <w:r>
              <w:rPr>
                <w:rFonts w:hint="eastAsia"/>
                <w:b/>
                <w:color w:val="000000" w:themeColor="text1"/>
                <w:szCs w:val="21"/>
              </w:rPr>
              <w:t>纬度</w:t>
            </w:r>
          </w:p>
        </w:tc>
        <w:tc>
          <w:tcPr>
            <w:tcW w:w="268" w:type="pct"/>
            <w:vMerge w:val="continue"/>
            <w:vAlign w:val="center"/>
          </w:tcPr>
          <w:p>
            <w:pPr>
              <w:snapToGrid w:val="0"/>
              <w:spacing w:line="240" w:lineRule="auto"/>
              <w:jc w:val="center"/>
              <w:rPr>
                <w:b/>
                <w:color w:val="000000" w:themeColor="text1"/>
                <w:szCs w:val="21"/>
              </w:rPr>
            </w:pPr>
          </w:p>
        </w:tc>
        <w:tc>
          <w:tcPr>
            <w:tcW w:w="536" w:type="pct"/>
            <w:vAlign w:val="center"/>
          </w:tcPr>
          <w:p>
            <w:pPr>
              <w:snapToGrid w:val="0"/>
              <w:spacing w:line="240" w:lineRule="auto"/>
              <w:jc w:val="center"/>
              <w:rPr>
                <w:b/>
                <w:color w:val="000000" w:themeColor="text1"/>
                <w:szCs w:val="21"/>
              </w:rPr>
            </w:pPr>
            <w:r>
              <w:rPr>
                <w:rFonts w:hint="eastAsia"/>
                <w:b/>
                <w:color w:val="000000" w:themeColor="text1"/>
                <w:szCs w:val="21"/>
              </w:rPr>
              <w:t>长度</w:t>
            </w:r>
            <w:r>
              <w:rPr>
                <w:b/>
                <w:color w:val="000000" w:themeColor="text1"/>
                <w:szCs w:val="21"/>
              </w:rPr>
              <w:t>(m)</w:t>
            </w:r>
          </w:p>
        </w:tc>
        <w:tc>
          <w:tcPr>
            <w:tcW w:w="527" w:type="pct"/>
            <w:vAlign w:val="center"/>
          </w:tcPr>
          <w:p>
            <w:pPr>
              <w:snapToGrid w:val="0"/>
              <w:spacing w:line="240" w:lineRule="auto"/>
              <w:jc w:val="center"/>
              <w:rPr>
                <w:b/>
                <w:color w:val="000000" w:themeColor="text1"/>
                <w:szCs w:val="21"/>
              </w:rPr>
            </w:pPr>
            <w:r>
              <w:rPr>
                <w:rFonts w:hint="eastAsia"/>
                <w:b/>
                <w:color w:val="000000" w:themeColor="text1"/>
                <w:szCs w:val="21"/>
              </w:rPr>
              <w:t>宽度</w:t>
            </w:r>
            <w:r>
              <w:rPr>
                <w:b/>
                <w:color w:val="000000" w:themeColor="text1"/>
                <w:szCs w:val="21"/>
              </w:rPr>
              <w:t>(m)</w:t>
            </w:r>
          </w:p>
        </w:tc>
        <w:tc>
          <w:tcPr>
            <w:tcW w:w="537" w:type="pct"/>
            <w:vAlign w:val="center"/>
          </w:tcPr>
          <w:p>
            <w:pPr>
              <w:snapToGrid w:val="0"/>
              <w:spacing w:line="240" w:lineRule="auto"/>
              <w:jc w:val="center"/>
              <w:rPr>
                <w:b/>
                <w:color w:val="000000" w:themeColor="text1"/>
                <w:szCs w:val="21"/>
              </w:rPr>
            </w:pPr>
            <w:r>
              <w:rPr>
                <w:rFonts w:hint="eastAsia"/>
                <w:b/>
                <w:color w:val="000000" w:themeColor="text1"/>
                <w:szCs w:val="21"/>
              </w:rPr>
              <w:t>有效高度</w:t>
            </w:r>
            <w:r>
              <w:rPr>
                <w:b/>
                <w:color w:val="000000" w:themeColor="text1"/>
                <w:szCs w:val="21"/>
              </w:rPr>
              <w:t>(m)</w:t>
            </w:r>
          </w:p>
        </w:tc>
        <w:tc>
          <w:tcPr>
            <w:tcW w:w="614" w:type="pct"/>
            <w:vMerge w:val="continue"/>
            <w:vAlign w:val="center"/>
          </w:tcPr>
          <w:p>
            <w:pPr>
              <w:snapToGrid w:val="0"/>
              <w:spacing w:line="240" w:lineRule="auto"/>
              <w:jc w:val="center"/>
              <w:rPr>
                <w:b/>
                <w:color w:val="000000" w:themeColor="text1"/>
                <w:szCs w:val="21"/>
              </w:rPr>
            </w:pPr>
          </w:p>
        </w:tc>
        <w:tc>
          <w:tcPr>
            <w:tcW w:w="534" w:type="pct"/>
            <w:vMerge w:val="continue"/>
            <w:vAlign w:val="center"/>
          </w:tcPr>
          <w:p>
            <w:pPr>
              <w:snapToGrid w:val="0"/>
              <w:spacing w:line="240" w:lineRule="auto"/>
              <w:jc w:val="center"/>
              <w:rPr>
                <w:b/>
                <w:color w:val="000000" w:themeColor="text1"/>
                <w:szCs w:val="21"/>
              </w:rPr>
            </w:pPr>
          </w:p>
        </w:tc>
        <w:tc>
          <w:tcPr>
            <w:tcW w:w="534" w:type="pct"/>
            <w:vMerge w:val="continue"/>
            <w:vAlign w:val="center"/>
          </w:tcPr>
          <w:p>
            <w:pPr>
              <w:snapToGrid w:val="0"/>
              <w:spacing w:line="240" w:lineRule="auto"/>
              <w:jc w:val="center"/>
              <w:rPr>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Merge w:val="restart"/>
            <w:vAlign w:val="center"/>
          </w:tcPr>
          <w:p>
            <w:pPr>
              <w:spacing w:line="240" w:lineRule="auto"/>
              <w:jc w:val="center"/>
              <w:rPr>
                <w:color w:val="000000" w:themeColor="text1"/>
                <w:szCs w:val="21"/>
              </w:rPr>
            </w:pPr>
            <w:r>
              <w:rPr>
                <w:color w:val="000000" w:themeColor="text1"/>
                <w:szCs w:val="21"/>
              </w:rPr>
              <w:t>矩形面源</w:t>
            </w:r>
          </w:p>
        </w:tc>
        <w:tc>
          <w:tcPr>
            <w:tcW w:w="547" w:type="pct"/>
            <w:vMerge w:val="restart"/>
            <w:vAlign w:val="center"/>
          </w:tcPr>
          <w:p>
            <w:pPr>
              <w:spacing w:line="240" w:lineRule="auto"/>
              <w:jc w:val="center"/>
              <w:rPr>
                <w:color w:val="000000" w:themeColor="text1"/>
                <w:szCs w:val="21"/>
              </w:rPr>
            </w:pPr>
            <w:r>
              <w:rPr>
                <w:color w:val="000000" w:themeColor="text1"/>
                <w:szCs w:val="21"/>
              </w:rPr>
              <w:t>101°59'56.80"</w:t>
            </w:r>
            <w:r>
              <w:rPr>
                <w:rFonts w:hint="eastAsia"/>
                <w:color w:val="000000" w:themeColor="text1"/>
                <w:szCs w:val="21"/>
              </w:rPr>
              <w:t>E</w:t>
            </w:r>
          </w:p>
        </w:tc>
        <w:tc>
          <w:tcPr>
            <w:tcW w:w="378" w:type="pct"/>
            <w:vMerge w:val="restart"/>
            <w:vAlign w:val="center"/>
          </w:tcPr>
          <w:p>
            <w:pPr>
              <w:spacing w:line="240" w:lineRule="auto"/>
              <w:jc w:val="center"/>
              <w:rPr>
                <w:color w:val="000000" w:themeColor="text1"/>
                <w:szCs w:val="21"/>
              </w:rPr>
            </w:pPr>
            <w:r>
              <w:rPr>
                <w:color w:val="000000" w:themeColor="text1"/>
                <w:szCs w:val="21"/>
              </w:rPr>
              <w:t>24° 8'33.55"</w:t>
            </w:r>
            <w:r>
              <w:rPr>
                <w:rFonts w:hint="eastAsia"/>
                <w:color w:val="000000" w:themeColor="text1"/>
                <w:szCs w:val="21"/>
              </w:rPr>
              <w:t>N</w:t>
            </w:r>
          </w:p>
        </w:tc>
        <w:tc>
          <w:tcPr>
            <w:tcW w:w="268" w:type="pct"/>
            <w:vMerge w:val="restart"/>
            <w:vAlign w:val="center"/>
          </w:tcPr>
          <w:p>
            <w:pPr>
              <w:spacing w:line="240" w:lineRule="auto"/>
              <w:jc w:val="center"/>
              <w:rPr>
                <w:color w:val="000000" w:themeColor="text1"/>
                <w:szCs w:val="21"/>
              </w:rPr>
            </w:pPr>
            <w:r>
              <w:rPr>
                <w:rFonts w:hint="eastAsia"/>
                <w:color w:val="000000" w:themeColor="text1"/>
                <w:szCs w:val="21"/>
              </w:rPr>
              <w:t>1789</w:t>
            </w:r>
          </w:p>
        </w:tc>
        <w:tc>
          <w:tcPr>
            <w:tcW w:w="536" w:type="pct"/>
            <w:vMerge w:val="restart"/>
            <w:vAlign w:val="center"/>
          </w:tcPr>
          <w:p>
            <w:pPr>
              <w:spacing w:line="240" w:lineRule="auto"/>
              <w:jc w:val="center"/>
              <w:rPr>
                <w:color w:val="000000" w:themeColor="text1"/>
                <w:szCs w:val="21"/>
              </w:rPr>
            </w:pPr>
            <w:r>
              <w:rPr>
                <w:rFonts w:hint="eastAsia"/>
                <w:color w:val="000000" w:themeColor="text1"/>
                <w:szCs w:val="21"/>
              </w:rPr>
              <w:t>416</w:t>
            </w:r>
          </w:p>
        </w:tc>
        <w:tc>
          <w:tcPr>
            <w:tcW w:w="527" w:type="pct"/>
            <w:vMerge w:val="restart"/>
            <w:vAlign w:val="center"/>
          </w:tcPr>
          <w:p>
            <w:pPr>
              <w:spacing w:line="240" w:lineRule="auto"/>
              <w:jc w:val="center"/>
              <w:rPr>
                <w:color w:val="000000" w:themeColor="text1"/>
                <w:szCs w:val="21"/>
              </w:rPr>
            </w:pPr>
            <w:r>
              <w:rPr>
                <w:rFonts w:hint="eastAsia"/>
                <w:color w:val="000000" w:themeColor="text1"/>
                <w:szCs w:val="21"/>
              </w:rPr>
              <w:t>118</w:t>
            </w:r>
          </w:p>
        </w:tc>
        <w:tc>
          <w:tcPr>
            <w:tcW w:w="537" w:type="pct"/>
            <w:vMerge w:val="restart"/>
            <w:vAlign w:val="center"/>
          </w:tcPr>
          <w:p>
            <w:pPr>
              <w:spacing w:line="240" w:lineRule="auto"/>
              <w:jc w:val="center"/>
              <w:rPr>
                <w:color w:val="000000" w:themeColor="text1"/>
                <w:szCs w:val="21"/>
              </w:rPr>
            </w:pPr>
            <w:r>
              <w:rPr>
                <w:rFonts w:hint="eastAsia"/>
                <w:color w:val="000000" w:themeColor="text1"/>
                <w:szCs w:val="21"/>
              </w:rPr>
              <w:t>8.0</w:t>
            </w:r>
          </w:p>
        </w:tc>
        <w:tc>
          <w:tcPr>
            <w:tcW w:w="614" w:type="pct"/>
            <w:vAlign w:val="center"/>
          </w:tcPr>
          <w:p>
            <w:pPr>
              <w:spacing w:line="240" w:lineRule="exact"/>
              <w:jc w:val="center"/>
              <w:rPr>
                <w:color w:val="000000" w:themeColor="text1"/>
                <w:szCs w:val="21"/>
              </w:rPr>
            </w:pPr>
            <w:r>
              <w:rPr>
                <w:rFonts w:hint="eastAsia"/>
                <w:color w:val="000000" w:themeColor="text1"/>
                <w:szCs w:val="21"/>
              </w:rPr>
              <w:t>NH</w:t>
            </w:r>
            <w:r>
              <w:rPr>
                <w:rFonts w:hint="eastAsia"/>
                <w:color w:val="000000" w:themeColor="text1"/>
                <w:szCs w:val="21"/>
                <w:vertAlign w:val="subscript"/>
              </w:rPr>
              <w:t>3</w:t>
            </w:r>
          </w:p>
        </w:tc>
        <w:tc>
          <w:tcPr>
            <w:tcW w:w="534" w:type="pct"/>
            <w:vAlign w:val="center"/>
          </w:tcPr>
          <w:p>
            <w:pPr>
              <w:spacing w:line="240" w:lineRule="auto"/>
              <w:jc w:val="center"/>
              <w:rPr>
                <w:color w:val="000000" w:themeColor="text1"/>
                <w:szCs w:val="21"/>
              </w:rPr>
            </w:pPr>
            <w:r>
              <w:rPr>
                <w:color w:val="000000" w:themeColor="text1"/>
                <w:szCs w:val="21"/>
              </w:rPr>
              <w:t>0.0</w:t>
            </w:r>
            <w:r>
              <w:rPr>
                <w:rFonts w:hint="eastAsia"/>
                <w:color w:val="000000" w:themeColor="text1"/>
                <w:szCs w:val="21"/>
              </w:rPr>
              <w:t>43</w:t>
            </w:r>
            <w:r>
              <w:rPr>
                <w:color w:val="000000" w:themeColor="text1"/>
                <w:szCs w:val="21"/>
              </w:rPr>
              <w:t xml:space="preserve">   </w:t>
            </w:r>
          </w:p>
        </w:tc>
        <w:tc>
          <w:tcPr>
            <w:tcW w:w="534" w:type="pct"/>
            <w:vMerge w:val="restart"/>
            <w:vAlign w:val="center"/>
          </w:tcPr>
          <w:p>
            <w:pPr>
              <w:spacing w:line="240" w:lineRule="auto"/>
              <w:jc w:val="center"/>
              <w:rPr>
                <w:color w:val="000000" w:themeColor="text1"/>
                <w:szCs w:val="21"/>
              </w:rPr>
            </w:pPr>
            <w:r>
              <w:rPr>
                <w:color w:val="000000" w:themeColor="text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pct"/>
            <w:vMerge w:val="continue"/>
            <w:vAlign w:val="center"/>
          </w:tcPr>
          <w:p>
            <w:pPr>
              <w:spacing w:line="240" w:lineRule="auto"/>
              <w:jc w:val="center"/>
              <w:rPr>
                <w:color w:val="000000" w:themeColor="text1"/>
                <w:szCs w:val="21"/>
              </w:rPr>
            </w:pPr>
          </w:p>
        </w:tc>
        <w:tc>
          <w:tcPr>
            <w:tcW w:w="547" w:type="pct"/>
            <w:vMerge w:val="continue"/>
            <w:vAlign w:val="center"/>
          </w:tcPr>
          <w:p>
            <w:pPr>
              <w:spacing w:line="240" w:lineRule="auto"/>
              <w:jc w:val="center"/>
              <w:rPr>
                <w:color w:val="000000" w:themeColor="text1"/>
                <w:szCs w:val="21"/>
              </w:rPr>
            </w:pPr>
          </w:p>
        </w:tc>
        <w:tc>
          <w:tcPr>
            <w:tcW w:w="378" w:type="pct"/>
            <w:vMerge w:val="continue"/>
            <w:vAlign w:val="center"/>
          </w:tcPr>
          <w:p>
            <w:pPr>
              <w:spacing w:line="240" w:lineRule="auto"/>
              <w:jc w:val="center"/>
              <w:rPr>
                <w:color w:val="000000" w:themeColor="text1"/>
                <w:szCs w:val="21"/>
              </w:rPr>
            </w:pPr>
          </w:p>
        </w:tc>
        <w:tc>
          <w:tcPr>
            <w:tcW w:w="268" w:type="pct"/>
            <w:vMerge w:val="continue"/>
            <w:vAlign w:val="center"/>
          </w:tcPr>
          <w:p>
            <w:pPr>
              <w:spacing w:line="240" w:lineRule="auto"/>
              <w:jc w:val="center"/>
              <w:rPr>
                <w:color w:val="000000" w:themeColor="text1"/>
                <w:szCs w:val="21"/>
              </w:rPr>
            </w:pPr>
          </w:p>
        </w:tc>
        <w:tc>
          <w:tcPr>
            <w:tcW w:w="536" w:type="pct"/>
            <w:vMerge w:val="continue"/>
            <w:vAlign w:val="center"/>
          </w:tcPr>
          <w:p>
            <w:pPr>
              <w:spacing w:line="240" w:lineRule="auto"/>
              <w:jc w:val="center"/>
              <w:rPr>
                <w:color w:val="000000" w:themeColor="text1"/>
                <w:szCs w:val="21"/>
              </w:rPr>
            </w:pPr>
          </w:p>
        </w:tc>
        <w:tc>
          <w:tcPr>
            <w:tcW w:w="527" w:type="pct"/>
            <w:vMerge w:val="continue"/>
            <w:vAlign w:val="center"/>
          </w:tcPr>
          <w:p>
            <w:pPr>
              <w:spacing w:line="240" w:lineRule="auto"/>
              <w:jc w:val="center"/>
              <w:rPr>
                <w:color w:val="000000" w:themeColor="text1"/>
                <w:szCs w:val="21"/>
              </w:rPr>
            </w:pPr>
          </w:p>
        </w:tc>
        <w:tc>
          <w:tcPr>
            <w:tcW w:w="537" w:type="pct"/>
            <w:vMerge w:val="continue"/>
            <w:vAlign w:val="center"/>
          </w:tcPr>
          <w:p>
            <w:pPr>
              <w:spacing w:line="240" w:lineRule="auto"/>
              <w:jc w:val="center"/>
              <w:rPr>
                <w:color w:val="000000" w:themeColor="text1"/>
                <w:szCs w:val="21"/>
              </w:rPr>
            </w:pPr>
          </w:p>
        </w:tc>
        <w:tc>
          <w:tcPr>
            <w:tcW w:w="614" w:type="pct"/>
            <w:vAlign w:val="center"/>
          </w:tcPr>
          <w:p>
            <w:pPr>
              <w:spacing w:line="240" w:lineRule="exact"/>
              <w:jc w:val="center"/>
              <w:rPr>
                <w:color w:val="000000" w:themeColor="text1"/>
                <w:szCs w:val="21"/>
              </w:rPr>
            </w:pPr>
            <w:r>
              <w:rPr>
                <w:rFonts w:hint="eastAsia"/>
                <w:color w:val="000000" w:themeColor="text1"/>
                <w:szCs w:val="21"/>
              </w:rPr>
              <w:t>H</w:t>
            </w:r>
            <w:r>
              <w:rPr>
                <w:rFonts w:hint="eastAsia"/>
                <w:color w:val="000000" w:themeColor="text1"/>
                <w:szCs w:val="21"/>
                <w:vertAlign w:val="subscript"/>
              </w:rPr>
              <w:t>2</w:t>
            </w:r>
            <w:r>
              <w:rPr>
                <w:rFonts w:hint="eastAsia"/>
                <w:color w:val="000000" w:themeColor="text1"/>
                <w:szCs w:val="21"/>
              </w:rPr>
              <w:t>S</w:t>
            </w:r>
          </w:p>
        </w:tc>
        <w:tc>
          <w:tcPr>
            <w:tcW w:w="534" w:type="pct"/>
            <w:vAlign w:val="center"/>
          </w:tcPr>
          <w:p>
            <w:pPr>
              <w:spacing w:line="240" w:lineRule="auto"/>
              <w:jc w:val="center"/>
              <w:rPr>
                <w:color w:val="000000" w:themeColor="text1"/>
                <w:szCs w:val="21"/>
              </w:rPr>
            </w:pPr>
            <w:r>
              <w:rPr>
                <w:color w:val="000000" w:themeColor="text1"/>
                <w:szCs w:val="21"/>
              </w:rPr>
              <w:t>0.0</w:t>
            </w:r>
            <w:r>
              <w:rPr>
                <w:rFonts w:hint="eastAsia"/>
                <w:color w:val="000000" w:themeColor="text1"/>
                <w:szCs w:val="21"/>
              </w:rPr>
              <w:t>105</w:t>
            </w:r>
          </w:p>
        </w:tc>
        <w:tc>
          <w:tcPr>
            <w:tcW w:w="534" w:type="pct"/>
            <w:vMerge w:val="continue"/>
            <w:vAlign w:val="center"/>
          </w:tcPr>
          <w:p>
            <w:pPr>
              <w:spacing w:line="240" w:lineRule="auto"/>
              <w:jc w:val="center"/>
              <w:rPr>
                <w:color w:val="000000" w:themeColor="text1"/>
                <w:szCs w:val="21"/>
              </w:rPr>
            </w:pPr>
          </w:p>
        </w:tc>
      </w:tr>
    </w:tbl>
    <w:p>
      <w:pPr>
        <w:pStyle w:val="116"/>
        <w:wordWrap/>
        <w:spacing w:line="240" w:lineRule="auto"/>
        <w:rPr>
          <w:color w:val="000000" w:themeColor="text1"/>
          <w:sz w:val="21"/>
          <w:szCs w:val="21"/>
        </w:rPr>
      </w:pPr>
    </w:p>
    <w:p>
      <w:pPr>
        <w:pStyle w:val="116"/>
        <w:wordWrap/>
        <w:spacing w:line="240" w:lineRule="auto"/>
        <w:rPr>
          <w:color w:val="000000" w:themeColor="text1"/>
          <w:sz w:val="21"/>
          <w:szCs w:val="21"/>
        </w:rPr>
      </w:pPr>
    </w:p>
    <w:p>
      <w:pPr>
        <w:pStyle w:val="116"/>
        <w:wordWrap/>
        <w:spacing w:line="240" w:lineRule="auto"/>
        <w:rPr>
          <w:color w:val="000000" w:themeColor="text1"/>
          <w:sz w:val="21"/>
          <w:szCs w:val="21"/>
        </w:rPr>
      </w:pPr>
    </w:p>
    <w:p>
      <w:pPr>
        <w:pStyle w:val="116"/>
        <w:wordWrap/>
        <w:spacing w:line="240" w:lineRule="auto"/>
        <w:rPr>
          <w:color w:val="000000" w:themeColor="text1"/>
          <w:sz w:val="21"/>
          <w:szCs w:val="21"/>
        </w:rPr>
      </w:pPr>
    </w:p>
    <w:p>
      <w:pPr>
        <w:pStyle w:val="116"/>
        <w:wordWrap/>
        <w:spacing w:line="240" w:lineRule="auto"/>
        <w:rPr>
          <w:color w:val="000000" w:themeColor="text1"/>
          <w:sz w:val="21"/>
          <w:szCs w:val="21"/>
        </w:rPr>
        <w:sectPr>
          <w:pgSz w:w="16838" w:h="11906" w:orient="landscape"/>
          <w:pgMar w:top="1797" w:right="1440" w:bottom="1797" w:left="1440" w:header="851" w:footer="992" w:gutter="0"/>
          <w:cols w:space="720" w:num="1"/>
          <w:docGrid w:linePitch="312" w:charSpace="0"/>
        </w:sectPr>
      </w:pPr>
    </w:p>
    <w:p>
      <w:pPr>
        <w:pStyle w:val="116"/>
        <w:wordWrap/>
        <w:spacing w:line="240" w:lineRule="auto"/>
        <w:rPr>
          <w:color w:val="000000" w:themeColor="text1"/>
          <w:sz w:val="21"/>
          <w:szCs w:val="21"/>
        </w:rPr>
      </w:pPr>
    </w:p>
    <w:p>
      <w:pPr>
        <w:pStyle w:val="116"/>
        <w:wordWrap/>
        <w:spacing w:line="240" w:lineRule="auto"/>
        <w:rPr>
          <w:color w:val="000000" w:themeColor="text1"/>
          <w:sz w:val="21"/>
          <w:szCs w:val="21"/>
        </w:rPr>
      </w:pPr>
      <w:r>
        <w:rPr>
          <w:color w:val="000000" w:themeColor="text1"/>
          <w:sz w:val="21"/>
          <w:szCs w:val="21"/>
        </w:rPr>
        <w:t>表2.6-</w:t>
      </w:r>
      <w:r>
        <w:rPr>
          <w:rFonts w:hint="eastAsia"/>
          <w:color w:val="000000" w:themeColor="text1"/>
          <w:sz w:val="21"/>
          <w:szCs w:val="21"/>
        </w:rPr>
        <w:t>3</w:t>
      </w:r>
      <w:r>
        <w:rPr>
          <w:color w:val="000000" w:themeColor="text1"/>
          <w:sz w:val="21"/>
          <w:szCs w:val="21"/>
        </w:rPr>
        <w:t xml:space="preserve">  </w:t>
      </w:r>
      <w:r>
        <w:rPr>
          <w:rFonts w:hint="eastAsia"/>
          <w:color w:val="000000" w:themeColor="text1"/>
          <w:sz w:val="21"/>
          <w:szCs w:val="21"/>
        </w:rPr>
        <w:t>估算模型参数表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3"/>
        <w:gridCol w:w="2843"/>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参数</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农村/城市选项</w:t>
            </w: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农村/城市</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人口数（城市选项时）</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最高环境温度/℃</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33.2（1971~2000年）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最低环境温度/℃</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-27（1971~2000年）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土地利用类型</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区域湿度条件</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是否考虑地形</w:t>
            </w: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考虑地形</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13"/>
                <w:szCs w:val="13"/>
                <w:bdr w:val="single" w:color="auto" w:sz="4" w:space="0"/>
              </w:rPr>
              <w:t>√</w:t>
            </w:r>
            <w:r>
              <w:rPr>
                <w:rFonts w:hint="eastAsia" w:ascii="Times New Roman" w:hAnsi="Times New Roman" w:cs="Times New Roman"/>
                <w:color w:val="000000" w:themeColor="text1"/>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地形数据分辨率</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是否考虑岸线熏烟</w:t>
            </w: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考虑虑岸线熏烟</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 xml:space="preserve">□是       </w:t>
            </w:r>
            <w:r>
              <w:rPr>
                <w:rFonts w:hint="eastAsia" w:ascii="Times New Roman" w:hAnsi="Times New Roman" w:cs="Times New Roman"/>
                <w:color w:val="000000" w:themeColor="text1"/>
                <w:sz w:val="13"/>
                <w:szCs w:val="13"/>
                <w:bdr w:val="single" w:color="auto" w:sz="4" w:space="0"/>
              </w:rPr>
              <w:t>√</w:t>
            </w:r>
            <w:r>
              <w:rPr>
                <w:rFonts w:hint="eastAsia" w:ascii="Times New Roman" w:hAnsi="Times New Roman" w:cs="Times New Roman"/>
                <w:color w:val="000000" w:themeColor="text1"/>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岸线距离/km</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岸线方向/°</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w:t>
            </w:r>
          </w:p>
        </w:tc>
      </w:tr>
    </w:tbl>
    <w:p>
      <w:pPr>
        <w:adjustRightInd w:val="0"/>
        <w:snapToGrid w:val="0"/>
        <w:ind w:firstLine="480" w:firstLineChars="200"/>
        <w:rPr>
          <w:color w:val="000000" w:themeColor="text1"/>
          <w:sz w:val="24"/>
        </w:rPr>
      </w:pPr>
      <w:r>
        <w:rPr>
          <w:rFonts w:hint="eastAsia"/>
          <w:color w:val="000000" w:themeColor="text1"/>
          <w:sz w:val="24"/>
        </w:rPr>
        <w:t>本项目所有污染源的正常排放的污染物的Pmax和D10%预测结果如下：</w:t>
      </w:r>
    </w:p>
    <w:p>
      <w:pPr>
        <w:adjustRightInd w:val="0"/>
        <w:snapToGrid w:val="0"/>
        <w:spacing w:line="240" w:lineRule="auto"/>
        <w:ind w:firstLine="422" w:firstLineChars="200"/>
        <w:jc w:val="center"/>
        <w:rPr>
          <w:b/>
          <w:color w:val="000000" w:themeColor="text1"/>
          <w:szCs w:val="21"/>
        </w:rPr>
      </w:pPr>
      <w:r>
        <w:rPr>
          <w:b/>
          <w:color w:val="000000" w:themeColor="text1"/>
          <w:szCs w:val="21"/>
        </w:rPr>
        <w:t>表2.6-</w:t>
      </w:r>
      <w:r>
        <w:rPr>
          <w:rFonts w:hint="eastAsia"/>
          <w:b/>
          <w:color w:val="000000" w:themeColor="text1"/>
          <w:szCs w:val="21"/>
        </w:rPr>
        <w:t>4</w:t>
      </w:r>
      <w:r>
        <w:rPr>
          <w:b/>
          <w:color w:val="000000" w:themeColor="text1"/>
          <w:szCs w:val="21"/>
        </w:rPr>
        <w:t xml:space="preserve">  P</w:t>
      </w:r>
      <w:r>
        <w:rPr>
          <w:b/>
          <w:color w:val="000000" w:themeColor="text1"/>
          <w:szCs w:val="21"/>
          <w:vertAlign w:val="subscript"/>
        </w:rPr>
        <w:t>max</w:t>
      </w:r>
      <w:r>
        <w:rPr>
          <w:b/>
          <w:color w:val="000000" w:themeColor="text1"/>
          <w:szCs w:val="21"/>
        </w:rPr>
        <w:t>和D</w:t>
      </w:r>
      <w:r>
        <w:rPr>
          <w:b/>
          <w:color w:val="000000" w:themeColor="text1"/>
          <w:szCs w:val="21"/>
          <w:vertAlign w:val="subscript"/>
        </w:rPr>
        <w:t>10%</w:t>
      </w:r>
      <w:r>
        <w:rPr>
          <w:b/>
          <w:color w:val="000000" w:themeColor="text1"/>
          <w:szCs w:val="21"/>
        </w:rPr>
        <w:t>预测和计算结果一览表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422"/>
        <w:gridCol w:w="1422"/>
        <w:gridCol w:w="1421"/>
        <w:gridCol w:w="142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vAlign w:val="center"/>
          </w:tcPr>
          <w:p>
            <w:pPr>
              <w:spacing w:line="240" w:lineRule="auto"/>
              <w:jc w:val="center"/>
              <w:rPr>
                <w:b/>
                <w:color w:val="000000" w:themeColor="text1"/>
                <w:szCs w:val="21"/>
              </w:rPr>
            </w:pPr>
            <w:r>
              <w:rPr>
                <w:b/>
                <w:color w:val="000000" w:themeColor="text1"/>
                <w:szCs w:val="21"/>
              </w:rPr>
              <w:t>污染源名称</w:t>
            </w:r>
          </w:p>
        </w:tc>
        <w:tc>
          <w:tcPr>
            <w:tcW w:w="834" w:type="pct"/>
            <w:vAlign w:val="center"/>
          </w:tcPr>
          <w:p>
            <w:pPr>
              <w:spacing w:line="240" w:lineRule="auto"/>
              <w:jc w:val="center"/>
              <w:rPr>
                <w:b/>
                <w:color w:val="000000" w:themeColor="text1"/>
                <w:szCs w:val="21"/>
              </w:rPr>
            </w:pPr>
            <w:r>
              <w:rPr>
                <w:b/>
                <w:color w:val="000000" w:themeColor="text1"/>
                <w:szCs w:val="21"/>
              </w:rPr>
              <w:t>评价因子</w:t>
            </w:r>
          </w:p>
        </w:tc>
        <w:tc>
          <w:tcPr>
            <w:tcW w:w="834" w:type="pct"/>
            <w:vAlign w:val="center"/>
          </w:tcPr>
          <w:p>
            <w:pPr>
              <w:spacing w:line="240" w:lineRule="auto"/>
              <w:jc w:val="center"/>
              <w:rPr>
                <w:b/>
                <w:color w:val="000000" w:themeColor="text1"/>
                <w:szCs w:val="21"/>
              </w:rPr>
            </w:pPr>
            <w:r>
              <w:rPr>
                <w:b/>
                <w:color w:val="000000" w:themeColor="text1"/>
                <w:szCs w:val="21"/>
              </w:rPr>
              <w:t>评价标准</w:t>
            </w:r>
            <w:r>
              <w:rPr>
                <w:rFonts w:hint="eastAsia"/>
                <w:b/>
                <w:color w:val="000000" w:themeColor="text1"/>
                <w:szCs w:val="21"/>
              </w:rPr>
              <w:t>(</w:t>
            </w:r>
            <w:r>
              <w:rPr>
                <w:b/>
                <w:color w:val="000000" w:themeColor="text1"/>
                <w:szCs w:val="21"/>
              </w:rPr>
              <w:t>μg/m</w:t>
            </w:r>
            <w:r>
              <w:rPr>
                <w:b/>
                <w:color w:val="000000" w:themeColor="text1"/>
                <w:szCs w:val="21"/>
                <w:vertAlign w:val="superscript"/>
              </w:rPr>
              <w:t>3</w:t>
            </w:r>
            <w:r>
              <w:rPr>
                <w:rFonts w:hint="eastAsia"/>
                <w:b/>
                <w:color w:val="000000" w:themeColor="text1"/>
                <w:szCs w:val="21"/>
              </w:rPr>
              <w:t>)</w:t>
            </w:r>
          </w:p>
        </w:tc>
        <w:tc>
          <w:tcPr>
            <w:tcW w:w="833" w:type="pct"/>
            <w:vAlign w:val="center"/>
          </w:tcPr>
          <w:p>
            <w:pPr>
              <w:spacing w:line="240" w:lineRule="auto"/>
              <w:jc w:val="center"/>
              <w:rPr>
                <w:b/>
                <w:color w:val="000000" w:themeColor="text1"/>
                <w:szCs w:val="21"/>
              </w:rPr>
            </w:pPr>
            <w:r>
              <w:rPr>
                <w:b/>
                <w:color w:val="000000" w:themeColor="text1"/>
                <w:szCs w:val="21"/>
              </w:rPr>
              <w:t>C</w:t>
            </w:r>
            <w:r>
              <w:rPr>
                <w:rFonts w:hint="eastAsia"/>
                <w:b/>
                <w:color w:val="000000" w:themeColor="text1"/>
                <w:szCs w:val="21"/>
                <w:vertAlign w:val="subscript"/>
              </w:rPr>
              <w:t>max</w:t>
            </w:r>
          </w:p>
          <w:p>
            <w:pPr>
              <w:spacing w:line="240" w:lineRule="auto"/>
              <w:jc w:val="center"/>
              <w:rPr>
                <w:b/>
                <w:color w:val="000000" w:themeColor="text1"/>
                <w:szCs w:val="21"/>
              </w:rPr>
            </w:pPr>
            <w:r>
              <w:rPr>
                <w:b/>
                <w:color w:val="000000" w:themeColor="text1"/>
                <w:szCs w:val="21"/>
              </w:rPr>
              <w:t>(μg/m</w:t>
            </w:r>
            <w:r>
              <w:rPr>
                <w:b/>
                <w:color w:val="000000" w:themeColor="text1"/>
                <w:szCs w:val="21"/>
                <w:vertAlign w:val="superscript"/>
              </w:rPr>
              <w:t>3</w:t>
            </w:r>
            <w:r>
              <w:rPr>
                <w:b/>
                <w:color w:val="000000" w:themeColor="text1"/>
                <w:szCs w:val="21"/>
              </w:rPr>
              <w:t>)</w:t>
            </w:r>
          </w:p>
        </w:tc>
        <w:tc>
          <w:tcPr>
            <w:tcW w:w="834" w:type="pct"/>
            <w:vAlign w:val="center"/>
          </w:tcPr>
          <w:p>
            <w:pPr>
              <w:spacing w:line="240" w:lineRule="auto"/>
              <w:jc w:val="center"/>
              <w:rPr>
                <w:b/>
                <w:color w:val="000000" w:themeColor="text1"/>
                <w:szCs w:val="21"/>
              </w:rPr>
            </w:pPr>
            <w:r>
              <w:rPr>
                <w:b/>
                <w:color w:val="000000" w:themeColor="text1"/>
                <w:szCs w:val="21"/>
              </w:rPr>
              <w:t>P</w:t>
            </w:r>
            <w:r>
              <w:rPr>
                <w:rFonts w:hint="eastAsia"/>
                <w:b/>
                <w:color w:val="000000" w:themeColor="text1"/>
                <w:szCs w:val="21"/>
                <w:vertAlign w:val="subscript"/>
              </w:rPr>
              <w:t>max</w:t>
            </w:r>
          </w:p>
          <w:p>
            <w:pPr>
              <w:spacing w:line="240" w:lineRule="auto"/>
              <w:jc w:val="center"/>
              <w:rPr>
                <w:b/>
                <w:color w:val="000000" w:themeColor="text1"/>
                <w:szCs w:val="21"/>
              </w:rPr>
            </w:pPr>
            <w:r>
              <w:rPr>
                <w:b/>
                <w:color w:val="000000" w:themeColor="text1"/>
                <w:szCs w:val="21"/>
              </w:rPr>
              <w:t>(%)</w:t>
            </w:r>
          </w:p>
        </w:tc>
        <w:tc>
          <w:tcPr>
            <w:tcW w:w="831" w:type="pct"/>
            <w:vAlign w:val="center"/>
          </w:tcPr>
          <w:p>
            <w:pPr>
              <w:spacing w:line="240" w:lineRule="auto"/>
              <w:jc w:val="center"/>
              <w:rPr>
                <w:b/>
                <w:color w:val="000000" w:themeColor="text1"/>
                <w:szCs w:val="21"/>
              </w:rPr>
            </w:pPr>
            <w:r>
              <w:rPr>
                <w:b/>
                <w:color w:val="000000" w:themeColor="text1"/>
                <w:szCs w:val="21"/>
              </w:rPr>
              <w:t>D</w:t>
            </w:r>
            <w:r>
              <w:rPr>
                <w:b/>
                <w:color w:val="000000" w:themeColor="text1"/>
                <w:szCs w:val="21"/>
                <w:vertAlign w:val="subscript"/>
              </w:rPr>
              <w:t>10%</w:t>
            </w:r>
          </w:p>
          <w:p>
            <w:pPr>
              <w:spacing w:line="240" w:lineRule="auto"/>
              <w:jc w:val="center"/>
              <w:rPr>
                <w:b/>
                <w:color w:val="000000" w:themeColor="text1"/>
                <w:szCs w:val="21"/>
              </w:rPr>
            </w:pPr>
            <w:r>
              <w:rPr>
                <w:b/>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vMerge w:val="restart"/>
            <w:vAlign w:val="center"/>
          </w:tcPr>
          <w:p>
            <w:pPr>
              <w:spacing w:line="240" w:lineRule="auto"/>
              <w:jc w:val="center"/>
              <w:rPr>
                <w:color w:val="000000" w:themeColor="text1"/>
                <w:szCs w:val="21"/>
              </w:rPr>
            </w:pPr>
            <w:r>
              <w:rPr>
                <w:color w:val="000000" w:themeColor="text1"/>
                <w:szCs w:val="21"/>
              </w:rPr>
              <w:t>矩形面源</w:t>
            </w:r>
          </w:p>
        </w:tc>
        <w:tc>
          <w:tcPr>
            <w:tcW w:w="834" w:type="pct"/>
            <w:vAlign w:val="center"/>
          </w:tcPr>
          <w:p>
            <w:pPr>
              <w:spacing w:line="240" w:lineRule="exact"/>
              <w:jc w:val="center"/>
              <w:rPr>
                <w:color w:val="000000" w:themeColor="text1"/>
                <w:szCs w:val="21"/>
              </w:rPr>
            </w:pPr>
            <w:r>
              <w:rPr>
                <w:rFonts w:hint="eastAsia"/>
                <w:color w:val="000000" w:themeColor="text1"/>
                <w:szCs w:val="21"/>
              </w:rPr>
              <w:t>NH</w:t>
            </w:r>
            <w:r>
              <w:rPr>
                <w:rFonts w:hint="eastAsia"/>
                <w:color w:val="000000" w:themeColor="text1"/>
                <w:szCs w:val="21"/>
                <w:vertAlign w:val="subscript"/>
              </w:rPr>
              <w:t>3</w:t>
            </w:r>
          </w:p>
        </w:tc>
        <w:tc>
          <w:tcPr>
            <w:tcW w:w="834" w:type="pct"/>
            <w:vAlign w:val="center"/>
          </w:tcPr>
          <w:p>
            <w:pPr>
              <w:spacing w:line="240" w:lineRule="auto"/>
              <w:jc w:val="center"/>
              <w:rPr>
                <w:color w:val="000000" w:themeColor="text1"/>
                <w:szCs w:val="21"/>
              </w:rPr>
            </w:pPr>
            <w:r>
              <w:rPr>
                <w:color w:val="000000" w:themeColor="text1"/>
                <w:szCs w:val="21"/>
              </w:rPr>
              <w:t>200.0</w:t>
            </w:r>
          </w:p>
        </w:tc>
        <w:tc>
          <w:tcPr>
            <w:tcW w:w="833" w:type="pct"/>
            <w:vAlign w:val="center"/>
          </w:tcPr>
          <w:p>
            <w:pPr>
              <w:spacing w:line="240" w:lineRule="auto"/>
              <w:jc w:val="center"/>
              <w:rPr>
                <w:color w:val="000000" w:themeColor="text1"/>
                <w:szCs w:val="21"/>
              </w:rPr>
            </w:pPr>
            <w:r>
              <w:rPr>
                <w:rFonts w:hint="eastAsia"/>
                <w:color w:val="000000" w:themeColor="text1"/>
                <w:szCs w:val="21"/>
              </w:rPr>
              <w:t>13.80</w:t>
            </w:r>
          </w:p>
        </w:tc>
        <w:tc>
          <w:tcPr>
            <w:tcW w:w="834" w:type="pct"/>
            <w:vAlign w:val="center"/>
          </w:tcPr>
          <w:p>
            <w:pPr>
              <w:spacing w:line="240" w:lineRule="auto"/>
              <w:jc w:val="center"/>
              <w:rPr>
                <w:color w:val="000000" w:themeColor="text1"/>
                <w:szCs w:val="21"/>
              </w:rPr>
            </w:pPr>
            <w:r>
              <w:rPr>
                <w:rFonts w:hint="eastAsia"/>
                <w:color w:val="000000" w:themeColor="text1"/>
                <w:szCs w:val="21"/>
              </w:rPr>
              <w:t>6.90</w:t>
            </w:r>
          </w:p>
        </w:tc>
        <w:tc>
          <w:tcPr>
            <w:tcW w:w="831" w:type="pct"/>
            <w:vAlign w:val="center"/>
          </w:tcPr>
          <w:p>
            <w:pPr>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vMerge w:val="continue"/>
            <w:vAlign w:val="center"/>
          </w:tcPr>
          <w:p>
            <w:pPr>
              <w:spacing w:line="240" w:lineRule="auto"/>
              <w:jc w:val="center"/>
              <w:rPr>
                <w:color w:val="000000" w:themeColor="text1"/>
                <w:szCs w:val="21"/>
              </w:rPr>
            </w:pPr>
          </w:p>
        </w:tc>
        <w:tc>
          <w:tcPr>
            <w:tcW w:w="834" w:type="pct"/>
            <w:vAlign w:val="center"/>
          </w:tcPr>
          <w:p>
            <w:pPr>
              <w:spacing w:line="240" w:lineRule="exact"/>
              <w:jc w:val="center"/>
              <w:rPr>
                <w:color w:val="000000" w:themeColor="text1"/>
                <w:szCs w:val="21"/>
              </w:rPr>
            </w:pPr>
            <w:r>
              <w:rPr>
                <w:rFonts w:hint="eastAsia"/>
                <w:color w:val="000000" w:themeColor="text1"/>
                <w:szCs w:val="21"/>
              </w:rPr>
              <w:t>H</w:t>
            </w:r>
            <w:r>
              <w:rPr>
                <w:rFonts w:hint="eastAsia"/>
                <w:color w:val="000000" w:themeColor="text1"/>
                <w:szCs w:val="21"/>
                <w:vertAlign w:val="subscript"/>
              </w:rPr>
              <w:t>2</w:t>
            </w:r>
            <w:r>
              <w:rPr>
                <w:rFonts w:hint="eastAsia"/>
                <w:color w:val="000000" w:themeColor="text1"/>
                <w:szCs w:val="21"/>
              </w:rPr>
              <w:t>S</w:t>
            </w:r>
          </w:p>
        </w:tc>
        <w:tc>
          <w:tcPr>
            <w:tcW w:w="834" w:type="pct"/>
            <w:vAlign w:val="center"/>
          </w:tcPr>
          <w:p>
            <w:pPr>
              <w:spacing w:line="240" w:lineRule="auto"/>
              <w:jc w:val="center"/>
              <w:rPr>
                <w:color w:val="000000" w:themeColor="text1"/>
                <w:szCs w:val="21"/>
              </w:rPr>
            </w:pPr>
            <w:r>
              <w:rPr>
                <w:color w:val="000000" w:themeColor="text1"/>
                <w:szCs w:val="21"/>
              </w:rPr>
              <w:t>10.0</w:t>
            </w:r>
          </w:p>
        </w:tc>
        <w:tc>
          <w:tcPr>
            <w:tcW w:w="833" w:type="pct"/>
            <w:vAlign w:val="center"/>
          </w:tcPr>
          <w:p>
            <w:pPr>
              <w:spacing w:line="240" w:lineRule="auto"/>
              <w:jc w:val="center"/>
              <w:rPr>
                <w:color w:val="000000" w:themeColor="text1"/>
                <w:szCs w:val="21"/>
              </w:rPr>
            </w:pPr>
            <w:r>
              <w:rPr>
                <w:rFonts w:hint="eastAsia"/>
                <w:color w:val="000000" w:themeColor="text1"/>
                <w:szCs w:val="21"/>
              </w:rPr>
              <w:t>0.77</w:t>
            </w:r>
          </w:p>
        </w:tc>
        <w:tc>
          <w:tcPr>
            <w:tcW w:w="834" w:type="pct"/>
            <w:vAlign w:val="center"/>
          </w:tcPr>
          <w:p>
            <w:pPr>
              <w:spacing w:line="240" w:lineRule="auto"/>
              <w:jc w:val="center"/>
              <w:rPr>
                <w:color w:val="000000" w:themeColor="text1"/>
                <w:szCs w:val="21"/>
              </w:rPr>
            </w:pPr>
            <w:r>
              <w:rPr>
                <w:rFonts w:hint="eastAsia"/>
                <w:color w:val="000000" w:themeColor="text1"/>
                <w:szCs w:val="21"/>
              </w:rPr>
              <w:t>7.67</w:t>
            </w:r>
          </w:p>
        </w:tc>
        <w:tc>
          <w:tcPr>
            <w:tcW w:w="831" w:type="pct"/>
            <w:vAlign w:val="center"/>
          </w:tcPr>
          <w:p>
            <w:pPr>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vMerge w:val="restart"/>
            <w:vAlign w:val="center"/>
          </w:tcPr>
          <w:p>
            <w:pPr>
              <w:spacing w:line="240" w:lineRule="auto"/>
              <w:jc w:val="center"/>
              <w:rPr>
                <w:color w:val="000000" w:themeColor="text1"/>
                <w:szCs w:val="21"/>
              </w:rPr>
            </w:pPr>
            <w:r>
              <w:rPr>
                <w:rFonts w:hint="eastAsia"/>
                <w:color w:val="000000" w:themeColor="text1"/>
                <w:szCs w:val="21"/>
              </w:rPr>
              <w:t>点源</w:t>
            </w:r>
          </w:p>
        </w:tc>
        <w:tc>
          <w:tcPr>
            <w:tcW w:w="834" w:type="pct"/>
            <w:vAlign w:val="center"/>
          </w:tcPr>
          <w:p>
            <w:pPr>
              <w:spacing w:line="240" w:lineRule="exact"/>
              <w:jc w:val="center"/>
              <w:rPr>
                <w:color w:val="000000" w:themeColor="text1"/>
                <w:szCs w:val="21"/>
              </w:rPr>
            </w:pPr>
            <w:r>
              <w:rPr>
                <w:rFonts w:hint="eastAsia"/>
                <w:color w:val="000000" w:themeColor="text1"/>
                <w:szCs w:val="21"/>
              </w:rPr>
              <w:t>SO</w:t>
            </w:r>
            <w:r>
              <w:rPr>
                <w:rFonts w:hint="eastAsia"/>
                <w:color w:val="000000" w:themeColor="text1"/>
                <w:szCs w:val="21"/>
                <w:vertAlign w:val="subscript"/>
              </w:rPr>
              <w:t>2</w:t>
            </w:r>
          </w:p>
        </w:tc>
        <w:tc>
          <w:tcPr>
            <w:tcW w:w="834" w:type="pct"/>
            <w:vAlign w:val="center"/>
          </w:tcPr>
          <w:p>
            <w:pPr>
              <w:spacing w:line="240" w:lineRule="auto"/>
              <w:jc w:val="center"/>
              <w:rPr>
                <w:color w:val="000000" w:themeColor="text1"/>
                <w:szCs w:val="21"/>
              </w:rPr>
            </w:pPr>
            <w:r>
              <w:rPr>
                <w:rFonts w:hint="eastAsia"/>
                <w:color w:val="000000" w:themeColor="text1"/>
                <w:szCs w:val="21"/>
              </w:rPr>
              <w:t>500</w:t>
            </w:r>
          </w:p>
        </w:tc>
        <w:tc>
          <w:tcPr>
            <w:tcW w:w="833" w:type="pct"/>
            <w:vAlign w:val="center"/>
          </w:tcPr>
          <w:p>
            <w:pPr>
              <w:spacing w:line="240" w:lineRule="auto"/>
              <w:jc w:val="center"/>
              <w:rPr>
                <w:color w:val="000000" w:themeColor="text1"/>
                <w:szCs w:val="21"/>
              </w:rPr>
            </w:pPr>
            <w:r>
              <w:rPr>
                <w:rFonts w:hint="eastAsia"/>
                <w:color w:val="000000" w:themeColor="text1"/>
                <w:szCs w:val="21"/>
              </w:rPr>
              <w:t>0.05</w:t>
            </w:r>
          </w:p>
        </w:tc>
        <w:tc>
          <w:tcPr>
            <w:tcW w:w="834" w:type="pct"/>
            <w:vAlign w:val="center"/>
          </w:tcPr>
          <w:p>
            <w:pPr>
              <w:spacing w:line="240" w:lineRule="auto"/>
              <w:jc w:val="center"/>
              <w:rPr>
                <w:color w:val="000000" w:themeColor="text1"/>
                <w:szCs w:val="21"/>
              </w:rPr>
            </w:pPr>
            <w:r>
              <w:rPr>
                <w:rFonts w:hint="eastAsia"/>
                <w:color w:val="000000" w:themeColor="text1"/>
                <w:szCs w:val="21"/>
              </w:rPr>
              <w:t>0.01</w:t>
            </w:r>
          </w:p>
        </w:tc>
        <w:tc>
          <w:tcPr>
            <w:tcW w:w="831" w:type="pct"/>
            <w:vAlign w:val="center"/>
          </w:tcPr>
          <w:p>
            <w:pPr>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vMerge w:val="continue"/>
            <w:vAlign w:val="center"/>
          </w:tcPr>
          <w:p>
            <w:pPr>
              <w:spacing w:line="240" w:lineRule="auto"/>
              <w:jc w:val="center"/>
              <w:rPr>
                <w:color w:val="000000" w:themeColor="text1"/>
                <w:szCs w:val="21"/>
              </w:rPr>
            </w:pPr>
          </w:p>
        </w:tc>
        <w:tc>
          <w:tcPr>
            <w:tcW w:w="834" w:type="pct"/>
            <w:vAlign w:val="center"/>
          </w:tcPr>
          <w:p>
            <w:pPr>
              <w:spacing w:line="240" w:lineRule="exact"/>
              <w:jc w:val="center"/>
              <w:rPr>
                <w:color w:val="000000" w:themeColor="text1"/>
                <w:szCs w:val="21"/>
              </w:rPr>
            </w:pPr>
            <w:r>
              <w:rPr>
                <w:rFonts w:hint="eastAsia"/>
                <w:color w:val="000000" w:themeColor="text1"/>
                <w:szCs w:val="21"/>
              </w:rPr>
              <w:t>NO</w:t>
            </w:r>
            <w:r>
              <w:rPr>
                <w:rFonts w:hint="eastAsia"/>
                <w:color w:val="000000" w:themeColor="text1"/>
                <w:szCs w:val="21"/>
                <w:vertAlign w:val="subscript"/>
              </w:rPr>
              <w:t>X</w:t>
            </w:r>
          </w:p>
        </w:tc>
        <w:tc>
          <w:tcPr>
            <w:tcW w:w="834" w:type="pct"/>
            <w:vAlign w:val="center"/>
          </w:tcPr>
          <w:p>
            <w:pPr>
              <w:spacing w:line="240" w:lineRule="auto"/>
              <w:jc w:val="center"/>
              <w:rPr>
                <w:color w:val="000000" w:themeColor="text1"/>
                <w:szCs w:val="21"/>
              </w:rPr>
            </w:pPr>
            <w:r>
              <w:rPr>
                <w:rFonts w:hint="eastAsia"/>
                <w:color w:val="000000" w:themeColor="text1"/>
                <w:szCs w:val="21"/>
              </w:rPr>
              <w:t>200</w:t>
            </w:r>
          </w:p>
        </w:tc>
        <w:tc>
          <w:tcPr>
            <w:tcW w:w="833" w:type="pct"/>
            <w:vAlign w:val="center"/>
          </w:tcPr>
          <w:p>
            <w:pPr>
              <w:spacing w:line="240" w:lineRule="auto"/>
              <w:jc w:val="center"/>
              <w:rPr>
                <w:color w:val="000000" w:themeColor="text1"/>
                <w:szCs w:val="21"/>
              </w:rPr>
            </w:pPr>
            <w:r>
              <w:rPr>
                <w:rFonts w:hint="eastAsia"/>
                <w:color w:val="000000" w:themeColor="text1"/>
                <w:szCs w:val="21"/>
              </w:rPr>
              <w:t>0.07</w:t>
            </w:r>
          </w:p>
        </w:tc>
        <w:tc>
          <w:tcPr>
            <w:tcW w:w="834" w:type="pct"/>
            <w:vAlign w:val="center"/>
          </w:tcPr>
          <w:p>
            <w:pPr>
              <w:spacing w:line="240" w:lineRule="auto"/>
              <w:jc w:val="center"/>
              <w:rPr>
                <w:color w:val="000000" w:themeColor="text1"/>
                <w:szCs w:val="21"/>
              </w:rPr>
            </w:pPr>
            <w:r>
              <w:rPr>
                <w:rFonts w:hint="eastAsia"/>
                <w:color w:val="000000" w:themeColor="text1"/>
                <w:szCs w:val="21"/>
              </w:rPr>
              <w:t>0.04</w:t>
            </w:r>
          </w:p>
        </w:tc>
        <w:tc>
          <w:tcPr>
            <w:tcW w:w="831" w:type="pct"/>
            <w:vAlign w:val="center"/>
          </w:tcPr>
          <w:p>
            <w:pPr>
              <w:spacing w:line="240" w:lineRule="auto"/>
              <w:jc w:val="center"/>
              <w:rPr>
                <w:color w:val="000000" w:themeColor="text1"/>
                <w:szCs w:val="21"/>
              </w:rPr>
            </w:pPr>
          </w:p>
        </w:tc>
      </w:tr>
    </w:tbl>
    <w:p>
      <w:pPr>
        <w:adjustRightInd w:val="0"/>
        <w:snapToGrid w:val="0"/>
        <w:ind w:firstLine="480" w:firstLineChars="200"/>
        <w:rPr>
          <w:color w:val="000000" w:themeColor="text1"/>
          <w:sz w:val="24"/>
        </w:rPr>
      </w:pPr>
      <w:r>
        <w:rPr>
          <w:rFonts w:hint="eastAsia"/>
          <w:color w:val="000000" w:themeColor="text1"/>
          <w:sz w:val="24"/>
        </w:rPr>
        <w:t>评价等级按下表的分级判据进行划分。</w:t>
      </w:r>
    </w:p>
    <w:p>
      <w:pPr>
        <w:pStyle w:val="116"/>
        <w:wordWrap/>
        <w:spacing w:line="240" w:lineRule="auto"/>
        <w:rPr>
          <w:color w:val="000000" w:themeColor="text1"/>
          <w:sz w:val="21"/>
          <w:szCs w:val="21"/>
        </w:rPr>
      </w:pPr>
      <w:r>
        <w:rPr>
          <w:color w:val="000000" w:themeColor="text1"/>
          <w:sz w:val="21"/>
          <w:szCs w:val="21"/>
        </w:rPr>
        <w:t>表2.6-</w:t>
      </w:r>
      <w:r>
        <w:rPr>
          <w:rFonts w:hint="eastAsia"/>
          <w:color w:val="000000" w:themeColor="text1"/>
          <w:sz w:val="21"/>
          <w:szCs w:val="21"/>
        </w:rPr>
        <w:t>5</w:t>
      </w:r>
      <w:r>
        <w:rPr>
          <w:color w:val="000000" w:themeColor="text1"/>
          <w:sz w:val="21"/>
          <w:szCs w:val="21"/>
        </w:rPr>
        <w:t xml:space="preserve">  大气评价工作等级</w:t>
      </w:r>
    </w:p>
    <w:tbl>
      <w:tblPr>
        <w:tblStyle w:val="42"/>
        <w:tblW w:w="8505" w:type="dxa"/>
        <w:tblInd w:w="0" w:type="dxa"/>
        <w:tblLayout w:type="fixed"/>
        <w:tblCellMar>
          <w:top w:w="0" w:type="dxa"/>
          <w:left w:w="108" w:type="dxa"/>
          <w:bottom w:w="0" w:type="dxa"/>
          <w:right w:w="108" w:type="dxa"/>
        </w:tblCellMar>
      </w:tblPr>
      <w:tblGrid>
        <w:gridCol w:w="3860"/>
        <w:gridCol w:w="4645"/>
      </w:tblGrid>
      <w:tr>
        <w:tblPrEx>
          <w:tblCellMar>
            <w:top w:w="0" w:type="dxa"/>
            <w:left w:w="108" w:type="dxa"/>
            <w:bottom w:w="0" w:type="dxa"/>
            <w:right w:w="108" w:type="dxa"/>
          </w:tblCellMar>
        </w:tblPrEx>
        <w:tc>
          <w:tcPr>
            <w:tcW w:w="3860" w:type="dxa"/>
            <w:tcBorders>
              <w:top w:val="single" w:color="000000" w:sz="4" w:space="0"/>
              <w:left w:val="single" w:color="000000"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color w:val="000000" w:themeColor="text1"/>
              </w:rPr>
            </w:pPr>
            <w:r>
              <w:rPr>
                <w:rFonts w:ascii="Times New Roman" w:hAnsi="Times New Roman" w:cs="Times New Roman"/>
                <w:color w:val="000000" w:themeColor="text1"/>
              </w:rPr>
              <w:t>评价工作等级</w:t>
            </w:r>
          </w:p>
        </w:tc>
        <w:tc>
          <w:tcPr>
            <w:tcW w:w="4645" w:type="dxa"/>
            <w:tcBorders>
              <w:top w:val="single" w:color="000000" w:sz="4" w:space="0"/>
              <w:left w:val="nil"/>
              <w:bottom w:val="single" w:color="000000" w:sz="4" w:space="0"/>
              <w:right w:val="single" w:color="000000" w:sz="4" w:space="0"/>
            </w:tcBorders>
            <w:vAlign w:val="center"/>
          </w:tcPr>
          <w:p>
            <w:pPr>
              <w:pStyle w:val="115"/>
              <w:wordWrap/>
              <w:spacing w:line="240" w:lineRule="auto"/>
              <w:rPr>
                <w:rFonts w:ascii="Times New Roman" w:hAnsi="Times New Roman" w:cs="Times New Roman"/>
                <w:color w:val="000000" w:themeColor="text1"/>
              </w:rPr>
            </w:pPr>
            <w:r>
              <w:rPr>
                <w:rFonts w:ascii="Times New Roman" w:hAnsi="Times New Roman" w:cs="Times New Roman"/>
                <w:color w:val="000000" w:themeColor="text1"/>
              </w:rPr>
              <w:t>评价工作分级判据</w:t>
            </w:r>
          </w:p>
        </w:tc>
      </w:tr>
      <w:tr>
        <w:tblPrEx>
          <w:tblCellMar>
            <w:top w:w="0" w:type="dxa"/>
            <w:left w:w="108" w:type="dxa"/>
            <w:bottom w:w="0" w:type="dxa"/>
            <w:right w:w="108" w:type="dxa"/>
          </w:tblCellMar>
        </w:tblPrEx>
        <w:tc>
          <w:tcPr>
            <w:tcW w:w="3860" w:type="dxa"/>
            <w:tcBorders>
              <w:top w:val="single" w:color="000000" w:sz="4" w:space="0"/>
              <w:left w:val="single" w:color="000000"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rPr>
            </w:pPr>
            <w:r>
              <w:rPr>
                <w:rFonts w:ascii="Times New Roman" w:hAnsi="Times New Roman" w:cs="Times New Roman"/>
                <w:b w:val="0"/>
                <w:color w:val="000000" w:themeColor="text1"/>
              </w:rPr>
              <w:t>一级</w:t>
            </w:r>
          </w:p>
        </w:tc>
        <w:tc>
          <w:tcPr>
            <w:tcW w:w="4645" w:type="dxa"/>
            <w:tcBorders>
              <w:top w:val="single" w:color="000000" w:sz="4" w:space="0"/>
              <w:left w:val="nil"/>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rPr>
            </w:pPr>
            <w:r>
              <w:rPr>
                <w:rFonts w:ascii="Times New Roman" w:hAnsi="Times New Roman" w:cs="Times New Roman"/>
                <w:b w:val="0"/>
                <w:iCs/>
                <w:color w:val="000000" w:themeColor="text1"/>
              </w:rPr>
              <w:t>Pmax</w:t>
            </w:r>
            <w:r>
              <w:rPr>
                <w:rFonts w:ascii="Times New Roman" w:hAnsi="Times New Roman" w:cs="Times New Roman"/>
                <w:b w:val="0"/>
                <w:color w:val="000000" w:themeColor="text1"/>
              </w:rPr>
              <w:t>≥</w:t>
            </w:r>
            <w:r>
              <w:rPr>
                <w:rFonts w:hint="eastAsia" w:ascii="Times New Roman" w:hAnsi="Times New Roman" w:cs="Times New Roman"/>
                <w:b w:val="0"/>
                <w:color w:val="000000" w:themeColor="text1"/>
              </w:rPr>
              <w:t>10%</w:t>
            </w:r>
          </w:p>
        </w:tc>
      </w:tr>
      <w:tr>
        <w:tblPrEx>
          <w:tblCellMar>
            <w:top w:w="0" w:type="dxa"/>
            <w:left w:w="108" w:type="dxa"/>
            <w:bottom w:w="0" w:type="dxa"/>
            <w:right w:w="108" w:type="dxa"/>
          </w:tblCellMar>
        </w:tblPrEx>
        <w:tc>
          <w:tcPr>
            <w:tcW w:w="3860" w:type="dxa"/>
            <w:tcBorders>
              <w:top w:val="single" w:color="000000" w:sz="4" w:space="0"/>
              <w:left w:val="single" w:color="000000"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rPr>
            </w:pPr>
            <w:r>
              <w:rPr>
                <w:rFonts w:ascii="Times New Roman" w:hAnsi="Times New Roman" w:cs="Times New Roman"/>
                <w:b w:val="0"/>
                <w:color w:val="000000" w:themeColor="text1"/>
              </w:rPr>
              <w:t>二级</w:t>
            </w:r>
          </w:p>
        </w:tc>
        <w:tc>
          <w:tcPr>
            <w:tcW w:w="4645" w:type="dxa"/>
            <w:tcBorders>
              <w:top w:val="single" w:color="000000" w:sz="4" w:space="0"/>
              <w:left w:val="nil"/>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w:t>
            </w:r>
            <w:r>
              <w:rPr>
                <w:rFonts w:ascii="Times New Roman" w:hAnsi="Times New Roman" w:cs="Times New Roman"/>
                <w:b w:val="0"/>
                <w:color w:val="000000" w:themeColor="text1"/>
              </w:rPr>
              <w:t>≤</w:t>
            </w:r>
            <w:r>
              <w:rPr>
                <w:rFonts w:hint="eastAsia" w:ascii="Times New Roman" w:hAnsi="Times New Roman" w:cs="Times New Roman"/>
                <w:b w:val="0"/>
                <w:color w:val="000000" w:themeColor="text1"/>
              </w:rPr>
              <w:t>Pmax&lt;10</w:t>
            </w:r>
            <w:r>
              <w:rPr>
                <w:rFonts w:ascii="Times New Roman" w:hAnsi="Times New Roman" w:cs="Times New Roman"/>
                <w:b w:val="0"/>
                <w:color w:val="000000" w:themeColor="text1"/>
              </w:rPr>
              <w:t>%</w:t>
            </w:r>
          </w:p>
        </w:tc>
      </w:tr>
      <w:tr>
        <w:tblPrEx>
          <w:tblCellMar>
            <w:top w:w="0" w:type="dxa"/>
            <w:left w:w="108" w:type="dxa"/>
            <w:bottom w:w="0" w:type="dxa"/>
            <w:right w:w="108" w:type="dxa"/>
          </w:tblCellMar>
        </w:tblPrEx>
        <w:tc>
          <w:tcPr>
            <w:tcW w:w="3860" w:type="dxa"/>
            <w:tcBorders>
              <w:top w:val="single" w:color="000000" w:sz="4" w:space="0"/>
              <w:left w:val="single" w:color="000000"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rPr>
            </w:pPr>
            <w:r>
              <w:rPr>
                <w:rFonts w:ascii="Times New Roman" w:hAnsi="Times New Roman" w:cs="Times New Roman"/>
                <w:b w:val="0"/>
                <w:color w:val="000000" w:themeColor="text1"/>
              </w:rPr>
              <w:t>三级</w:t>
            </w:r>
          </w:p>
        </w:tc>
        <w:tc>
          <w:tcPr>
            <w:tcW w:w="4645" w:type="dxa"/>
            <w:tcBorders>
              <w:top w:val="single" w:color="000000" w:sz="4" w:space="0"/>
              <w:left w:val="nil"/>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rPr>
            </w:pPr>
            <w:r>
              <w:rPr>
                <w:rFonts w:ascii="Times New Roman" w:hAnsi="Times New Roman" w:cs="Times New Roman"/>
                <w:b w:val="0"/>
                <w:iCs/>
                <w:color w:val="000000" w:themeColor="text1"/>
              </w:rPr>
              <w:t>Pmax</w:t>
            </w:r>
            <w:r>
              <w:rPr>
                <w:rFonts w:ascii="Times New Roman" w:hAnsi="Times New Roman" w:cs="Times New Roman"/>
                <w:b w:val="0"/>
                <w:color w:val="000000" w:themeColor="text1"/>
              </w:rPr>
              <w:t>＜1%</w:t>
            </w:r>
          </w:p>
        </w:tc>
      </w:tr>
    </w:tbl>
    <w:p>
      <w:pPr>
        <w:adjustRightInd w:val="0"/>
        <w:snapToGrid w:val="0"/>
        <w:ind w:firstLine="480" w:firstLineChars="200"/>
        <w:rPr>
          <w:color w:val="000000" w:themeColor="text1"/>
          <w:sz w:val="24"/>
        </w:rPr>
      </w:pPr>
      <w:r>
        <w:rPr>
          <w:color w:val="000000" w:themeColor="text1"/>
          <w:sz w:val="24"/>
        </w:rPr>
        <w:t>根据估算分析，项目各污染物占标率均1%≤Pmax&lt;10</w:t>
      </w:r>
      <w:r>
        <w:rPr>
          <w:b/>
          <w:color w:val="000000" w:themeColor="text1"/>
        </w:rPr>
        <w:t>%</w:t>
      </w:r>
      <w:r>
        <w:rPr>
          <w:color w:val="000000" w:themeColor="text1"/>
          <w:sz w:val="24"/>
        </w:rPr>
        <w:t>。根据下表，可确定项目大气评价等级为</w:t>
      </w:r>
      <w:r>
        <w:rPr>
          <w:rFonts w:hint="eastAsia"/>
          <w:color w:val="000000" w:themeColor="text1"/>
          <w:sz w:val="24"/>
        </w:rPr>
        <w:t>二</w:t>
      </w:r>
      <w:r>
        <w:rPr>
          <w:color w:val="000000" w:themeColor="text1"/>
          <w:sz w:val="24"/>
        </w:rPr>
        <w:t>级评价。</w:t>
      </w:r>
    </w:p>
    <w:p>
      <w:pPr>
        <w:adjustRightInd w:val="0"/>
        <w:snapToGrid w:val="0"/>
        <w:ind w:firstLine="480" w:firstLineChars="200"/>
        <w:rPr>
          <w:color w:val="000000" w:themeColor="text1"/>
          <w:sz w:val="24"/>
        </w:rPr>
      </w:pPr>
      <w:r>
        <w:rPr>
          <w:color w:val="000000" w:themeColor="text1"/>
          <w:sz w:val="24"/>
        </w:rPr>
        <w:t>（2）评价范围</w:t>
      </w:r>
    </w:p>
    <w:p>
      <w:pPr>
        <w:adjustRightInd w:val="0"/>
        <w:snapToGrid w:val="0"/>
        <w:ind w:firstLine="480" w:firstLineChars="200"/>
        <w:rPr>
          <w:color w:val="000000" w:themeColor="text1"/>
          <w:sz w:val="24"/>
        </w:rPr>
      </w:pPr>
      <w:r>
        <w:rPr>
          <w:color w:val="000000" w:themeColor="text1"/>
          <w:sz w:val="24"/>
        </w:rPr>
        <w:t>根据《环境影响评价技术导则大气环境》（HJ2.2-20</w:t>
      </w:r>
      <w:r>
        <w:rPr>
          <w:rFonts w:hint="eastAsia"/>
          <w:color w:val="000000" w:themeColor="text1"/>
          <w:sz w:val="24"/>
        </w:rPr>
        <w:t>1</w:t>
      </w:r>
      <w:r>
        <w:rPr>
          <w:color w:val="000000" w:themeColor="text1"/>
          <w:sz w:val="24"/>
        </w:rPr>
        <w:t>8）上的相关要求，本项目大气评价范围以养殖场为中心，</w:t>
      </w:r>
      <w:r>
        <w:rPr>
          <w:rFonts w:hint="eastAsia"/>
          <w:color w:val="000000" w:themeColor="text1"/>
          <w:sz w:val="24"/>
        </w:rPr>
        <w:t>自场界外延</w:t>
      </w:r>
      <w:r>
        <w:rPr>
          <w:color w:val="000000" w:themeColor="text1"/>
          <w:sz w:val="24"/>
        </w:rPr>
        <w:t>2.5km的</w:t>
      </w:r>
      <w:r>
        <w:rPr>
          <w:rFonts w:hint="eastAsia"/>
          <w:color w:val="000000" w:themeColor="text1"/>
          <w:sz w:val="24"/>
        </w:rPr>
        <w:t>矩形</w:t>
      </w:r>
      <w:r>
        <w:rPr>
          <w:color w:val="000000" w:themeColor="text1"/>
          <w:sz w:val="24"/>
        </w:rPr>
        <w:t>区域</w:t>
      </w:r>
      <w:r>
        <w:rPr>
          <w:rFonts w:hint="eastAsia"/>
          <w:color w:val="000000" w:themeColor="text1"/>
          <w:sz w:val="24"/>
        </w:rPr>
        <w:t>，即评价范围变长为5km</w:t>
      </w:r>
      <w:r>
        <w:rPr>
          <w:color w:val="000000" w:themeColor="text1"/>
          <w:sz w:val="24"/>
        </w:rPr>
        <w:t>。</w:t>
      </w:r>
    </w:p>
    <w:p>
      <w:pPr>
        <w:pStyle w:val="4"/>
        <w:adjustRightInd w:val="0"/>
        <w:snapToGrid w:val="0"/>
        <w:spacing w:before="0" w:after="0" w:line="360" w:lineRule="auto"/>
        <w:rPr>
          <w:color w:val="000000" w:themeColor="text1"/>
        </w:rPr>
      </w:pPr>
      <w:bookmarkStart w:id="114" w:name="_Toc506218037"/>
      <w:bookmarkStart w:id="115" w:name="_Toc504403784"/>
      <w:bookmarkStart w:id="116" w:name="_Toc510547266"/>
      <w:r>
        <w:rPr>
          <w:color w:val="000000" w:themeColor="text1"/>
        </w:rPr>
        <w:t>2.6.2地表水环境评价等级和评价范围</w:t>
      </w:r>
      <w:bookmarkEnd w:id="114"/>
      <w:bookmarkEnd w:id="115"/>
      <w:bookmarkEnd w:id="116"/>
    </w:p>
    <w:p>
      <w:pPr>
        <w:adjustRightInd w:val="0"/>
        <w:snapToGrid w:val="0"/>
        <w:ind w:firstLine="480" w:firstLineChars="200"/>
        <w:rPr>
          <w:color w:val="000000" w:themeColor="text1"/>
          <w:sz w:val="24"/>
        </w:rPr>
      </w:pPr>
      <w:r>
        <w:rPr>
          <w:color w:val="000000" w:themeColor="text1"/>
          <w:sz w:val="24"/>
        </w:rPr>
        <w:t>根据《环境影响评价技术导则地面水环境》（HJ/T2.3-93）技术导则，根据项目废水排放量大小、废水水质的复杂程度和纳污水体规模确定其评价等级。建设项目正常生产情况下，废水主要为生产废水和生活污水，污染物主要为COD、BOD、氨氮等，生产废水直接经污水管道排至</w:t>
      </w:r>
      <w:r>
        <w:rPr>
          <w:rFonts w:hint="eastAsia"/>
          <w:color w:val="000000" w:themeColor="text1"/>
          <w:sz w:val="24"/>
        </w:rPr>
        <w:t>沼气系统</w:t>
      </w:r>
      <w:r>
        <w:rPr>
          <w:color w:val="000000" w:themeColor="text1"/>
          <w:sz w:val="24"/>
        </w:rPr>
        <w:t>，生活污水经隔油池和化粪池处理后排入</w:t>
      </w:r>
      <w:r>
        <w:rPr>
          <w:rFonts w:hint="eastAsia"/>
          <w:color w:val="000000" w:themeColor="text1"/>
          <w:sz w:val="24"/>
        </w:rPr>
        <w:t>沼气系统</w:t>
      </w:r>
      <w:r>
        <w:rPr>
          <w:color w:val="000000" w:themeColor="text1"/>
          <w:sz w:val="24"/>
        </w:rPr>
        <w:t>，</w:t>
      </w:r>
      <w:r>
        <w:rPr>
          <w:rFonts w:hint="eastAsia"/>
          <w:color w:val="000000" w:themeColor="text1"/>
          <w:sz w:val="24"/>
        </w:rPr>
        <w:t>一部分用于种植区施肥，剩余部分进入异位发酵车间发酵处理，实现粪污水零排放</w:t>
      </w:r>
      <w:r>
        <w:rPr>
          <w:color w:val="000000" w:themeColor="text1"/>
          <w:sz w:val="24"/>
        </w:rPr>
        <w:t>。根据导则要求，本次地表水环境影响重点分析废水不外排的可行性和可靠性。本项目地表水环境影响评价工作设为三级。</w:t>
      </w:r>
    </w:p>
    <w:p>
      <w:pPr>
        <w:adjustRightInd w:val="0"/>
        <w:snapToGrid w:val="0"/>
        <w:ind w:firstLine="480" w:firstLineChars="200"/>
        <w:rPr>
          <w:color w:val="000000" w:themeColor="text1"/>
          <w:sz w:val="24"/>
        </w:rPr>
      </w:pPr>
      <w:r>
        <w:rPr>
          <w:rFonts w:hint="eastAsia"/>
          <w:color w:val="000000" w:themeColor="text1"/>
          <w:sz w:val="24"/>
        </w:rPr>
        <w:t>地表水评价范围为项目厂区地表径流汇入东侧康之康河支流处至下游2km范围。</w:t>
      </w:r>
    </w:p>
    <w:p>
      <w:pPr>
        <w:pStyle w:val="4"/>
        <w:adjustRightInd w:val="0"/>
        <w:snapToGrid w:val="0"/>
        <w:spacing w:before="0" w:after="0" w:line="360" w:lineRule="auto"/>
        <w:rPr>
          <w:color w:val="000000" w:themeColor="text1"/>
        </w:rPr>
      </w:pPr>
      <w:bookmarkStart w:id="117" w:name="_Toc504403785"/>
      <w:bookmarkStart w:id="118" w:name="_Toc506218038"/>
      <w:bookmarkStart w:id="119" w:name="_Toc510547267"/>
      <w:r>
        <w:rPr>
          <w:color w:val="000000" w:themeColor="text1"/>
        </w:rPr>
        <w:t>2.6.3地下水环境评价等级和评价范围</w:t>
      </w:r>
      <w:bookmarkEnd w:id="117"/>
      <w:bookmarkEnd w:id="118"/>
      <w:bookmarkEnd w:id="119"/>
    </w:p>
    <w:p>
      <w:pPr>
        <w:autoSpaceDE w:val="0"/>
        <w:autoSpaceDN w:val="0"/>
        <w:adjustRightInd w:val="0"/>
        <w:ind w:firstLine="480" w:firstLineChars="200"/>
        <w:rPr>
          <w:color w:val="000000" w:themeColor="text1"/>
          <w:sz w:val="24"/>
        </w:rPr>
      </w:pPr>
      <w:r>
        <w:rPr>
          <w:color w:val="000000" w:themeColor="text1"/>
          <w:sz w:val="24"/>
        </w:rPr>
        <w:t>（1）评价等级</w:t>
      </w:r>
    </w:p>
    <w:p>
      <w:pPr>
        <w:autoSpaceDE w:val="0"/>
        <w:autoSpaceDN w:val="0"/>
        <w:adjustRightInd w:val="0"/>
        <w:ind w:firstLine="480" w:firstLineChars="200"/>
        <w:rPr>
          <w:color w:val="000000" w:themeColor="text1"/>
          <w:sz w:val="24"/>
        </w:rPr>
      </w:pPr>
      <w:r>
        <w:rPr>
          <w:color w:val="000000" w:themeColor="text1"/>
          <w:sz w:val="24"/>
        </w:rPr>
        <w:t>根据《环境影响评价技术导则地下水环境》（HJ610-2016），本项目地下水环境的环境影响评价工作根据地下水环境影响评价分类表及影响评价工作等级表，如表2.6-5和表2.6-6所示。</w:t>
      </w:r>
    </w:p>
    <w:p>
      <w:pPr>
        <w:pStyle w:val="116"/>
        <w:wordWrap/>
        <w:spacing w:line="240" w:lineRule="auto"/>
        <w:rPr>
          <w:color w:val="000000" w:themeColor="text1"/>
          <w:sz w:val="21"/>
          <w:szCs w:val="21"/>
        </w:rPr>
      </w:pPr>
      <w:r>
        <w:rPr>
          <w:color w:val="000000" w:themeColor="text1"/>
          <w:sz w:val="21"/>
          <w:szCs w:val="21"/>
        </w:rPr>
        <w:t>表2.6-5   建设项目评价工作等级分级</w:t>
      </w:r>
    </w:p>
    <w:tbl>
      <w:tblPr>
        <w:tblStyle w:val="42"/>
        <w:tblW w:w="8330" w:type="dxa"/>
        <w:tblInd w:w="0" w:type="dxa"/>
        <w:tblLayout w:type="fixed"/>
        <w:tblCellMar>
          <w:top w:w="0" w:type="dxa"/>
          <w:left w:w="108" w:type="dxa"/>
          <w:bottom w:w="0" w:type="dxa"/>
          <w:right w:w="108" w:type="dxa"/>
        </w:tblCellMar>
      </w:tblPr>
      <w:tblGrid>
        <w:gridCol w:w="2235"/>
        <w:gridCol w:w="1625"/>
        <w:gridCol w:w="2404"/>
        <w:gridCol w:w="2066"/>
      </w:tblGrid>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right w:val="single" w:color="auto" w:sz="4" w:space="0"/>
              <w:tl2br w:val="single" w:color="auto" w:sz="4" w:space="0"/>
            </w:tcBorders>
            <w:vAlign w:val="center"/>
          </w:tcPr>
          <w:p>
            <w:pPr>
              <w:pStyle w:val="115"/>
              <w:wordWrap/>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项目类别</w:t>
            </w:r>
          </w:p>
          <w:p>
            <w:pPr>
              <w:spacing w:line="240" w:lineRule="auto"/>
              <w:rPr>
                <w:b/>
                <w:color w:val="000000" w:themeColor="text1"/>
                <w:szCs w:val="21"/>
              </w:rPr>
            </w:pPr>
            <w:r>
              <w:rPr>
                <w:b/>
                <w:color w:val="000000" w:themeColor="text1"/>
                <w:szCs w:val="21"/>
              </w:rPr>
              <w:t>环境敏感程度</w:t>
            </w:r>
          </w:p>
        </w:tc>
        <w:tc>
          <w:tcPr>
            <w:tcW w:w="1625"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color w:val="000000" w:themeColor="text1"/>
                <w:szCs w:val="21"/>
              </w:rPr>
            </w:pPr>
            <w:r>
              <w:rPr>
                <w:rFonts w:hint="eastAsia" w:ascii="宋体" w:hAnsi="宋体" w:cs="宋体"/>
                <w:color w:val="000000" w:themeColor="text1"/>
                <w:szCs w:val="21"/>
              </w:rPr>
              <w:t>Ⅰ</w:t>
            </w:r>
            <w:r>
              <w:rPr>
                <w:rFonts w:ascii="Times New Roman" w:hAnsi="Times New Roman" w:cs="Times New Roman"/>
                <w:color w:val="000000" w:themeColor="text1"/>
                <w:szCs w:val="21"/>
              </w:rPr>
              <w:t>类项目</w:t>
            </w:r>
          </w:p>
        </w:tc>
        <w:tc>
          <w:tcPr>
            <w:tcW w:w="2404" w:type="dxa"/>
            <w:tcBorders>
              <w:top w:val="single" w:color="000000" w:sz="4" w:space="0"/>
              <w:left w:val="nil"/>
              <w:bottom w:val="single" w:color="000000" w:sz="4" w:space="0"/>
              <w:right w:val="single" w:color="auto" w:sz="4" w:space="0"/>
            </w:tcBorders>
            <w:vAlign w:val="center"/>
          </w:tcPr>
          <w:p>
            <w:pPr>
              <w:pStyle w:val="115"/>
              <w:wordWrap/>
              <w:spacing w:line="240" w:lineRule="auto"/>
              <w:rPr>
                <w:rFonts w:ascii="Times New Roman" w:hAnsi="Times New Roman" w:cs="Times New Roman"/>
                <w:color w:val="000000" w:themeColor="text1"/>
                <w:szCs w:val="21"/>
              </w:rPr>
            </w:pPr>
            <w:r>
              <w:rPr>
                <w:rFonts w:hint="eastAsia" w:ascii="宋体" w:hAnsi="宋体" w:cs="宋体"/>
                <w:color w:val="000000" w:themeColor="text1"/>
                <w:szCs w:val="21"/>
              </w:rPr>
              <w:t>Ⅱ</w:t>
            </w:r>
            <w:r>
              <w:rPr>
                <w:rFonts w:ascii="Times New Roman" w:hAnsi="Times New Roman" w:cs="Times New Roman"/>
                <w:color w:val="000000" w:themeColor="text1"/>
                <w:szCs w:val="21"/>
              </w:rPr>
              <w:t>类项目</w:t>
            </w:r>
          </w:p>
        </w:tc>
        <w:tc>
          <w:tcPr>
            <w:tcW w:w="2066"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color w:val="000000" w:themeColor="text1"/>
                <w:szCs w:val="21"/>
              </w:rPr>
            </w:pPr>
            <w:r>
              <w:rPr>
                <w:rFonts w:hint="eastAsia" w:ascii="宋体" w:hAnsi="宋体" w:cs="宋体"/>
                <w:color w:val="000000" w:themeColor="text1"/>
                <w:szCs w:val="21"/>
              </w:rPr>
              <w:t>Ⅲ</w:t>
            </w:r>
            <w:r>
              <w:rPr>
                <w:rFonts w:ascii="Times New Roman" w:hAnsi="Times New Roman" w:cs="Times New Roman"/>
                <w:color w:val="000000" w:themeColor="text1"/>
                <w:szCs w:val="21"/>
              </w:rPr>
              <w:t>类项目</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敏感</w:t>
            </w:r>
          </w:p>
        </w:tc>
        <w:tc>
          <w:tcPr>
            <w:tcW w:w="1625"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2404" w:type="dxa"/>
            <w:tcBorders>
              <w:top w:val="single" w:color="000000" w:sz="4" w:space="0"/>
              <w:left w:val="nil"/>
              <w:bottom w:val="single" w:color="000000"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2066"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较敏感</w:t>
            </w:r>
          </w:p>
        </w:tc>
        <w:tc>
          <w:tcPr>
            <w:tcW w:w="1625"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2404" w:type="dxa"/>
            <w:tcBorders>
              <w:top w:val="single" w:color="000000" w:sz="4" w:space="0"/>
              <w:left w:val="nil"/>
              <w:bottom w:val="single" w:color="000000"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2066"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三</w:t>
            </w: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不敏感</w:t>
            </w:r>
          </w:p>
        </w:tc>
        <w:tc>
          <w:tcPr>
            <w:tcW w:w="1625"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2404" w:type="dxa"/>
            <w:tcBorders>
              <w:top w:val="single" w:color="000000" w:sz="4" w:space="0"/>
              <w:left w:val="nil"/>
              <w:bottom w:val="single" w:color="000000"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三</w:t>
            </w:r>
          </w:p>
        </w:tc>
        <w:tc>
          <w:tcPr>
            <w:tcW w:w="2066"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三</w:t>
            </w:r>
          </w:p>
        </w:tc>
      </w:tr>
    </w:tbl>
    <w:p>
      <w:pPr>
        <w:pStyle w:val="116"/>
        <w:wordWrap/>
        <w:spacing w:line="240" w:lineRule="auto"/>
        <w:rPr>
          <w:color w:val="000000" w:themeColor="text1"/>
          <w:sz w:val="21"/>
          <w:szCs w:val="21"/>
        </w:rPr>
      </w:pPr>
      <w:r>
        <w:rPr>
          <w:color w:val="000000" w:themeColor="text1"/>
          <w:sz w:val="21"/>
          <w:szCs w:val="21"/>
        </w:rPr>
        <w:t>表2.6-6   地下水环境敏感程度</w:t>
      </w:r>
    </w:p>
    <w:tbl>
      <w:tblPr>
        <w:tblStyle w:val="42"/>
        <w:tblW w:w="8572" w:type="dxa"/>
        <w:tblInd w:w="0" w:type="dxa"/>
        <w:tblLayout w:type="fixed"/>
        <w:tblCellMar>
          <w:top w:w="0" w:type="dxa"/>
          <w:left w:w="108" w:type="dxa"/>
          <w:bottom w:w="0" w:type="dxa"/>
          <w:right w:w="108" w:type="dxa"/>
        </w:tblCellMar>
      </w:tblPr>
      <w:tblGrid>
        <w:gridCol w:w="2051"/>
        <w:gridCol w:w="6521"/>
      </w:tblGrid>
      <w:tr>
        <w:tblPrEx>
          <w:tblCellMar>
            <w:top w:w="0" w:type="dxa"/>
            <w:left w:w="108" w:type="dxa"/>
            <w:bottom w:w="0" w:type="dxa"/>
            <w:right w:w="108" w:type="dxa"/>
          </w:tblCellMar>
        </w:tblPrEx>
        <w:trPr>
          <w:trHeight w:val="136" w:hRule="atLeast"/>
        </w:trPr>
        <w:tc>
          <w:tcPr>
            <w:tcW w:w="2051" w:type="dxa"/>
            <w:tcBorders>
              <w:top w:val="single" w:color="000000" w:sz="4" w:space="0"/>
              <w:left w:val="single" w:color="auto" w:sz="4" w:space="0"/>
              <w:bottom w:val="single" w:color="000000" w:sz="4" w:space="0"/>
              <w:right w:val="single" w:color="auto" w:sz="4" w:space="0"/>
            </w:tcBorders>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color w:val="000000" w:themeColor="text1"/>
                <w:szCs w:val="21"/>
              </w:rPr>
              <w:t>敏感程度</w:t>
            </w:r>
          </w:p>
        </w:tc>
        <w:tc>
          <w:tcPr>
            <w:tcW w:w="6521"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地下水环境敏感特征</w:t>
            </w:r>
          </w:p>
        </w:tc>
      </w:tr>
      <w:tr>
        <w:tblPrEx>
          <w:tblCellMar>
            <w:top w:w="0" w:type="dxa"/>
            <w:left w:w="108" w:type="dxa"/>
            <w:bottom w:w="0" w:type="dxa"/>
            <w:right w:w="108" w:type="dxa"/>
          </w:tblCellMar>
        </w:tblPrEx>
        <w:tc>
          <w:tcPr>
            <w:tcW w:w="2051" w:type="dxa"/>
            <w:tcBorders>
              <w:top w:val="single" w:color="000000" w:sz="4" w:space="0"/>
              <w:left w:val="single" w:color="auto" w:sz="4" w:space="0"/>
              <w:bottom w:val="single" w:color="000000"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敏感</w:t>
            </w:r>
          </w:p>
        </w:tc>
        <w:tc>
          <w:tcPr>
            <w:tcW w:w="6521"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集中式饮用水水源地（包括已建成的再用、备用、应急水源，在建和规划的饮用水水源）准保护区。除集中式饮用水源以外的国家或地主政府设定的与地下水环境相关其它保护区，如热水、矿泉水、温泉等特殊地下水资源保护区。</w:t>
            </w:r>
          </w:p>
        </w:tc>
      </w:tr>
      <w:tr>
        <w:tblPrEx>
          <w:tblCellMar>
            <w:top w:w="0" w:type="dxa"/>
            <w:left w:w="108" w:type="dxa"/>
            <w:bottom w:w="0" w:type="dxa"/>
            <w:right w:w="108" w:type="dxa"/>
          </w:tblCellMar>
        </w:tblPrEx>
        <w:tc>
          <w:tcPr>
            <w:tcW w:w="2051" w:type="dxa"/>
            <w:tcBorders>
              <w:top w:val="single" w:color="000000" w:sz="4" w:space="0"/>
              <w:left w:val="single" w:color="auto" w:sz="4" w:space="0"/>
              <w:bottom w:val="single" w:color="000000"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较敏感</w:t>
            </w:r>
          </w:p>
        </w:tc>
        <w:tc>
          <w:tcPr>
            <w:tcW w:w="6521"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集中式饮用水水源地（包括已建成的再用、备用、应急水源，在建和规划的饮用水水源）准保护区以外的补给径流区；未划定准保护区的集中式饮用水水源，其保护区以外的补给径流区，分散式饮用水水源地；特殊地下水资源（如矿泉水、温泉）保护区以外的分布区等其他未列入上述敏感分级的环境敏感区。</w:t>
            </w:r>
          </w:p>
        </w:tc>
      </w:tr>
      <w:tr>
        <w:tblPrEx>
          <w:tblCellMar>
            <w:top w:w="0" w:type="dxa"/>
            <w:left w:w="108" w:type="dxa"/>
            <w:bottom w:w="0" w:type="dxa"/>
            <w:right w:w="108" w:type="dxa"/>
          </w:tblCellMar>
        </w:tblPrEx>
        <w:tc>
          <w:tcPr>
            <w:tcW w:w="2051" w:type="dxa"/>
            <w:tcBorders>
              <w:top w:val="single" w:color="000000" w:sz="4" w:space="0"/>
              <w:left w:val="single" w:color="auto" w:sz="4" w:space="0"/>
              <w:bottom w:val="single" w:color="000000"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不敏感</w:t>
            </w:r>
          </w:p>
        </w:tc>
        <w:tc>
          <w:tcPr>
            <w:tcW w:w="6521" w:type="dxa"/>
            <w:tcBorders>
              <w:top w:val="single" w:color="000000" w:sz="4" w:space="0"/>
              <w:left w:val="single" w:color="auto" w:sz="4" w:space="0"/>
              <w:bottom w:val="single" w:color="000000" w:sz="4" w:space="0"/>
              <w:right w:val="single" w:color="000000" w:sz="4" w:space="0"/>
            </w:tcBorders>
            <w:vAlign w:val="center"/>
          </w:tcPr>
          <w:p>
            <w:pPr>
              <w:pStyle w:val="115"/>
              <w:wordWrap/>
              <w:spacing w:line="240" w:lineRule="auto"/>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上述地区之外的其它地区</w:t>
            </w:r>
          </w:p>
        </w:tc>
      </w:tr>
    </w:tbl>
    <w:p>
      <w:pPr>
        <w:autoSpaceDE w:val="0"/>
        <w:autoSpaceDN w:val="0"/>
        <w:adjustRightInd w:val="0"/>
        <w:ind w:firstLine="480" w:firstLineChars="200"/>
        <w:rPr>
          <w:color w:val="000000" w:themeColor="text1"/>
          <w:sz w:val="24"/>
        </w:rPr>
      </w:pPr>
      <w:r>
        <w:rPr>
          <w:rFonts w:hint="eastAsia"/>
          <w:color w:val="000000" w:themeColor="text1"/>
          <w:sz w:val="24"/>
        </w:rPr>
        <w:t>项目不涉及</w:t>
      </w:r>
      <w:r>
        <w:rPr>
          <w:color w:val="000000" w:themeColor="text1"/>
          <w:sz w:val="24"/>
        </w:rPr>
        <w:t>集中式饮用水水源地。根据表2.6-5、2.6-6，项目属于</w:t>
      </w:r>
      <w:r>
        <w:rPr>
          <w:rFonts w:hint="eastAsia" w:ascii="宋体" w:hAnsi="宋体" w:cs="宋体"/>
          <w:color w:val="000000" w:themeColor="text1"/>
          <w:sz w:val="24"/>
        </w:rPr>
        <w:t>Ⅲ</w:t>
      </w:r>
      <w:r>
        <w:rPr>
          <w:color w:val="000000" w:themeColor="text1"/>
          <w:sz w:val="24"/>
        </w:rPr>
        <w:t>类项目，地下水敏感程度为不敏感，确定本项目地下水评价等级为三级。</w:t>
      </w:r>
    </w:p>
    <w:p>
      <w:pPr>
        <w:autoSpaceDE w:val="0"/>
        <w:autoSpaceDN w:val="0"/>
        <w:adjustRightInd w:val="0"/>
        <w:ind w:firstLine="480" w:firstLineChars="200"/>
        <w:rPr>
          <w:color w:val="000000" w:themeColor="text1"/>
          <w:sz w:val="24"/>
        </w:rPr>
      </w:pPr>
      <w:r>
        <w:rPr>
          <w:color w:val="000000" w:themeColor="text1"/>
          <w:sz w:val="24"/>
        </w:rPr>
        <w:t>（2）评价范围</w:t>
      </w:r>
    </w:p>
    <w:p>
      <w:pPr>
        <w:autoSpaceDE w:val="0"/>
        <w:autoSpaceDN w:val="0"/>
        <w:adjustRightInd w:val="0"/>
        <w:ind w:firstLine="480" w:firstLineChars="200"/>
        <w:rPr>
          <w:color w:val="000000" w:themeColor="text1"/>
          <w:sz w:val="24"/>
        </w:rPr>
      </w:pPr>
      <w:r>
        <w:rPr>
          <w:color w:val="000000" w:themeColor="text1"/>
          <w:sz w:val="24"/>
        </w:rPr>
        <w:t>根据《环境影响评价技术导则地下水环境》（HJ610-2016）</w:t>
      </w:r>
      <w:r>
        <w:rPr>
          <w:rFonts w:hint="eastAsia"/>
          <w:color w:val="000000" w:themeColor="text1"/>
          <w:sz w:val="24"/>
        </w:rPr>
        <w:t>，</w:t>
      </w:r>
      <w:r>
        <w:rPr>
          <w:color w:val="000000" w:themeColor="text1"/>
          <w:sz w:val="24"/>
        </w:rPr>
        <w:t>采用查表法确定评价范围，</w:t>
      </w:r>
      <w:r>
        <w:rPr>
          <w:rFonts w:hint="eastAsia"/>
          <w:color w:val="000000" w:themeColor="text1"/>
          <w:sz w:val="24"/>
        </w:rPr>
        <w:t>本次</w:t>
      </w:r>
      <w:r>
        <w:rPr>
          <w:color w:val="000000" w:themeColor="text1"/>
          <w:sz w:val="24"/>
        </w:rPr>
        <w:t>评价范围</w:t>
      </w:r>
      <w:r>
        <w:rPr>
          <w:rFonts w:hint="eastAsia"/>
          <w:color w:val="000000" w:themeColor="text1"/>
          <w:sz w:val="24"/>
        </w:rPr>
        <w:t>：上游取1000m，下游取3000m，两侧取1000m，面积8km</w:t>
      </w:r>
      <w:r>
        <w:rPr>
          <w:rFonts w:hint="eastAsia"/>
          <w:color w:val="000000" w:themeColor="text1"/>
          <w:sz w:val="24"/>
          <w:vertAlign w:val="superscript"/>
        </w:rPr>
        <w:t>2</w:t>
      </w:r>
      <w:r>
        <w:rPr>
          <w:color w:val="000000" w:themeColor="text1"/>
          <w:sz w:val="24"/>
        </w:rPr>
        <w:t>。</w:t>
      </w:r>
    </w:p>
    <w:p>
      <w:pPr>
        <w:pStyle w:val="4"/>
        <w:adjustRightInd w:val="0"/>
        <w:snapToGrid w:val="0"/>
        <w:spacing w:before="0" w:after="0" w:line="360" w:lineRule="auto"/>
        <w:rPr>
          <w:color w:val="000000" w:themeColor="text1"/>
        </w:rPr>
      </w:pPr>
      <w:bookmarkStart w:id="120" w:name="_Toc504403786"/>
      <w:bookmarkStart w:id="121" w:name="_Toc510547268"/>
      <w:bookmarkStart w:id="122" w:name="_Toc506218039"/>
      <w:r>
        <w:rPr>
          <w:color w:val="000000" w:themeColor="text1"/>
        </w:rPr>
        <w:t>2.6.4声环境评价等级和评价范围</w:t>
      </w:r>
      <w:bookmarkEnd w:id="120"/>
      <w:bookmarkEnd w:id="121"/>
      <w:bookmarkEnd w:id="122"/>
    </w:p>
    <w:p>
      <w:pPr>
        <w:ind w:firstLine="480" w:firstLineChars="200"/>
        <w:rPr>
          <w:color w:val="000000" w:themeColor="text1"/>
          <w:sz w:val="24"/>
        </w:rPr>
      </w:pPr>
      <w:r>
        <w:rPr>
          <w:color w:val="000000" w:themeColor="text1"/>
          <w:sz w:val="24"/>
        </w:rPr>
        <w:t>（1）评价等级</w:t>
      </w:r>
    </w:p>
    <w:p>
      <w:pPr>
        <w:ind w:firstLine="480" w:firstLineChars="200"/>
        <w:rPr>
          <w:color w:val="000000" w:themeColor="text1"/>
          <w:sz w:val="24"/>
        </w:rPr>
      </w:pPr>
      <w:r>
        <w:rPr>
          <w:color w:val="000000" w:themeColor="text1"/>
          <w:sz w:val="24"/>
        </w:rPr>
        <w:t>根据《声环境质量标准》（GB3096-2008），项目所在区域属于</w:t>
      </w:r>
      <w:r>
        <w:rPr>
          <w:rFonts w:hint="eastAsia"/>
          <w:color w:val="000000" w:themeColor="text1"/>
          <w:sz w:val="24"/>
        </w:rPr>
        <w:t>1</w:t>
      </w:r>
      <w:r>
        <w:rPr>
          <w:color w:val="000000" w:themeColor="text1"/>
          <w:sz w:val="24"/>
        </w:rPr>
        <w:t>类区，根据《环境影响评价技术导则-声环境》（HJT2.4-2009），评价工作等级为二级。</w:t>
      </w:r>
    </w:p>
    <w:p>
      <w:pPr>
        <w:adjustRightInd w:val="0"/>
        <w:snapToGrid w:val="0"/>
        <w:ind w:firstLine="480" w:firstLineChars="200"/>
        <w:rPr>
          <w:color w:val="000000" w:themeColor="text1"/>
          <w:sz w:val="24"/>
        </w:rPr>
      </w:pPr>
      <w:r>
        <w:rPr>
          <w:color w:val="000000" w:themeColor="text1"/>
          <w:sz w:val="24"/>
        </w:rPr>
        <w:t>（2）评价范围</w:t>
      </w:r>
    </w:p>
    <w:p>
      <w:pPr>
        <w:adjustRightInd w:val="0"/>
        <w:snapToGrid w:val="0"/>
        <w:ind w:firstLine="480" w:firstLineChars="200"/>
        <w:rPr>
          <w:color w:val="000000" w:themeColor="text1"/>
          <w:sz w:val="24"/>
        </w:rPr>
      </w:pPr>
      <w:r>
        <w:rPr>
          <w:color w:val="000000" w:themeColor="text1"/>
          <w:sz w:val="24"/>
        </w:rPr>
        <w:t>项目建设区域及场界外200m范围区域。</w:t>
      </w:r>
    </w:p>
    <w:p>
      <w:pPr>
        <w:pStyle w:val="4"/>
        <w:adjustRightInd w:val="0"/>
        <w:snapToGrid w:val="0"/>
        <w:spacing w:before="0" w:after="0" w:line="360" w:lineRule="auto"/>
        <w:rPr>
          <w:color w:val="000000" w:themeColor="text1"/>
        </w:rPr>
      </w:pPr>
      <w:bookmarkStart w:id="123" w:name="_Toc510547269"/>
      <w:bookmarkStart w:id="124" w:name="_Toc506218040"/>
      <w:bookmarkStart w:id="125" w:name="_Toc504403787"/>
      <w:r>
        <w:rPr>
          <w:color w:val="000000" w:themeColor="text1"/>
        </w:rPr>
        <w:t>2.6.5生态环境评价等级和评价范围</w:t>
      </w:r>
      <w:bookmarkEnd w:id="123"/>
      <w:bookmarkEnd w:id="124"/>
      <w:bookmarkEnd w:id="125"/>
    </w:p>
    <w:p>
      <w:pPr>
        <w:adjustRightInd w:val="0"/>
        <w:snapToGrid w:val="0"/>
        <w:ind w:firstLine="480" w:firstLineChars="200"/>
        <w:rPr>
          <w:color w:val="000000" w:themeColor="text1"/>
          <w:sz w:val="24"/>
        </w:rPr>
      </w:pPr>
      <w:r>
        <w:rPr>
          <w:color w:val="000000" w:themeColor="text1"/>
          <w:sz w:val="24"/>
        </w:rPr>
        <w:t>本项目总占地面积</w:t>
      </w:r>
      <w:r>
        <w:rPr>
          <w:rFonts w:hint="eastAsia"/>
          <w:color w:val="000000" w:themeColor="text1"/>
          <w:sz w:val="24"/>
        </w:rPr>
        <w:t>36524</w:t>
      </w:r>
      <w:r>
        <w:rPr>
          <w:color w:val="000000" w:themeColor="text1"/>
          <w:sz w:val="24"/>
        </w:rPr>
        <w:t>m</w:t>
      </w:r>
      <w:r>
        <w:rPr>
          <w:color w:val="000000" w:themeColor="text1"/>
          <w:sz w:val="24"/>
          <w:vertAlign w:val="superscript"/>
        </w:rPr>
        <w:t>2</w:t>
      </w:r>
      <w:r>
        <w:rPr>
          <w:color w:val="000000" w:themeColor="text1"/>
          <w:sz w:val="24"/>
        </w:rPr>
        <w:t>，项目所在地无自然遗产、文化遗产、自然保护区、风景名胜区、水源保护地等特殊及重要生态敏感区，根据调查所在区域无濒危野生动植物，属生态一般区域。根据《环境影响评价技术导则生态影响》（HJ19-2011）中关于生态影响评价工作等级划分规定，确定项目生态影响评价等级为三级评价。</w:t>
      </w:r>
    </w:p>
    <w:p>
      <w:pPr>
        <w:adjustRightInd w:val="0"/>
        <w:snapToGrid w:val="0"/>
        <w:ind w:firstLine="480" w:firstLineChars="200"/>
        <w:rPr>
          <w:color w:val="000000" w:themeColor="text1"/>
          <w:sz w:val="24"/>
        </w:rPr>
      </w:pPr>
      <w:r>
        <w:rPr>
          <w:color w:val="000000" w:themeColor="text1"/>
          <w:sz w:val="24"/>
        </w:rPr>
        <w:t>环境影响评价范围确定为：项目建设区域及场界外200m范围区域。</w:t>
      </w:r>
    </w:p>
    <w:p>
      <w:pPr>
        <w:adjustRightInd w:val="0"/>
        <w:snapToGrid w:val="0"/>
        <w:spacing w:line="240" w:lineRule="auto"/>
        <w:ind w:firstLine="422" w:firstLineChars="200"/>
        <w:jc w:val="center"/>
        <w:rPr>
          <w:b/>
          <w:color w:val="000000" w:themeColor="text1"/>
          <w:szCs w:val="21"/>
        </w:rPr>
      </w:pPr>
      <w:r>
        <w:rPr>
          <w:b/>
          <w:color w:val="000000" w:themeColor="text1"/>
          <w:szCs w:val="21"/>
        </w:rPr>
        <w:t>表2.6-7  生态影响评价工作等级划分表</w:t>
      </w:r>
    </w:p>
    <w:tbl>
      <w:tblPr>
        <w:tblStyle w:val="4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6"/>
        <w:gridCol w:w="212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125" w:type="dxa"/>
            <w:vMerge w:val="restart"/>
            <w:vAlign w:val="center"/>
          </w:tcPr>
          <w:p>
            <w:pPr>
              <w:adjustRightInd w:val="0"/>
              <w:snapToGrid w:val="0"/>
              <w:spacing w:line="240" w:lineRule="auto"/>
              <w:jc w:val="center"/>
              <w:rPr>
                <w:b/>
                <w:color w:val="000000" w:themeColor="text1"/>
              </w:rPr>
            </w:pPr>
            <w:r>
              <w:rPr>
                <w:b/>
                <w:color w:val="000000" w:themeColor="text1"/>
              </w:rPr>
              <w:t>影响区域生态敏感性</w:t>
            </w:r>
          </w:p>
        </w:tc>
        <w:tc>
          <w:tcPr>
            <w:tcW w:w="6380" w:type="dxa"/>
            <w:gridSpan w:val="3"/>
            <w:vAlign w:val="center"/>
          </w:tcPr>
          <w:p>
            <w:pPr>
              <w:adjustRightInd w:val="0"/>
              <w:snapToGrid w:val="0"/>
              <w:spacing w:line="240" w:lineRule="auto"/>
              <w:jc w:val="center"/>
              <w:rPr>
                <w:b/>
                <w:color w:val="000000" w:themeColor="text1"/>
              </w:rPr>
            </w:pPr>
            <w:r>
              <w:rPr>
                <w:b/>
                <w:color w:val="000000" w:themeColor="text1"/>
              </w:rPr>
              <w:t>工程占地（水域）范围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125" w:type="dxa"/>
            <w:vMerge w:val="continue"/>
            <w:vAlign w:val="center"/>
          </w:tcPr>
          <w:p>
            <w:pPr>
              <w:adjustRightInd w:val="0"/>
              <w:snapToGrid w:val="0"/>
              <w:spacing w:line="240" w:lineRule="auto"/>
              <w:jc w:val="center"/>
              <w:rPr>
                <w:b/>
                <w:color w:val="000000" w:themeColor="text1"/>
              </w:rPr>
            </w:pPr>
          </w:p>
        </w:tc>
        <w:tc>
          <w:tcPr>
            <w:tcW w:w="2126" w:type="dxa"/>
            <w:vAlign w:val="center"/>
          </w:tcPr>
          <w:p>
            <w:pPr>
              <w:adjustRightInd w:val="0"/>
              <w:snapToGrid w:val="0"/>
              <w:spacing w:line="240" w:lineRule="auto"/>
              <w:jc w:val="center"/>
              <w:rPr>
                <w:b/>
                <w:color w:val="000000" w:themeColor="text1"/>
              </w:rPr>
            </w:pPr>
            <w:r>
              <w:rPr>
                <w:b/>
                <w:color w:val="000000" w:themeColor="text1"/>
              </w:rPr>
              <w:t>面积≥20km</w:t>
            </w:r>
            <w:r>
              <w:rPr>
                <w:b/>
                <w:color w:val="000000" w:themeColor="text1"/>
                <w:vertAlign w:val="superscript"/>
              </w:rPr>
              <w:t>2</w:t>
            </w:r>
            <w:r>
              <w:rPr>
                <w:b/>
                <w:color w:val="000000" w:themeColor="text1"/>
              </w:rPr>
              <w:t>或长度≥100km</w:t>
            </w:r>
          </w:p>
        </w:tc>
        <w:tc>
          <w:tcPr>
            <w:tcW w:w="2128" w:type="dxa"/>
            <w:vAlign w:val="center"/>
          </w:tcPr>
          <w:p>
            <w:pPr>
              <w:adjustRightInd w:val="0"/>
              <w:snapToGrid w:val="0"/>
              <w:spacing w:line="240" w:lineRule="auto"/>
              <w:jc w:val="center"/>
              <w:rPr>
                <w:b/>
                <w:color w:val="000000" w:themeColor="text1"/>
              </w:rPr>
            </w:pPr>
            <w:r>
              <w:rPr>
                <w:b/>
                <w:color w:val="000000" w:themeColor="text1"/>
              </w:rPr>
              <w:t>面积≥2km</w:t>
            </w:r>
            <w:r>
              <w:rPr>
                <w:b/>
                <w:color w:val="000000" w:themeColor="text1"/>
                <w:vertAlign w:val="superscript"/>
              </w:rPr>
              <w:t>2</w:t>
            </w:r>
            <w:r>
              <w:rPr>
                <w:b/>
                <w:color w:val="000000" w:themeColor="text1"/>
              </w:rPr>
              <w:t xml:space="preserve"> ~20km</w:t>
            </w:r>
            <w:r>
              <w:rPr>
                <w:b/>
                <w:color w:val="000000" w:themeColor="text1"/>
                <w:vertAlign w:val="superscript"/>
              </w:rPr>
              <w:t>2</w:t>
            </w:r>
          </w:p>
          <w:p>
            <w:pPr>
              <w:adjustRightInd w:val="0"/>
              <w:snapToGrid w:val="0"/>
              <w:spacing w:line="240" w:lineRule="auto"/>
              <w:jc w:val="center"/>
              <w:rPr>
                <w:b/>
                <w:color w:val="000000" w:themeColor="text1"/>
              </w:rPr>
            </w:pPr>
            <w:r>
              <w:rPr>
                <w:b/>
                <w:color w:val="000000" w:themeColor="text1"/>
              </w:rPr>
              <w:t>或长度50km~100km</w:t>
            </w:r>
          </w:p>
        </w:tc>
        <w:tc>
          <w:tcPr>
            <w:tcW w:w="2126" w:type="dxa"/>
            <w:vAlign w:val="center"/>
          </w:tcPr>
          <w:p>
            <w:pPr>
              <w:adjustRightInd w:val="0"/>
              <w:snapToGrid w:val="0"/>
              <w:spacing w:line="240" w:lineRule="auto"/>
              <w:jc w:val="center"/>
              <w:rPr>
                <w:b/>
                <w:color w:val="000000" w:themeColor="text1"/>
              </w:rPr>
            </w:pPr>
            <w:r>
              <w:rPr>
                <w:b/>
                <w:color w:val="000000" w:themeColor="text1"/>
              </w:rPr>
              <w:t>面积≤2km</w:t>
            </w:r>
            <w:r>
              <w:rPr>
                <w:b/>
                <w:color w:val="000000" w:themeColor="text1"/>
                <w:vertAlign w:val="superscript"/>
              </w:rPr>
              <w:t>2</w:t>
            </w:r>
            <w:r>
              <w:rPr>
                <w:b/>
                <w:color w:val="000000" w:themeColor="text1"/>
              </w:rPr>
              <w:t>或长度≤50km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125" w:type="dxa"/>
            <w:vAlign w:val="center"/>
          </w:tcPr>
          <w:p>
            <w:pPr>
              <w:adjustRightInd w:val="0"/>
              <w:snapToGrid w:val="0"/>
              <w:spacing w:line="240" w:lineRule="auto"/>
              <w:jc w:val="center"/>
              <w:rPr>
                <w:color w:val="000000" w:themeColor="text1"/>
              </w:rPr>
            </w:pPr>
            <w:r>
              <w:rPr>
                <w:color w:val="000000" w:themeColor="text1"/>
              </w:rPr>
              <w:t>特殊生态敏感区</w:t>
            </w:r>
          </w:p>
        </w:tc>
        <w:tc>
          <w:tcPr>
            <w:tcW w:w="2126" w:type="dxa"/>
            <w:vAlign w:val="center"/>
          </w:tcPr>
          <w:p>
            <w:pPr>
              <w:adjustRightInd w:val="0"/>
              <w:snapToGrid w:val="0"/>
              <w:spacing w:line="240" w:lineRule="auto"/>
              <w:jc w:val="center"/>
              <w:rPr>
                <w:color w:val="000000" w:themeColor="text1"/>
              </w:rPr>
            </w:pPr>
            <w:r>
              <w:rPr>
                <w:color w:val="000000" w:themeColor="text1"/>
              </w:rPr>
              <w:t>一级</w:t>
            </w:r>
          </w:p>
        </w:tc>
        <w:tc>
          <w:tcPr>
            <w:tcW w:w="2128" w:type="dxa"/>
            <w:vAlign w:val="center"/>
          </w:tcPr>
          <w:p>
            <w:pPr>
              <w:adjustRightInd w:val="0"/>
              <w:snapToGrid w:val="0"/>
              <w:spacing w:line="240" w:lineRule="auto"/>
              <w:jc w:val="center"/>
              <w:rPr>
                <w:color w:val="000000" w:themeColor="text1"/>
              </w:rPr>
            </w:pPr>
            <w:r>
              <w:rPr>
                <w:color w:val="000000" w:themeColor="text1"/>
              </w:rPr>
              <w:t>一级</w:t>
            </w:r>
          </w:p>
        </w:tc>
        <w:tc>
          <w:tcPr>
            <w:tcW w:w="2126" w:type="dxa"/>
            <w:vAlign w:val="center"/>
          </w:tcPr>
          <w:p>
            <w:pPr>
              <w:adjustRightInd w:val="0"/>
              <w:snapToGrid w:val="0"/>
              <w:spacing w:line="240" w:lineRule="auto"/>
              <w:jc w:val="center"/>
              <w:rPr>
                <w:color w:val="000000" w:themeColor="text1"/>
              </w:rPr>
            </w:pPr>
            <w:r>
              <w:rPr>
                <w:color w:val="000000" w:themeColor="text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125" w:type="dxa"/>
            <w:vAlign w:val="center"/>
          </w:tcPr>
          <w:p>
            <w:pPr>
              <w:adjustRightInd w:val="0"/>
              <w:snapToGrid w:val="0"/>
              <w:spacing w:line="240" w:lineRule="auto"/>
              <w:jc w:val="center"/>
              <w:rPr>
                <w:color w:val="000000" w:themeColor="text1"/>
              </w:rPr>
            </w:pPr>
            <w:r>
              <w:rPr>
                <w:color w:val="000000" w:themeColor="text1"/>
              </w:rPr>
              <w:t>重要生态敏感区</w:t>
            </w:r>
          </w:p>
        </w:tc>
        <w:tc>
          <w:tcPr>
            <w:tcW w:w="2126" w:type="dxa"/>
            <w:vAlign w:val="center"/>
          </w:tcPr>
          <w:p>
            <w:pPr>
              <w:adjustRightInd w:val="0"/>
              <w:snapToGrid w:val="0"/>
              <w:spacing w:line="240" w:lineRule="auto"/>
              <w:jc w:val="center"/>
              <w:rPr>
                <w:color w:val="000000" w:themeColor="text1"/>
              </w:rPr>
            </w:pPr>
            <w:r>
              <w:rPr>
                <w:color w:val="000000" w:themeColor="text1"/>
              </w:rPr>
              <w:t>一级</w:t>
            </w:r>
          </w:p>
        </w:tc>
        <w:tc>
          <w:tcPr>
            <w:tcW w:w="2128" w:type="dxa"/>
            <w:vAlign w:val="center"/>
          </w:tcPr>
          <w:p>
            <w:pPr>
              <w:adjustRightInd w:val="0"/>
              <w:snapToGrid w:val="0"/>
              <w:spacing w:line="240" w:lineRule="auto"/>
              <w:jc w:val="center"/>
              <w:rPr>
                <w:color w:val="000000" w:themeColor="text1"/>
              </w:rPr>
            </w:pPr>
            <w:r>
              <w:rPr>
                <w:color w:val="000000" w:themeColor="text1"/>
              </w:rPr>
              <w:t>二级</w:t>
            </w:r>
          </w:p>
        </w:tc>
        <w:tc>
          <w:tcPr>
            <w:tcW w:w="2126" w:type="dxa"/>
            <w:tcBorders>
              <w:bottom w:val="single" w:color="auto" w:sz="4" w:space="0"/>
            </w:tcBorders>
            <w:vAlign w:val="center"/>
          </w:tcPr>
          <w:p>
            <w:pPr>
              <w:adjustRightInd w:val="0"/>
              <w:snapToGrid w:val="0"/>
              <w:spacing w:line="240" w:lineRule="auto"/>
              <w:jc w:val="center"/>
              <w:rPr>
                <w:color w:val="000000" w:themeColor="text1"/>
              </w:rPr>
            </w:pPr>
            <w:r>
              <w:rPr>
                <w:color w:val="000000" w:themeColor="text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125" w:type="dxa"/>
            <w:shd w:val="clear" w:color="auto" w:fill="auto"/>
            <w:vAlign w:val="center"/>
          </w:tcPr>
          <w:p>
            <w:pPr>
              <w:adjustRightInd w:val="0"/>
              <w:snapToGrid w:val="0"/>
              <w:spacing w:line="240" w:lineRule="auto"/>
              <w:jc w:val="center"/>
              <w:rPr>
                <w:color w:val="000000" w:themeColor="text1"/>
              </w:rPr>
            </w:pPr>
            <w:r>
              <w:rPr>
                <w:color w:val="000000" w:themeColor="text1"/>
              </w:rPr>
              <w:t>一般区域</w:t>
            </w:r>
          </w:p>
        </w:tc>
        <w:tc>
          <w:tcPr>
            <w:tcW w:w="2126" w:type="dxa"/>
            <w:shd w:val="clear" w:color="auto" w:fill="auto"/>
            <w:vAlign w:val="center"/>
          </w:tcPr>
          <w:p>
            <w:pPr>
              <w:adjustRightInd w:val="0"/>
              <w:snapToGrid w:val="0"/>
              <w:spacing w:line="240" w:lineRule="auto"/>
              <w:jc w:val="center"/>
              <w:rPr>
                <w:color w:val="000000" w:themeColor="text1"/>
              </w:rPr>
            </w:pPr>
            <w:r>
              <w:rPr>
                <w:color w:val="000000" w:themeColor="text1"/>
              </w:rPr>
              <w:t>二级</w:t>
            </w:r>
          </w:p>
        </w:tc>
        <w:tc>
          <w:tcPr>
            <w:tcW w:w="2128" w:type="dxa"/>
            <w:shd w:val="clear" w:color="auto" w:fill="auto"/>
            <w:vAlign w:val="center"/>
          </w:tcPr>
          <w:p>
            <w:pPr>
              <w:adjustRightInd w:val="0"/>
              <w:snapToGrid w:val="0"/>
              <w:spacing w:line="240" w:lineRule="auto"/>
              <w:jc w:val="center"/>
              <w:rPr>
                <w:color w:val="000000" w:themeColor="text1"/>
              </w:rPr>
            </w:pPr>
            <w:r>
              <w:rPr>
                <w:color w:val="000000" w:themeColor="text1"/>
              </w:rPr>
              <w:t>三级</w:t>
            </w:r>
          </w:p>
        </w:tc>
        <w:tc>
          <w:tcPr>
            <w:tcW w:w="2126" w:type="dxa"/>
            <w:shd w:val="clear" w:color="auto" w:fill="808080"/>
            <w:vAlign w:val="center"/>
          </w:tcPr>
          <w:p>
            <w:pPr>
              <w:adjustRightInd w:val="0"/>
              <w:snapToGrid w:val="0"/>
              <w:spacing w:line="240" w:lineRule="auto"/>
              <w:jc w:val="center"/>
              <w:rPr>
                <w:color w:val="000000" w:themeColor="text1"/>
              </w:rPr>
            </w:pPr>
            <w:r>
              <w:rPr>
                <w:color w:val="000000" w:themeColor="text1"/>
              </w:rPr>
              <w:t>三级</w:t>
            </w:r>
          </w:p>
        </w:tc>
      </w:tr>
    </w:tbl>
    <w:p>
      <w:pPr>
        <w:adjustRightInd w:val="0"/>
        <w:snapToGrid w:val="0"/>
        <w:outlineLvl w:val="2"/>
        <w:rPr>
          <w:b/>
          <w:color w:val="000000" w:themeColor="text1"/>
          <w:sz w:val="24"/>
        </w:rPr>
      </w:pPr>
      <w:bookmarkStart w:id="126" w:name="_Toc510547270"/>
      <w:bookmarkStart w:id="127" w:name="_Toc504403788"/>
      <w:r>
        <w:rPr>
          <w:b/>
          <w:color w:val="000000" w:themeColor="text1"/>
          <w:sz w:val="24"/>
        </w:rPr>
        <w:t>2.6.6环境风险</w:t>
      </w:r>
      <w:bookmarkEnd w:id="126"/>
      <w:bookmarkEnd w:id="127"/>
      <w:bookmarkStart w:id="128" w:name="_Toc506218042"/>
      <w:bookmarkStart w:id="129" w:name="_Toc504403789"/>
    </w:p>
    <w:bookmarkEnd w:id="128"/>
    <w:bookmarkEnd w:id="129"/>
    <w:p>
      <w:pPr>
        <w:ind w:firstLine="480" w:firstLineChars="200"/>
        <w:rPr>
          <w:color w:val="000000" w:themeColor="text1"/>
          <w:sz w:val="24"/>
        </w:rPr>
      </w:pPr>
      <w:r>
        <w:rPr>
          <w:color w:val="000000" w:themeColor="text1"/>
          <w:sz w:val="24"/>
        </w:rPr>
        <w:t>根据《建设项目环境风险评价技术导则》（HJ/T169-2004）规定，环境风险评价的工作等级主要有评价项目所涉及的物质危险性和功能单元重大危险源判定结果以及环境敏感程度等因素所确定的，详见表2.6-8。</w:t>
      </w:r>
    </w:p>
    <w:p>
      <w:pPr>
        <w:pStyle w:val="116"/>
        <w:wordWrap/>
        <w:spacing w:line="240" w:lineRule="auto"/>
        <w:rPr>
          <w:color w:val="000000" w:themeColor="text1"/>
          <w:sz w:val="21"/>
          <w:szCs w:val="21"/>
        </w:rPr>
      </w:pPr>
      <w:r>
        <w:rPr>
          <w:color w:val="000000" w:themeColor="text1"/>
          <w:sz w:val="21"/>
          <w:szCs w:val="21"/>
        </w:rPr>
        <w:t>表2.6-8  建设项目评价工作等级分级</w:t>
      </w:r>
    </w:p>
    <w:tbl>
      <w:tblPr>
        <w:tblStyle w:val="42"/>
        <w:tblW w:w="8416" w:type="dxa"/>
        <w:tblInd w:w="0" w:type="dxa"/>
        <w:tblLayout w:type="fixed"/>
        <w:tblCellMar>
          <w:top w:w="0" w:type="dxa"/>
          <w:left w:w="108" w:type="dxa"/>
          <w:bottom w:w="0" w:type="dxa"/>
          <w:right w:w="108" w:type="dxa"/>
        </w:tblCellMar>
      </w:tblPr>
      <w:tblGrid>
        <w:gridCol w:w="1526"/>
        <w:gridCol w:w="1417"/>
        <w:gridCol w:w="1843"/>
        <w:gridCol w:w="1985"/>
        <w:gridCol w:w="1645"/>
      </w:tblGrid>
      <w:tr>
        <w:tblPrEx>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auto" w:sz="4" w:space="0"/>
            </w:tcBorders>
            <w:vAlign w:val="center"/>
          </w:tcPr>
          <w:p>
            <w:pPr>
              <w:pStyle w:val="115"/>
              <w:wordWrap/>
              <w:rPr>
                <w:rFonts w:ascii="Times New Roman" w:hAnsi="Times New Roman" w:cs="Times New Roman"/>
                <w:color w:val="000000" w:themeColor="text1"/>
                <w:szCs w:val="21"/>
              </w:rPr>
            </w:pPr>
          </w:p>
        </w:tc>
        <w:tc>
          <w:tcPr>
            <w:tcW w:w="1417" w:type="dxa"/>
            <w:tcBorders>
              <w:top w:val="single" w:color="000000" w:sz="4" w:space="0"/>
              <w:left w:val="single" w:color="auto" w:sz="4" w:space="0"/>
              <w:bottom w:val="single" w:color="000000" w:sz="4" w:space="0"/>
              <w:right w:val="single" w:color="000000" w:sz="4" w:space="0"/>
            </w:tcBorders>
            <w:vAlign w:val="center"/>
          </w:tcPr>
          <w:p>
            <w:pPr>
              <w:pStyle w:val="115"/>
              <w:rPr>
                <w:rFonts w:ascii="Times New Roman" w:hAnsi="Times New Roman" w:cs="Times New Roman"/>
                <w:color w:val="000000" w:themeColor="text1"/>
                <w:szCs w:val="21"/>
              </w:rPr>
            </w:pPr>
            <w:r>
              <w:rPr>
                <w:rFonts w:ascii="Times New Roman" w:hAnsi="Times New Roman" w:cs="Times New Roman"/>
                <w:color w:val="000000" w:themeColor="text1"/>
                <w:szCs w:val="21"/>
              </w:rPr>
              <w:t>剧毒危险性物质</w:t>
            </w:r>
          </w:p>
        </w:tc>
        <w:tc>
          <w:tcPr>
            <w:tcW w:w="1843" w:type="dxa"/>
            <w:tcBorders>
              <w:top w:val="single" w:color="000000" w:sz="4" w:space="0"/>
              <w:left w:val="nil"/>
              <w:bottom w:val="single" w:color="000000" w:sz="4" w:space="0"/>
              <w:right w:val="single" w:color="auto" w:sz="4" w:space="0"/>
            </w:tcBorders>
            <w:vAlign w:val="center"/>
          </w:tcPr>
          <w:p>
            <w:pPr>
              <w:pStyle w:val="115"/>
              <w:wordWrap/>
              <w:rPr>
                <w:rFonts w:ascii="Times New Roman" w:hAnsi="Times New Roman" w:cs="Times New Roman"/>
                <w:color w:val="000000" w:themeColor="text1"/>
                <w:szCs w:val="21"/>
              </w:rPr>
            </w:pPr>
            <w:r>
              <w:rPr>
                <w:rFonts w:ascii="Times New Roman" w:hAnsi="Times New Roman" w:cs="Times New Roman"/>
                <w:color w:val="000000" w:themeColor="text1"/>
                <w:szCs w:val="21"/>
              </w:rPr>
              <w:t>一般毒性危险物质</w:t>
            </w:r>
          </w:p>
        </w:tc>
        <w:tc>
          <w:tcPr>
            <w:tcW w:w="1985" w:type="dxa"/>
            <w:tcBorders>
              <w:top w:val="single" w:color="000000" w:sz="4" w:space="0"/>
              <w:left w:val="single" w:color="auto" w:sz="4" w:space="0"/>
              <w:bottom w:val="single" w:color="000000" w:sz="4" w:space="0"/>
              <w:right w:val="single" w:color="auto" w:sz="4" w:space="0"/>
            </w:tcBorders>
            <w:vAlign w:val="center"/>
          </w:tcPr>
          <w:p>
            <w:pPr>
              <w:pStyle w:val="115"/>
              <w:wordWrap/>
              <w:rPr>
                <w:rFonts w:ascii="Times New Roman" w:hAnsi="Times New Roman" w:cs="Times New Roman"/>
                <w:color w:val="000000" w:themeColor="text1"/>
                <w:szCs w:val="21"/>
              </w:rPr>
            </w:pPr>
            <w:r>
              <w:rPr>
                <w:rFonts w:ascii="Times New Roman" w:hAnsi="Times New Roman" w:cs="Times New Roman"/>
                <w:color w:val="000000" w:themeColor="text1"/>
                <w:szCs w:val="21"/>
              </w:rPr>
              <w:t>可燃、易燃危险性物质</w:t>
            </w:r>
          </w:p>
        </w:tc>
        <w:tc>
          <w:tcPr>
            <w:tcW w:w="1645" w:type="dxa"/>
            <w:tcBorders>
              <w:top w:val="single" w:color="000000" w:sz="4" w:space="0"/>
              <w:left w:val="single" w:color="auto" w:sz="4" w:space="0"/>
              <w:bottom w:val="single" w:color="000000" w:sz="4" w:space="0"/>
              <w:right w:val="single" w:color="000000" w:sz="4" w:space="0"/>
            </w:tcBorders>
            <w:vAlign w:val="center"/>
          </w:tcPr>
          <w:p>
            <w:pPr>
              <w:pStyle w:val="115"/>
              <w:wordWrap/>
              <w:rPr>
                <w:rFonts w:ascii="Times New Roman" w:hAnsi="Times New Roman" w:cs="Times New Roman"/>
                <w:color w:val="000000" w:themeColor="text1"/>
                <w:szCs w:val="21"/>
              </w:rPr>
            </w:pPr>
            <w:r>
              <w:rPr>
                <w:rFonts w:ascii="Times New Roman" w:hAnsi="Times New Roman" w:cs="Times New Roman"/>
                <w:color w:val="000000" w:themeColor="text1"/>
                <w:szCs w:val="21"/>
              </w:rPr>
              <w:t>爆炸危险性物质</w:t>
            </w:r>
          </w:p>
        </w:tc>
      </w:tr>
      <w:tr>
        <w:tblPrEx>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重大危险源</w:t>
            </w:r>
          </w:p>
        </w:tc>
        <w:tc>
          <w:tcPr>
            <w:tcW w:w="1417" w:type="dxa"/>
            <w:tcBorders>
              <w:top w:val="single" w:color="000000" w:sz="4" w:space="0"/>
              <w:left w:val="single" w:color="auto" w:sz="4" w:space="0"/>
              <w:bottom w:val="single" w:color="000000" w:sz="4" w:space="0"/>
              <w:right w:val="single" w:color="000000" w:sz="4" w:space="0"/>
            </w:tcBorders>
            <w:vAlign w:val="center"/>
          </w:tcPr>
          <w:p>
            <w:pPr>
              <w:pStyle w:val="115"/>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843" w:type="dxa"/>
            <w:tcBorders>
              <w:top w:val="single" w:color="000000" w:sz="4" w:space="0"/>
              <w:left w:val="nil"/>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1985" w:type="dxa"/>
            <w:tcBorders>
              <w:top w:val="single" w:color="000000" w:sz="4" w:space="0"/>
              <w:left w:val="single" w:color="auto"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645" w:type="dxa"/>
            <w:tcBorders>
              <w:top w:val="single" w:color="000000" w:sz="4" w:space="0"/>
              <w:left w:val="single" w:color="auto" w:sz="4" w:space="0"/>
              <w:bottom w:val="single" w:color="000000" w:sz="4" w:space="0"/>
              <w:right w:val="single" w:color="000000"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r>
      <w:tr>
        <w:tc>
          <w:tcPr>
            <w:tcW w:w="1526" w:type="dxa"/>
            <w:tcBorders>
              <w:top w:val="single" w:color="000000" w:sz="4" w:space="0"/>
              <w:left w:val="single" w:color="000000"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非重大危险源</w:t>
            </w:r>
          </w:p>
        </w:tc>
        <w:tc>
          <w:tcPr>
            <w:tcW w:w="1417" w:type="dxa"/>
            <w:tcBorders>
              <w:top w:val="single" w:color="000000" w:sz="4" w:space="0"/>
              <w:left w:val="single" w:color="auto" w:sz="4" w:space="0"/>
              <w:bottom w:val="single" w:color="000000" w:sz="4" w:space="0"/>
              <w:right w:val="single" w:color="000000" w:sz="4" w:space="0"/>
            </w:tcBorders>
            <w:vAlign w:val="center"/>
          </w:tcPr>
          <w:p>
            <w:pPr>
              <w:pStyle w:val="115"/>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1843" w:type="dxa"/>
            <w:tcBorders>
              <w:top w:val="single" w:color="000000" w:sz="4" w:space="0"/>
              <w:left w:val="nil"/>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1985" w:type="dxa"/>
            <w:tcBorders>
              <w:top w:val="single" w:color="000000" w:sz="4" w:space="0"/>
              <w:left w:val="single" w:color="auto"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1645" w:type="dxa"/>
            <w:tcBorders>
              <w:top w:val="single" w:color="000000" w:sz="4" w:space="0"/>
              <w:left w:val="single" w:color="auto" w:sz="4" w:space="0"/>
              <w:bottom w:val="single" w:color="000000" w:sz="4" w:space="0"/>
              <w:right w:val="single" w:color="000000"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r>
      <w:tr>
        <w:tblPrEx>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环境敏感区</w:t>
            </w:r>
          </w:p>
        </w:tc>
        <w:tc>
          <w:tcPr>
            <w:tcW w:w="1417" w:type="dxa"/>
            <w:tcBorders>
              <w:top w:val="single" w:color="000000" w:sz="4" w:space="0"/>
              <w:left w:val="single" w:color="auto" w:sz="4" w:space="0"/>
              <w:bottom w:val="single" w:color="000000" w:sz="4" w:space="0"/>
              <w:right w:val="single" w:color="000000" w:sz="4" w:space="0"/>
            </w:tcBorders>
            <w:vAlign w:val="center"/>
          </w:tcPr>
          <w:p>
            <w:pPr>
              <w:pStyle w:val="115"/>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843" w:type="dxa"/>
            <w:tcBorders>
              <w:top w:val="single" w:color="000000" w:sz="4" w:space="0"/>
              <w:left w:val="nil"/>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985" w:type="dxa"/>
            <w:tcBorders>
              <w:top w:val="single" w:color="000000" w:sz="4" w:space="0"/>
              <w:left w:val="single" w:color="auto"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645" w:type="dxa"/>
            <w:tcBorders>
              <w:top w:val="single" w:color="000000" w:sz="4" w:space="0"/>
              <w:left w:val="single" w:color="auto" w:sz="4" w:space="0"/>
              <w:bottom w:val="single" w:color="000000" w:sz="4" w:space="0"/>
              <w:right w:val="single" w:color="000000"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r>
    </w:tbl>
    <w:p>
      <w:pPr>
        <w:ind w:firstLine="480" w:firstLineChars="200"/>
        <w:rPr>
          <w:color w:val="000000" w:themeColor="text1"/>
          <w:sz w:val="24"/>
        </w:rPr>
      </w:pPr>
      <w:r>
        <w:rPr>
          <w:color w:val="000000" w:themeColor="text1"/>
          <w:sz w:val="24"/>
        </w:rPr>
        <w:t>本项目沼气储存量</w:t>
      </w:r>
      <w:r>
        <w:rPr>
          <w:rFonts w:hint="eastAsia"/>
          <w:color w:val="000000" w:themeColor="text1"/>
          <w:sz w:val="24"/>
        </w:rPr>
        <w:t>为0.17t，</w:t>
      </w:r>
      <w:r>
        <w:rPr>
          <w:color w:val="000000" w:themeColor="text1"/>
          <w:sz w:val="24"/>
        </w:rPr>
        <w:t>根据《危险化学品重大危险源</w:t>
      </w:r>
      <w:r>
        <w:rPr>
          <w:rFonts w:hint="eastAsia"/>
          <w:color w:val="000000" w:themeColor="text1"/>
          <w:sz w:val="24"/>
          <w:shd w:val="clear" w:fill="FFFF00"/>
        </w:rPr>
        <w:t>辨识</w:t>
      </w:r>
      <w:r>
        <w:rPr>
          <w:color w:val="000000" w:themeColor="text1"/>
          <w:sz w:val="24"/>
        </w:rPr>
        <w:t>》（GB18218-2009）中甲烷临界量为50t，项目沼气储量低于临界量，不属于重大危险源</w:t>
      </w:r>
      <w:r>
        <w:rPr>
          <w:rFonts w:hint="eastAsia"/>
          <w:color w:val="000000" w:themeColor="text1"/>
          <w:sz w:val="24"/>
        </w:rPr>
        <w:t>低</w:t>
      </w:r>
      <w:r>
        <w:rPr>
          <w:color w:val="000000" w:themeColor="text1"/>
          <w:sz w:val="24"/>
        </w:rPr>
        <w:t>，且项目所处地区为非环境敏感地区，根据《建设项目环境风险评价技术导则》（HJ/T169-2004），环境风险评价工作等级为二级。</w:t>
      </w:r>
    </w:p>
    <w:p>
      <w:pPr>
        <w:ind w:firstLine="480" w:firstLineChars="200"/>
        <w:rPr>
          <w:color w:val="000000" w:themeColor="text1"/>
          <w:sz w:val="24"/>
        </w:rPr>
      </w:pPr>
      <w:r>
        <w:rPr>
          <w:color w:val="000000" w:themeColor="text1"/>
          <w:sz w:val="24"/>
        </w:rPr>
        <w:t>二级评价要求进行风险识别、源项分析进行简要分析，提出防范、减缓和应急措施。评价范围为沼气储气柜周围3km区域范围。</w:t>
      </w:r>
    </w:p>
    <w:bookmarkEnd w:id="100"/>
    <w:bookmarkEnd w:id="101"/>
    <w:bookmarkEnd w:id="102"/>
    <w:bookmarkEnd w:id="103"/>
    <w:bookmarkEnd w:id="104"/>
    <w:bookmarkEnd w:id="105"/>
    <w:p>
      <w:pPr>
        <w:pStyle w:val="3"/>
        <w:adjustRightInd w:val="0"/>
        <w:snapToGrid w:val="0"/>
        <w:spacing w:before="0" w:after="0"/>
        <w:rPr>
          <w:rFonts w:ascii="Times New Roman" w:hAnsi="Times New Roman"/>
          <w:color w:val="000000" w:themeColor="text1"/>
        </w:rPr>
      </w:pPr>
      <w:bookmarkStart w:id="130" w:name="_Toc5595"/>
      <w:bookmarkStart w:id="131" w:name="_Toc291775985"/>
      <w:bookmarkStart w:id="132" w:name="_Toc300743750"/>
      <w:bookmarkStart w:id="133" w:name="_Toc29992"/>
      <w:bookmarkStart w:id="134" w:name="_Toc8148"/>
      <w:bookmarkStart w:id="135" w:name="_Toc402186354"/>
      <w:bookmarkStart w:id="136" w:name="_Toc4076481"/>
      <w:bookmarkStart w:id="137" w:name="_Toc510547271"/>
      <w:r>
        <w:rPr>
          <w:rFonts w:ascii="Times New Roman" w:hAnsi="Times New Roman"/>
          <w:color w:val="000000" w:themeColor="text1"/>
        </w:rPr>
        <w:t>2.7</w:t>
      </w:r>
      <w:bookmarkEnd w:id="130"/>
      <w:bookmarkEnd w:id="131"/>
      <w:bookmarkEnd w:id="132"/>
      <w:bookmarkEnd w:id="133"/>
      <w:bookmarkEnd w:id="134"/>
      <w:bookmarkEnd w:id="135"/>
      <w:bookmarkStart w:id="138" w:name="_Toc402186355"/>
      <w:r>
        <w:rPr>
          <w:rFonts w:ascii="Times New Roman" w:hAnsi="Times New Roman"/>
          <w:color w:val="000000" w:themeColor="text1"/>
        </w:rPr>
        <w:t>环境保护目标</w:t>
      </w:r>
      <w:bookmarkEnd w:id="136"/>
      <w:bookmarkEnd w:id="137"/>
      <w:bookmarkEnd w:id="138"/>
    </w:p>
    <w:p>
      <w:pPr>
        <w:adjustRightInd w:val="0"/>
        <w:snapToGrid w:val="0"/>
        <w:ind w:firstLine="480" w:firstLineChars="200"/>
        <w:rPr>
          <w:color w:val="000000" w:themeColor="text1"/>
          <w:sz w:val="24"/>
        </w:rPr>
      </w:pPr>
      <w:r>
        <w:rPr>
          <w:rFonts w:hint="eastAsia"/>
          <w:color w:val="000000" w:themeColor="text1"/>
          <w:sz w:val="24"/>
        </w:rPr>
        <w:t>项目不涉及自然保护区、风景名胜区、饮用水源保护区等环境敏感区。经向玉溪市生态环境局新平分局查询，项目不属于云南省生态红线分布范围内。</w:t>
      </w:r>
      <w:r>
        <w:rPr>
          <w:color w:val="000000" w:themeColor="text1"/>
          <w:sz w:val="24"/>
        </w:rPr>
        <w:t>环境保护目标见下表，项目环境保护目标示意图见附图。</w:t>
      </w:r>
    </w:p>
    <w:p>
      <w:pPr>
        <w:adjustRightInd w:val="0"/>
        <w:snapToGrid w:val="0"/>
        <w:spacing w:line="240" w:lineRule="auto"/>
        <w:jc w:val="center"/>
        <w:rPr>
          <w:b/>
          <w:color w:val="000000" w:themeColor="text1"/>
          <w:szCs w:val="21"/>
        </w:rPr>
      </w:pPr>
      <w:r>
        <w:rPr>
          <w:b/>
          <w:color w:val="000000" w:themeColor="text1"/>
          <w:szCs w:val="21"/>
        </w:rPr>
        <w:t>表2.7-1  主要环境保护目标</w:t>
      </w:r>
    </w:p>
    <w:tbl>
      <w:tblPr>
        <w:tblStyle w:val="42"/>
        <w:tblW w:w="8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723"/>
        <w:gridCol w:w="1627"/>
        <w:gridCol w:w="939"/>
        <w:gridCol w:w="957"/>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pPr>
              <w:adjustRightInd w:val="0"/>
              <w:snapToGrid w:val="0"/>
              <w:spacing w:line="240" w:lineRule="auto"/>
              <w:jc w:val="center"/>
              <w:rPr>
                <w:b/>
                <w:bCs/>
                <w:color w:val="000000" w:themeColor="text1"/>
                <w:szCs w:val="21"/>
              </w:rPr>
            </w:pPr>
            <w:r>
              <w:rPr>
                <w:b/>
                <w:bCs/>
                <w:color w:val="000000" w:themeColor="text1"/>
                <w:szCs w:val="21"/>
              </w:rPr>
              <w:t>类别</w:t>
            </w:r>
          </w:p>
        </w:tc>
        <w:tc>
          <w:tcPr>
            <w:tcW w:w="1723" w:type="dxa"/>
            <w:vAlign w:val="center"/>
          </w:tcPr>
          <w:p>
            <w:pPr>
              <w:adjustRightInd w:val="0"/>
              <w:snapToGrid w:val="0"/>
              <w:spacing w:line="240" w:lineRule="auto"/>
              <w:jc w:val="center"/>
              <w:rPr>
                <w:b/>
                <w:bCs/>
                <w:color w:val="000000" w:themeColor="text1"/>
                <w:szCs w:val="21"/>
              </w:rPr>
            </w:pPr>
            <w:r>
              <w:rPr>
                <w:b/>
                <w:bCs/>
                <w:color w:val="000000" w:themeColor="text1"/>
                <w:szCs w:val="21"/>
              </w:rPr>
              <w:t>保护目标</w:t>
            </w:r>
          </w:p>
        </w:tc>
        <w:tc>
          <w:tcPr>
            <w:tcW w:w="1627" w:type="dxa"/>
            <w:vAlign w:val="center"/>
          </w:tcPr>
          <w:p>
            <w:pPr>
              <w:adjustRightInd w:val="0"/>
              <w:snapToGrid w:val="0"/>
              <w:spacing w:line="240" w:lineRule="auto"/>
              <w:jc w:val="center"/>
              <w:rPr>
                <w:b/>
                <w:bCs/>
                <w:color w:val="000000" w:themeColor="text1"/>
                <w:szCs w:val="21"/>
              </w:rPr>
            </w:pPr>
            <w:r>
              <w:rPr>
                <w:b/>
                <w:bCs/>
                <w:color w:val="000000" w:themeColor="text1"/>
                <w:szCs w:val="21"/>
              </w:rPr>
              <w:t>特点</w:t>
            </w:r>
          </w:p>
        </w:tc>
        <w:tc>
          <w:tcPr>
            <w:tcW w:w="1896" w:type="dxa"/>
            <w:gridSpan w:val="2"/>
            <w:vAlign w:val="center"/>
          </w:tcPr>
          <w:p>
            <w:pPr>
              <w:adjustRightInd w:val="0"/>
              <w:snapToGrid w:val="0"/>
              <w:spacing w:line="240" w:lineRule="auto"/>
              <w:jc w:val="center"/>
              <w:rPr>
                <w:b/>
                <w:bCs/>
                <w:color w:val="000000" w:themeColor="text1"/>
                <w:szCs w:val="21"/>
              </w:rPr>
            </w:pPr>
            <w:r>
              <w:rPr>
                <w:b/>
                <w:bCs/>
                <w:color w:val="000000" w:themeColor="text1"/>
                <w:szCs w:val="21"/>
              </w:rPr>
              <w:t>方位和距离</w:t>
            </w:r>
          </w:p>
        </w:tc>
        <w:tc>
          <w:tcPr>
            <w:tcW w:w="1920" w:type="dxa"/>
            <w:vAlign w:val="center"/>
          </w:tcPr>
          <w:p>
            <w:pPr>
              <w:adjustRightInd w:val="0"/>
              <w:snapToGrid w:val="0"/>
              <w:spacing w:line="240" w:lineRule="auto"/>
              <w:jc w:val="center"/>
              <w:rPr>
                <w:b/>
                <w:bCs/>
                <w:color w:val="000000" w:themeColor="text1"/>
                <w:szCs w:val="21"/>
              </w:rPr>
            </w:pPr>
            <w:r>
              <w:rPr>
                <w:b/>
                <w:bCs/>
                <w:color w:val="000000" w:themeColor="text1"/>
                <w:szCs w:val="21"/>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pPr>
              <w:adjustRightInd w:val="0"/>
              <w:snapToGrid w:val="0"/>
              <w:spacing w:line="240" w:lineRule="auto"/>
              <w:jc w:val="center"/>
              <w:rPr>
                <w:color w:val="000000" w:themeColor="text1"/>
                <w:szCs w:val="21"/>
              </w:rPr>
            </w:pPr>
            <w:r>
              <w:rPr>
                <w:color w:val="000000" w:themeColor="text1"/>
                <w:szCs w:val="21"/>
              </w:rPr>
              <w:t>大气环境</w:t>
            </w:r>
          </w:p>
        </w:tc>
        <w:tc>
          <w:tcPr>
            <w:tcW w:w="1723"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石头村</w:t>
            </w:r>
          </w:p>
        </w:tc>
        <w:tc>
          <w:tcPr>
            <w:tcW w:w="1627"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127</w:t>
            </w:r>
            <w:r>
              <w:rPr>
                <w:color w:val="000000" w:themeColor="text1"/>
                <w:szCs w:val="21"/>
              </w:rPr>
              <w:t>户，</w:t>
            </w:r>
            <w:r>
              <w:rPr>
                <w:rFonts w:hint="eastAsia"/>
                <w:color w:val="000000" w:themeColor="text1"/>
                <w:szCs w:val="21"/>
              </w:rPr>
              <w:t>421</w:t>
            </w:r>
            <w:r>
              <w:rPr>
                <w:color w:val="000000" w:themeColor="text1"/>
                <w:szCs w:val="21"/>
              </w:rPr>
              <w:t>人</w:t>
            </w:r>
          </w:p>
        </w:tc>
        <w:tc>
          <w:tcPr>
            <w:tcW w:w="939"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SW</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543</w:t>
            </w:r>
            <w:r>
              <w:rPr>
                <w:color w:val="000000" w:themeColor="text1"/>
                <w:szCs w:val="21"/>
              </w:rPr>
              <w:t>m</w:t>
            </w:r>
          </w:p>
        </w:tc>
        <w:tc>
          <w:tcPr>
            <w:tcW w:w="1920" w:type="dxa"/>
            <w:vAlign w:val="center"/>
          </w:tcPr>
          <w:p>
            <w:pPr>
              <w:adjustRightInd w:val="0"/>
              <w:snapToGrid w:val="0"/>
              <w:spacing w:line="240" w:lineRule="auto"/>
              <w:jc w:val="center"/>
              <w:rPr>
                <w:color w:val="000000" w:themeColor="text1"/>
                <w:szCs w:val="21"/>
              </w:rPr>
            </w:pPr>
            <w:r>
              <w:rPr>
                <w:color w:val="000000" w:themeColor="text1"/>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环境风险</w:t>
            </w:r>
          </w:p>
        </w:tc>
        <w:tc>
          <w:tcPr>
            <w:tcW w:w="1723"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石头村</w:t>
            </w:r>
          </w:p>
        </w:tc>
        <w:tc>
          <w:tcPr>
            <w:tcW w:w="1627"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127</w:t>
            </w:r>
            <w:r>
              <w:rPr>
                <w:color w:val="000000" w:themeColor="text1"/>
                <w:szCs w:val="21"/>
              </w:rPr>
              <w:t>户，</w:t>
            </w:r>
            <w:r>
              <w:rPr>
                <w:rFonts w:hint="eastAsia"/>
                <w:color w:val="000000" w:themeColor="text1"/>
                <w:szCs w:val="21"/>
              </w:rPr>
              <w:t>421</w:t>
            </w:r>
            <w:r>
              <w:rPr>
                <w:color w:val="000000" w:themeColor="text1"/>
                <w:szCs w:val="21"/>
              </w:rPr>
              <w:t>人</w:t>
            </w:r>
          </w:p>
        </w:tc>
        <w:tc>
          <w:tcPr>
            <w:tcW w:w="939"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SW</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543</w:t>
            </w:r>
            <w:r>
              <w:rPr>
                <w:color w:val="000000" w:themeColor="text1"/>
                <w:szCs w:val="21"/>
              </w:rPr>
              <w:t>m</w:t>
            </w:r>
          </w:p>
        </w:tc>
        <w:tc>
          <w:tcPr>
            <w:tcW w:w="1920" w:type="dxa"/>
            <w:vMerge w:val="restart"/>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adjustRightInd w:val="0"/>
              <w:snapToGrid w:val="0"/>
              <w:spacing w:line="240" w:lineRule="auto"/>
              <w:jc w:val="center"/>
              <w:rPr>
                <w:color w:val="000000" w:themeColor="text1"/>
                <w:szCs w:val="21"/>
              </w:rPr>
            </w:pPr>
          </w:p>
        </w:tc>
        <w:tc>
          <w:tcPr>
            <w:tcW w:w="1723"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下清水河</w:t>
            </w:r>
          </w:p>
        </w:tc>
        <w:tc>
          <w:tcPr>
            <w:tcW w:w="1627"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50</w:t>
            </w:r>
            <w:r>
              <w:rPr>
                <w:color w:val="000000" w:themeColor="text1"/>
                <w:szCs w:val="21"/>
              </w:rPr>
              <w:t>户，</w:t>
            </w:r>
            <w:r>
              <w:rPr>
                <w:rFonts w:hint="eastAsia"/>
                <w:color w:val="000000" w:themeColor="text1"/>
                <w:szCs w:val="21"/>
              </w:rPr>
              <w:t>204</w:t>
            </w:r>
            <w:r>
              <w:rPr>
                <w:color w:val="000000" w:themeColor="text1"/>
                <w:szCs w:val="21"/>
              </w:rPr>
              <w:t>人</w:t>
            </w:r>
          </w:p>
        </w:tc>
        <w:tc>
          <w:tcPr>
            <w:tcW w:w="939"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W</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2.72k</w:t>
            </w:r>
            <w:r>
              <w:rPr>
                <w:color w:val="000000" w:themeColor="text1"/>
                <w:szCs w:val="21"/>
              </w:rPr>
              <w:t>m</w:t>
            </w:r>
          </w:p>
        </w:tc>
        <w:tc>
          <w:tcPr>
            <w:tcW w:w="1920" w:type="dxa"/>
            <w:vMerge w:val="continue"/>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adjustRightInd w:val="0"/>
              <w:snapToGrid w:val="0"/>
              <w:spacing w:line="240" w:lineRule="auto"/>
              <w:jc w:val="center"/>
              <w:rPr>
                <w:color w:val="000000" w:themeColor="text1"/>
                <w:szCs w:val="21"/>
              </w:rPr>
            </w:pPr>
          </w:p>
        </w:tc>
        <w:tc>
          <w:tcPr>
            <w:tcW w:w="1723"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米尺莫</w:t>
            </w:r>
          </w:p>
        </w:tc>
        <w:tc>
          <w:tcPr>
            <w:tcW w:w="1627"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18</w:t>
            </w:r>
            <w:r>
              <w:rPr>
                <w:color w:val="000000" w:themeColor="text1"/>
                <w:szCs w:val="21"/>
              </w:rPr>
              <w:t>户，</w:t>
            </w:r>
            <w:r>
              <w:rPr>
                <w:rFonts w:hint="eastAsia"/>
                <w:color w:val="000000" w:themeColor="text1"/>
                <w:szCs w:val="21"/>
              </w:rPr>
              <w:t>60</w:t>
            </w:r>
            <w:r>
              <w:rPr>
                <w:color w:val="000000" w:themeColor="text1"/>
                <w:szCs w:val="21"/>
              </w:rPr>
              <w:t>人</w:t>
            </w:r>
          </w:p>
        </w:tc>
        <w:tc>
          <w:tcPr>
            <w:tcW w:w="939"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E</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2.52k</w:t>
            </w:r>
            <w:r>
              <w:rPr>
                <w:color w:val="000000" w:themeColor="text1"/>
                <w:szCs w:val="21"/>
              </w:rPr>
              <w:t>m</w:t>
            </w:r>
          </w:p>
        </w:tc>
        <w:tc>
          <w:tcPr>
            <w:tcW w:w="1920" w:type="dxa"/>
            <w:vMerge w:val="continue"/>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adjustRightInd w:val="0"/>
              <w:snapToGrid w:val="0"/>
              <w:spacing w:line="240" w:lineRule="auto"/>
              <w:jc w:val="center"/>
              <w:rPr>
                <w:color w:val="000000" w:themeColor="text1"/>
                <w:szCs w:val="21"/>
              </w:rPr>
            </w:pPr>
          </w:p>
        </w:tc>
        <w:tc>
          <w:tcPr>
            <w:tcW w:w="1723"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丫口</w:t>
            </w:r>
          </w:p>
        </w:tc>
        <w:tc>
          <w:tcPr>
            <w:tcW w:w="1627"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17</w:t>
            </w:r>
            <w:r>
              <w:rPr>
                <w:color w:val="000000" w:themeColor="text1"/>
                <w:szCs w:val="21"/>
              </w:rPr>
              <w:t>户，</w:t>
            </w:r>
            <w:r>
              <w:rPr>
                <w:rFonts w:hint="eastAsia"/>
                <w:color w:val="000000" w:themeColor="text1"/>
                <w:szCs w:val="21"/>
              </w:rPr>
              <w:t>58</w:t>
            </w:r>
            <w:r>
              <w:rPr>
                <w:color w:val="000000" w:themeColor="text1"/>
                <w:szCs w:val="21"/>
              </w:rPr>
              <w:t>人</w:t>
            </w:r>
          </w:p>
        </w:tc>
        <w:tc>
          <w:tcPr>
            <w:tcW w:w="939"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SE</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2.54k</w:t>
            </w:r>
            <w:r>
              <w:rPr>
                <w:color w:val="000000" w:themeColor="text1"/>
                <w:szCs w:val="21"/>
              </w:rPr>
              <w:t>m</w:t>
            </w:r>
          </w:p>
        </w:tc>
        <w:tc>
          <w:tcPr>
            <w:tcW w:w="1920" w:type="dxa"/>
            <w:vMerge w:val="continue"/>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adjustRightInd w:val="0"/>
              <w:snapToGrid w:val="0"/>
              <w:spacing w:line="240" w:lineRule="auto"/>
              <w:jc w:val="center"/>
              <w:rPr>
                <w:color w:val="000000" w:themeColor="text1"/>
                <w:szCs w:val="21"/>
              </w:rPr>
            </w:pPr>
          </w:p>
        </w:tc>
        <w:tc>
          <w:tcPr>
            <w:tcW w:w="1723"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白鹤塘</w:t>
            </w:r>
          </w:p>
        </w:tc>
        <w:tc>
          <w:tcPr>
            <w:tcW w:w="1627"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40</w:t>
            </w:r>
            <w:r>
              <w:rPr>
                <w:color w:val="000000" w:themeColor="text1"/>
                <w:szCs w:val="21"/>
              </w:rPr>
              <w:t>户，</w:t>
            </w:r>
            <w:r>
              <w:rPr>
                <w:rFonts w:hint="eastAsia"/>
                <w:color w:val="000000" w:themeColor="text1"/>
                <w:szCs w:val="21"/>
              </w:rPr>
              <w:t>145</w:t>
            </w:r>
            <w:r>
              <w:rPr>
                <w:color w:val="000000" w:themeColor="text1"/>
                <w:szCs w:val="21"/>
              </w:rPr>
              <w:t>人</w:t>
            </w:r>
          </w:p>
        </w:tc>
        <w:tc>
          <w:tcPr>
            <w:tcW w:w="939"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E</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2.61k</w:t>
            </w:r>
            <w:r>
              <w:rPr>
                <w:color w:val="000000" w:themeColor="text1"/>
                <w:szCs w:val="21"/>
              </w:rPr>
              <w:t>m</w:t>
            </w:r>
          </w:p>
        </w:tc>
        <w:tc>
          <w:tcPr>
            <w:tcW w:w="1920" w:type="dxa"/>
            <w:vMerge w:val="continue"/>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restart"/>
            <w:vAlign w:val="center"/>
          </w:tcPr>
          <w:p>
            <w:pPr>
              <w:adjustRightInd w:val="0"/>
              <w:snapToGrid w:val="0"/>
              <w:spacing w:line="240" w:lineRule="auto"/>
              <w:jc w:val="center"/>
              <w:rPr>
                <w:color w:val="000000" w:themeColor="text1"/>
                <w:szCs w:val="21"/>
              </w:rPr>
            </w:pPr>
            <w:r>
              <w:rPr>
                <w:color w:val="000000" w:themeColor="text1"/>
                <w:szCs w:val="21"/>
              </w:rPr>
              <w:t>地表水</w:t>
            </w:r>
          </w:p>
        </w:tc>
        <w:tc>
          <w:tcPr>
            <w:tcW w:w="1723" w:type="dxa"/>
            <w:vAlign w:val="center"/>
          </w:tcPr>
          <w:p>
            <w:pPr>
              <w:adjustRightInd w:val="0"/>
              <w:snapToGrid w:val="0"/>
              <w:spacing w:line="240" w:lineRule="auto"/>
              <w:jc w:val="center"/>
              <w:rPr>
                <w:color w:val="000000" w:themeColor="text1"/>
                <w:szCs w:val="21"/>
              </w:rPr>
            </w:pPr>
            <w:r>
              <w:rPr>
                <w:rFonts w:hint="eastAsia"/>
                <w:color w:val="000000" w:themeColor="text1"/>
                <w:szCs w:val="21"/>
              </w:rPr>
              <w:t>箐沟</w:t>
            </w:r>
          </w:p>
        </w:tc>
        <w:tc>
          <w:tcPr>
            <w:tcW w:w="1627"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工业和农业用水</w:t>
            </w:r>
          </w:p>
        </w:tc>
        <w:tc>
          <w:tcPr>
            <w:tcW w:w="939" w:type="dxa"/>
            <w:vAlign w:val="center"/>
          </w:tcPr>
          <w:p>
            <w:pPr>
              <w:adjustRightInd w:val="0"/>
              <w:snapToGrid w:val="0"/>
              <w:spacing w:line="240" w:lineRule="auto"/>
              <w:jc w:val="center"/>
              <w:rPr>
                <w:color w:val="000000" w:themeColor="text1"/>
                <w:szCs w:val="21"/>
              </w:rPr>
            </w:pPr>
            <w:r>
              <w:rPr>
                <w:color w:val="000000" w:themeColor="text1"/>
                <w:szCs w:val="21"/>
              </w:rPr>
              <w:t>E</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480</w:t>
            </w:r>
            <w:r>
              <w:rPr>
                <w:color w:val="000000" w:themeColor="text1"/>
                <w:szCs w:val="21"/>
              </w:rPr>
              <w:t>m</w:t>
            </w:r>
          </w:p>
        </w:tc>
        <w:tc>
          <w:tcPr>
            <w:tcW w:w="1920" w:type="dxa"/>
            <w:vMerge w:val="restart"/>
            <w:vAlign w:val="center"/>
          </w:tcPr>
          <w:p>
            <w:pPr>
              <w:adjustRightInd w:val="0"/>
              <w:snapToGrid w:val="0"/>
              <w:spacing w:line="240" w:lineRule="auto"/>
              <w:jc w:val="center"/>
              <w:rPr>
                <w:color w:val="000000" w:themeColor="text1"/>
                <w:szCs w:val="21"/>
              </w:rPr>
            </w:pPr>
            <w:r>
              <w:rPr>
                <w:color w:val="000000" w:themeColor="text1"/>
                <w:szCs w:val="21"/>
              </w:rPr>
              <w:t>《地表水环境质量标准》（GB3838-2002）</w:t>
            </w:r>
            <w:r>
              <w:rPr>
                <w:rFonts w:hint="eastAsia" w:ascii="宋体" w:hAnsi="宋体" w:cs="宋体"/>
                <w:color w:val="000000" w:themeColor="text1"/>
                <w:szCs w:val="21"/>
              </w:rPr>
              <w:t>Ⅳ</w:t>
            </w:r>
            <w:r>
              <w:rPr>
                <w:color w:val="000000" w:themeColor="text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adjustRightInd w:val="0"/>
              <w:snapToGrid w:val="0"/>
              <w:spacing w:line="240" w:lineRule="auto"/>
              <w:jc w:val="center"/>
              <w:rPr>
                <w:color w:val="000000" w:themeColor="text1"/>
                <w:szCs w:val="21"/>
              </w:rPr>
            </w:pPr>
          </w:p>
        </w:tc>
        <w:tc>
          <w:tcPr>
            <w:tcW w:w="1723" w:type="dxa"/>
            <w:vAlign w:val="center"/>
          </w:tcPr>
          <w:p>
            <w:pPr>
              <w:adjustRightInd w:val="0"/>
              <w:snapToGrid w:val="0"/>
              <w:spacing w:line="240" w:lineRule="auto"/>
              <w:jc w:val="center"/>
              <w:rPr>
                <w:color w:val="000000" w:themeColor="text1"/>
                <w:szCs w:val="21"/>
              </w:rPr>
            </w:pPr>
            <w:r>
              <w:rPr>
                <w:rFonts w:hint="eastAsia"/>
                <w:color w:val="000000" w:themeColor="text1"/>
                <w:szCs w:val="21"/>
              </w:rPr>
              <w:t>康之康河</w:t>
            </w:r>
          </w:p>
        </w:tc>
        <w:tc>
          <w:tcPr>
            <w:tcW w:w="1627" w:type="dxa"/>
            <w:vMerge w:val="continue"/>
            <w:vAlign w:val="center"/>
          </w:tcPr>
          <w:p>
            <w:pPr>
              <w:adjustRightInd w:val="0"/>
              <w:snapToGrid w:val="0"/>
              <w:spacing w:line="240" w:lineRule="auto"/>
              <w:jc w:val="center"/>
              <w:rPr>
                <w:color w:val="000000" w:themeColor="text1"/>
                <w:szCs w:val="21"/>
              </w:rPr>
            </w:pPr>
          </w:p>
        </w:tc>
        <w:tc>
          <w:tcPr>
            <w:tcW w:w="939" w:type="dxa"/>
            <w:vAlign w:val="center"/>
          </w:tcPr>
          <w:p>
            <w:pPr>
              <w:adjustRightInd w:val="0"/>
              <w:snapToGrid w:val="0"/>
              <w:spacing w:line="240" w:lineRule="auto"/>
              <w:jc w:val="center"/>
              <w:rPr>
                <w:color w:val="000000" w:themeColor="text1"/>
                <w:szCs w:val="21"/>
              </w:rPr>
            </w:pPr>
            <w:r>
              <w:rPr>
                <w:rFonts w:hint="eastAsia"/>
                <w:color w:val="000000" w:themeColor="text1"/>
                <w:szCs w:val="21"/>
              </w:rPr>
              <w:t>SE</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3.65km</w:t>
            </w:r>
          </w:p>
        </w:tc>
        <w:tc>
          <w:tcPr>
            <w:tcW w:w="1920" w:type="dxa"/>
            <w:vMerge w:val="continue"/>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adjustRightInd w:val="0"/>
              <w:snapToGrid w:val="0"/>
              <w:spacing w:line="240" w:lineRule="auto"/>
              <w:jc w:val="center"/>
              <w:rPr>
                <w:color w:val="000000" w:themeColor="text1"/>
                <w:szCs w:val="21"/>
              </w:rPr>
            </w:pPr>
          </w:p>
        </w:tc>
        <w:tc>
          <w:tcPr>
            <w:tcW w:w="1723" w:type="dxa"/>
            <w:vAlign w:val="center"/>
          </w:tcPr>
          <w:p>
            <w:pPr>
              <w:adjustRightInd w:val="0"/>
              <w:snapToGrid w:val="0"/>
              <w:spacing w:line="240" w:lineRule="auto"/>
              <w:jc w:val="center"/>
              <w:rPr>
                <w:color w:val="000000" w:themeColor="text1"/>
                <w:szCs w:val="21"/>
              </w:rPr>
            </w:pPr>
            <w:r>
              <w:rPr>
                <w:rFonts w:hint="eastAsia"/>
                <w:color w:val="000000" w:themeColor="text1"/>
                <w:szCs w:val="21"/>
              </w:rPr>
              <w:t>水塘</w:t>
            </w:r>
          </w:p>
        </w:tc>
        <w:tc>
          <w:tcPr>
            <w:tcW w:w="1627" w:type="dxa"/>
            <w:vAlign w:val="center"/>
          </w:tcPr>
          <w:p>
            <w:pPr>
              <w:adjustRightInd w:val="0"/>
              <w:snapToGrid w:val="0"/>
              <w:spacing w:line="240" w:lineRule="auto"/>
              <w:jc w:val="center"/>
              <w:rPr>
                <w:color w:val="000000" w:themeColor="text1"/>
                <w:szCs w:val="21"/>
              </w:rPr>
            </w:pPr>
            <w:r>
              <w:rPr>
                <w:rFonts w:hint="eastAsia"/>
                <w:color w:val="000000" w:themeColor="text1"/>
                <w:szCs w:val="21"/>
              </w:rPr>
              <w:t>农业用水</w:t>
            </w:r>
          </w:p>
        </w:tc>
        <w:tc>
          <w:tcPr>
            <w:tcW w:w="939" w:type="dxa"/>
            <w:vAlign w:val="center"/>
          </w:tcPr>
          <w:p>
            <w:pPr>
              <w:adjustRightInd w:val="0"/>
              <w:snapToGrid w:val="0"/>
              <w:spacing w:line="240" w:lineRule="auto"/>
              <w:jc w:val="center"/>
              <w:rPr>
                <w:color w:val="000000" w:themeColor="text1"/>
                <w:szCs w:val="21"/>
              </w:rPr>
            </w:pPr>
            <w:r>
              <w:rPr>
                <w:rFonts w:hint="eastAsia"/>
                <w:color w:val="000000" w:themeColor="text1"/>
                <w:szCs w:val="21"/>
              </w:rPr>
              <w:t>NW</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220m</w:t>
            </w:r>
          </w:p>
        </w:tc>
        <w:tc>
          <w:tcPr>
            <w:tcW w:w="1920" w:type="dxa"/>
            <w:vMerge w:val="continue"/>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pPr>
              <w:adjustRightInd w:val="0"/>
              <w:snapToGrid w:val="0"/>
              <w:spacing w:line="240" w:lineRule="auto"/>
              <w:jc w:val="center"/>
              <w:rPr>
                <w:color w:val="000000" w:themeColor="text1"/>
                <w:szCs w:val="21"/>
              </w:rPr>
            </w:pPr>
            <w:r>
              <w:rPr>
                <w:color w:val="000000" w:themeColor="text1"/>
                <w:szCs w:val="21"/>
              </w:rPr>
              <w:t>地下水</w:t>
            </w:r>
          </w:p>
        </w:tc>
        <w:tc>
          <w:tcPr>
            <w:tcW w:w="1723" w:type="dxa"/>
            <w:vAlign w:val="center"/>
          </w:tcPr>
          <w:p>
            <w:pPr>
              <w:adjustRightInd w:val="0"/>
              <w:snapToGrid w:val="0"/>
              <w:spacing w:line="240" w:lineRule="auto"/>
              <w:jc w:val="center"/>
              <w:rPr>
                <w:color w:val="000000" w:themeColor="text1"/>
                <w:lang w:val="zh-TW"/>
              </w:rPr>
            </w:pPr>
            <w:r>
              <w:rPr>
                <w:rFonts w:hint="eastAsia"/>
                <w:color w:val="000000" w:themeColor="text1"/>
                <w:lang w:val="zh-TW"/>
              </w:rPr>
              <w:t>评价范围内松散岩孔隙水</w:t>
            </w:r>
          </w:p>
        </w:tc>
        <w:tc>
          <w:tcPr>
            <w:tcW w:w="1627" w:type="dxa"/>
            <w:vAlign w:val="center"/>
          </w:tcPr>
          <w:p>
            <w:pPr>
              <w:adjustRightInd w:val="0"/>
              <w:snapToGrid w:val="0"/>
              <w:spacing w:line="240" w:lineRule="auto"/>
              <w:jc w:val="center"/>
              <w:rPr>
                <w:color w:val="000000" w:themeColor="text1"/>
                <w:lang w:val="zh-TW"/>
              </w:rPr>
            </w:pPr>
            <w:r>
              <w:rPr>
                <w:rFonts w:hint="eastAsia"/>
                <w:color w:val="000000" w:themeColor="text1"/>
                <w:lang w:val="zh-TW"/>
              </w:rPr>
              <w:t>/</w:t>
            </w:r>
          </w:p>
        </w:tc>
        <w:tc>
          <w:tcPr>
            <w:tcW w:w="939" w:type="dxa"/>
            <w:vAlign w:val="center"/>
          </w:tcPr>
          <w:p>
            <w:pPr>
              <w:adjustRightInd w:val="0"/>
              <w:snapToGrid w:val="0"/>
              <w:spacing w:line="240" w:lineRule="auto"/>
              <w:jc w:val="center"/>
              <w:rPr>
                <w:color w:val="000000" w:themeColor="text1"/>
                <w:szCs w:val="21"/>
              </w:rPr>
            </w:pPr>
            <w:r>
              <w:rPr>
                <w:color w:val="000000" w:themeColor="text1"/>
                <w:szCs w:val="21"/>
              </w:rPr>
              <w:t>N</w:t>
            </w:r>
          </w:p>
        </w:tc>
        <w:tc>
          <w:tcPr>
            <w:tcW w:w="957" w:type="dxa"/>
            <w:vAlign w:val="center"/>
          </w:tcPr>
          <w:p>
            <w:pPr>
              <w:adjustRightInd w:val="0"/>
              <w:snapToGrid w:val="0"/>
              <w:spacing w:line="240" w:lineRule="auto"/>
              <w:jc w:val="center"/>
              <w:rPr>
                <w:color w:val="000000" w:themeColor="text1"/>
                <w:szCs w:val="21"/>
              </w:rPr>
            </w:pPr>
            <w:r>
              <w:rPr>
                <w:rFonts w:hint="eastAsia"/>
                <w:color w:val="000000" w:themeColor="text1"/>
                <w:szCs w:val="21"/>
              </w:rPr>
              <w:t>评价</w:t>
            </w:r>
            <w:r>
              <w:rPr>
                <w:color w:val="000000" w:themeColor="text1"/>
                <w:szCs w:val="21"/>
              </w:rPr>
              <w:t>范围内</w:t>
            </w:r>
          </w:p>
        </w:tc>
        <w:tc>
          <w:tcPr>
            <w:tcW w:w="1920" w:type="dxa"/>
            <w:vAlign w:val="center"/>
          </w:tcPr>
          <w:p>
            <w:pPr>
              <w:adjustRightInd w:val="0"/>
              <w:snapToGrid w:val="0"/>
              <w:spacing w:line="240" w:lineRule="auto"/>
              <w:jc w:val="center"/>
              <w:rPr>
                <w:color w:val="000000" w:themeColor="text1"/>
                <w:szCs w:val="21"/>
              </w:rPr>
            </w:pPr>
            <w:r>
              <w:rPr>
                <w:color w:val="000000" w:themeColor="text1"/>
                <w:szCs w:val="21"/>
              </w:rPr>
              <w:t>《地下水质量标准》（GB/T14848-</w:t>
            </w:r>
            <w:r>
              <w:rPr>
                <w:rFonts w:hint="eastAsia"/>
                <w:color w:val="000000" w:themeColor="text1"/>
                <w:szCs w:val="21"/>
              </w:rPr>
              <w:t>2017</w:t>
            </w:r>
            <w:r>
              <w:rPr>
                <w:color w:val="000000" w:themeColor="text1"/>
                <w:szCs w:val="21"/>
              </w:rPr>
              <w:t>）</w:t>
            </w:r>
            <w:r>
              <w:rPr>
                <w:rFonts w:hint="eastAsia" w:ascii="宋体" w:hAnsi="宋体" w:cs="宋体"/>
                <w:color w:val="000000" w:themeColor="text1"/>
                <w:szCs w:val="21"/>
              </w:rPr>
              <w:t>Ⅲ</w:t>
            </w:r>
            <w:r>
              <w:rPr>
                <w:color w:val="000000" w:themeColor="text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pPr>
              <w:adjustRightInd w:val="0"/>
              <w:snapToGrid w:val="0"/>
              <w:spacing w:line="240" w:lineRule="auto"/>
              <w:jc w:val="center"/>
              <w:rPr>
                <w:color w:val="000000" w:themeColor="text1"/>
                <w:szCs w:val="21"/>
              </w:rPr>
            </w:pPr>
            <w:r>
              <w:rPr>
                <w:color w:val="000000" w:themeColor="text1"/>
                <w:szCs w:val="21"/>
              </w:rPr>
              <w:t>生态环境</w:t>
            </w:r>
          </w:p>
        </w:tc>
        <w:tc>
          <w:tcPr>
            <w:tcW w:w="3350" w:type="dxa"/>
            <w:gridSpan w:val="2"/>
            <w:vAlign w:val="center"/>
          </w:tcPr>
          <w:p>
            <w:pPr>
              <w:adjustRightInd w:val="0"/>
              <w:snapToGrid w:val="0"/>
              <w:spacing w:line="240" w:lineRule="auto"/>
              <w:jc w:val="center"/>
              <w:rPr>
                <w:color w:val="000000" w:themeColor="text1"/>
                <w:szCs w:val="21"/>
              </w:rPr>
            </w:pPr>
            <w:r>
              <w:rPr>
                <w:color w:val="000000" w:themeColor="text1"/>
                <w:szCs w:val="21"/>
              </w:rPr>
              <w:t>植被、土壤</w:t>
            </w:r>
          </w:p>
        </w:tc>
        <w:tc>
          <w:tcPr>
            <w:tcW w:w="1896" w:type="dxa"/>
            <w:gridSpan w:val="2"/>
            <w:vAlign w:val="center"/>
          </w:tcPr>
          <w:p>
            <w:pPr>
              <w:adjustRightInd w:val="0"/>
              <w:snapToGrid w:val="0"/>
              <w:spacing w:line="240" w:lineRule="auto"/>
              <w:jc w:val="center"/>
              <w:rPr>
                <w:color w:val="000000" w:themeColor="text1"/>
                <w:szCs w:val="21"/>
              </w:rPr>
            </w:pPr>
            <w:r>
              <w:rPr>
                <w:color w:val="000000" w:themeColor="text1"/>
                <w:szCs w:val="21"/>
              </w:rPr>
              <w:t>厂区外延200m范围内的植被、土壤</w:t>
            </w:r>
          </w:p>
        </w:tc>
        <w:tc>
          <w:tcPr>
            <w:tcW w:w="1920" w:type="dxa"/>
            <w:vAlign w:val="center"/>
          </w:tcPr>
          <w:p>
            <w:pPr>
              <w:adjustRightInd w:val="0"/>
              <w:snapToGrid w:val="0"/>
              <w:spacing w:line="240" w:lineRule="auto"/>
              <w:jc w:val="center"/>
              <w:rPr>
                <w:color w:val="000000" w:themeColor="text1"/>
                <w:szCs w:val="21"/>
              </w:rPr>
            </w:pPr>
            <w:r>
              <w:rPr>
                <w:color w:val="000000" w:themeColor="text1"/>
                <w:szCs w:val="21"/>
              </w:rPr>
              <w:t>保护土壤和植被不受污染</w:t>
            </w:r>
          </w:p>
        </w:tc>
      </w:tr>
    </w:tbl>
    <w:p>
      <w:pPr>
        <w:pStyle w:val="3"/>
        <w:adjustRightInd w:val="0"/>
        <w:snapToGrid w:val="0"/>
        <w:spacing w:before="0" w:after="0"/>
        <w:rPr>
          <w:rFonts w:ascii="Times New Roman" w:hAnsi="Times New Roman"/>
          <w:color w:val="000000" w:themeColor="text1"/>
        </w:rPr>
      </w:pPr>
      <w:bookmarkStart w:id="139" w:name="_Toc4076482"/>
      <w:r>
        <w:rPr>
          <w:rFonts w:ascii="Times New Roman" w:hAnsi="Times New Roman"/>
          <w:color w:val="000000" w:themeColor="text1"/>
        </w:rPr>
        <w:t>2.8环境影响评价工作程序</w:t>
      </w:r>
      <w:bookmarkEnd w:id="139"/>
    </w:p>
    <w:p>
      <w:pPr>
        <w:adjustRightInd w:val="0"/>
        <w:snapToGrid w:val="0"/>
        <w:ind w:firstLine="480" w:firstLineChars="200"/>
        <w:rPr>
          <w:color w:val="000000" w:themeColor="text1"/>
          <w:sz w:val="24"/>
        </w:rPr>
      </w:pPr>
      <w:r>
        <w:rPr>
          <w:color w:val="000000" w:themeColor="text1"/>
          <w:sz w:val="24"/>
        </w:rPr>
        <w:t>项目环境影响评价工作程序见图2.8-1。</w:t>
      </w:r>
    </w:p>
    <w:p>
      <w:pPr>
        <w:adjustRightInd w:val="0"/>
        <w:snapToGrid w:val="0"/>
        <w:jc w:val="center"/>
        <w:rPr>
          <w:b/>
          <w:color w:val="000000" w:themeColor="text1"/>
          <w:szCs w:val="21"/>
        </w:rPr>
        <w:sectPr>
          <w:pgSz w:w="11906" w:h="16838"/>
          <w:pgMar w:top="1440" w:right="1797" w:bottom="1440" w:left="1797" w:header="851" w:footer="992" w:gutter="0"/>
          <w:cols w:space="720" w:num="1"/>
          <w:docGrid w:linePitch="312" w:charSpace="0"/>
        </w:sectPr>
      </w:pPr>
    </w:p>
    <w:p>
      <w:pPr>
        <w:adjustRightInd w:val="0"/>
        <w:snapToGrid w:val="0"/>
        <w:jc w:val="center"/>
        <w:rPr>
          <w:b/>
          <w:color w:val="000000" w:themeColor="text1"/>
          <w:szCs w:val="21"/>
        </w:rPr>
      </w:pPr>
      <w:r>
        <w:rPr>
          <w:b/>
          <w:color w:val="000000" w:themeColor="text1"/>
          <w:szCs w:val="21"/>
        </w:rPr>
        <w:drawing>
          <wp:inline distT="0" distB="0" distL="0" distR="0">
            <wp:extent cx="5274310" cy="5332730"/>
            <wp:effectExtent l="0" t="0" r="2540" b="1270"/>
            <wp:docPr id="3" name="图片 3" descr="总纲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总纲2016"/>
                    <pic:cNvPicPr>
                      <a:picLocks noChangeAspect="1" noChangeArrowheads="1"/>
                    </pic:cNvPicPr>
                  </pic:nvPicPr>
                  <pic:blipFill>
                    <a:blip r:embed="rId15" cstate="print">
                      <a:extLst>
                        <a:ext uri="{28A0092B-C50C-407E-A947-70E740481C1C}">
                          <a14:useLocalDpi xmlns:a14="http://schemas.microsoft.com/office/drawing/2010/main" val="0"/>
                        </a:ext>
                      </a:extLst>
                    </a:blip>
                    <a:srcRect b="4208"/>
                    <a:stretch>
                      <a:fillRect/>
                    </a:stretch>
                  </pic:blipFill>
                  <pic:spPr>
                    <a:xfrm>
                      <a:off x="0" y="0"/>
                      <a:ext cx="5274310" cy="5332730"/>
                    </a:xfrm>
                    <a:prstGeom prst="rect">
                      <a:avLst/>
                    </a:prstGeom>
                    <a:noFill/>
                    <a:ln>
                      <a:noFill/>
                    </a:ln>
                  </pic:spPr>
                </pic:pic>
              </a:graphicData>
            </a:graphic>
          </wp:inline>
        </w:drawing>
      </w:r>
    </w:p>
    <w:p>
      <w:pPr>
        <w:tabs>
          <w:tab w:val="center" w:pos="4363"/>
        </w:tabs>
        <w:adjustRightInd w:val="0"/>
        <w:snapToGrid w:val="0"/>
        <w:jc w:val="center"/>
        <w:rPr>
          <w:b/>
          <w:color w:val="000000" w:themeColor="text1"/>
          <w:sz w:val="24"/>
        </w:rPr>
      </w:pPr>
      <w:r>
        <w:rPr>
          <w:b/>
          <w:color w:val="000000" w:themeColor="text1"/>
          <w:szCs w:val="21"/>
        </w:rPr>
        <w:t>图2.8-1  环境影响评价工程程序图</w:t>
      </w:r>
    </w:p>
    <w:p>
      <w:pPr>
        <w:tabs>
          <w:tab w:val="center" w:pos="4363"/>
        </w:tabs>
        <w:adjustRightInd w:val="0"/>
        <w:snapToGrid w:val="0"/>
        <w:jc w:val="center"/>
        <w:rPr>
          <w:b/>
          <w:color w:val="000000" w:themeColor="text1"/>
          <w:sz w:val="24"/>
        </w:rPr>
        <w:sectPr>
          <w:pgSz w:w="11906" w:h="16838"/>
          <w:pgMar w:top="1440" w:right="1797" w:bottom="1440" w:left="1797" w:header="851" w:footer="992" w:gutter="0"/>
          <w:cols w:space="720" w:num="1"/>
          <w:docGrid w:linePitch="312" w:charSpace="0"/>
        </w:sectPr>
      </w:pPr>
    </w:p>
    <w:p>
      <w:pPr>
        <w:pStyle w:val="2"/>
        <w:rPr>
          <w:rFonts w:hAnsi="Times New Roman"/>
          <w:color w:val="000000" w:themeColor="text1"/>
        </w:rPr>
      </w:pPr>
      <w:bookmarkStart w:id="140" w:name="_Toc291775996"/>
      <w:bookmarkStart w:id="141" w:name="_Toc32091"/>
      <w:bookmarkStart w:id="142" w:name="_Toc16977"/>
      <w:bookmarkStart w:id="143" w:name="_Toc402186357"/>
      <w:bookmarkStart w:id="144" w:name="_Toc303260998"/>
      <w:bookmarkStart w:id="145" w:name="_Toc5709"/>
      <w:bookmarkStart w:id="146" w:name="_Toc4076483"/>
      <w:bookmarkStart w:id="147" w:name="_Toc510547272"/>
      <w:r>
        <w:rPr>
          <w:rFonts w:hAnsi="Times New Roman"/>
          <w:color w:val="000000" w:themeColor="text1"/>
        </w:rPr>
        <w:t>3建设项目</w:t>
      </w:r>
      <w:bookmarkEnd w:id="140"/>
      <w:bookmarkEnd w:id="141"/>
      <w:bookmarkEnd w:id="142"/>
      <w:bookmarkEnd w:id="143"/>
      <w:bookmarkEnd w:id="144"/>
      <w:bookmarkEnd w:id="145"/>
      <w:r>
        <w:rPr>
          <w:rFonts w:hAnsi="Times New Roman"/>
          <w:color w:val="000000" w:themeColor="text1"/>
        </w:rPr>
        <w:t>工程分析</w:t>
      </w:r>
      <w:bookmarkEnd w:id="146"/>
      <w:bookmarkEnd w:id="147"/>
    </w:p>
    <w:p>
      <w:pPr>
        <w:pStyle w:val="3"/>
        <w:spacing w:before="0" w:after="0"/>
        <w:rPr>
          <w:rFonts w:ascii="Times New Roman" w:hAnsi="Times New Roman"/>
          <w:color w:val="000000" w:themeColor="text1"/>
        </w:rPr>
      </w:pPr>
      <w:bookmarkStart w:id="148" w:name="_Toc20147"/>
      <w:bookmarkStart w:id="149" w:name="_Toc12656"/>
      <w:bookmarkStart w:id="150" w:name="_Toc303260999"/>
      <w:bookmarkStart w:id="151" w:name="_Toc291775997"/>
      <w:bookmarkStart w:id="152" w:name="_Toc11389"/>
      <w:bookmarkStart w:id="153" w:name="_Toc402186358"/>
      <w:bookmarkStart w:id="154" w:name="_Toc510547273"/>
      <w:bookmarkStart w:id="155" w:name="_Toc4076484"/>
      <w:r>
        <w:rPr>
          <w:rFonts w:ascii="Times New Roman" w:hAnsi="Times New Roman"/>
          <w:color w:val="000000" w:themeColor="text1"/>
        </w:rPr>
        <w:t>3.1</w:t>
      </w:r>
      <w:bookmarkEnd w:id="148"/>
      <w:bookmarkEnd w:id="149"/>
      <w:bookmarkEnd w:id="150"/>
      <w:bookmarkEnd w:id="151"/>
      <w:bookmarkEnd w:id="152"/>
      <w:bookmarkEnd w:id="153"/>
      <w:r>
        <w:rPr>
          <w:rFonts w:ascii="Times New Roman" w:hAnsi="Times New Roman"/>
          <w:color w:val="000000" w:themeColor="text1"/>
        </w:rPr>
        <w:t>建设项目概况</w:t>
      </w:r>
      <w:bookmarkEnd w:id="154"/>
      <w:bookmarkEnd w:id="155"/>
    </w:p>
    <w:p>
      <w:pPr>
        <w:adjustRightInd w:val="0"/>
        <w:snapToGrid w:val="0"/>
        <w:outlineLvl w:val="2"/>
        <w:rPr>
          <w:b/>
          <w:color w:val="000000" w:themeColor="text1"/>
          <w:sz w:val="24"/>
        </w:rPr>
      </w:pPr>
      <w:bookmarkStart w:id="156" w:name="_Toc510547274"/>
      <w:r>
        <w:rPr>
          <w:b/>
          <w:color w:val="000000" w:themeColor="text1"/>
          <w:sz w:val="24"/>
        </w:rPr>
        <w:t>3.1.1项目基本情况</w:t>
      </w:r>
      <w:bookmarkEnd w:id="156"/>
    </w:p>
    <w:p>
      <w:pPr>
        <w:adjustRightInd w:val="0"/>
        <w:snapToGrid w:val="0"/>
        <w:ind w:firstLine="480" w:firstLineChars="200"/>
        <w:rPr>
          <w:color w:val="000000" w:themeColor="text1"/>
          <w:kern w:val="0"/>
          <w:sz w:val="24"/>
        </w:rPr>
      </w:pPr>
      <w:r>
        <w:rPr>
          <w:color w:val="000000" w:themeColor="text1"/>
          <w:sz w:val="24"/>
        </w:rPr>
        <w:t>项目名称：</w:t>
      </w:r>
      <w:r>
        <w:rPr>
          <w:rFonts w:hint="eastAsia"/>
          <w:color w:val="000000" w:themeColor="text1"/>
          <w:kern w:val="0"/>
          <w:sz w:val="24"/>
        </w:rPr>
        <w:t>新平生猪及子猪标准化规模养殖小区一期建设项目</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建设性质：新建</w:t>
      </w:r>
    </w:p>
    <w:p>
      <w:pPr>
        <w:adjustRightInd w:val="0"/>
        <w:snapToGrid w:val="0"/>
        <w:ind w:firstLine="480" w:firstLineChars="200"/>
        <w:rPr>
          <w:color w:val="000000" w:themeColor="text1"/>
          <w:kern w:val="0"/>
          <w:sz w:val="24"/>
        </w:rPr>
      </w:pPr>
      <w:r>
        <w:rPr>
          <w:color w:val="000000" w:themeColor="text1"/>
          <w:sz w:val="24"/>
        </w:rPr>
        <w:t>建设单位：</w:t>
      </w:r>
      <w:r>
        <w:rPr>
          <w:rFonts w:hint="eastAsia"/>
          <w:color w:val="000000" w:themeColor="text1"/>
          <w:kern w:val="0"/>
          <w:sz w:val="24"/>
        </w:rPr>
        <w:t>新平沃达丰农牧</w:t>
      </w:r>
      <w:r>
        <w:rPr>
          <w:color w:val="000000" w:themeColor="text1"/>
          <w:kern w:val="0"/>
          <w:sz w:val="24"/>
        </w:rPr>
        <w:t>有限公司</w:t>
      </w:r>
    </w:p>
    <w:p>
      <w:pPr>
        <w:adjustRightInd w:val="0"/>
        <w:snapToGrid w:val="0"/>
        <w:ind w:firstLine="480" w:firstLineChars="200"/>
        <w:rPr>
          <w:color w:val="000000" w:themeColor="text1"/>
          <w:kern w:val="0"/>
          <w:sz w:val="24"/>
        </w:rPr>
      </w:pPr>
      <w:r>
        <w:rPr>
          <w:rFonts w:hint="eastAsia"/>
          <w:color w:val="000000" w:themeColor="text1"/>
          <w:kern w:val="0"/>
          <w:sz w:val="24"/>
        </w:rPr>
        <w:t>占地面积：</w:t>
      </w:r>
      <w:r>
        <w:rPr>
          <w:color w:val="000000" w:themeColor="text1"/>
          <w:sz w:val="24"/>
        </w:rPr>
        <w:t>项目总占地面积</w:t>
      </w:r>
      <w:r>
        <w:rPr>
          <w:rFonts w:hint="eastAsia"/>
          <w:color w:val="000000" w:themeColor="text1"/>
          <w:sz w:val="24"/>
        </w:rPr>
        <w:t>36524</w:t>
      </w:r>
      <w:r>
        <w:rPr>
          <w:color w:val="000000" w:themeColor="text1"/>
          <w:sz w:val="24"/>
        </w:rPr>
        <w:t>m</w:t>
      </w:r>
      <w:r>
        <w:rPr>
          <w:color w:val="000000" w:themeColor="text1"/>
          <w:sz w:val="24"/>
          <w:vertAlign w:val="superscript"/>
        </w:rPr>
        <w:t>2</w:t>
      </w:r>
      <w:r>
        <w:rPr>
          <w:color w:val="000000" w:themeColor="text1"/>
          <w:sz w:val="24"/>
        </w:rPr>
        <w:t>（</w:t>
      </w:r>
      <w:r>
        <w:rPr>
          <w:rFonts w:hint="eastAsia"/>
          <w:color w:val="000000" w:themeColor="text1"/>
          <w:sz w:val="24"/>
        </w:rPr>
        <w:t>54.78</w:t>
      </w:r>
      <w:r>
        <w:rPr>
          <w:color w:val="000000" w:themeColor="text1"/>
          <w:sz w:val="24"/>
        </w:rPr>
        <w:t>亩</w:t>
      </w:r>
      <w:r>
        <w:rPr>
          <w:rFonts w:hint="eastAsia"/>
          <w:color w:val="000000" w:themeColor="text1"/>
          <w:sz w:val="24"/>
        </w:rPr>
        <w:t>，不含种植区</w:t>
      </w:r>
      <w:r>
        <w:rPr>
          <w:color w:val="000000" w:themeColor="text1"/>
          <w:sz w:val="24"/>
        </w:rPr>
        <w:t>）</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建设地点：</w:t>
      </w:r>
      <w:r>
        <w:rPr>
          <w:color w:val="000000" w:themeColor="text1"/>
        </w:rPr>
        <w:t>玉溪市</w:t>
      </w:r>
      <w:r>
        <w:rPr>
          <w:rFonts w:hint="eastAsia"/>
          <w:color w:val="000000" w:themeColor="text1"/>
        </w:rPr>
        <w:t>新平县白鹤村委会石头村小组</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项目投资：</w:t>
      </w:r>
      <w:r>
        <w:rPr>
          <w:rFonts w:hint="eastAsia" w:ascii="Times New Roman" w:hAnsi="Times New Roman" w:cs="Times New Roman"/>
          <w:color w:val="000000" w:themeColor="text1"/>
        </w:rPr>
        <w:t>500</w:t>
      </w:r>
      <w:r>
        <w:rPr>
          <w:rFonts w:ascii="Times New Roman" w:hAnsi="Times New Roman" w:cs="Times New Roman"/>
          <w:color w:val="000000" w:themeColor="text1"/>
        </w:rPr>
        <w:t>0万元，全部由企业单位自筹。</w:t>
      </w:r>
    </w:p>
    <w:p>
      <w:pPr>
        <w:adjustRightInd w:val="0"/>
        <w:snapToGrid w:val="0"/>
        <w:outlineLvl w:val="2"/>
        <w:rPr>
          <w:b/>
          <w:color w:val="000000" w:themeColor="text1"/>
          <w:sz w:val="24"/>
        </w:rPr>
      </w:pPr>
      <w:bookmarkStart w:id="157" w:name="_Toc510547275"/>
      <w:bookmarkStart w:id="158" w:name="_Toc504403798"/>
      <w:bookmarkStart w:id="159" w:name="_Toc12904"/>
      <w:bookmarkStart w:id="160" w:name="_Toc402186359"/>
      <w:bookmarkStart w:id="161" w:name="_Toc303261000"/>
      <w:bookmarkStart w:id="162" w:name="_Toc24690"/>
      <w:bookmarkStart w:id="163" w:name="_Toc8401"/>
      <w:bookmarkStart w:id="164" w:name="_Toc291775998"/>
      <w:r>
        <w:rPr>
          <w:b/>
          <w:color w:val="000000" w:themeColor="text1"/>
          <w:sz w:val="24"/>
        </w:rPr>
        <w:t>3.1.2建设内容及规模</w:t>
      </w:r>
      <w:bookmarkEnd w:id="157"/>
      <w:bookmarkEnd w:id="158"/>
    </w:p>
    <w:p>
      <w:pPr>
        <w:adjustRightInd w:val="0"/>
        <w:snapToGrid w:val="0"/>
        <w:ind w:firstLine="480" w:firstLineChars="200"/>
        <w:rPr>
          <w:color w:val="000000" w:themeColor="text1"/>
          <w:sz w:val="24"/>
        </w:rPr>
      </w:pPr>
      <w:r>
        <w:rPr>
          <w:color w:val="000000" w:themeColor="text1"/>
          <w:sz w:val="24"/>
        </w:rPr>
        <w:t>项目工程建设内容具体如下表所示：</w:t>
      </w:r>
    </w:p>
    <w:p>
      <w:pPr>
        <w:spacing w:line="240" w:lineRule="auto"/>
        <w:ind w:firstLine="422" w:firstLineChars="200"/>
        <w:jc w:val="center"/>
        <w:rPr>
          <w:b/>
          <w:bCs/>
          <w:color w:val="000000" w:themeColor="text1"/>
          <w:szCs w:val="21"/>
        </w:rPr>
      </w:pPr>
      <w:r>
        <w:rPr>
          <w:b/>
          <w:bCs/>
          <w:color w:val="000000" w:themeColor="text1"/>
          <w:szCs w:val="21"/>
        </w:rPr>
        <w:t>表3.1-1  主要建设内容一览表</w:t>
      </w:r>
    </w:p>
    <w:tbl>
      <w:tblPr>
        <w:tblStyle w:val="4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748"/>
        <w:gridCol w:w="992"/>
        <w:gridCol w:w="439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76" w:type="dxa"/>
            <w:gridSpan w:val="3"/>
            <w:vAlign w:val="center"/>
          </w:tcPr>
          <w:p>
            <w:pPr>
              <w:adjustRightInd w:val="0"/>
              <w:snapToGrid w:val="0"/>
              <w:spacing w:line="240" w:lineRule="auto"/>
              <w:jc w:val="center"/>
              <w:rPr>
                <w:b/>
                <w:color w:val="000000" w:themeColor="text1"/>
                <w:szCs w:val="21"/>
              </w:rPr>
            </w:pPr>
            <w:r>
              <w:rPr>
                <w:b/>
                <w:color w:val="000000" w:themeColor="text1"/>
                <w:szCs w:val="21"/>
              </w:rPr>
              <w:t>建筑项目</w:t>
            </w:r>
          </w:p>
        </w:tc>
        <w:tc>
          <w:tcPr>
            <w:tcW w:w="4395" w:type="dxa"/>
            <w:vAlign w:val="center"/>
          </w:tcPr>
          <w:p>
            <w:pPr>
              <w:adjustRightInd w:val="0"/>
              <w:snapToGrid w:val="0"/>
              <w:spacing w:line="240" w:lineRule="auto"/>
              <w:jc w:val="center"/>
              <w:rPr>
                <w:b/>
                <w:color w:val="000000" w:themeColor="text1"/>
                <w:szCs w:val="21"/>
              </w:rPr>
            </w:pPr>
            <w:r>
              <w:rPr>
                <w:b/>
                <w:color w:val="000000" w:themeColor="text1"/>
                <w:szCs w:val="21"/>
              </w:rPr>
              <w:t>建设内容及规模</w:t>
            </w:r>
          </w:p>
        </w:tc>
        <w:tc>
          <w:tcPr>
            <w:tcW w:w="1842" w:type="dxa"/>
            <w:vAlign w:val="center"/>
          </w:tcPr>
          <w:p>
            <w:pPr>
              <w:adjustRightInd w:val="0"/>
              <w:snapToGrid w:val="0"/>
              <w:spacing w:line="240" w:lineRule="auto"/>
              <w:jc w:val="center"/>
              <w:rPr>
                <w:b/>
                <w:color w:val="000000" w:themeColor="text1"/>
                <w:szCs w:val="21"/>
              </w:rPr>
            </w:pPr>
            <w:r>
              <w:rPr>
                <w:b/>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adjustRightInd w:val="0"/>
              <w:snapToGrid w:val="0"/>
              <w:spacing w:line="240" w:lineRule="auto"/>
              <w:jc w:val="center"/>
              <w:rPr>
                <w:color w:val="000000" w:themeColor="text1"/>
                <w:szCs w:val="21"/>
              </w:rPr>
            </w:pPr>
            <w:r>
              <w:rPr>
                <w:color w:val="000000" w:themeColor="text1"/>
                <w:szCs w:val="21"/>
              </w:rPr>
              <w:t>主体工程</w:t>
            </w:r>
          </w:p>
        </w:tc>
        <w:tc>
          <w:tcPr>
            <w:tcW w:w="1740"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标准化猪舍</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新建标准化猪舍8栋，轻钢结构，单个建筑面积1177.6m</w:t>
            </w:r>
            <w:r>
              <w:rPr>
                <w:rFonts w:hint="eastAsia"/>
                <w:color w:val="000000" w:themeColor="text1"/>
                <w:szCs w:val="21"/>
                <w:vertAlign w:val="superscript"/>
              </w:rPr>
              <w:t>2</w:t>
            </w:r>
            <w:r>
              <w:rPr>
                <w:rFonts w:hint="eastAsia"/>
                <w:color w:val="000000" w:themeColor="text1"/>
                <w:szCs w:val="21"/>
              </w:rPr>
              <w:t>，总建筑面积9420.80m</w:t>
            </w:r>
            <w:r>
              <w:rPr>
                <w:rFonts w:hint="eastAsia"/>
                <w:color w:val="000000" w:themeColor="text1"/>
                <w:szCs w:val="21"/>
                <w:vertAlign w:val="superscript"/>
              </w:rPr>
              <w:t>2</w:t>
            </w:r>
            <w:r>
              <w:rPr>
                <w:rFonts w:hint="eastAsia"/>
                <w:color w:val="000000" w:themeColor="text1"/>
                <w:szCs w:val="21"/>
              </w:rPr>
              <w:t>。东西两个片区各设置4栋猪舍</w:t>
            </w:r>
          </w:p>
        </w:tc>
        <w:tc>
          <w:tcPr>
            <w:tcW w:w="1842" w:type="dxa"/>
            <w:vAlign w:val="center"/>
          </w:tcPr>
          <w:p>
            <w:pPr>
              <w:adjustRightInd w:val="0"/>
              <w:snapToGrid w:val="0"/>
              <w:spacing w:line="240" w:lineRule="auto"/>
              <w:jc w:val="center"/>
              <w:rPr>
                <w:color w:val="000000" w:themeColor="text1"/>
                <w:szCs w:val="21"/>
              </w:rPr>
            </w:pPr>
            <w:r>
              <w:rPr>
                <w:rFonts w:hint="eastAsia"/>
                <w:color w:val="000000" w:themeColor="text1"/>
                <w:szCs w:val="21"/>
              </w:rPr>
              <w:t>育肥猪养殖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36" w:type="dxa"/>
            <w:vMerge w:val="restart"/>
            <w:vAlign w:val="center"/>
          </w:tcPr>
          <w:p>
            <w:pPr>
              <w:adjustRightInd w:val="0"/>
              <w:snapToGrid w:val="0"/>
              <w:spacing w:line="240" w:lineRule="auto"/>
              <w:jc w:val="center"/>
              <w:rPr>
                <w:color w:val="000000" w:themeColor="text1"/>
                <w:szCs w:val="21"/>
              </w:rPr>
            </w:pPr>
            <w:r>
              <w:rPr>
                <w:color w:val="000000" w:themeColor="text1"/>
                <w:szCs w:val="21"/>
              </w:rPr>
              <w:t>辅助工程</w:t>
            </w:r>
          </w:p>
        </w:tc>
        <w:tc>
          <w:tcPr>
            <w:tcW w:w="1740"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生产办公区</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2间，每个片区设置1间，紧邻猪舍，作为职工日常办公区，单个建筑面积16m</w:t>
            </w:r>
            <w:r>
              <w:rPr>
                <w:rFonts w:hint="eastAsia"/>
                <w:color w:val="000000" w:themeColor="text1"/>
                <w:szCs w:val="21"/>
                <w:vertAlign w:val="superscript"/>
              </w:rPr>
              <w:t>2</w:t>
            </w:r>
            <w:r>
              <w:rPr>
                <w:rFonts w:hint="eastAsia"/>
                <w:color w:val="000000" w:themeColor="text1"/>
                <w:szCs w:val="21"/>
              </w:rPr>
              <w:t>，总建筑面积32m</w:t>
            </w:r>
            <w:r>
              <w:rPr>
                <w:rFonts w:hint="eastAsia"/>
                <w:color w:val="000000" w:themeColor="text1"/>
                <w:szCs w:val="21"/>
                <w:vertAlign w:val="superscript"/>
              </w:rPr>
              <w:t>2</w:t>
            </w:r>
          </w:p>
        </w:tc>
        <w:tc>
          <w:tcPr>
            <w:tcW w:w="1842" w:type="dxa"/>
            <w:vAlign w:val="center"/>
          </w:tcPr>
          <w:p>
            <w:pPr>
              <w:adjustRightInd w:val="0"/>
              <w:snapToGrid w:val="0"/>
              <w:spacing w:line="240" w:lineRule="auto"/>
              <w:jc w:val="center"/>
              <w:rPr>
                <w:color w:val="000000" w:themeColor="text1"/>
                <w:szCs w:val="21"/>
              </w:rPr>
            </w:pPr>
            <w:r>
              <w:rPr>
                <w:color w:val="000000" w:themeColor="text1"/>
                <w:szCs w:val="21"/>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生活区</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2栋1F，砖混结构，单个建筑面积144m</w:t>
            </w:r>
            <w:r>
              <w:rPr>
                <w:rFonts w:hint="eastAsia"/>
                <w:color w:val="000000" w:themeColor="text1"/>
                <w:szCs w:val="21"/>
                <w:vertAlign w:val="superscript"/>
              </w:rPr>
              <w:t>2</w:t>
            </w:r>
            <w:r>
              <w:rPr>
                <w:rFonts w:hint="eastAsia"/>
                <w:color w:val="000000" w:themeColor="text1"/>
                <w:szCs w:val="21"/>
              </w:rPr>
              <w:t>，总建筑面积288m</w:t>
            </w:r>
            <w:r>
              <w:rPr>
                <w:rFonts w:hint="eastAsia"/>
                <w:color w:val="000000" w:themeColor="text1"/>
                <w:szCs w:val="21"/>
                <w:vertAlign w:val="superscript"/>
              </w:rPr>
              <w:t>2</w:t>
            </w:r>
            <w:r>
              <w:rPr>
                <w:rFonts w:hint="eastAsia"/>
                <w:color w:val="000000" w:themeColor="text1"/>
                <w:szCs w:val="21"/>
              </w:rPr>
              <w:t>。东、西片区各设置1栋</w:t>
            </w:r>
          </w:p>
        </w:tc>
        <w:tc>
          <w:tcPr>
            <w:tcW w:w="1842" w:type="dxa"/>
            <w:vAlign w:val="center"/>
          </w:tcPr>
          <w:p>
            <w:pPr>
              <w:adjustRightInd w:val="0"/>
              <w:snapToGrid w:val="0"/>
              <w:spacing w:line="240" w:lineRule="auto"/>
              <w:jc w:val="center"/>
              <w:rPr>
                <w:color w:val="000000" w:themeColor="text1"/>
                <w:szCs w:val="21"/>
              </w:rPr>
            </w:pPr>
            <w:r>
              <w:rPr>
                <w:color w:val="000000" w:themeColor="text1"/>
                <w:szCs w:val="21"/>
              </w:rPr>
              <w:t>员工住宿</w:t>
            </w:r>
            <w:r>
              <w:rPr>
                <w:rFonts w:hint="eastAsia"/>
                <w:color w:val="000000" w:themeColor="text1"/>
                <w:szCs w:val="21"/>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售猪房</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2栋1F，轻钢结构，单个建筑面积12m</w:t>
            </w:r>
            <w:r>
              <w:rPr>
                <w:rFonts w:hint="eastAsia"/>
                <w:color w:val="000000" w:themeColor="text1"/>
                <w:szCs w:val="21"/>
                <w:vertAlign w:val="superscript"/>
              </w:rPr>
              <w:t>2</w:t>
            </w:r>
            <w:r>
              <w:rPr>
                <w:rFonts w:hint="eastAsia"/>
                <w:color w:val="000000" w:themeColor="text1"/>
                <w:szCs w:val="21"/>
              </w:rPr>
              <w:t>，总建筑面积48m</w:t>
            </w:r>
            <w:r>
              <w:rPr>
                <w:rFonts w:hint="eastAsia"/>
                <w:color w:val="000000" w:themeColor="text1"/>
                <w:szCs w:val="21"/>
                <w:vertAlign w:val="superscript"/>
              </w:rPr>
              <w:t>2</w:t>
            </w:r>
            <w:r>
              <w:rPr>
                <w:rFonts w:hint="eastAsia"/>
                <w:color w:val="000000" w:themeColor="text1"/>
                <w:szCs w:val="21"/>
              </w:rPr>
              <w:t>，位于东片区</w:t>
            </w:r>
          </w:p>
        </w:tc>
        <w:tc>
          <w:tcPr>
            <w:tcW w:w="1842" w:type="dxa"/>
            <w:vAlign w:val="center"/>
          </w:tcPr>
          <w:p>
            <w:pPr>
              <w:adjustRightInd w:val="0"/>
              <w:snapToGrid w:val="0"/>
              <w:spacing w:line="240" w:lineRule="auto"/>
              <w:jc w:val="center"/>
              <w:rPr>
                <w:color w:val="000000" w:themeColor="text1"/>
                <w:szCs w:val="21"/>
              </w:rPr>
            </w:pPr>
            <w:r>
              <w:rPr>
                <w:rFonts w:hint="eastAsia"/>
                <w:color w:val="000000" w:themeColor="text1"/>
                <w:szCs w:val="21"/>
              </w:rPr>
              <w:t>销售育肥猪时使用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color w:val="000000" w:themeColor="text1"/>
                <w:szCs w:val="21"/>
              </w:rPr>
              <w:t>料塔</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10.5t</w:t>
            </w:r>
            <w:r>
              <w:rPr>
                <w:color w:val="000000" w:themeColor="text1"/>
                <w:szCs w:val="21"/>
              </w:rPr>
              <w:t>料塔</w:t>
            </w:r>
            <w:r>
              <w:rPr>
                <w:rFonts w:hint="eastAsia"/>
                <w:color w:val="000000" w:themeColor="text1"/>
                <w:szCs w:val="21"/>
              </w:rPr>
              <w:t>2套</w:t>
            </w:r>
            <w:r>
              <w:rPr>
                <w:color w:val="000000" w:themeColor="text1"/>
                <w:szCs w:val="21"/>
              </w:rPr>
              <w:t>，</w:t>
            </w:r>
            <w:r>
              <w:rPr>
                <w:rFonts w:hint="eastAsia"/>
                <w:color w:val="000000" w:themeColor="text1"/>
                <w:szCs w:val="21"/>
              </w:rPr>
              <w:t>东西片区各1套</w:t>
            </w:r>
          </w:p>
        </w:tc>
        <w:tc>
          <w:tcPr>
            <w:tcW w:w="1842" w:type="dxa"/>
            <w:vAlign w:val="center"/>
          </w:tcPr>
          <w:p>
            <w:pPr>
              <w:adjustRightInd w:val="0"/>
              <w:snapToGrid w:val="0"/>
              <w:spacing w:line="240" w:lineRule="auto"/>
              <w:jc w:val="center"/>
              <w:rPr>
                <w:color w:val="000000" w:themeColor="text1"/>
                <w:szCs w:val="21"/>
              </w:rPr>
            </w:pPr>
            <w:r>
              <w:rPr>
                <w:color w:val="000000" w:themeColor="text1"/>
                <w:szCs w:val="21"/>
              </w:rPr>
              <w:t>储存饲料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小猪料房</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4栋1F，轻钢结构，单个建筑面积21m</w:t>
            </w:r>
            <w:r>
              <w:rPr>
                <w:rFonts w:hint="eastAsia"/>
                <w:color w:val="000000" w:themeColor="text1"/>
                <w:szCs w:val="21"/>
                <w:vertAlign w:val="superscript"/>
              </w:rPr>
              <w:t>2</w:t>
            </w:r>
            <w:r>
              <w:rPr>
                <w:rFonts w:hint="eastAsia"/>
                <w:color w:val="000000" w:themeColor="text1"/>
                <w:szCs w:val="21"/>
              </w:rPr>
              <w:t>，总建筑面积84m</w:t>
            </w:r>
            <w:r>
              <w:rPr>
                <w:rFonts w:hint="eastAsia"/>
                <w:color w:val="000000" w:themeColor="text1"/>
                <w:szCs w:val="21"/>
                <w:vertAlign w:val="superscript"/>
              </w:rPr>
              <w:t>2</w:t>
            </w:r>
            <w:r>
              <w:rPr>
                <w:rFonts w:hint="eastAsia"/>
                <w:color w:val="000000" w:themeColor="text1"/>
                <w:szCs w:val="21"/>
              </w:rPr>
              <w:t>。西片区设置2栋，东片区设置2栋</w:t>
            </w:r>
          </w:p>
        </w:tc>
        <w:tc>
          <w:tcPr>
            <w:tcW w:w="1842" w:type="dxa"/>
            <w:vAlign w:val="center"/>
          </w:tcPr>
          <w:p>
            <w:pPr>
              <w:adjustRightInd w:val="0"/>
              <w:snapToGrid w:val="0"/>
              <w:spacing w:line="240" w:lineRule="auto"/>
              <w:jc w:val="center"/>
              <w:rPr>
                <w:color w:val="000000" w:themeColor="text1"/>
                <w:szCs w:val="21"/>
              </w:rPr>
            </w:pPr>
            <w:r>
              <w:rPr>
                <w:rFonts w:hint="eastAsia"/>
                <w:color w:val="000000" w:themeColor="text1"/>
                <w:szCs w:val="21"/>
              </w:rPr>
              <w:t>小猪饲料储存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病死猪堆肥间</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2栋1F，砖混结构，单个建筑面积48m</w:t>
            </w:r>
            <w:r>
              <w:rPr>
                <w:rFonts w:hint="eastAsia"/>
                <w:color w:val="000000" w:themeColor="text1"/>
                <w:szCs w:val="21"/>
                <w:vertAlign w:val="superscript"/>
              </w:rPr>
              <w:t>2</w:t>
            </w:r>
            <w:r>
              <w:rPr>
                <w:rFonts w:hint="eastAsia"/>
                <w:color w:val="000000" w:themeColor="text1"/>
                <w:szCs w:val="21"/>
              </w:rPr>
              <w:t>，总建筑面积96m</w:t>
            </w:r>
            <w:r>
              <w:rPr>
                <w:rFonts w:hint="eastAsia"/>
                <w:color w:val="000000" w:themeColor="text1"/>
                <w:szCs w:val="21"/>
                <w:vertAlign w:val="superscript"/>
              </w:rPr>
              <w:t>2</w:t>
            </w:r>
            <w:r>
              <w:rPr>
                <w:rFonts w:hint="eastAsia"/>
                <w:color w:val="000000" w:themeColor="text1"/>
                <w:szCs w:val="21"/>
              </w:rPr>
              <w:t>。西片区设置1栋，东片区设置1栋</w:t>
            </w:r>
          </w:p>
        </w:tc>
        <w:tc>
          <w:tcPr>
            <w:tcW w:w="1842" w:type="dxa"/>
            <w:vAlign w:val="center"/>
          </w:tcPr>
          <w:p>
            <w:pPr>
              <w:adjustRightInd w:val="0"/>
              <w:snapToGrid w:val="0"/>
              <w:spacing w:line="240" w:lineRule="auto"/>
              <w:jc w:val="center"/>
              <w:rPr>
                <w:color w:val="000000" w:themeColor="text1"/>
                <w:szCs w:val="21"/>
              </w:rPr>
            </w:pPr>
            <w:r>
              <w:rPr>
                <w:rFonts w:hint="eastAsia"/>
                <w:color w:val="000000" w:themeColor="text1"/>
                <w:szCs w:val="21"/>
              </w:rPr>
              <w:t>病死猪堆肥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color w:val="000000" w:themeColor="text1"/>
                <w:szCs w:val="21"/>
              </w:rPr>
              <w:t>车辆消毒池</w:t>
            </w:r>
          </w:p>
        </w:tc>
        <w:tc>
          <w:tcPr>
            <w:tcW w:w="4395" w:type="dxa"/>
            <w:vAlign w:val="center"/>
          </w:tcPr>
          <w:p>
            <w:pPr>
              <w:adjustRightInd w:val="0"/>
              <w:snapToGrid w:val="0"/>
              <w:spacing w:line="240" w:lineRule="auto"/>
              <w:jc w:val="center"/>
              <w:rPr>
                <w:color w:val="000000" w:themeColor="text1"/>
                <w:szCs w:val="21"/>
              </w:rPr>
            </w:pPr>
            <w:r>
              <w:rPr>
                <w:color w:val="000000" w:themeColor="text1"/>
                <w:szCs w:val="21"/>
              </w:rPr>
              <w:t>设置</w:t>
            </w:r>
            <w:r>
              <w:rPr>
                <w:rFonts w:hint="eastAsia"/>
                <w:color w:val="000000" w:themeColor="text1"/>
                <w:szCs w:val="21"/>
              </w:rPr>
              <w:t>1</w:t>
            </w:r>
            <w:r>
              <w:rPr>
                <w:color w:val="000000" w:themeColor="text1"/>
                <w:szCs w:val="21"/>
              </w:rPr>
              <w:t>个车辆消毒池，长×宽=</w:t>
            </w:r>
            <w:r>
              <w:rPr>
                <w:rFonts w:hint="eastAsia"/>
                <w:color w:val="000000" w:themeColor="text1"/>
                <w:szCs w:val="21"/>
              </w:rPr>
              <w:t>11m</w:t>
            </w:r>
            <w:r>
              <w:rPr>
                <w:color w:val="000000" w:themeColor="text1"/>
                <w:szCs w:val="21"/>
              </w:rPr>
              <w:t>×</w:t>
            </w:r>
            <w:r>
              <w:rPr>
                <w:rFonts w:hint="eastAsia"/>
                <w:color w:val="000000" w:themeColor="text1"/>
                <w:szCs w:val="21"/>
              </w:rPr>
              <w:t>4.2</w:t>
            </w:r>
            <w:r>
              <w:rPr>
                <w:color w:val="000000" w:themeColor="text1"/>
                <w:szCs w:val="21"/>
              </w:rPr>
              <w:t>m</w:t>
            </w:r>
          </w:p>
        </w:tc>
        <w:tc>
          <w:tcPr>
            <w:tcW w:w="1842" w:type="dxa"/>
            <w:vAlign w:val="center"/>
          </w:tcPr>
          <w:p>
            <w:pPr>
              <w:adjustRightInd w:val="0"/>
              <w:snapToGrid w:val="0"/>
              <w:spacing w:line="240" w:lineRule="auto"/>
              <w:jc w:val="center"/>
              <w:rPr>
                <w:color w:val="000000" w:themeColor="text1"/>
                <w:szCs w:val="21"/>
              </w:rPr>
            </w:pPr>
            <w:r>
              <w:rPr>
                <w:color w:val="000000" w:themeColor="text1"/>
                <w:szCs w:val="21"/>
              </w:rPr>
              <w:t>进场车辆消毒洗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color w:val="000000" w:themeColor="text1"/>
                <w:szCs w:val="21"/>
              </w:rPr>
              <w:t>人员消毒室</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进场人员消毒室1间，建筑面积10m</w:t>
            </w:r>
            <w:r>
              <w:rPr>
                <w:rFonts w:hint="eastAsia"/>
                <w:color w:val="000000" w:themeColor="text1"/>
                <w:szCs w:val="21"/>
                <w:vertAlign w:val="superscript"/>
              </w:rPr>
              <w:t>2</w:t>
            </w:r>
            <w:r>
              <w:rPr>
                <w:rFonts w:hint="eastAsia"/>
                <w:color w:val="000000" w:themeColor="text1"/>
                <w:szCs w:val="21"/>
              </w:rPr>
              <w:t>，位于东片区</w:t>
            </w:r>
          </w:p>
        </w:tc>
        <w:tc>
          <w:tcPr>
            <w:tcW w:w="1842" w:type="dxa"/>
            <w:vAlign w:val="center"/>
          </w:tcPr>
          <w:p>
            <w:pPr>
              <w:adjustRightInd w:val="0"/>
              <w:snapToGrid w:val="0"/>
              <w:spacing w:line="240" w:lineRule="auto"/>
              <w:jc w:val="center"/>
              <w:rPr>
                <w:color w:val="000000" w:themeColor="text1"/>
                <w:szCs w:val="21"/>
              </w:rPr>
            </w:pPr>
            <w:r>
              <w:rPr>
                <w:color w:val="000000" w:themeColor="text1"/>
                <w:szCs w:val="21"/>
              </w:rPr>
              <w:t>人员消毒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color w:val="000000" w:themeColor="text1"/>
                <w:szCs w:val="21"/>
              </w:rPr>
              <w:t>场内道路面积</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1846</w:t>
            </w:r>
            <w:r>
              <w:rPr>
                <w:color w:val="000000" w:themeColor="text1"/>
                <w:szCs w:val="21"/>
              </w:rPr>
              <w:t>m</w:t>
            </w:r>
            <w:r>
              <w:rPr>
                <w:color w:val="000000" w:themeColor="text1"/>
                <w:szCs w:val="21"/>
                <w:vertAlign w:val="superscript"/>
              </w:rPr>
              <w:t>2</w:t>
            </w:r>
          </w:p>
        </w:tc>
        <w:tc>
          <w:tcPr>
            <w:tcW w:w="1842" w:type="dxa"/>
            <w:vAlign w:val="center"/>
          </w:tcPr>
          <w:p>
            <w:pPr>
              <w:adjustRightInd w:val="0"/>
              <w:snapToGrid w:val="0"/>
              <w:spacing w:line="240" w:lineRule="auto"/>
              <w:jc w:val="center"/>
              <w:rPr>
                <w:color w:val="000000" w:themeColor="text1"/>
                <w:szCs w:val="21"/>
              </w:rPr>
            </w:pPr>
            <w:r>
              <w:rPr>
                <w:color w:val="000000" w:themeColor="text1"/>
                <w:szCs w:val="21"/>
              </w:rPr>
              <w:t>水泥硬化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种植区</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种植区占地面积154000m</w:t>
            </w:r>
            <w:r>
              <w:rPr>
                <w:rFonts w:hint="eastAsia"/>
                <w:color w:val="000000" w:themeColor="text1"/>
                <w:szCs w:val="21"/>
                <w:vertAlign w:val="superscript"/>
              </w:rPr>
              <w:t>2</w:t>
            </w:r>
            <w:r>
              <w:rPr>
                <w:rFonts w:hint="eastAsia"/>
                <w:color w:val="000000" w:themeColor="text1"/>
                <w:szCs w:val="21"/>
              </w:rPr>
              <w:t>（231亩），租用现有旱地种植水果</w:t>
            </w:r>
          </w:p>
        </w:tc>
        <w:tc>
          <w:tcPr>
            <w:tcW w:w="1842" w:type="dxa"/>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vAlign w:val="center"/>
          </w:tcPr>
          <w:p>
            <w:pPr>
              <w:adjustRightInd w:val="0"/>
              <w:snapToGrid w:val="0"/>
              <w:spacing w:line="240" w:lineRule="auto"/>
              <w:jc w:val="center"/>
              <w:rPr>
                <w:color w:val="000000" w:themeColor="text1"/>
                <w:szCs w:val="21"/>
              </w:rPr>
            </w:pPr>
            <w:r>
              <w:rPr>
                <w:color w:val="000000" w:themeColor="text1"/>
                <w:szCs w:val="21"/>
              </w:rPr>
              <w:t>公用工程</w:t>
            </w:r>
          </w:p>
        </w:tc>
        <w:tc>
          <w:tcPr>
            <w:tcW w:w="1740" w:type="dxa"/>
            <w:gridSpan w:val="2"/>
            <w:vAlign w:val="center"/>
          </w:tcPr>
          <w:p>
            <w:pPr>
              <w:adjustRightInd w:val="0"/>
              <w:snapToGrid w:val="0"/>
              <w:spacing w:line="240" w:lineRule="auto"/>
              <w:jc w:val="center"/>
              <w:rPr>
                <w:color w:val="000000" w:themeColor="text1"/>
                <w:szCs w:val="21"/>
              </w:rPr>
            </w:pPr>
            <w:r>
              <w:rPr>
                <w:color w:val="000000" w:themeColor="text1"/>
                <w:szCs w:val="21"/>
              </w:rPr>
              <w:t>供水系统</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生产生活用水依托石头村供水管网</w:t>
            </w:r>
            <w:r>
              <w:rPr>
                <w:color w:val="000000" w:themeColor="text1"/>
                <w:szCs w:val="21"/>
              </w:rPr>
              <w:t>，</w:t>
            </w:r>
            <w:r>
              <w:rPr>
                <w:rFonts w:hint="eastAsia"/>
                <w:color w:val="000000" w:themeColor="text1"/>
                <w:szCs w:val="21"/>
              </w:rPr>
              <w:t>自流进入厂区蓄水池。厂区</w:t>
            </w:r>
            <w:r>
              <w:rPr>
                <w:color w:val="000000" w:themeColor="text1"/>
                <w:szCs w:val="21"/>
              </w:rPr>
              <w:t>设置</w:t>
            </w:r>
            <w:r>
              <w:rPr>
                <w:rFonts w:hint="eastAsia"/>
                <w:color w:val="000000" w:themeColor="text1"/>
                <w:szCs w:val="21"/>
              </w:rPr>
              <w:t>1</w:t>
            </w:r>
            <w:r>
              <w:rPr>
                <w:color w:val="000000" w:themeColor="text1"/>
                <w:szCs w:val="21"/>
              </w:rPr>
              <w:t>个</w:t>
            </w:r>
            <w:r>
              <w:rPr>
                <w:rFonts w:hint="eastAsia"/>
                <w:color w:val="000000" w:themeColor="text1"/>
                <w:szCs w:val="21"/>
              </w:rPr>
              <w:t>55</w:t>
            </w:r>
            <w:r>
              <w:rPr>
                <w:color w:val="000000" w:themeColor="text1"/>
                <w:szCs w:val="21"/>
              </w:rPr>
              <w:t>0m</w:t>
            </w:r>
            <w:r>
              <w:rPr>
                <w:color w:val="000000" w:themeColor="text1"/>
                <w:szCs w:val="21"/>
                <w:vertAlign w:val="superscript"/>
              </w:rPr>
              <w:t>3</w:t>
            </w:r>
            <w:r>
              <w:rPr>
                <w:color w:val="000000" w:themeColor="text1"/>
                <w:szCs w:val="21"/>
              </w:rPr>
              <w:t>的高位</w:t>
            </w:r>
            <w:r>
              <w:rPr>
                <w:rFonts w:hint="eastAsia"/>
                <w:color w:val="000000" w:themeColor="text1"/>
                <w:szCs w:val="21"/>
              </w:rPr>
              <w:t>蓄</w:t>
            </w:r>
            <w:r>
              <w:rPr>
                <w:color w:val="000000" w:themeColor="text1"/>
                <w:szCs w:val="21"/>
              </w:rPr>
              <w:t>水池</w:t>
            </w:r>
          </w:p>
        </w:tc>
        <w:tc>
          <w:tcPr>
            <w:tcW w:w="1842"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color w:val="000000" w:themeColor="text1"/>
                <w:szCs w:val="21"/>
              </w:rPr>
              <w:t>配电房</w:t>
            </w:r>
            <w:r>
              <w:rPr>
                <w:rFonts w:hint="eastAsia"/>
                <w:color w:val="000000" w:themeColor="text1"/>
                <w:szCs w:val="21"/>
              </w:rPr>
              <w:t>/发电机房</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1</w:t>
            </w:r>
            <w:r>
              <w:rPr>
                <w:color w:val="000000" w:themeColor="text1"/>
                <w:szCs w:val="21"/>
              </w:rPr>
              <w:t>栋1F，砖混结构，</w:t>
            </w:r>
            <w:r>
              <w:rPr>
                <w:rFonts w:hint="eastAsia"/>
                <w:color w:val="000000" w:themeColor="text1"/>
                <w:szCs w:val="21"/>
              </w:rPr>
              <w:t>建筑面积72m</w:t>
            </w:r>
            <w:r>
              <w:rPr>
                <w:rFonts w:hint="eastAsia"/>
                <w:color w:val="000000" w:themeColor="text1"/>
                <w:szCs w:val="21"/>
                <w:vertAlign w:val="superscript"/>
              </w:rPr>
              <w:t>2</w:t>
            </w:r>
            <w:r>
              <w:rPr>
                <w:rFonts w:hint="eastAsia"/>
                <w:color w:val="000000" w:themeColor="text1"/>
                <w:szCs w:val="21"/>
              </w:rPr>
              <w:t>。发电机房采用沼气作为能源为清洁能源，设置1台装机负荷100kW的发电机</w:t>
            </w:r>
          </w:p>
        </w:tc>
        <w:tc>
          <w:tcPr>
            <w:tcW w:w="1842" w:type="dxa"/>
            <w:vAlign w:val="center"/>
          </w:tcPr>
          <w:p>
            <w:pPr>
              <w:adjustRightInd w:val="0"/>
              <w:snapToGrid w:val="0"/>
              <w:spacing w:line="240" w:lineRule="auto"/>
              <w:jc w:val="center"/>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adjustRightInd w:val="0"/>
              <w:snapToGrid w:val="0"/>
              <w:spacing w:line="240" w:lineRule="auto"/>
              <w:jc w:val="center"/>
              <w:rPr>
                <w:color w:val="000000" w:themeColor="text1"/>
                <w:szCs w:val="21"/>
              </w:rPr>
            </w:pPr>
            <w:r>
              <w:rPr>
                <w:color w:val="000000" w:themeColor="text1"/>
                <w:szCs w:val="21"/>
              </w:rPr>
              <w:t>供暖</w:t>
            </w:r>
          </w:p>
        </w:tc>
        <w:tc>
          <w:tcPr>
            <w:tcW w:w="4395" w:type="dxa"/>
            <w:vAlign w:val="center"/>
          </w:tcPr>
          <w:p>
            <w:pPr>
              <w:adjustRightInd w:val="0"/>
              <w:snapToGrid w:val="0"/>
              <w:spacing w:line="240" w:lineRule="auto"/>
              <w:jc w:val="center"/>
              <w:rPr>
                <w:color w:val="000000" w:themeColor="text1"/>
                <w:szCs w:val="21"/>
              </w:rPr>
            </w:pPr>
            <w:r>
              <w:rPr>
                <w:rFonts w:hint="eastAsia"/>
                <w:color w:val="000000" w:themeColor="text1"/>
                <w:szCs w:val="21"/>
              </w:rPr>
              <w:t>猪舍冬季采用电热地暖设备供暖，夏季采用水帘进行降温</w:t>
            </w:r>
          </w:p>
        </w:tc>
        <w:tc>
          <w:tcPr>
            <w:tcW w:w="1842" w:type="dxa"/>
            <w:vAlign w:val="center"/>
          </w:tcPr>
          <w:p>
            <w:pPr>
              <w:adjustRightInd w:val="0"/>
              <w:snapToGrid w:val="0"/>
              <w:spacing w:line="240" w:lineRule="auto"/>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1740" w:type="dxa"/>
            <w:gridSpan w:val="2"/>
            <w:vAlign w:val="center"/>
          </w:tcPr>
          <w:p>
            <w:pPr>
              <w:spacing w:line="240" w:lineRule="auto"/>
              <w:jc w:val="center"/>
              <w:rPr>
                <w:color w:val="000000" w:themeColor="text1"/>
              </w:rPr>
            </w:pPr>
            <w:r>
              <w:rPr>
                <w:color w:val="000000" w:themeColor="text1"/>
              </w:rPr>
              <w:t>通风</w:t>
            </w:r>
          </w:p>
        </w:tc>
        <w:tc>
          <w:tcPr>
            <w:tcW w:w="4395" w:type="dxa"/>
            <w:vAlign w:val="center"/>
          </w:tcPr>
          <w:p>
            <w:pPr>
              <w:spacing w:line="240" w:lineRule="auto"/>
              <w:jc w:val="center"/>
              <w:rPr>
                <w:color w:val="000000" w:themeColor="text1"/>
              </w:rPr>
            </w:pPr>
            <w:r>
              <w:rPr>
                <w:color w:val="000000" w:themeColor="text1"/>
              </w:rPr>
              <w:t>猪舍采用风机</w:t>
            </w:r>
            <w:r>
              <w:rPr>
                <w:rFonts w:hint="eastAsia"/>
                <w:color w:val="000000" w:themeColor="text1"/>
              </w:rPr>
              <w:t>进行通风</w:t>
            </w:r>
          </w:p>
        </w:tc>
        <w:tc>
          <w:tcPr>
            <w:tcW w:w="1842" w:type="dxa"/>
            <w:vAlign w:val="center"/>
          </w:tcPr>
          <w:p>
            <w:pPr>
              <w:adjustRightInd w:val="0"/>
              <w:snapToGrid w:val="0"/>
              <w:spacing w:line="240" w:lineRule="auto"/>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vAlign w:val="center"/>
          </w:tcPr>
          <w:p>
            <w:pPr>
              <w:adjustRightInd w:val="0"/>
              <w:snapToGrid w:val="0"/>
              <w:spacing w:line="240" w:lineRule="auto"/>
              <w:jc w:val="center"/>
              <w:rPr>
                <w:color w:val="000000" w:themeColor="text1"/>
                <w:szCs w:val="21"/>
              </w:rPr>
            </w:pPr>
            <w:r>
              <w:rPr>
                <w:color w:val="000000" w:themeColor="text1"/>
                <w:szCs w:val="21"/>
              </w:rPr>
              <w:t>环保工程</w:t>
            </w:r>
          </w:p>
        </w:tc>
        <w:tc>
          <w:tcPr>
            <w:tcW w:w="748"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废水</w:t>
            </w: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雨污分流</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新建雨污管网，实行雨污分流制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食堂含油污水</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生活区食堂</w:t>
            </w:r>
            <w:r>
              <w:rPr>
                <w:color w:val="000000" w:themeColor="text1"/>
                <w:szCs w:val="21"/>
              </w:rPr>
              <w:t>设置1个</w:t>
            </w:r>
            <w:r>
              <w:rPr>
                <w:rFonts w:hint="eastAsia"/>
                <w:color w:val="000000" w:themeColor="text1"/>
                <w:szCs w:val="21"/>
              </w:rPr>
              <w:t>隔油池</w:t>
            </w:r>
            <w:r>
              <w:rPr>
                <w:color w:val="000000" w:themeColor="text1"/>
                <w:szCs w:val="21"/>
              </w:rPr>
              <w:t>，容积</w:t>
            </w:r>
            <w:r>
              <w:rPr>
                <w:rFonts w:hint="eastAsia"/>
                <w:color w:val="000000" w:themeColor="text1"/>
                <w:szCs w:val="21"/>
              </w:rPr>
              <w:t>1</w:t>
            </w:r>
            <w:r>
              <w:rPr>
                <w:color w:val="000000" w:themeColor="text1"/>
                <w:szCs w:val="21"/>
              </w:rPr>
              <w:t>m</w:t>
            </w:r>
            <w:r>
              <w:rPr>
                <w:color w:val="000000" w:themeColor="text1"/>
                <w:szCs w:val="21"/>
                <w:vertAlign w:val="superscript"/>
              </w:rPr>
              <w:t>3</w:t>
            </w:r>
            <w:r>
              <w:rPr>
                <w:rFonts w:hint="eastAsia"/>
                <w:color w:val="000000" w:themeColor="text1"/>
                <w:szCs w:val="21"/>
              </w:rPr>
              <w:t>，</w:t>
            </w:r>
            <w:r>
              <w:rPr>
                <w:color w:val="000000" w:themeColor="text1"/>
                <w:szCs w:val="21"/>
              </w:rPr>
              <w:t>食堂含油污水预处理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沼气系统</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沼气利用工程1套，</w:t>
            </w:r>
            <w:r>
              <w:rPr>
                <w:color w:val="000000" w:themeColor="text1"/>
                <w:szCs w:val="21"/>
              </w:rPr>
              <w:t>设计处理规模不小于</w:t>
            </w:r>
            <w:r>
              <w:rPr>
                <w:rFonts w:hint="eastAsia"/>
                <w:color w:val="000000" w:themeColor="text1"/>
                <w:szCs w:val="21"/>
              </w:rPr>
              <w:t>70</w:t>
            </w:r>
            <w:r>
              <w:rPr>
                <w:color w:val="000000" w:themeColor="text1"/>
                <w:szCs w:val="21"/>
              </w:rPr>
              <w:t>m</w:t>
            </w:r>
            <w:r>
              <w:rPr>
                <w:color w:val="000000" w:themeColor="text1"/>
                <w:szCs w:val="21"/>
                <w:vertAlign w:val="superscript"/>
              </w:rPr>
              <w:t>3</w:t>
            </w:r>
            <w:r>
              <w:rPr>
                <w:color w:val="000000" w:themeColor="text1"/>
                <w:szCs w:val="21"/>
              </w:rPr>
              <w:t>/d</w:t>
            </w:r>
            <w:r>
              <w:rPr>
                <w:rFonts w:hint="eastAsia"/>
                <w:color w:val="000000" w:themeColor="text1"/>
                <w:szCs w:val="21"/>
              </w:rPr>
              <w:t>，</w:t>
            </w:r>
            <w:r>
              <w:rPr>
                <w:color w:val="000000" w:themeColor="text1"/>
                <w:szCs w:val="21"/>
              </w:rPr>
              <w:t>主要用于处理猪尿、猪舍冲洗水及办公人员生活污水</w:t>
            </w:r>
            <w:r>
              <w:rPr>
                <w:rFonts w:hint="eastAsia"/>
                <w:color w:val="000000" w:themeColor="text1"/>
                <w:szCs w:val="21"/>
              </w:rPr>
              <w:t>，采用“预处理+中温厌氧消化”。预处理设施（集污池、调节池）</w:t>
            </w:r>
            <w:r>
              <w:rPr>
                <w:color w:val="000000" w:themeColor="text1"/>
                <w:szCs w:val="21"/>
              </w:rPr>
              <w:t>池底采取粘土铺底，池体采用防渗混凝土结构，混凝土抗渗标号大于S30，渗透系数小于10</w:t>
            </w:r>
            <w:r>
              <w:rPr>
                <w:color w:val="000000" w:themeColor="text1"/>
                <w:szCs w:val="21"/>
                <w:vertAlign w:val="superscript"/>
              </w:rPr>
              <w:t>-7</w:t>
            </w:r>
            <w:r>
              <w:rPr>
                <w:color w:val="000000" w:themeColor="text1"/>
                <w:szCs w:val="21"/>
              </w:rPr>
              <w:t>cm/s</w:t>
            </w:r>
            <w:r>
              <w:rPr>
                <w:rFonts w:hint="eastAsia"/>
                <w:color w:val="000000" w:themeColor="text1"/>
                <w:szCs w:val="21"/>
              </w:rPr>
              <w:t>，中温厌氧消化设施为钢结构，集污池容积108m</w:t>
            </w:r>
            <w:r>
              <w:rPr>
                <w:rFonts w:hint="eastAsia"/>
                <w:color w:val="000000" w:themeColor="text1"/>
                <w:szCs w:val="21"/>
                <w:vertAlign w:val="superscript"/>
              </w:rPr>
              <w:t>3</w:t>
            </w:r>
            <w:r>
              <w:rPr>
                <w:rFonts w:hint="eastAsia"/>
                <w:color w:val="000000" w:themeColor="text1"/>
                <w:szCs w:val="21"/>
              </w:rPr>
              <w:t>，调节池容积108m</w:t>
            </w:r>
            <w:r>
              <w:rPr>
                <w:rFonts w:hint="eastAsia"/>
                <w:color w:val="000000" w:themeColor="text1"/>
                <w:szCs w:val="21"/>
                <w:vertAlign w:val="superscript"/>
              </w:rPr>
              <w:t>3</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发酵</w:t>
            </w:r>
          </w:p>
          <w:p>
            <w:pPr>
              <w:adjustRightInd w:val="0"/>
              <w:snapToGrid w:val="0"/>
              <w:spacing w:line="240" w:lineRule="auto"/>
              <w:jc w:val="center"/>
              <w:rPr>
                <w:color w:val="000000" w:themeColor="text1"/>
                <w:szCs w:val="21"/>
              </w:rPr>
            </w:pPr>
            <w:r>
              <w:rPr>
                <w:rFonts w:hint="eastAsia"/>
                <w:color w:val="000000" w:themeColor="text1"/>
                <w:szCs w:val="21"/>
              </w:rPr>
              <w:t>车间</w:t>
            </w:r>
          </w:p>
        </w:tc>
        <w:tc>
          <w:tcPr>
            <w:tcW w:w="6237" w:type="dxa"/>
            <w:gridSpan w:val="2"/>
            <w:vAlign w:val="center"/>
          </w:tcPr>
          <w:p>
            <w:pPr>
              <w:adjustRightInd w:val="0"/>
              <w:snapToGrid w:val="0"/>
              <w:spacing w:line="240" w:lineRule="auto"/>
              <w:jc w:val="left"/>
              <w:rPr>
                <w:color w:val="000000" w:themeColor="text1"/>
                <w:szCs w:val="21"/>
              </w:rPr>
            </w:pPr>
            <w:r>
              <w:rPr>
                <w:rFonts w:hint="eastAsia"/>
                <w:color w:val="000000" w:themeColor="text1"/>
                <w:szCs w:val="21"/>
              </w:rPr>
              <w:t>项目猪粪、沼液及沼渣采用异位发酵床环保处理技术，日处理粪污水70m</w:t>
            </w:r>
            <w:r>
              <w:rPr>
                <w:rFonts w:hint="eastAsia"/>
                <w:color w:val="000000" w:themeColor="text1"/>
                <w:szCs w:val="21"/>
                <w:vertAlign w:val="superscript"/>
              </w:rPr>
              <w:t>3</w:t>
            </w:r>
            <w:r>
              <w:rPr>
                <w:rFonts w:hint="eastAsia"/>
                <w:color w:val="000000" w:themeColor="text1"/>
                <w:szCs w:val="21"/>
              </w:rPr>
              <w:t>。发酵车间长100m，宽30m，高6m；总占地面积3000m</w:t>
            </w:r>
            <w:r>
              <w:rPr>
                <w:rFonts w:hint="eastAsia"/>
                <w:color w:val="000000" w:themeColor="text1"/>
                <w:szCs w:val="21"/>
                <w:vertAlign w:val="superscript"/>
              </w:rPr>
              <w:t>2</w:t>
            </w:r>
            <w:r>
              <w:rPr>
                <w:rFonts w:hint="eastAsia"/>
                <w:color w:val="000000" w:themeColor="text1"/>
                <w:szCs w:val="21"/>
              </w:rPr>
              <w:t>，主要设置生物发酵床、粪污收集池及均质池，发酵车间</w:t>
            </w:r>
            <w:r>
              <w:rPr>
                <w:color w:val="000000" w:themeColor="text1"/>
                <w:szCs w:val="21"/>
              </w:rPr>
              <w:t>采用防渗混凝土结构，混凝土抗渗标号大于S30，渗透系数小于10</w:t>
            </w:r>
            <w:r>
              <w:rPr>
                <w:color w:val="000000" w:themeColor="text1"/>
                <w:szCs w:val="21"/>
                <w:vertAlign w:val="superscript"/>
              </w:rPr>
              <w:t>-7</w:t>
            </w:r>
            <w:r>
              <w:rPr>
                <w:color w:val="000000" w:themeColor="text1"/>
                <w:szCs w:val="21"/>
              </w:rPr>
              <w:t>cm/s</w:t>
            </w:r>
            <w:r>
              <w:rPr>
                <w:rFonts w:hint="eastAsia"/>
                <w:color w:val="000000" w:themeColor="text1"/>
                <w:szCs w:val="21"/>
              </w:rPr>
              <w:t>，车间防雨、防风、透光。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事故废水</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厂区西侧设置1座500m</w:t>
            </w:r>
            <w:r>
              <w:rPr>
                <w:rFonts w:hint="eastAsia"/>
                <w:color w:val="000000" w:themeColor="text1"/>
                <w:szCs w:val="21"/>
                <w:vertAlign w:val="superscript"/>
              </w:rPr>
              <w:t>3</w:t>
            </w:r>
            <w:r>
              <w:rPr>
                <w:rFonts w:hint="eastAsia"/>
                <w:color w:val="000000" w:themeColor="text1"/>
                <w:szCs w:val="21"/>
              </w:rPr>
              <w:t>的事故池，</w:t>
            </w:r>
            <w:r>
              <w:rPr>
                <w:color w:val="000000" w:themeColor="text1"/>
                <w:szCs w:val="21"/>
              </w:rPr>
              <w:t>池底采取粘土铺底，池体采用防渗混凝土，混凝土抗渗标号大于S30，渗透系数小于10</w:t>
            </w:r>
            <w:r>
              <w:rPr>
                <w:color w:val="000000" w:themeColor="text1"/>
                <w:szCs w:val="21"/>
                <w:vertAlign w:val="superscript"/>
              </w:rPr>
              <w:t>-7</w:t>
            </w:r>
            <w:r>
              <w:rPr>
                <w:color w:val="000000" w:themeColor="text1"/>
                <w:szCs w:val="21"/>
              </w:rPr>
              <w:t>cm/s</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初期</w:t>
            </w:r>
          </w:p>
          <w:p>
            <w:pPr>
              <w:adjustRightInd w:val="0"/>
              <w:snapToGrid w:val="0"/>
              <w:spacing w:line="240" w:lineRule="auto"/>
              <w:jc w:val="center"/>
              <w:rPr>
                <w:color w:val="000000" w:themeColor="text1"/>
                <w:szCs w:val="21"/>
              </w:rPr>
            </w:pPr>
            <w:r>
              <w:rPr>
                <w:color w:val="000000" w:themeColor="text1"/>
                <w:szCs w:val="21"/>
              </w:rPr>
              <w:t>雨水</w:t>
            </w:r>
          </w:p>
        </w:tc>
        <w:tc>
          <w:tcPr>
            <w:tcW w:w="6237" w:type="dxa"/>
            <w:gridSpan w:val="2"/>
            <w:vAlign w:val="center"/>
          </w:tcPr>
          <w:p>
            <w:pPr>
              <w:adjustRightInd w:val="0"/>
              <w:snapToGrid w:val="0"/>
              <w:spacing w:line="240" w:lineRule="auto"/>
              <w:jc w:val="center"/>
              <w:rPr>
                <w:color w:val="000000" w:themeColor="text1"/>
                <w:szCs w:val="21"/>
              </w:rPr>
            </w:pPr>
            <w:r>
              <w:rPr>
                <w:color w:val="000000" w:themeColor="text1"/>
                <w:szCs w:val="21"/>
              </w:rPr>
              <w:t>1个，容积800m</w:t>
            </w:r>
            <w:r>
              <w:rPr>
                <w:color w:val="000000" w:themeColor="text1"/>
                <w:szCs w:val="21"/>
                <w:vertAlign w:val="superscript"/>
              </w:rPr>
              <w:t>3</w:t>
            </w:r>
            <w:r>
              <w:rPr>
                <w:color w:val="000000" w:themeColor="text1"/>
                <w:szCs w:val="21"/>
              </w:rPr>
              <w:t>，钢混结构</w:t>
            </w:r>
            <w:r>
              <w:rPr>
                <w:rFonts w:hint="eastAsia"/>
                <w:color w:val="000000" w:themeColor="text1"/>
                <w:szCs w:val="21"/>
              </w:rPr>
              <w:t>，</w:t>
            </w:r>
            <w:r>
              <w:rPr>
                <w:color w:val="000000" w:themeColor="text1"/>
                <w:szCs w:val="21"/>
              </w:rPr>
              <w:t>用于收集养殖场内的雨水，防止雨水直接外排至地表水体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color w:val="000000" w:themeColor="text1"/>
                <w:szCs w:val="21"/>
              </w:rPr>
              <w:t>消毒废水中和池</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1</w:t>
            </w:r>
            <w:r>
              <w:rPr>
                <w:color w:val="000000" w:themeColor="text1"/>
                <w:szCs w:val="21"/>
              </w:rPr>
              <w:t>个，</w:t>
            </w:r>
            <w:r>
              <w:rPr>
                <w:rFonts w:hint="eastAsia"/>
                <w:color w:val="000000" w:themeColor="text1"/>
                <w:szCs w:val="21"/>
              </w:rPr>
              <w:t>砖混</w:t>
            </w:r>
            <w:r>
              <w:rPr>
                <w:color w:val="000000" w:themeColor="text1"/>
                <w:szCs w:val="21"/>
              </w:rPr>
              <w:t>结构，</w:t>
            </w:r>
            <w:r>
              <w:rPr>
                <w:rFonts w:hint="eastAsia"/>
                <w:color w:val="000000" w:themeColor="text1"/>
                <w:szCs w:val="21"/>
              </w:rPr>
              <w:t>均</w:t>
            </w:r>
            <w:r>
              <w:rPr>
                <w:color w:val="000000" w:themeColor="text1"/>
                <w:szCs w:val="21"/>
              </w:rPr>
              <w:t>位于车辆消洗通道旁，容积为1m</w:t>
            </w:r>
            <w:r>
              <w:rPr>
                <w:color w:val="000000" w:themeColor="text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沼液储存池</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设置1座800m</w:t>
            </w:r>
            <w:r>
              <w:rPr>
                <w:rFonts w:hint="eastAsia"/>
                <w:color w:val="000000" w:themeColor="text1"/>
                <w:szCs w:val="21"/>
                <w:vertAlign w:val="superscript"/>
              </w:rPr>
              <w:t>3</w:t>
            </w:r>
            <w:r>
              <w:rPr>
                <w:rFonts w:hint="eastAsia"/>
                <w:color w:val="000000" w:themeColor="text1"/>
                <w:szCs w:val="21"/>
              </w:rPr>
              <w:t>的沼液储存池，池顶设置盖板，</w:t>
            </w:r>
            <w:r>
              <w:rPr>
                <w:color w:val="000000" w:themeColor="text1"/>
                <w:szCs w:val="21"/>
              </w:rPr>
              <w:t>池底采取粘土铺底，池体采用防渗混凝土结构，混凝土抗渗标号大于S30，渗透系数小于10</w:t>
            </w:r>
            <w:r>
              <w:rPr>
                <w:color w:val="000000" w:themeColor="text1"/>
                <w:szCs w:val="21"/>
                <w:vertAlign w:val="superscript"/>
              </w:rPr>
              <w:t>-7</w:t>
            </w:r>
            <w:r>
              <w:rPr>
                <w:color w:val="000000" w:themeColor="text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沼液</w:t>
            </w:r>
          </w:p>
          <w:p>
            <w:pPr>
              <w:adjustRightInd w:val="0"/>
              <w:snapToGrid w:val="0"/>
              <w:spacing w:line="240" w:lineRule="auto"/>
              <w:jc w:val="center"/>
              <w:rPr>
                <w:color w:val="000000" w:themeColor="text1"/>
                <w:szCs w:val="21"/>
              </w:rPr>
            </w:pPr>
            <w:r>
              <w:rPr>
                <w:rFonts w:hint="eastAsia"/>
                <w:color w:val="000000" w:themeColor="text1"/>
                <w:szCs w:val="21"/>
              </w:rPr>
              <w:t>还田</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沼液通过重力输送至种植区沼液贮存池，用于果树施肥。种植区拟建设6个12m</w:t>
            </w:r>
            <w:r>
              <w:rPr>
                <w:rFonts w:hint="eastAsia"/>
                <w:color w:val="000000" w:themeColor="text1"/>
                <w:szCs w:val="21"/>
                <w:vertAlign w:val="superscript"/>
              </w:rPr>
              <w:t>3</w:t>
            </w:r>
            <w:r>
              <w:rPr>
                <w:rFonts w:hint="eastAsia"/>
                <w:color w:val="000000" w:themeColor="text1"/>
                <w:szCs w:val="21"/>
              </w:rPr>
              <w:t>的沼液暂存池，敷设管道约3km。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废气</w:t>
            </w:r>
          </w:p>
        </w:tc>
        <w:tc>
          <w:tcPr>
            <w:tcW w:w="992" w:type="dxa"/>
            <w:vAlign w:val="center"/>
          </w:tcPr>
          <w:p>
            <w:pPr>
              <w:adjustRightInd w:val="0"/>
              <w:snapToGrid w:val="0"/>
              <w:spacing w:line="240" w:lineRule="auto"/>
              <w:jc w:val="center"/>
              <w:rPr>
                <w:color w:val="000000" w:themeColor="text1"/>
                <w:szCs w:val="21"/>
              </w:rPr>
            </w:pPr>
            <w:r>
              <w:rPr>
                <w:color w:val="000000" w:themeColor="text1"/>
                <w:szCs w:val="21"/>
              </w:rPr>
              <w:t>油烟净化器</w:t>
            </w:r>
          </w:p>
        </w:tc>
        <w:tc>
          <w:tcPr>
            <w:tcW w:w="6237" w:type="dxa"/>
            <w:gridSpan w:val="2"/>
            <w:vAlign w:val="center"/>
          </w:tcPr>
          <w:p>
            <w:pPr>
              <w:adjustRightInd w:val="0"/>
              <w:snapToGrid w:val="0"/>
              <w:spacing w:line="240" w:lineRule="auto"/>
              <w:jc w:val="center"/>
              <w:rPr>
                <w:color w:val="000000" w:themeColor="text1"/>
                <w:szCs w:val="21"/>
              </w:rPr>
            </w:pPr>
            <w:r>
              <w:rPr>
                <w:color w:val="000000" w:themeColor="text1"/>
                <w:szCs w:val="21"/>
              </w:rPr>
              <w:t>食堂设置1套油烟净化器及排放管管道</w:t>
            </w:r>
            <w:r>
              <w:rPr>
                <w:rFonts w:hint="eastAsia"/>
                <w:color w:val="000000" w:themeColor="text1"/>
                <w:szCs w:val="21"/>
              </w:rPr>
              <w:t>，</w:t>
            </w:r>
            <w:r>
              <w:rPr>
                <w:color w:val="000000" w:themeColor="text1"/>
                <w:szCs w:val="21"/>
              </w:rPr>
              <w:t>处理效率大于</w:t>
            </w:r>
            <w:r>
              <w:rPr>
                <w:rFonts w:hint="eastAsia"/>
                <w:color w:val="000000" w:themeColor="text1"/>
                <w:szCs w:val="21"/>
              </w:rPr>
              <w:t>60</w:t>
            </w: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color w:val="000000" w:themeColor="text1"/>
                <w:szCs w:val="21"/>
              </w:rPr>
              <w:t>沼气</w:t>
            </w:r>
          </w:p>
        </w:tc>
        <w:tc>
          <w:tcPr>
            <w:tcW w:w="6237" w:type="dxa"/>
            <w:gridSpan w:val="2"/>
            <w:vAlign w:val="center"/>
          </w:tcPr>
          <w:p>
            <w:pPr>
              <w:adjustRightInd w:val="0"/>
              <w:snapToGrid w:val="0"/>
              <w:spacing w:line="240" w:lineRule="auto"/>
              <w:jc w:val="center"/>
              <w:rPr>
                <w:color w:val="000000" w:themeColor="text1"/>
                <w:szCs w:val="21"/>
              </w:rPr>
            </w:pPr>
            <w:r>
              <w:rPr>
                <w:color w:val="000000" w:themeColor="text1"/>
                <w:szCs w:val="21"/>
              </w:rPr>
              <w:t>沼气利用系统1套，包括</w:t>
            </w:r>
            <w:r>
              <w:rPr>
                <w:rFonts w:hint="eastAsia"/>
                <w:color w:val="000000" w:themeColor="text1"/>
                <w:szCs w:val="21"/>
              </w:rPr>
              <w:t>气水分离器、</w:t>
            </w:r>
            <w:r>
              <w:rPr>
                <w:color w:val="000000" w:themeColor="text1"/>
                <w:szCs w:val="21"/>
              </w:rPr>
              <w:t>脱硫</w:t>
            </w:r>
            <w:r>
              <w:rPr>
                <w:rFonts w:hint="eastAsia"/>
                <w:color w:val="000000" w:themeColor="text1"/>
                <w:szCs w:val="21"/>
              </w:rPr>
              <w:t>器</w:t>
            </w:r>
            <w:r>
              <w:rPr>
                <w:color w:val="000000" w:themeColor="text1"/>
                <w:szCs w:val="21"/>
              </w:rPr>
              <w:t>、沼气储气柜，沼气储气柜为</w:t>
            </w:r>
            <w:r>
              <w:rPr>
                <w:rFonts w:hint="eastAsia"/>
                <w:color w:val="000000" w:themeColor="text1"/>
                <w:szCs w:val="21"/>
              </w:rPr>
              <w:t>3</w:t>
            </w:r>
            <w:r>
              <w:rPr>
                <w:color w:val="000000" w:themeColor="text1"/>
                <w:szCs w:val="21"/>
              </w:rPr>
              <w:t>00m</w:t>
            </w:r>
            <w:r>
              <w:rPr>
                <w:color w:val="000000" w:themeColor="text1"/>
                <w:szCs w:val="21"/>
                <w:vertAlign w:val="superscript"/>
              </w:rPr>
              <w:t>3</w:t>
            </w:r>
            <w:r>
              <w:rPr>
                <w:rFonts w:hint="eastAsia"/>
                <w:color w:val="000000" w:themeColor="text1"/>
                <w:szCs w:val="21"/>
              </w:rPr>
              <w:t>，沼气用于发电机组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恶臭</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猪舍：科学设计日粮，提高饲料利用率；猪粪日产日清，及时消毒；对猪舍内喷洒除臭剂；猪舍周边种植绿化措施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Merge w:val="continue"/>
            <w:vAlign w:val="center"/>
          </w:tcPr>
          <w:p>
            <w:pPr>
              <w:adjustRightInd w:val="0"/>
              <w:snapToGrid w:val="0"/>
              <w:spacing w:line="240" w:lineRule="auto"/>
              <w:jc w:val="center"/>
              <w:rPr>
                <w:color w:val="000000" w:themeColor="text1"/>
                <w:szCs w:val="21"/>
              </w:rPr>
            </w:pP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预处理池：池体为加盖密闭形式，周边种植绿化措施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发电机尾气</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沼气发电机尾气由1根15m排气筒排放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固体废物</w:t>
            </w: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生活垃圾</w:t>
            </w:r>
          </w:p>
        </w:tc>
        <w:tc>
          <w:tcPr>
            <w:tcW w:w="6237" w:type="dxa"/>
            <w:gridSpan w:val="2"/>
            <w:vAlign w:val="center"/>
          </w:tcPr>
          <w:p>
            <w:pPr>
              <w:adjustRightInd w:val="0"/>
              <w:snapToGrid w:val="0"/>
              <w:spacing w:line="240" w:lineRule="auto"/>
              <w:jc w:val="center"/>
              <w:rPr>
                <w:color w:val="000000" w:themeColor="text1"/>
                <w:spacing w:val="-2"/>
                <w:szCs w:val="21"/>
              </w:rPr>
            </w:pPr>
            <w:r>
              <w:rPr>
                <w:color w:val="000000" w:themeColor="text1"/>
                <w:szCs w:val="21"/>
              </w:rPr>
              <w:t>设置1个</w:t>
            </w:r>
            <w:r>
              <w:rPr>
                <w:rFonts w:hint="eastAsia"/>
                <w:color w:val="000000" w:themeColor="text1"/>
                <w:szCs w:val="21"/>
              </w:rPr>
              <w:t>垃圾收集房</w:t>
            </w:r>
            <w:r>
              <w:rPr>
                <w:color w:val="000000" w:themeColor="text1"/>
                <w:szCs w:val="21"/>
              </w:rPr>
              <w:t>暂存生活垃圾，建筑面积6m</w:t>
            </w:r>
            <w:r>
              <w:rPr>
                <w:color w:val="000000" w:themeColor="text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pacing w:val="-2"/>
                <w:szCs w:val="21"/>
              </w:rPr>
              <w:t>病死猪堆肥剩余骨头</w:t>
            </w:r>
          </w:p>
        </w:tc>
        <w:tc>
          <w:tcPr>
            <w:tcW w:w="6237" w:type="dxa"/>
            <w:gridSpan w:val="2"/>
            <w:vAlign w:val="center"/>
          </w:tcPr>
          <w:p>
            <w:pPr>
              <w:adjustRightInd w:val="0"/>
              <w:snapToGrid w:val="0"/>
              <w:spacing w:line="240" w:lineRule="auto"/>
              <w:jc w:val="center"/>
              <w:rPr>
                <w:color w:val="000000" w:themeColor="text1"/>
                <w:spacing w:val="-2"/>
                <w:szCs w:val="21"/>
              </w:rPr>
            </w:pPr>
            <w:r>
              <w:rPr>
                <w:color w:val="000000" w:themeColor="text1"/>
                <w:szCs w:val="21"/>
              </w:rPr>
              <w:t>布置2口安全填埋井，</w:t>
            </w:r>
            <w:r>
              <w:rPr>
                <w:rFonts w:hint="eastAsia"/>
                <w:color w:val="000000" w:themeColor="text1"/>
                <w:spacing w:val="-2"/>
                <w:szCs w:val="21"/>
              </w:rPr>
              <w:t>填埋病死猪堆肥剩余的骨头。填埋井</w:t>
            </w:r>
            <w:r>
              <w:rPr>
                <w:color w:val="000000" w:themeColor="text1"/>
                <w:szCs w:val="21"/>
              </w:rPr>
              <w:t>直径4m，入口直径1m，深度5m，总容积126m</w:t>
            </w:r>
            <w:r>
              <w:rPr>
                <w:color w:val="000000" w:themeColor="text1"/>
                <w:szCs w:val="21"/>
                <w:vertAlign w:val="superscript"/>
              </w:rPr>
              <w:t>3</w:t>
            </w:r>
            <w:r>
              <w:rPr>
                <w:color w:val="000000" w:themeColor="text1"/>
                <w:szCs w:val="21"/>
              </w:rPr>
              <w:t>，防渗混凝土结构，混凝土抗渗标号大于S30，渗透系数小于10</w:t>
            </w:r>
            <w:r>
              <w:rPr>
                <w:color w:val="000000" w:themeColor="text1"/>
                <w:szCs w:val="21"/>
                <w:vertAlign w:val="superscript"/>
              </w:rPr>
              <w:t>-7</w:t>
            </w:r>
            <w:r>
              <w:rPr>
                <w:color w:val="000000" w:themeColor="text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医疗废物</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设医疗废物暂存间一间，面积10m</w:t>
            </w:r>
            <w:r>
              <w:rPr>
                <w:rFonts w:hint="eastAsia"/>
                <w:color w:val="000000" w:themeColor="text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Merge w:val="continue"/>
            <w:vAlign w:val="center"/>
          </w:tcPr>
          <w:p>
            <w:pPr>
              <w:adjustRightInd w:val="0"/>
              <w:snapToGrid w:val="0"/>
              <w:spacing w:line="240" w:lineRule="auto"/>
              <w:jc w:val="center"/>
              <w:rPr>
                <w:color w:val="000000" w:themeColor="text1"/>
                <w:szCs w:val="21"/>
              </w:rPr>
            </w:pPr>
          </w:p>
        </w:tc>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脱硫废物</w:t>
            </w:r>
          </w:p>
        </w:tc>
        <w:tc>
          <w:tcPr>
            <w:tcW w:w="6237" w:type="dxa"/>
            <w:gridSpan w:val="2"/>
            <w:vAlign w:val="center"/>
          </w:tcPr>
          <w:p>
            <w:pPr>
              <w:adjustRightInd w:val="0"/>
              <w:snapToGrid w:val="0"/>
              <w:spacing w:line="240" w:lineRule="auto"/>
              <w:jc w:val="center"/>
              <w:rPr>
                <w:color w:val="000000" w:themeColor="text1"/>
                <w:szCs w:val="21"/>
              </w:rPr>
            </w:pPr>
            <w:r>
              <w:rPr>
                <w:rFonts w:hint="eastAsia"/>
                <w:color w:val="000000" w:themeColor="text1"/>
                <w:szCs w:val="21"/>
              </w:rPr>
              <w:t>沼气脱硫固废由厂家统一回收处置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pPr>
              <w:adjustRightInd w:val="0"/>
              <w:snapToGrid w:val="0"/>
              <w:spacing w:line="240" w:lineRule="auto"/>
              <w:jc w:val="center"/>
              <w:rPr>
                <w:color w:val="000000" w:themeColor="text1"/>
                <w:szCs w:val="21"/>
              </w:rPr>
            </w:pPr>
          </w:p>
        </w:tc>
        <w:tc>
          <w:tcPr>
            <w:tcW w:w="748" w:type="dxa"/>
            <w:vAlign w:val="center"/>
          </w:tcPr>
          <w:p>
            <w:pPr>
              <w:adjustRightInd w:val="0"/>
              <w:snapToGrid w:val="0"/>
              <w:spacing w:line="240" w:lineRule="auto"/>
              <w:jc w:val="center"/>
              <w:rPr>
                <w:color w:val="000000" w:themeColor="text1"/>
                <w:szCs w:val="21"/>
              </w:rPr>
            </w:pPr>
            <w:r>
              <w:rPr>
                <w:rFonts w:hint="eastAsia"/>
                <w:color w:val="000000" w:themeColor="text1"/>
                <w:szCs w:val="21"/>
              </w:rPr>
              <w:t>绿化</w:t>
            </w:r>
          </w:p>
        </w:tc>
        <w:tc>
          <w:tcPr>
            <w:tcW w:w="992" w:type="dxa"/>
            <w:vAlign w:val="center"/>
          </w:tcPr>
          <w:p>
            <w:pPr>
              <w:adjustRightInd w:val="0"/>
              <w:snapToGrid w:val="0"/>
              <w:spacing w:line="240" w:lineRule="auto"/>
              <w:jc w:val="center"/>
              <w:rPr>
                <w:color w:val="000000" w:themeColor="text1"/>
                <w:szCs w:val="21"/>
              </w:rPr>
            </w:pPr>
            <w:r>
              <w:rPr>
                <w:color w:val="000000" w:themeColor="text1"/>
                <w:szCs w:val="21"/>
              </w:rPr>
              <w:t>绿化</w:t>
            </w:r>
          </w:p>
        </w:tc>
        <w:tc>
          <w:tcPr>
            <w:tcW w:w="6237" w:type="dxa"/>
            <w:gridSpan w:val="2"/>
            <w:vAlign w:val="center"/>
          </w:tcPr>
          <w:p>
            <w:pPr>
              <w:adjustRightInd w:val="0"/>
              <w:snapToGrid w:val="0"/>
              <w:spacing w:line="240" w:lineRule="auto"/>
              <w:jc w:val="center"/>
              <w:rPr>
                <w:color w:val="000000" w:themeColor="text1"/>
                <w:szCs w:val="21"/>
              </w:rPr>
            </w:pPr>
            <w:r>
              <w:rPr>
                <w:color w:val="000000" w:themeColor="text1"/>
                <w:szCs w:val="21"/>
              </w:rPr>
              <w:t>在厂界四周设置高4～5m的绿色隔离带，可种树2～3排，并种植芳香的木本植物；在生活区有足够的绿化。项目绿化面积</w:t>
            </w:r>
            <w:r>
              <w:rPr>
                <w:rFonts w:hint="eastAsia"/>
                <w:color w:val="000000" w:themeColor="text1"/>
                <w:szCs w:val="21"/>
              </w:rPr>
              <w:t>8600</w:t>
            </w:r>
            <w:r>
              <w:rPr>
                <w:color w:val="000000" w:themeColor="text1"/>
                <w:szCs w:val="21"/>
              </w:rPr>
              <w:t>m</w:t>
            </w:r>
            <w:r>
              <w:rPr>
                <w:color w:val="000000" w:themeColor="text1"/>
                <w:szCs w:val="21"/>
                <w:vertAlign w:val="superscript"/>
              </w:rPr>
              <w:t>2</w:t>
            </w:r>
          </w:p>
        </w:tc>
      </w:tr>
      <w:bookmarkEnd w:id="159"/>
      <w:bookmarkEnd w:id="160"/>
      <w:bookmarkEnd w:id="161"/>
      <w:bookmarkEnd w:id="162"/>
      <w:bookmarkEnd w:id="163"/>
      <w:bookmarkEnd w:id="164"/>
    </w:tbl>
    <w:p>
      <w:pPr>
        <w:adjustRightInd w:val="0"/>
        <w:snapToGrid w:val="0"/>
        <w:rPr>
          <w:b/>
          <w:color w:val="000000" w:themeColor="text1"/>
          <w:sz w:val="24"/>
        </w:rPr>
      </w:pPr>
    </w:p>
    <w:p>
      <w:pPr>
        <w:adjustRightInd w:val="0"/>
        <w:snapToGrid w:val="0"/>
        <w:outlineLvl w:val="2"/>
        <w:rPr>
          <w:b/>
          <w:color w:val="000000" w:themeColor="text1"/>
          <w:sz w:val="24"/>
        </w:rPr>
      </w:pPr>
      <w:r>
        <w:rPr>
          <w:b/>
          <w:color w:val="000000" w:themeColor="text1"/>
          <w:sz w:val="24"/>
        </w:rPr>
        <w:t>3.1.</w:t>
      </w:r>
      <w:r>
        <w:rPr>
          <w:rFonts w:hint="eastAsia"/>
          <w:b/>
          <w:color w:val="000000" w:themeColor="text1"/>
          <w:sz w:val="24"/>
        </w:rPr>
        <w:t>3产品方案</w:t>
      </w:r>
    </w:p>
    <w:p>
      <w:pPr>
        <w:adjustRightInd w:val="0"/>
        <w:snapToGrid w:val="0"/>
        <w:ind w:firstLine="480" w:firstLineChars="200"/>
        <w:rPr>
          <w:color w:val="000000" w:themeColor="text1"/>
          <w:sz w:val="24"/>
        </w:rPr>
      </w:pPr>
      <w:r>
        <w:rPr>
          <w:rFonts w:hint="eastAsia"/>
          <w:color w:val="000000" w:themeColor="text1"/>
          <w:sz w:val="24"/>
        </w:rPr>
        <w:t>建设项目养殖方案采取外购仔猪的养殖方式，年出栏生猪量25000头</w:t>
      </w:r>
      <w:r>
        <w:rPr>
          <w:color w:val="000000" w:themeColor="text1"/>
          <w:sz w:val="24"/>
        </w:rPr>
        <w:t>。</w:t>
      </w:r>
    </w:p>
    <w:p>
      <w:pPr>
        <w:adjustRightInd w:val="0"/>
        <w:snapToGrid w:val="0"/>
        <w:spacing w:line="240" w:lineRule="auto"/>
        <w:jc w:val="center"/>
        <w:rPr>
          <w:b/>
          <w:color w:val="000000" w:themeColor="text1"/>
          <w:szCs w:val="21"/>
        </w:rPr>
      </w:pPr>
      <w:r>
        <w:rPr>
          <w:b/>
          <w:color w:val="000000" w:themeColor="text1"/>
          <w:szCs w:val="21"/>
        </w:rPr>
        <w:t>表3.1-2  产品方案一览表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024"/>
        <w:gridCol w:w="1745"/>
        <w:gridCol w:w="2062"/>
        <w:gridCol w:w="26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000" w:type="pct"/>
            <w:gridSpan w:val="4"/>
            <w:tcBorders>
              <w:right w:val="single" w:color="auto" w:sz="4" w:space="0"/>
              <w:tl2br w:val="nil"/>
              <w:tr2bl w:val="nil"/>
            </w:tcBorders>
            <w:vAlign w:val="center"/>
          </w:tcPr>
          <w:p>
            <w:pPr>
              <w:adjustRightInd w:val="0"/>
              <w:snapToGrid w:val="0"/>
              <w:spacing w:line="240" w:lineRule="auto"/>
              <w:jc w:val="center"/>
              <w:rPr>
                <w:b/>
                <w:color w:val="000000" w:themeColor="text1"/>
                <w:szCs w:val="21"/>
              </w:rPr>
            </w:pPr>
            <w:r>
              <w:rPr>
                <w:rFonts w:hint="eastAsia"/>
                <w:b/>
                <w:color w:val="000000" w:themeColor="text1"/>
                <w:szCs w:val="21"/>
              </w:rPr>
              <w:t>养殖区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187" w:type="pct"/>
            <w:tcBorders>
              <w:tl2br w:val="nil"/>
              <w:tr2bl w:val="nil"/>
            </w:tcBorders>
            <w:vAlign w:val="center"/>
          </w:tcPr>
          <w:p>
            <w:pPr>
              <w:adjustRightInd w:val="0"/>
              <w:snapToGrid w:val="0"/>
              <w:spacing w:line="240" w:lineRule="auto"/>
              <w:jc w:val="center"/>
              <w:rPr>
                <w:b/>
                <w:color w:val="000000" w:themeColor="text1"/>
                <w:szCs w:val="21"/>
              </w:rPr>
            </w:pPr>
            <w:r>
              <w:rPr>
                <w:b/>
                <w:color w:val="000000" w:themeColor="text1"/>
                <w:szCs w:val="21"/>
              </w:rPr>
              <w:t>名称</w:t>
            </w:r>
          </w:p>
        </w:tc>
        <w:tc>
          <w:tcPr>
            <w:tcW w:w="1023" w:type="pct"/>
            <w:tcBorders>
              <w:tl2br w:val="nil"/>
              <w:tr2bl w:val="nil"/>
            </w:tcBorders>
            <w:vAlign w:val="center"/>
          </w:tcPr>
          <w:p>
            <w:pPr>
              <w:adjustRightInd w:val="0"/>
              <w:snapToGrid w:val="0"/>
              <w:spacing w:line="240" w:lineRule="auto"/>
              <w:jc w:val="center"/>
              <w:rPr>
                <w:b/>
                <w:color w:val="000000" w:themeColor="text1"/>
                <w:szCs w:val="21"/>
              </w:rPr>
            </w:pPr>
            <w:r>
              <w:rPr>
                <w:b/>
                <w:color w:val="000000" w:themeColor="text1"/>
                <w:szCs w:val="21"/>
              </w:rPr>
              <w:t>年存栏量</w:t>
            </w:r>
          </w:p>
        </w:tc>
        <w:tc>
          <w:tcPr>
            <w:tcW w:w="1209" w:type="pct"/>
            <w:tcBorders>
              <w:tl2br w:val="nil"/>
              <w:tr2bl w:val="nil"/>
            </w:tcBorders>
            <w:vAlign w:val="center"/>
          </w:tcPr>
          <w:p>
            <w:pPr>
              <w:adjustRightInd w:val="0"/>
              <w:snapToGrid w:val="0"/>
              <w:spacing w:line="240" w:lineRule="auto"/>
              <w:jc w:val="center"/>
              <w:rPr>
                <w:b/>
                <w:color w:val="000000" w:themeColor="text1"/>
                <w:szCs w:val="21"/>
              </w:rPr>
            </w:pPr>
            <w:r>
              <w:rPr>
                <w:b/>
                <w:color w:val="000000" w:themeColor="text1"/>
                <w:szCs w:val="21"/>
              </w:rPr>
              <w:t>规格</w:t>
            </w:r>
          </w:p>
        </w:tc>
        <w:tc>
          <w:tcPr>
            <w:tcW w:w="1581" w:type="pct"/>
            <w:tcBorders>
              <w:right w:val="single" w:color="auto" w:sz="4" w:space="0"/>
              <w:tl2br w:val="nil"/>
              <w:tr2bl w:val="nil"/>
            </w:tcBorders>
            <w:vAlign w:val="center"/>
          </w:tcPr>
          <w:p>
            <w:pPr>
              <w:adjustRightInd w:val="0"/>
              <w:snapToGrid w:val="0"/>
              <w:spacing w:line="240" w:lineRule="auto"/>
              <w:jc w:val="center"/>
              <w:rPr>
                <w:b/>
                <w:color w:val="000000" w:themeColor="text1"/>
                <w:szCs w:val="21"/>
              </w:rPr>
            </w:pPr>
            <w:r>
              <w:rPr>
                <w:rFonts w:hint="eastAsia"/>
                <w:b/>
                <w:color w:val="000000" w:themeColor="text1"/>
                <w:szCs w:val="21"/>
              </w:rPr>
              <w:t>年出栏量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7" w:type="pct"/>
            <w:tcBorders>
              <w:tl2br w:val="nil"/>
              <w:tr2bl w:val="nil"/>
            </w:tcBorders>
            <w:vAlign w:val="center"/>
          </w:tcPr>
          <w:p>
            <w:pPr>
              <w:adjustRightInd w:val="0"/>
              <w:snapToGrid w:val="0"/>
              <w:spacing w:line="240" w:lineRule="auto"/>
              <w:jc w:val="center"/>
              <w:rPr>
                <w:color w:val="000000" w:themeColor="text1"/>
                <w:szCs w:val="21"/>
              </w:rPr>
            </w:pPr>
            <w:r>
              <w:rPr>
                <w:rFonts w:hint="eastAsia"/>
                <w:color w:val="000000" w:themeColor="text1"/>
                <w:kern w:val="0"/>
                <w:szCs w:val="21"/>
              </w:rPr>
              <w:t>优质育肥猪</w:t>
            </w:r>
          </w:p>
        </w:tc>
        <w:tc>
          <w:tcPr>
            <w:tcW w:w="1023" w:type="pct"/>
            <w:tcBorders>
              <w:tl2br w:val="nil"/>
              <w:tr2bl w:val="nil"/>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10000</w:t>
            </w:r>
            <w:r>
              <w:rPr>
                <w:color w:val="000000" w:themeColor="text1"/>
                <w:szCs w:val="21"/>
              </w:rPr>
              <w:t>头/a</w:t>
            </w:r>
          </w:p>
        </w:tc>
        <w:tc>
          <w:tcPr>
            <w:tcW w:w="1209" w:type="pct"/>
            <w:tcBorders>
              <w:tl2br w:val="nil"/>
              <w:tr2bl w:val="nil"/>
            </w:tcBorders>
            <w:vAlign w:val="center"/>
          </w:tcPr>
          <w:p>
            <w:pPr>
              <w:adjustRightInd w:val="0"/>
              <w:snapToGrid w:val="0"/>
              <w:spacing w:line="240" w:lineRule="auto"/>
              <w:jc w:val="center"/>
              <w:rPr>
                <w:color w:val="000000" w:themeColor="text1"/>
                <w:szCs w:val="21"/>
              </w:rPr>
            </w:pPr>
            <w:r>
              <w:rPr>
                <w:color w:val="000000" w:themeColor="text1"/>
                <w:szCs w:val="21"/>
              </w:rPr>
              <w:t>120kg/头</w:t>
            </w:r>
          </w:p>
        </w:tc>
        <w:tc>
          <w:tcPr>
            <w:tcW w:w="1581" w:type="pct"/>
            <w:tcBorders>
              <w:right w:val="single" w:color="auto" w:sz="4" w:space="0"/>
              <w:tl2br w:val="nil"/>
              <w:tr2bl w:val="nil"/>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25000</w:t>
            </w:r>
            <w:r>
              <w:rPr>
                <w:color w:val="000000" w:themeColor="text1"/>
                <w:szCs w:val="21"/>
              </w:rPr>
              <w:t>头/a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4"/>
            <w:tcBorders>
              <w:right w:val="single" w:color="auto" w:sz="4" w:space="0"/>
              <w:tl2br w:val="nil"/>
              <w:tr2bl w:val="nil"/>
            </w:tcBorders>
            <w:vAlign w:val="center"/>
          </w:tcPr>
          <w:p>
            <w:pPr>
              <w:adjustRightInd w:val="0"/>
              <w:snapToGrid w:val="0"/>
              <w:spacing w:line="240" w:lineRule="auto"/>
              <w:jc w:val="center"/>
              <w:rPr>
                <w:b/>
                <w:color w:val="000000" w:themeColor="text1"/>
                <w:szCs w:val="21"/>
              </w:rPr>
            </w:pPr>
            <w:r>
              <w:rPr>
                <w:rFonts w:hint="eastAsia"/>
                <w:b/>
                <w:color w:val="000000" w:themeColor="text1"/>
                <w:szCs w:val="21"/>
              </w:rPr>
              <w:t>粪污处理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210" w:type="pct"/>
            <w:gridSpan w:val="2"/>
            <w:tcBorders>
              <w:tl2br w:val="nil"/>
              <w:tr2bl w:val="nil"/>
            </w:tcBorders>
            <w:vAlign w:val="center"/>
          </w:tcPr>
          <w:p>
            <w:pPr>
              <w:adjustRightInd w:val="0"/>
              <w:snapToGrid w:val="0"/>
              <w:spacing w:line="240" w:lineRule="auto"/>
              <w:jc w:val="center"/>
              <w:rPr>
                <w:b/>
                <w:color w:val="000000" w:themeColor="text1"/>
                <w:szCs w:val="21"/>
              </w:rPr>
            </w:pPr>
            <w:r>
              <w:rPr>
                <w:rFonts w:hint="eastAsia"/>
                <w:b/>
                <w:color w:val="000000" w:themeColor="text1"/>
                <w:kern w:val="0"/>
                <w:szCs w:val="21"/>
              </w:rPr>
              <w:t>名称</w:t>
            </w:r>
          </w:p>
        </w:tc>
        <w:tc>
          <w:tcPr>
            <w:tcW w:w="2790" w:type="pct"/>
            <w:gridSpan w:val="2"/>
            <w:tcBorders>
              <w:right w:val="single" w:color="auto" w:sz="4" w:space="0"/>
              <w:tl2br w:val="nil"/>
              <w:tr2bl w:val="nil"/>
            </w:tcBorders>
            <w:vAlign w:val="center"/>
          </w:tcPr>
          <w:p>
            <w:pPr>
              <w:adjustRightInd w:val="0"/>
              <w:snapToGrid w:val="0"/>
              <w:spacing w:line="240" w:lineRule="auto"/>
              <w:jc w:val="center"/>
              <w:rPr>
                <w:b/>
                <w:color w:val="000000" w:themeColor="text1"/>
                <w:szCs w:val="21"/>
              </w:rPr>
            </w:pPr>
            <w:r>
              <w:rPr>
                <w:rFonts w:hint="eastAsia"/>
                <w:b/>
                <w:color w:val="000000" w:themeColor="text1"/>
                <w:szCs w:val="21"/>
              </w:rPr>
              <w:t>年产量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210" w:type="pct"/>
            <w:gridSpan w:val="2"/>
            <w:tcBorders>
              <w:tl2br w:val="nil"/>
              <w:tr2bl w:val="nil"/>
            </w:tcBorders>
            <w:vAlign w:val="center"/>
          </w:tcPr>
          <w:p>
            <w:pPr>
              <w:adjustRightInd w:val="0"/>
              <w:snapToGrid w:val="0"/>
              <w:spacing w:line="240" w:lineRule="auto"/>
              <w:jc w:val="center"/>
              <w:rPr>
                <w:color w:val="000000" w:themeColor="text1"/>
                <w:szCs w:val="21"/>
              </w:rPr>
            </w:pPr>
            <w:r>
              <w:rPr>
                <w:rFonts w:hint="eastAsia"/>
                <w:color w:val="000000" w:themeColor="text1"/>
                <w:kern w:val="0"/>
                <w:szCs w:val="21"/>
              </w:rPr>
              <w:t>有机肥</w:t>
            </w:r>
          </w:p>
        </w:tc>
        <w:tc>
          <w:tcPr>
            <w:tcW w:w="2790" w:type="pct"/>
            <w:gridSpan w:val="2"/>
            <w:tcBorders>
              <w:right w:val="single" w:color="auto" w:sz="4" w:space="0"/>
              <w:tl2br w:val="nil"/>
              <w:tr2bl w:val="nil"/>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2786.4t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4"/>
            <w:tcBorders>
              <w:right w:val="single" w:color="auto" w:sz="4" w:space="0"/>
              <w:tl2br w:val="nil"/>
              <w:tr2bl w:val="nil"/>
            </w:tcBorders>
            <w:vAlign w:val="center"/>
          </w:tcPr>
          <w:p>
            <w:pPr>
              <w:adjustRightInd w:val="0"/>
              <w:snapToGrid w:val="0"/>
              <w:spacing w:line="240" w:lineRule="auto"/>
              <w:jc w:val="center"/>
              <w:rPr>
                <w:b/>
                <w:color w:val="000000" w:themeColor="text1"/>
                <w:szCs w:val="21"/>
              </w:rPr>
            </w:pPr>
            <w:r>
              <w:rPr>
                <w:rFonts w:hint="eastAsia"/>
                <w:b/>
                <w:color w:val="000000" w:themeColor="text1"/>
                <w:szCs w:val="21"/>
              </w:rPr>
              <w:t>种植区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210" w:type="pct"/>
            <w:gridSpan w:val="2"/>
            <w:tcBorders>
              <w:tl2br w:val="nil"/>
              <w:tr2bl w:val="nil"/>
            </w:tcBorders>
            <w:vAlign w:val="center"/>
          </w:tcPr>
          <w:p>
            <w:pPr>
              <w:adjustRightInd w:val="0"/>
              <w:snapToGrid w:val="0"/>
              <w:spacing w:line="240" w:lineRule="auto"/>
              <w:jc w:val="center"/>
              <w:rPr>
                <w:b/>
                <w:color w:val="000000" w:themeColor="text1"/>
                <w:kern w:val="0"/>
                <w:szCs w:val="21"/>
              </w:rPr>
            </w:pPr>
            <w:r>
              <w:rPr>
                <w:rFonts w:hint="eastAsia"/>
                <w:b/>
                <w:color w:val="000000" w:themeColor="text1"/>
                <w:kern w:val="0"/>
                <w:szCs w:val="21"/>
              </w:rPr>
              <w:t>名称</w:t>
            </w:r>
          </w:p>
        </w:tc>
        <w:tc>
          <w:tcPr>
            <w:tcW w:w="2790" w:type="pct"/>
            <w:gridSpan w:val="2"/>
            <w:tcBorders>
              <w:right w:val="single" w:color="auto" w:sz="4" w:space="0"/>
              <w:tl2br w:val="nil"/>
              <w:tr2bl w:val="nil"/>
            </w:tcBorders>
            <w:vAlign w:val="center"/>
          </w:tcPr>
          <w:p>
            <w:pPr>
              <w:adjustRightInd w:val="0"/>
              <w:snapToGrid w:val="0"/>
              <w:spacing w:line="240" w:lineRule="auto"/>
              <w:jc w:val="center"/>
              <w:rPr>
                <w:b/>
                <w:color w:val="000000" w:themeColor="text1"/>
                <w:szCs w:val="21"/>
              </w:rPr>
            </w:pPr>
            <w:r>
              <w:rPr>
                <w:rFonts w:hint="eastAsia"/>
                <w:b/>
                <w:color w:val="000000" w:themeColor="text1"/>
                <w:szCs w:val="21"/>
              </w:rPr>
              <w:t>年产量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210" w:type="pct"/>
            <w:gridSpan w:val="2"/>
            <w:tcBorders>
              <w:tl2br w:val="nil"/>
              <w:tr2bl w:val="nil"/>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水果</w:t>
            </w:r>
          </w:p>
        </w:tc>
        <w:tc>
          <w:tcPr>
            <w:tcW w:w="2790" w:type="pct"/>
            <w:gridSpan w:val="2"/>
            <w:tcBorders>
              <w:right w:val="single" w:color="auto" w:sz="4" w:space="0"/>
              <w:tl2br w:val="nil"/>
              <w:tr2bl w:val="nil"/>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w:t>
            </w:r>
          </w:p>
        </w:tc>
      </w:tr>
    </w:tbl>
    <w:p>
      <w:pPr>
        <w:adjustRightInd w:val="0"/>
        <w:snapToGrid w:val="0"/>
        <w:outlineLvl w:val="2"/>
        <w:rPr>
          <w:b/>
          <w:color w:val="000000" w:themeColor="text1"/>
          <w:sz w:val="24"/>
        </w:rPr>
      </w:pPr>
      <w:bookmarkStart w:id="165" w:name="_Toc402186362"/>
      <w:bookmarkStart w:id="166" w:name="_Toc510547276"/>
      <w:bookmarkStart w:id="167" w:name="_Toc504403799"/>
      <w:bookmarkStart w:id="168" w:name="_Toc303261003"/>
      <w:bookmarkStart w:id="169" w:name="_Toc402186363"/>
      <w:bookmarkStart w:id="170" w:name="_Toc26593"/>
      <w:bookmarkStart w:id="171" w:name="_Toc25632"/>
      <w:bookmarkStart w:id="172" w:name="_Toc291776001"/>
      <w:bookmarkStart w:id="173" w:name="_Toc12105"/>
      <w:bookmarkStart w:id="174" w:name="_Toc303261004"/>
      <w:r>
        <w:rPr>
          <w:b/>
          <w:color w:val="000000" w:themeColor="text1"/>
          <w:sz w:val="24"/>
        </w:rPr>
        <w:t>3.1.</w:t>
      </w:r>
      <w:r>
        <w:rPr>
          <w:rFonts w:hint="eastAsia"/>
          <w:b/>
          <w:color w:val="000000" w:themeColor="text1"/>
          <w:sz w:val="24"/>
        </w:rPr>
        <w:t>4</w:t>
      </w:r>
      <w:r>
        <w:rPr>
          <w:b/>
          <w:color w:val="000000" w:themeColor="text1"/>
          <w:sz w:val="24"/>
        </w:rPr>
        <w:t>主要生产设备</w:t>
      </w:r>
      <w:bookmarkEnd w:id="165"/>
      <w:bookmarkEnd w:id="166"/>
      <w:bookmarkEnd w:id="167"/>
      <w:bookmarkEnd w:id="168"/>
    </w:p>
    <w:p>
      <w:pPr>
        <w:adjustRightInd w:val="0"/>
        <w:snapToGrid w:val="0"/>
        <w:ind w:firstLine="480" w:firstLineChars="200"/>
        <w:rPr>
          <w:color w:val="000000" w:themeColor="text1"/>
          <w:sz w:val="24"/>
        </w:rPr>
      </w:pPr>
      <w:bookmarkStart w:id="175" w:name="_Toc479436009"/>
      <w:bookmarkStart w:id="176" w:name="_Toc479435494"/>
      <w:r>
        <w:rPr>
          <w:color w:val="000000" w:themeColor="text1"/>
          <w:sz w:val="24"/>
        </w:rPr>
        <w:t>本项目主要设备清单见下表。</w:t>
      </w:r>
      <w:bookmarkEnd w:id="175"/>
      <w:bookmarkEnd w:id="176"/>
    </w:p>
    <w:p>
      <w:pPr>
        <w:adjustRightInd w:val="0"/>
        <w:snapToGrid w:val="0"/>
        <w:spacing w:line="240" w:lineRule="auto"/>
        <w:ind w:firstLine="482"/>
        <w:jc w:val="center"/>
        <w:rPr>
          <w:b/>
          <w:bCs/>
          <w:color w:val="000000" w:themeColor="text1"/>
          <w:szCs w:val="21"/>
        </w:rPr>
      </w:pPr>
      <w:r>
        <w:rPr>
          <w:b/>
          <w:bCs/>
          <w:color w:val="000000" w:themeColor="text1"/>
          <w:szCs w:val="21"/>
        </w:rPr>
        <w:t>表3.1-3  项目设备一览表</w:t>
      </w:r>
    </w:p>
    <w:tbl>
      <w:tblPr>
        <w:tblStyle w:val="42"/>
        <w:tblW w:w="8408" w:type="dxa"/>
        <w:tblInd w:w="93" w:type="dxa"/>
        <w:tblLayout w:type="fixed"/>
        <w:tblCellMar>
          <w:top w:w="0" w:type="dxa"/>
          <w:left w:w="108" w:type="dxa"/>
          <w:bottom w:w="0" w:type="dxa"/>
          <w:right w:w="108" w:type="dxa"/>
        </w:tblCellMar>
      </w:tblPr>
      <w:tblGrid>
        <w:gridCol w:w="839"/>
        <w:gridCol w:w="1728"/>
        <w:gridCol w:w="2396"/>
        <w:gridCol w:w="2013"/>
        <w:gridCol w:w="1432"/>
      </w:tblGrid>
      <w:tr>
        <w:tblPrEx>
          <w:tblCellMar>
            <w:top w:w="0" w:type="dxa"/>
            <w:left w:w="108" w:type="dxa"/>
            <w:bottom w:w="0" w:type="dxa"/>
            <w:right w:w="108" w:type="dxa"/>
          </w:tblCellMar>
        </w:tblPrEx>
        <w:trPr>
          <w:trHeight w:val="20" w:hRule="atLeast"/>
          <w:tblHeader/>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b/>
                <w:color w:val="000000" w:themeColor="text1"/>
                <w:kern w:val="0"/>
                <w:szCs w:val="21"/>
              </w:rPr>
            </w:pPr>
            <w:r>
              <w:rPr>
                <w:b/>
                <w:color w:val="000000" w:themeColor="text1"/>
                <w:kern w:val="0"/>
                <w:szCs w:val="21"/>
              </w:rPr>
              <w:t>序号</w:t>
            </w:r>
          </w:p>
        </w:tc>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jc w:val="center"/>
              <w:rPr>
                <w:b/>
                <w:color w:val="000000" w:themeColor="text1"/>
                <w:kern w:val="0"/>
                <w:szCs w:val="21"/>
              </w:rPr>
            </w:pPr>
            <w:r>
              <w:rPr>
                <w:b/>
                <w:color w:val="000000" w:themeColor="text1"/>
                <w:kern w:val="0"/>
                <w:szCs w:val="21"/>
              </w:rPr>
              <w:t>类别</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b/>
                <w:color w:val="000000" w:themeColor="text1"/>
                <w:kern w:val="0"/>
                <w:szCs w:val="21"/>
              </w:rPr>
            </w:pPr>
            <w:r>
              <w:rPr>
                <w:b/>
                <w:color w:val="000000" w:themeColor="text1"/>
                <w:kern w:val="0"/>
                <w:szCs w:val="21"/>
              </w:rPr>
              <w:t>设备名称</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b/>
                <w:color w:val="000000" w:themeColor="text1"/>
                <w:kern w:val="0"/>
                <w:szCs w:val="21"/>
              </w:rPr>
            </w:pPr>
            <w:r>
              <w:rPr>
                <w:b/>
                <w:color w:val="000000" w:themeColor="text1"/>
                <w:kern w:val="0"/>
                <w:szCs w:val="21"/>
              </w:rPr>
              <w:t>规格型号</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b/>
                <w:color w:val="000000" w:themeColor="text1"/>
                <w:kern w:val="0"/>
                <w:szCs w:val="21"/>
              </w:rPr>
            </w:pPr>
            <w:r>
              <w:rPr>
                <w:b/>
                <w:color w:val="000000" w:themeColor="text1"/>
                <w:kern w:val="0"/>
                <w:szCs w:val="21"/>
              </w:rPr>
              <w:t>数量</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1</w:t>
            </w:r>
          </w:p>
        </w:tc>
        <w:tc>
          <w:tcPr>
            <w:tcW w:w="1728"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jc w:val="center"/>
              <w:rPr>
                <w:color w:val="000000" w:themeColor="text1"/>
                <w:kern w:val="0"/>
                <w:szCs w:val="21"/>
              </w:rPr>
            </w:pPr>
            <w:r>
              <w:rPr>
                <w:color w:val="000000" w:themeColor="text1"/>
                <w:kern w:val="0"/>
                <w:szCs w:val="21"/>
              </w:rPr>
              <w:t>供电</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沼气发电机组</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10</w:t>
            </w:r>
            <w:r>
              <w:rPr>
                <w:color w:val="000000" w:themeColor="text1"/>
                <w:kern w:val="0"/>
                <w:szCs w:val="21"/>
              </w:rPr>
              <w:t>0</w:t>
            </w:r>
            <w:r>
              <w:rPr>
                <w:rFonts w:hint="eastAsia"/>
                <w:color w:val="000000" w:themeColor="text1"/>
                <w:kern w:val="0"/>
                <w:szCs w:val="21"/>
              </w:rPr>
              <w:t>k</w:t>
            </w:r>
            <w:r>
              <w:rPr>
                <w:color w:val="000000" w:themeColor="text1"/>
                <w:kern w:val="0"/>
                <w:szCs w:val="21"/>
              </w:rPr>
              <w:t>W</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w:t>
            </w:r>
          </w:p>
        </w:tc>
        <w:tc>
          <w:tcPr>
            <w:tcW w:w="1728"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jc w:val="center"/>
              <w:rPr>
                <w:color w:val="000000" w:themeColor="text1"/>
                <w:kern w:val="0"/>
                <w:szCs w:val="21"/>
              </w:rPr>
            </w:pPr>
            <w:r>
              <w:rPr>
                <w:color w:val="000000" w:themeColor="text1"/>
                <w:kern w:val="0"/>
                <w:szCs w:val="21"/>
              </w:rPr>
              <w:t>供水</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栏舍内饮水系统</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64</w:t>
            </w:r>
            <w:r>
              <w:rPr>
                <w:color w:val="000000" w:themeColor="text1"/>
                <w:kern w:val="0"/>
                <w:szCs w:val="21"/>
              </w:rPr>
              <w:t>套</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3</w:t>
            </w:r>
          </w:p>
        </w:tc>
        <w:tc>
          <w:tcPr>
            <w:tcW w:w="1728"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环控系统</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环控系统</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1套</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4</w:t>
            </w: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风机</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16</w:t>
            </w:r>
            <w:r>
              <w:rPr>
                <w:color w:val="000000" w:themeColor="text1"/>
                <w:kern w:val="0"/>
                <w:szCs w:val="21"/>
              </w:rPr>
              <w:t>台</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5</w:t>
            </w: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水帘</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套</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6</w:t>
            </w:r>
          </w:p>
        </w:tc>
        <w:tc>
          <w:tcPr>
            <w:tcW w:w="1728"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水泵</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台</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7</w:t>
            </w:r>
          </w:p>
        </w:tc>
        <w:tc>
          <w:tcPr>
            <w:tcW w:w="1728"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送料系统</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料塔</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10.5</w:t>
            </w:r>
            <w:r>
              <w:rPr>
                <w:color w:val="000000" w:themeColor="text1"/>
                <w:kern w:val="0"/>
                <w:szCs w:val="21"/>
              </w:rPr>
              <w:t>吨</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2套</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8</w:t>
            </w: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自动料线系统</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2套</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9</w:t>
            </w:r>
          </w:p>
        </w:tc>
        <w:tc>
          <w:tcPr>
            <w:tcW w:w="1728" w:type="dxa"/>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清洁设施</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集中高压清洗系统</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套</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10</w:t>
            </w:r>
          </w:p>
        </w:tc>
        <w:tc>
          <w:tcPr>
            <w:tcW w:w="1728"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沼气处理</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格栅</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栅条间距：15mm</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11</w:t>
            </w: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搅拌机</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JBJ1-1100</w:t>
            </w:r>
            <w:r>
              <w:rPr>
                <w:rFonts w:hint="eastAsia"/>
                <w:color w:val="000000" w:themeColor="text1"/>
                <w:kern w:val="0"/>
                <w:szCs w:val="21"/>
              </w:rPr>
              <w:t>，叶轮转速：30r/min；</w:t>
            </w:r>
          </w:p>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额定功率：3kw</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12</w:t>
            </w: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搅拌器</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转速：20r/min；</w:t>
            </w:r>
          </w:p>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功率：11kW</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13</w:t>
            </w: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中温厌氧发酵罐</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有效容积：1500m</w:t>
            </w:r>
            <w:r>
              <w:rPr>
                <w:rFonts w:hint="eastAsia"/>
                <w:color w:val="000000" w:themeColor="text1"/>
                <w:kern w:val="0"/>
                <w:szCs w:val="21"/>
                <w:vertAlign w:val="superscript"/>
              </w:rPr>
              <w:t>3</w:t>
            </w:r>
            <w:r>
              <w:rPr>
                <w:rFonts w:hint="eastAsia"/>
                <w:color w:val="000000" w:themeColor="text1"/>
                <w:kern w:val="0"/>
                <w:szCs w:val="21"/>
              </w:rPr>
              <w:t>；</w:t>
            </w:r>
          </w:p>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地上式焊接钢结构</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1个</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14</w:t>
            </w: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工艺泵</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型号：NL76-20；</w:t>
            </w:r>
          </w:p>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流量：76m</w:t>
            </w:r>
            <w:r>
              <w:rPr>
                <w:rFonts w:hint="eastAsia"/>
                <w:color w:val="000000" w:themeColor="text1"/>
                <w:kern w:val="0"/>
                <w:szCs w:val="21"/>
                <w:vertAlign w:val="superscript"/>
              </w:rPr>
              <w:t>3</w:t>
            </w:r>
            <w:r>
              <w:rPr>
                <w:rFonts w:hint="eastAsia"/>
                <w:color w:val="000000" w:themeColor="text1"/>
                <w:kern w:val="0"/>
                <w:szCs w:val="21"/>
              </w:rPr>
              <w:t>/h；</w:t>
            </w:r>
          </w:p>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功率：7.5kW</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15</w:t>
            </w: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回流泵</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型号：100ZW85-10-4；</w:t>
            </w:r>
          </w:p>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流量：85m</w:t>
            </w:r>
            <w:r>
              <w:rPr>
                <w:rFonts w:hint="eastAsia"/>
                <w:color w:val="000000" w:themeColor="text1"/>
                <w:kern w:val="0"/>
                <w:szCs w:val="21"/>
                <w:vertAlign w:val="superscript"/>
              </w:rPr>
              <w:t>3</w:t>
            </w:r>
            <w:r>
              <w:rPr>
                <w:rFonts w:hint="eastAsia"/>
                <w:color w:val="000000" w:themeColor="text1"/>
                <w:kern w:val="0"/>
                <w:szCs w:val="21"/>
              </w:rPr>
              <w:t>/h；</w:t>
            </w:r>
          </w:p>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功率：4kW</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rPr>
              <w:t>沼气脱硫</w:t>
            </w:r>
            <w:r>
              <w:rPr>
                <w:rFonts w:hint="eastAsia"/>
                <w:color w:val="000000" w:themeColor="text1"/>
              </w:rPr>
              <w:t>器</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rFonts w:hint="eastAsia"/>
                <w:color w:val="000000" w:themeColor="text1"/>
              </w:rPr>
              <w:t>型号：TS-1000；</w:t>
            </w:r>
          </w:p>
          <w:p>
            <w:pPr>
              <w:spacing w:line="240" w:lineRule="auto"/>
              <w:jc w:val="center"/>
              <w:rPr>
                <w:color w:val="000000" w:themeColor="text1"/>
              </w:rPr>
            </w:pPr>
            <w:r>
              <w:rPr>
                <w:rFonts w:hint="eastAsia"/>
                <w:color w:val="000000" w:themeColor="text1"/>
              </w:rPr>
              <w:t>有效容积：2.5m</w:t>
            </w:r>
            <w:r>
              <w:rPr>
                <w:rFonts w:hint="eastAsia"/>
                <w:color w:val="000000" w:themeColor="text1"/>
                <w:vertAlign w:val="superscript"/>
              </w:rPr>
              <w:t>3</w:t>
            </w:r>
            <w:r>
              <w:rPr>
                <w:rFonts w:hint="eastAsia"/>
                <w:color w:val="000000" w:themeColor="text1"/>
              </w:rPr>
              <w:t>；</w:t>
            </w:r>
          </w:p>
          <w:p>
            <w:pPr>
              <w:widowControl/>
              <w:adjustRightInd w:val="0"/>
              <w:snapToGrid w:val="0"/>
              <w:spacing w:line="240" w:lineRule="auto"/>
              <w:jc w:val="center"/>
              <w:rPr>
                <w:color w:val="000000" w:themeColor="text1"/>
                <w:kern w:val="0"/>
                <w:szCs w:val="21"/>
              </w:rPr>
            </w:pPr>
            <w:r>
              <w:rPr>
                <w:rFonts w:hint="eastAsia"/>
                <w:color w:val="000000" w:themeColor="text1"/>
              </w:rPr>
              <w:t>脱硫能力：30~40m</w:t>
            </w:r>
            <w:r>
              <w:rPr>
                <w:rFonts w:hint="eastAsia"/>
                <w:color w:val="000000" w:themeColor="text1"/>
                <w:vertAlign w:val="superscript"/>
              </w:rPr>
              <w:t>3</w:t>
            </w:r>
            <w:r>
              <w:rPr>
                <w:rFonts w:hint="eastAsia"/>
                <w:color w:val="000000" w:themeColor="text1"/>
              </w:rPr>
              <w:t>/h；硫化氢去除率：&gt;95%</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2台</w:t>
            </w:r>
          </w:p>
        </w:tc>
      </w:tr>
      <w:tr>
        <w:tblPrEx>
          <w:tblCellMar>
            <w:top w:w="0" w:type="dxa"/>
            <w:left w:w="108" w:type="dxa"/>
            <w:bottom w:w="0" w:type="dxa"/>
            <w:right w:w="108" w:type="dxa"/>
          </w:tblCellMar>
        </w:tblPrEx>
        <w:trPr>
          <w:trHeight w:val="20" w:hRule="atLeast"/>
        </w:trPr>
        <w:tc>
          <w:tcPr>
            <w:tcW w:w="83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rPr>
              <w:t>气水分离器</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rPr>
              <w:t>型号：QF20/1；分离效率：&gt;90%</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rPr>
              <w:t>沼气储气柜</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有效容积300m</w:t>
            </w:r>
            <w:r>
              <w:rPr>
                <w:rFonts w:hint="eastAsia"/>
                <w:color w:val="000000" w:themeColor="text1"/>
                <w:kern w:val="0"/>
                <w:szCs w:val="21"/>
                <w:vertAlign w:val="superscript"/>
              </w:rPr>
              <w:t>3</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16</w:t>
            </w:r>
          </w:p>
        </w:tc>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刮粪系统</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刮粪系统</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8</w:t>
            </w:r>
            <w:r>
              <w:rPr>
                <w:color w:val="000000" w:themeColor="text1"/>
                <w:kern w:val="0"/>
                <w:szCs w:val="21"/>
              </w:rPr>
              <w:t>套</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17</w:t>
            </w:r>
          </w:p>
        </w:tc>
        <w:tc>
          <w:tcPr>
            <w:tcW w:w="1728"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jc w:val="center"/>
              <w:rPr>
                <w:color w:val="000000" w:themeColor="text1"/>
                <w:kern w:val="0"/>
                <w:szCs w:val="21"/>
              </w:rPr>
            </w:pPr>
            <w:r>
              <w:rPr>
                <w:color w:val="000000" w:themeColor="text1"/>
                <w:kern w:val="0"/>
                <w:szCs w:val="21"/>
              </w:rPr>
              <w:t>栏舍</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不锈钢食槽</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60个</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18</w:t>
            </w:r>
          </w:p>
        </w:tc>
        <w:tc>
          <w:tcPr>
            <w:tcW w:w="1728"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color w:val="000000" w:themeColor="text1"/>
                <w:kern w:val="0"/>
                <w:szCs w:val="21"/>
              </w:rPr>
              <w:t>沼气利用</w:t>
            </w:r>
          </w:p>
        </w:tc>
        <w:tc>
          <w:tcPr>
            <w:tcW w:w="2396"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color w:val="000000" w:themeColor="text1"/>
              </w:rPr>
              <w:t>沼气脱硫</w:t>
            </w:r>
            <w:r>
              <w:rPr>
                <w:rFonts w:hint="eastAsia"/>
                <w:color w:val="000000" w:themeColor="text1"/>
              </w:rPr>
              <w:t>器</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rFonts w:hint="eastAsia"/>
                <w:color w:val="000000" w:themeColor="text1"/>
              </w:rPr>
              <w:t>型号：TS-1000；</w:t>
            </w:r>
          </w:p>
          <w:p>
            <w:pPr>
              <w:spacing w:line="240" w:lineRule="auto"/>
              <w:jc w:val="center"/>
              <w:rPr>
                <w:color w:val="000000" w:themeColor="text1"/>
              </w:rPr>
            </w:pPr>
            <w:r>
              <w:rPr>
                <w:rFonts w:hint="eastAsia"/>
                <w:color w:val="000000" w:themeColor="text1"/>
              </w:rPr>
              <w:t>有效容积：2.5m</w:t>
            </w:r>
            <w:r>
              <w:rPr>
                <w:rFonts w:hint="eastAsia"/>
                <w:color w:val="000000" w:themeColor="text1"/>
                <w:vertAlign w:val="superscript"/>
              </w:rPr>
              <w:t>3</w:t>
            </w:r>
            <w:r>
              <w:rPr>
                <w:rFonts w:hint="eastAsia"/>
                <w:color w:val="000000" w:themeColor="text1"/>
              </w:rPr>
              <w:t>；</w:t>
            </w:r>
          </w:p>
          <w:p>
            <w:pPr>
              <w:spacing w:line="240" w:lineRule="auto"/>
              <w:jc w:val="center"/>
              <w:rPr>
                <w:color w:val="000000" w:themeColor="text1"/>
              </w:rPr>
            </w:pPr>
            <w:r>
              <w:rPr>
                <w:rFonts w:hint="eastAsia"/>
                <w:color w:val="000000" w:themeColor="text1"/>
              </w:rPr>
              <w:t>脱硫能力：30~40m</w:t>
            </w:r>
            <w:r>
              <w:rPr>
                <w:rFonts w:hint="eastAsia"/>
                <w:color w:val="000000" w:themeColor="text1"/>
                <w:vertAlign w:val="superscript"/>
              </w:rPr>
              <w:t>3</w:t>
            </w:r>
            <w:r>
              <w:rPr>
                <w:rFonts w:hint="eastAsia"/>
                <w:color w:val="000000" w:themeColor="text1"/>
              </w:rPr>
              <w:t>/h；硫化氢去除率：&gt;95%</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2台</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19</w:t>
            </w:r>
          </w:p>
        </w:tc>
        <w:tc>
          <w:tcPr>
            <w:tcW w:w="1728" w:type="dxa"/>
            <w:vMerge w:val="continue"/>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rFonts w:hint="eastAsia"/>
                <w:color w:val="000000" w:themeColor="text1"/>
              </w:rPr>
              <w:t>气水分离器</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rFonts w:hint="eastAsia"/>
                <w:color w:val="000000" w:themeColor="text1"/>
              </w:rPr>
              <w:t>型号：QF20/1；分离效率：&gt;90%</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0</w:t>
            </w:r>
          </w:p>
        </w:tc>
        <w:tc>
          <w:tcPr>
            <w:tcW w:w="1728" w:type="dxa"/>
            <w:vMerge w:val="continue"/>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color w:val="000000" w:themeColor="text1"/>
              </w:rPr>
              <w:t>沼气储气柜</w:t>
            </w:r>
          </w:p>
        </w:tc>
        <w:tc>
          <w:tcPr>
            <w:tcW w:w="2013"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rFonts w:hint="eastAsia"/>
                <w:color w:val="000000" w:themeColor="text1"/>
                <w:kern w:val="0"/>
                <w:szCs w:val="21"/>
              </w:rPr>
              <w:t>有效容积300m</w:t>
            </w:r>
            <w:r>
              <w:rPr>
                <w:rFonts w:hint="eastAsia"/>
                <w:color w:val="000000" w:themeColor="text1"/>
                <w:kern w:val="0"/>
                <w:szCs w:val="21"/>
                <w:vertAlign w:val="superscript"/>
              </w:rPr>
              <w:t>3</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1台</w:t>
            </w:r>
          </w:p>
        </w:tc>
      </w:tr>
      <w:tr>
        <w:tblPrEx>
          <w:tblCellMar>
            <w:top w:w="0" w:type="dxa"/>
            <w:left w:w="108" w:type="dxa"/>
            <w:bottom w:w="0" w:type="dxa"/>
            <w:right w:w="108" w:type="dxa"/>
          </w:tblCellMar>
        </w:tblPrEx>
        <w:trPr>
          <w:trHeight w:val="20" w:hRule="atLeast"/>
        </w:trPr>
        <w:tc>
          <w:tcPr>
            <w:tcW w:w="839"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21</w:t>
            </w:r>
          </w:p>
        </w:tc>
        <w:tc>
          <w:tcPr>
            <w:tcW w:w="1728"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异位发酵车间</w:t>
            </w:r>
          </w:p>
        </w:tc>
        <w:tc>
          <w:tcPr>
            <w:tcW w:w="2396"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rFonts w:hint="eastAsia"/>
                <w:color w:val="000000" w:themeColor="text1"/>
              </w:rPr>
              <w:t>翻耙机</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5台</w:t>
            </w:r>
          </w:p>
        </w:tc>
      </w:tr>
      <w:tr>
        <w:tblPrEx>
          <w:tblCellMar>
            <w:top w:w="0" w:type="dxa"/>
            <w:left w:w="108" w:type="dxa"/>
            <w:bottom w:w="0" w:type="dxa"/>
            <w:right w:w="108" w:type="dxa"/>
          </w:tblCellMar>
        </w:tblPrEx>
        <w:trPr>
          <w:trHeight w:val="20" w:hRule="atLeast"/>
        </w:trPr>
        <w:tc>
          <w:tcPr>
            <w:tcW w:w="83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rFonts w:hint="eastAsia"/>
                <w:color w:val="000000" w:themeColor="text1"/>
              </w:rPr>
              <w:t>搅拌机</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5台</w:t>
            </w:r>
          </w:p>
        </w:tc>
      </w:tr>
      <w:tr>
        <w:tblPrEx>
          <w:tblCellMar>
            <w:top w:w="0" w:type="dxa"/>
            <w:left w:w="108" w:type="dxa"/>
            <w:bottom w:w="0" w:type="dxa"/>
            <w:right w:w="108" w:type="dxa"/>
          </w:tblCellMar>
        </w:tblPrEx>
        <w:trPr>
          <w:trHeight w:val="20" w:hRule="atLeast"/>
        </w:trPr>
        <w:tc>
          <w:tcPr>
            <w:tcW w:w="83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72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rFonts w:hint="eastAsia"/>
                <w:color w:val="000000" w:themeColor="text1"/>
              </w:rPr>
              <w:t>粪污提升机</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5台</w:t>
            </w:r>
          </w:p>
        </w:tc>
      </w:tr>
      <w:tr>
        <w:tblPrEx>
          <w:tblCellMar>
            <w:top w:w="0" w:type="dxa"/>
            <w:left w:w="108" w:type="dxa"/>
            <w:bottom w:w="0" w:type="dxa"/>
            <w:right w:w="108" w:type="dxa"/>
          </w:tblCellMar>
        </w:tblPrEx>
        <w:trPr>
          <w:trHeight w:val="20" w:hRule="atLeast"/>
        </w:trPr>
        <w:tc>
          <w:tcPr>
            <w:tcW w:w="839"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1728"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p>
        </w:tc>
        <w:tc>
          <w:tcPr>
            <w:tcW w:w="2396"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rPr>
            </w:pPr>
            <w:r>
              <w:rPr>
                <w:rFonts w:hint="eastAsia"/>
                <w:color w:val="000000" w:themeColor="text1"/>
              </w:rPr>
              <w:t>喷淋系统</w:t>
            </w:r>
          </w:p>
        </w:tc>
        <w:tc>
          <w:tcPr>
            <w:tcW w:w="201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w:t>
            </w:r>
          </w:p>
        </w:tc>
        <w:tc>
          <w:tcPr>
            <w:tcW w:w="143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jc w:val="center"/>
              <w:rPr>
                <w:color w:val="000000" w:themeColor="text1"/>
                <w:kern w:val="0"/>
                <w:szCs w:val="21"/>
              </w:rPr>
            </w:pPr>
            <w:r>
              <w:rPr>
                <w:rFonts w:hint="eastAsia"/>
                <w:color w:val="000000" w:themeColor="text1"/>
                <w:kern w:val="0"/>
                <w:szCs w:val="21"/>
              </w:rPr>
              <w:t>5套</w:t>
            </w:r>
          </w:p>
        </w:tc>
      </w:tr>
    </w:tbl>
    <w:p>
      <w:pPr>
        <w:adjustRightInd w:val="0"/>
        <w:snapToGrid w:val="0"/>
        <w:outlineLvl w:val="2"/>
        <w:rPr>
          <w:b/>
          <w:color w:val="000000" w:themeColor="text1"/>
          <w:sz w:val="24"/>
        </w:rPr>
      </w:pPr>
      <w:bookmarkStart w:id="177" w:name="_Toc10681"/>
      <w:bookmarkStart w:id="178" w:name="_Toc402186370"/>
      <w:bookmarkStart w:id="179" w:name="_Toc28289"/>
      <w:bookmarkStart w:id="180" w:name="_Toc303261009"/>
      <w:bookmarkStart w:id="181" w:name="_Toc27531"/>
      <w:bookmarkStart w:id="182" w:name="_Toc291776007"/>
      <w:bookmarkStart w:id="183" w:name="_Toc510547277"/>
      <w:bookmarkStart w:id="184" w:name="_Toc504403800"/>
      <w:r>
        <w:rPr>
          <w:b/>
          <w:color w:val="000000" w:themeColor="text1"/>
          <w:sz w:val="24"/>
        </w:rPr>
        <w:t>3.1.</w:t>
      </w:r>
      <w:r>
        <w:rPr>
          <w:rFonts w:hint="eastAsia"/>
          <w:b/>
          <w:color w:val="000000" w:themeColor="text1"/>
          <w:sz w:val="24"/>
        </w:rPr>
        <w:t>5</w:t>
      </w:r>
      <w:r>
        <w:rPr>
          <w:b/>
          <w:color w:val="000000" w:themeColor="text1"/>
          <w:sz w:val="24"/>
        </w:rPr>
        <w:t>主要原辅材料及能源</w:t>
      </w:r>
      <w:bookmarkEnd w:id="177"/>
      <w:bookmarkEnd w:id="178"/>
      <w:bookmarkEnd w:id="179"/>
      <w:bookmarkEnd w:id="180"/>
      <w:bookmarkEnd w:id="181"/>
      <w:bookmarkEnd w:id="182"/>
      <w:r>
        <w:rPr>
          <w:b/>
          <w:color w:val="000000" w:themeColor="text1"/>
          <w:sz w:val="24"/>
        </w:rPr>
        <w:t>消耗</w:t>
      </w:r>
      <w:bookmarkEnd w:id="183"/>
      <w:bookmarkEnd w:id="184"/>
    </w:p>
    <w:p>
      <w:pPr>
        <w:adjustRightInd w:val="0"/>
        <w:snapToGrid w:val="0"/>
        <w:ind w:firstLine="480" w:firstLineChars="200"/>
        <w:rPr>
          <w:color w:val="000000" w:themeColor="text1"/>
          <w:sz w:val="24"/>
        </w:rPr>
      </w:pPr>
      <w:bookmarkStart w:id="185" w:name="_Toc308707787"/>
      <w:bookmarkStart w:id="186" w:name="_Toc100912213"/>
      <w:bookmarkStart w:id="187" w:name="_Toc107369806"/>
      <w:bookmarkStart w:id="188" w:name="_Toc100911589"/>
      <w:bookmarkStart w:id="189" w:name="_Toc107369666"/>
      <w:r>
        <w:rPr>
          <w:color w:val="000000" w:themeColor="text1"/>
          <w:sz w:val="24"/>
        </w:rPr>
        <w:t>项目建成后，其正常营运所需的主要原材料消耗包括饲料，疫苗、兽药及水电消耗等，本项目所需饲料由</w:t>
      </w:r>
      <w:r>
        <w:rPr>
          <w:rFonts w:hint="eastAsia"/>
          <w:color w:val="000000" w:themeColor="text1"/>
          <w:sz w:val="24"/>
        </w:rPr>
        <w:t>正大</w:t>
      </w:r>
      <w:r>
        <w:rPr>
          <w:color w:val="000000" w:themeColor="text1"/>
          <w:sz w:val="24"/>
        </w:rPr>
        <w:t>集团配送科学配方饲料，项目不在场区内进行饲料加工。</w:t>
      </w:r>
    </w:p>
    <w:bookmarkEnd w:id="185"/>
    <w:p>
      <w:pPr>
        <w:adjustRightInd w:val="0"/>
        <w:snapToGrid w:val="0"/>
        <w:ind w:firstLine="480" w:firstLineChars="200"/>
        <w:rPr>
          <w:color w:val="000000" w:themeColor="text1"/>
          <w:sz w:val="24"/>
        </w:rPr>
      </w:pPr>
      <w:r>
        <w:rPr>
          <w:color w:val="000000" w:themeColor="text1"/>
          <w:sz w:val="24"/>
        </w:rPr>
        <w:t>本项目</w:t>
      </w:r>
      <w:bookmarkEnd w:id="186"/>
      <w:bookmarkEnd w:id="187"/>
      <w:bookmarkEnd w:id="188"/>
      <w:bookmarkEnd w:id="189"/>
      <w:r>
        <w:rPr>
          <w:color w:val="000000" w:themeColor="text1"/>
          <w:sz w:val="24"/>
        </w:rPr>
        <w:t>主要原、辅材料使用量如下表所示。</w:t>
      </w:r>
    </w:p>
    <w:p>
      <w:pPr>
        <w:pStyle w:val="158"/>
        <w:spacing w:line="240" w:lineRule="auto"/>
        <w:rPr>
          <w:color w:val="000000" w:themeColor="text1"/>
          <w:sz w:val="21"/>
          <w:szCs w:val="21"/>
        </w:rPr>
      </w:pPr>
      <w:r>
        <w:rPr>
          <w:color w:val="000000" w:themeColor="text1"/>
          <w:sz w:val="21"/>
          <w:szCs w:val="21"/>
        </w:rPr>
        <w:t>表3.1-4  主要原、辅材料使用量</w:t>
      </w:r>
    </w:p>
    <w:tbl>
      <w:tblPr>
        <w:tblStyle w:val="42"/>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992"/>
        <w:gridCol w:w="1134"/>
        <w:gridCol w:w="1843"/>
        <w:gridCol w:w="2126"/>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序号</w:t>
            </w:r>
          </w:p>
        </w:tc>
        <w:tc>
          <w:tcPr>
            <w:tcW w:w="2126" w:type="dxa"/>
            <w:gridSpan w:val="2"/>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kern w:val="0"/>
                <w:szCs w:val="21"/>
              </w:rPr>
              <w:t>原料名称</w:t>
            </w:r>
          </w:p>
        </w:tc>
        <w:tc>
          <w:tcPr>
            <w:tcW w:w="1843" w:type="dxa"/>
            <w:vAlign w:val="center"/>
          </w:tcPr>
          <w:p>
            <w:pPr>
              <w:pStyle w:val="100"/>
              <w:spacing w:line="24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kern w:val="0"/>
                <w:szCs w:val="21"/>
              </w:rPr>
              <w:t>年消耗</w:t>
            </w:r>
            <w:r>
              <w:rPr>
                <w:rFonts w:ascii="Times New Roman" w:hAnsi="Times New Roman" w:cs="Times New Roman"/>
                <w:b/>
                <w:color w:val="000000" w:themeColor="text1"/>
                <w:kern w:val="0"/>
                <w:szCs w:val="21"/>
              </w:rPr>
              <w:t>量</w:t>
            </w:r>
          </w:p>
        </w:tc>
        <w:tc>
          <w:tcPr>
            <w:tcW w:w="2126" w:type="dxa"/>
            <w:vAlign w:val="center"/>
          </w:tcPr>
          <w:p>
            <w:pPr>
              <w:pStyle w:val="100"/>
              <w:spacing w:line="24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备注</w:t>
            </w:r>
          </w:p>
        </w:tc>
        <w:tc>
          <w:tcPr>
            <w:tcW w:w="1556"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kern w:val="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1</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成品饲料</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10950t</w:t>
            </w:r>
          </w:p>
        </w:tc>
        <w:tc>
          <w:tcPr>
            <w:tcW w:w="2126" w:type="dxa"/>
            <w:vAlign w:val="center"/>
          </w:tcPr>
          <w:p>
            <w:pPr>
              <w:pStyle w:val="100"/>
              <w:spacing w:line="240" w:lineRule="auto"/>
              <w:rPr>
                <w:rFonts w:ascii="Times New Roman" w:hAnsi="Times New Roman" w:cs="Times New Roman"/>
                <w:color w:val="000000" w:themeColor="text1"/>
                <w:szCs w:val="21"/>
              </w:rPr>
            </w:pPr>
          </w:p>
        </w:tc>
        <w:tc>
          <w:tcPr>
            <w:tcW w:w="155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正大</w:t>
            </w:r>
            <w:r>
              <w:rPr>
                <w:rFonts w:ascii="Times New Roman" w:hAnsi="Times New Roman" w:cs="Times New Roman"/>
                <w:color w:val="000000" w:themeColor="text1"/>
                <w:szCs w:val="21"/>
              </w:rPr>
              <w:t>集团购入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2</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仔猪</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25050</w:t>
            </w:r>
          </w:p>
        </w:tc>
        <w:tc>
          <w:tcPr>
            <w:tcW w:w="2126" w:type="dxa"/>
            <w:vAlign w:val="center"/>
          </w:tcPr>
          <w:p>
            <w:pPr>
              <w:pStyle w:val="100"/>
              <w:spacing w:line="240" w:lineRule="auto"/>
              <w:rPr>
                <w:rFonts w:ascii="Times New Roman" w:hAnsi="Times New Roman" w:cs="Times New Roman"/>
                <w:color w:val="000000" w:themeColor="text1"/>
                <w:szCs w:val="21"/>
              </w:rPr>
            </w:pPr>
          </w:p>
        </w:tc>
        <w:tc>
          <w:tcPr>
            <w:tcW w:w="155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正大</w:t>
            </w:r>
            <w:r>
              <w:rPr>
                <w:rFonts w:ascii="Times New Roman" w:hAnsi="Times New Roman" w:cs="Times New Roman"/>
                <w:color w:val="000000" w:themeColor="text1"/>
                <w:szCs w:val="21"/>
              </w:rPr>
              <w:t>集团购入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3</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防疫药品</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3.8万份</w:t>
            </w:r>
          </w:p>
        </w:tc>
        <w:tc>
          <w:tcPr>
            <w:tcW w:w="212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猪瘟疫苗、猪口蹄疫疫苗、猪高致病性蓝</w:t>
            </w:r>
          </w:p>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耳病疫苗、猪细小病毒疫苗</w:t>
            </w:r>
          </w:p>
        </w:tc>
        <w:tc>
          <w:tcPr>
            <w:tcW w:w="1556" w:type="dxa"/>
            <w:vMerge w:val="restart"/>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防疫工作由正大集团全权负责，包含预防疫情、生病猪</w:t>
            </w:r>
          </w:p>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的治疗等工作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4</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兽药</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0.8万分</w:t>
            </w:r>
          </w:p>
        </w:tc>
        <w:tc>
          <w:tcPr>
            <w:tcW w:w="212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青霉素类、链霉素等抗生素类药品</w:t>
            </w:r>
          </w:p>
        </w:tc>
        <w:tc>
          <w:tcPr>
            <w:tcW w:w="1556"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5</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脱硫剂</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0.3t</w:t>
            </w:r>
          </w:p>
        </w:tc>
        <w:tc>
          <w:tcPr>
            <w:tcW w:w="212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主要成分为氧化铁</w:t>
            </w:r>
          </w:p>
        </w:tc>
        <w:tc>
          <w:tcPr>
            <w:tcW w:w="155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6</w:t>
            </w:r>
          </w:p>
        </w:tc>
        <w:tc>
          <w:tcPr>
            <w:tcW w:w="992" w:type="dxa"/>
            <w:vMerge w:val="restart"/>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消毒剂</w:t>
            </w:r>
          </w:p>
        </w:tc>
        <w:tc>
          <w:tcPr>
            <w:tcW w:w="1134"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火碱</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color w:val="000000" w:themeColor="text1"/>
                <w:szCs w:val="21"/>
              </w:rPr>
              <w:t>30kg/a</w:t>
            </w:r>
          </w:p>
        </w:tc>
        <w:tc>
          <w:tcPr>
            <w:tcW w:w="212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3%～5%，用于入口车辆消毒池</w:t>
            </w:r>
          </w:p>
        </w:tc>
        <w:tc>
          <w:tcPr>
            <w:tcW w:w="155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7</w:t>
            </w:r>
          </w:p>
        </w:tc>
        <w:tc>
          <w:tcPr>
            <w:tcW w:w="992" w:type="dxa"/>
            <w:vMerge w:val="continue"/>
            <w:vAlign w:val="center"/>
          </w:tcPr>
          <w:p>
            <w:pPr>
              <w:autoSpaceDE w:val="0"/>
              <w:autoSpaceDN w:val="0"/>
              <w:adjustRightInd w:val="0"/>
              <w:snapToGrid w:val="0"/>
              <w:spacing w:line="240" w:lineRule="auto"/>
              <w:jc w:val="center"/>
              <w:rPr>
                <w:color w:val="000000" w:themeColor="text1"/>
                <w:kern w:val="0"/>
                <w:szCs w:val="21"/>
              </w:rPr>
            </w:pPr>
          </w:p>
        </w:tc>
        <w:tc>
          <w:tcPr>
            <w:tcW w:w="1134"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过氧乙酸</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4.8kg/a</w:t>
            </w:r>
          </w:p>
        </w:tc>
        <w:tc>
          <w:tcPr>
            <w:tcW w:w="212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0.3%～0.5%，猪舍消毒</w:t>
            </w:r>
          </w:p>
        </w:tc>
        <w:tc>
          <w:tcPr>
            <w:tcW w:w="155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8</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水</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22447.5</w:t>
            </w:r>
          </w:p>
        </w:tc>
        <w:tc>
          <w:tcPr>
            <w:tcW w:w="2126" w:type="dxa"/>
            <w:vAlign w:val="center"/>
          </w:tcPr>
          <w:p>
            <w:pPr>
              <w:pStyle w:val="100"/>
              <w:spacing w:line="240" w:lineRule="auto"/>
              <w:rPr>
                <w:rFonts w:ascii="Times New Roman" w:hAnsi="Times New Roman" w:cs="Times New Roman"/>
                <w:color w:val="000000" w:themeColor="text1"/>
                <w:szCs w:val="21"/>
              </w:rPr>
            </w:pPr>
          </w:p>
        </w:tc>
        <w:tc>
          <w:tcPr>
            <w:tcW w:w="1556" w:type="dxa"/>
            <w:vAlign w:val="center"/>
          </w:tcPr>
          <w:p>
            <w:pPr>
              <w:pStyle w:val="100"/>
              <w:spacing w:line="240" w:lineRule="auto"/>
              <w:rPr>
                <w:rFonts w:ascii="Times New Roman" w:hAnsi="Times New Roman" w:cs="Times New Roman"/>
                <w:color w:val="000000" w:themeColor="text1"/>
                <w:szCs w:val="21"/>
              </w:rPr>
            </w:pPr>
            <w:r>
              <w:rPr>
                <w:rFonts w:hint="eastAsia"/>
                <w:color w:val="000000" w:themeColor="text1"/>
                <w:szCs w:val="21"/>
              </w:rPr>
              <w:t>依托石头村供水管网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9</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电力</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186</w:t>
            </w:r>
            <w:r>
              <w:rPr>
                <w:color w:val="000000" w:themeColor="text1"/>
                <w:kern w:val="0"/>
                <w:szCs w:val="21"/>
              </w:rPr>
              <w:t>万kwh</w:t>
            </w:r>
          </w:p>
        </w:tc>
        <w:tc>
          <w:tcPr>
            <w:tcW w:w="2126" w:type="dxa"/>
            <w:vAlign w:val="center"/>
          </w:tcPr>
          <w:p>
            <w:pPr>
              <w:pStyle w:val="100"/>
              <w:spacing w:line="240" w:lineRule="auto"/>
              <w:rPr>
                <w:rFonts w:ascii="Times New Roman" w:hAnsi="Times New Roman" w:cs="Times New Roman"/>
                <w:color w:val="000000" w:themeColor="text1"/>
                <w:szCs w:val="21"/>
              </w:rPr>
            </w:pPr>
          </w:p>
        </w:tc>
        <w:tc>
          <w:tcPr>
            <w:tcW w:w="155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电网供给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10</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稻壳、锯末</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800t/a</w:t>
            </w:r>
          </w:p>
        </w:tc>
        <w:tc>
          <w:tcPr>
            <w:tcW w:w="2126" w:type="dxa"/>
            <w:vMerge w:val="restart"/>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异位发酵原料</w:t>
            </w:r>
          </w:p>
        </w:tc>
        <w:tc>
          <w:tcPr>
            <w:tcW w:w="155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11</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洛东U洁菌</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1.6t/a</w:t>
            </w:r>
          </w:p>
        </w:tc>
        <w:tc>
          <w:tcPr>
            <w:tcW w:w="2126" w:type="dxa"/>
            <w:vMerge w:val="continue"/>
            <w:vAlign w:val="center"/>
          </w:tcPr>
          <w:p>
            <w:pPr>
              <w:pStyle w:val="100"/>
              <w:spacing w:line="240" w:lineRule="auto"/>
              <w:jc w:val="both"/>
              <w:rPr>
                <w:rFonts w:ascii="Times New Roman" w:hAnsi="Times New Roman" w:cs="Times New Roman"/>
                <w:color w:val="000000" w:themeColor="text1"/>
                <w:szCs w:val="21"/>
              </w:rPr>
            </w:pPr>
          </w:p>
        </w:tc>
        <w:tc>
          <w:tcPr>
            <w:tcW w:w="155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12</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玉米粉</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10.2t/a</w:t>
            </w:r>
          </w:p>
        </w:tc>
        <w:tc>
          <w:tcPr>
            <w:tcW w:w="2126" w:type="dxa"/>
            <w:vMerge w:val="continue"/>
            <w:vAlign w:val="center"/>
          </w:tcPr>
          <w:p>
            <w:pPr>
              <w:pStyle w:val="100"/>
              <w:spacing w:line="240" w:lineRule="auto"/>
              <w:jc w:val="both"/>
              <w:rPr>
                <w:rFonts w:ascii="Times New Roman" w:hAnsi="Times New Roman" w:cs="Times New Roman"/>
                <w:color w:val="000000" w:themeColor="text1"/>
                <w:szCs w:val="21"/>
              </w:rPr>
            </w:pPr>
          </w:p>
        </w:tc>
        <w:tc>
          <w:tcPr>
            <w:tcW w:w="155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13</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亚罗康活菌</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4.2t/a</w:t>
            </w:r>
          </w:p>
        </w:tc>
        <w:tc>
          <w:tcPr>
            <w:tcW w:w="212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饲料添加除臭剂</w:t>
            </w:r>
          </w:p>
        </w:tc>
        <w:tc>
          <w:tcPr>
            <w:tcW w:w="155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14</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万洁芬</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3.5t/a</w:t>
            </w:r>
          </w:p>
        </w:tc>
        <w:tc>
          <w:tcPr>
            <w:tcW w:w="212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生物除臭剂</w:t>
            </w:r>
          </w:p>
        </w:tc>
        <w:tc>
          <w:tcPr>
            <w:tcW w:w="1556" w:type="dxa"/>
            <w:vAlign w:val="center"/>
          </w:tcPr>
          <w:p>
            <w:pPr>
              <w:pStyle w:val="100"/>
              <w:spacing w:line="240" w:lineRule="auto"/>
              <w:rPr>
                <w:rFonts w:ascii="Times New Roman" w:hAnsi="Times New Roman" w:cs="Times New Roman"/>
                <w:color w:val="000000" w:themeColor="text1"/>
                <w:szCs w:val="21"/>
              </w:rPr>
            </w:pPr>
            <w:bookmarkStart w:id="190" w:name="OLE_LINK7"/>
            <w:bookmarkStart w:id="191" w:name="OLE_LINK6"/>
            <w:r>
              <w:rPr>
                <w:rFonts w:ascii="Times New Roman" w:hAnsi="Times New Roman" w:cs="Times New Roman"/>
                <w:color w:val="000000" w:themeColor="text1"/>
                <w:szCs w:val="21"/>
              </w:rPr>
              <w:t>外购</w:t>
            </w:r>
            <w:bookmarkEnd w:id="190"/>
            <w:bookmarkEnd w:id="1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100"/>
              <w:spacing w:line="240" w:lineRule="auto"/>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15</w:t>
            </w:r>
          </w:p>
        </w:tc>
        <w:tc>
          <w:tcPr>
            <w:tcW w:w="2126" w:type="dxa"/>
            <w:gridSpan w:val="2"/>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果树苗</w:t>
            </w:r>
          </w:p>
        </w:tc>
        <w:tc>
          <w:tcPr>
            <w:tcW w:w="1843" w:type="dxa"/>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1.8万棵</w:t>
            </w:r>
          </w:p>
        </w:tc>
        <w:tc>
          <w:tcPr>
            <w:tcW w:w="2126" w:type="dxa"/>
            <w:vAlign w:val="center"/>
          </w:tcPr>
          <w:p>
            <w:pPr>
              <w:pStyle w:val="100"/>
              <w:spacing w:line="240" w:lineRule="auto"/>
              <w:rPr>
                <w:rFonts w:ascii="Times New Roman" w:hAnsi="Times New Roman" w:cs="Times New Roman"/>
                <w:color w:val="000000" w:themeColor="text1"/>
                <w:szCs w:val="21"/>
              </w:rPr>
            </w:pPr>
          </w:p>
        </w:tc>
        <w:tc>
          <w:tcPr>
            <w:tcW w:w="155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外购</w:t>
            </w:r>
          </w:p>
        </w:tc>
      </w:tr>
    </w:tbl>
    <w:p>
      <w:pPr>
        <w:adjustRightInd w:val="0"/>
        <w:snapToGrid w:val="0"/>
        <w:rPr>
          <w:b/>
          <w:color w:val="000000" w:themeColor="text1"/>
          <w:sz w:val="24"/>
        </w:rPr>
      </w:pPr>
      <w:bookmarkStart w:id="192" w:name="_Toc504403802"/>
      <w:bookmarkStart w:id="193" w:name="_Toc510547278"/>
    </w:p>
    <w:p>
      <w:pPr>
        <w:adjustRightInd w:val="0"/>
        <w:snapToGrid w:val="0"/>
        <w:outlineLvl w:val="2"/>
        <w:rPr>
          <w:b/>
          <w:color w:val="000000" w:themeColor="text1"/>
          <w:sz w:val="24"/>
        </w:rPr>
      </w:pPr>
      <w:r>
        <w:rPr>
          <w:b/>
          <w:color w:val="000000" w:themeColor="text1"/>
          <w:sz w:val="24"/>
        </w:rPr>
        <w:t>3.1.</w:t>
      </w:r>
      <w:r>
        <w:rPr>
          <w:rFonts w:hint="eastAsia"/>
          <w:b/>
          <w:color w:val="000000" w:themeColor="text1"/>
          <w:sz w:val="24"/>
        </w:rPr>
        <w:t>6</w:t>
      </w:r>
      <w:r>
        <w:rPr>
          <w:b/>
          <w:color w:val="000000" w:themeColor="text1"/>
          <w:sz w:val="24"/>
        </w:rPr>
        <w:t>劳动定员及工作制度</w:t>
      </w:r>
      <w:bookmarkEnd w:id="192"/>
      <w:bookmarkEnd w:id="193"/>
    </w:p>
    <w:p>
      <w:pPr>
        <w:adjustRightInd w:val="0"/>
        <w:snapToGrid w:val="0"/>
        <w:ind w:firstLine="480" w:firstLineChars="200"/>
        <w:jc w:val="left"/>
        <w:rPr>
          <w:color w:val="000000" w:themeColor="text1"/>
          <w:sz w:val="24"/>
        </w:rPr>
      </w:pPr>
      <w:r>
        <w:rPr>
          <w:color w:val="000000" w:themeColor="text1"/>
          <w:sz w:val="24"/>
        </w:rPr>
        <w:t>本项目劳动定员</w:t>
      </w:r>
      <w:r>
        <w:rPr>
          <w:rFonts w:hint="eastAsia"/>
          <w:color w:val="000000" w:themeColor="text1"/>
          <w:sz w:val="24"/>
        </w:rPr>
        <w:t>15</w:t>
      </w:r>
      <w:r>
        <w:rPr>
          <w:color w:val="000000" w:themeColor="text1"/>
          <w:sz w:val="24"/>
        </w:rPr>
        <w:t>人，采用三班制，每班工作8小时。</w:t>
      </w:r>
    </w:p>
    <w:p>
      <w:pPr>
        <w:adjustRightInd w:val="0"/>
        <w:snapToGrid w:val="0"/>
        <w:outlineLvl w:val="2"/>
        <w:rPr>
          <w:b/>
          <w:color w:val="000000" w:themeColor="text1"/>
          <w:sz w:val="24"/>
        </w:rPr>
      </w:pPr>
      <w:bookmarkStart w:id="194" w:name="_Toc504403803"/>
      <w:bookmarkStart w:id="195" w:name="_Toc510547279"/>
      <w:r>
        <w:rPr>
          <w:b/>
          <w:color w:val="000000" w:themeColor="text1"/>
          <w:sz w:val="24"/>
        </w:rPr>
        <w:t>3.1.</w:t>
      </w:r>
      <w:r>
        <w:rPr>
          <w:rFonts w:hint="eastAsia"/>
          <w:b/>
          <w:color w:val="000000" w:themeColor="text1"/>
          <w:sz w:val="24"/>
        </w:rPr>
        <w:t>7</w:t>
      </w:r>
      <w:r>
        <w:rPr>
          <w:b/>
          <w:color w:val="000000" w:themeColor="text1"/>
          <w:sz w:val="24"/>
        </w:rPr>
        <w:t>公用工程</w:t>
      </w:r>
      <w:bookmarkEnd w:id="194"/>
      <w:bookmarkEnd w:id="195"/>
    </w:p>
    <w:p>
      <w:pPr>
        <w:adjustRightInd w:val="0"/>
        <w:snapToGrid w:val="0"/>
        <w:ind w:firstLine="480" w:firstLineChars="200"/>
        <w:jc w:val="left"/>
        <w:rPr>
          <w:color w:val="000000" w:themeColor="text1"/>
          <w:sz w:val="24"/>
        </w:rPr>
      </w:pPr>
      <w:r>
        <w:rPr>
          <w:color w:val="000000" w:themeColor="text1"/>
          <w:sz w:val="24"/>
        </w:rPr>
        <w:t>（1）给排水</w:t>
      </w:r>
    </w:p>
    <w:p>
      <w:pPr>
        <w:adjustRightInd w:val="0"/>
        <w:snapToGrid w:val="0"/>
        <w:ind w:firstLine="480" w:firstLineChars="200"/>
        <w:jc w:val="left"/>
        <w:rPr>
          <w:color w:val="000000" w:themeColor="text1"/>
          <w:sz w:val="24"/>
        </w:rPr>
      </w:pPr>
      <w:r>
        <w:rPr>
          <w:rFonts w:hint="eastAsia"/>
          <w:color w:val="000000" w:themeColor="text1"/>
          <w:sz w:val="24"/>
        </w:rPr>
        <w:t>生产生活用水依托石头村供水管网，自流进入厂区蓄水池。厂区设置1个550m</w:t>
      </w:r>
      <w:r>
        <w:rPr>
          <w:rFonts w:hint="eastAsia"/>
          <w:color w:val="000000" w:themeColor="text1"/>
          <w:sz w:val="24"/>
          <w:vertAlign w:val="superscript"/>
        </w:rPr>
        <w:t>3</w:t>
      </w:r>
      <w:r>
        <w:rPr>
          <w:rFonts w:hint="eastAsia"/>
          <w:color w:val="000000" w:themeColor="text1"/>
          <w:sz w:val="24"/>
        </w:rPr>
        <w:t>的高位蓄水池</w:t>
      </w:r>
      <w:r>
        <w:rPr>
          <w:color w:val="000000" w:themeColor="text1"/>
          <w:sz w:val="24"/>
        </w:rPr>
        <w:t>。</w:t>
      </w:r>
    </w:p>
    <w:p>
      <w:pPr>
        <w:adjustRightInd w:val="0"/>
        <w:snapToGrid w:val="0"/>
        <w:ind w:firstLine="480" w:firstLineChars="200"/>
        <w:jc w:val="left"/>
        <w:rPr>
          <w:color w:val="000000" w:themeColor="text1"/>
          <w:sz w:val="24"/>
        </w:rPr>
      </w:pPr>
      <w:r>
        <w:rPr>
          <w:color w:val="000000" w:themeColor="text1"/>
          <w:sz w:val="24"/>
        </w:rPr>
        <w:t>项目实施雨污分流，雨水经雨水</w:t>
      </w:r>
      <w:r>
        <w:rPr>
          <w:rFonts w:hint="eastAsia"/>
          <w:color w:val="000000" w:themeColor="text1"/>
          <w:sz w:val="24"/>
        </w:rPr>
        <w:t>明</w:t>
      </w:r>
      <w:r>
        <w:rPr>
          <w:color w:val="000000" w:themeColor="text1"/>
          <w:sz w:val="24"/>
        </w:rPr>
        <w:t>沟收集后排入初期雨水收集池，用于项目区绿化用水。项目猪舍产生的废水</w:t>
      </w:r>
      <w:r>
        <w:rPr>
          <w:rFonts w:hint="eastAsia"/>
          <w:color w:val="000000" w:themeColor="text1"/>
          <w:sz w:val="24"/>
        </w:rPr>
        <w:t>、生活污水</w:t>
      </w:r>
      <w:r>
        <w:rPr>
          <w:color w:val="000000" w:themeColor="text1"/>
          <w:sz w:val="24"/>
        </w:rPr>
        <w:t>经污水管道排至</w:t>
      </w:r>
      <w:r>
        <w:rPr>
          <w:rFonts w:hint="eastAsia"/>
          <w:color w:val="000000" w:themeColor="text1"/>
          <w:sz w:val="24"/>
        </w:rPr>
        <w:t>沼气</w:t>
      </w:r>
      <w:r>
        <w:rPr>
          <w:color w:val="000000" w:themeColor="text1"/>
          <w:sz w:val="24"/>
        </w:rPr>
        <w:t>系统处理</w:t>
      </w:r>
      <w:r>
        <w:rPr>
          <w:rFonts w:hint="eastAsia"/>
          <w:color w:val="000000" w:themeColor="text1"/>
          <w:sz w:val="24"/>
        </w:rPr>
        <w:t>，沼液一部分用于异位发酵，一部分用于种植区施肥</w:t>
      </w:r>
      <w:r>
        <w:rPr>
          <w:color w:val="000000" w:themeColor="text1"/>
          <w:sz w:val="24"/>
        </w:rPr>
        <w:t>。</w:t>
      </w:r>
      <w:r>
        <w:rPr>
          <w:rFonts w:hint="eastAsia"/>
          <w:color w:val="000000" w:themeColor="text1"/>
          <w:sz w:val="24"/>
        </w:rPr>
        <w:t>沼液采用管道重力流输送至种植区沼液贮存池。</w:t>
      </w:r>
    </w:p>
    <w:p>
      <w:pPr>
        <w:adjustRightInd w:val="0"/>
        <w:snapToGrid w:val="0"/>
        <w:ind w:firstLine="480" w:firstLineChars="200"/>
        <w:jc w:val="left"/>
        <w:rPr>
          <w:color w:val="000000" w:themeColor="text1"/>
          <w:sz w:val="24"/>
        </w:rPr>
      </w:pPr>
      <w:r>
        <w:rPr>
          <w:color w:val="000000" w:themeColor="text1"/>
          <w:sz w:val="24"/>
        </w:rPr>
        <w:t>（2）供电</w:t>
      </w:r>
    </w:p>
    <w:p>
      <w:pPr>
        <w:adjustRightInd w:val="0"/>
        <w:snapToGrid w:val="0"/>
        <w:ind w:firstLine="480" w:firstLineChars="200"/>
        <w:jc w:val="left"/>
        <w:rPr>
          <w:color w:val="000000" w:themeColor="text1"/>
          <w:sz w:val="24"/>
        </w:rPr>
      </w:pPr>
      <w:r>
        <w:rPr>
          <w:rFonts w:hint="eastAsia"/>
          <w:color w:val="000000" w:themeColor="text1"/>
          <w:sz w:val="24"/>
        </w:rPr>
        <w:t>本项目养殖场区配套建设一套100kW发电机，利用沼气发电；项目用电为沼气发电及市政电网供电轮换使用。</w:t>
      </w:r>
    </w:p>
    <w:p>
      <w:pPr>
        <w:adjustRightInd w:val="0"/>
        <w:snapToGrid w:val="0"/>
        <w:ind w:firstLine="480" w:firstLineChars="200"/>
        <w:jc w:val="left"/>
        <w:rPr>
          <w:color w:val="000000" w:themeColor="text1"/>
          <w:sz w:val="24"/>
        </w:rPr>
      </w:pPr>
      <w:r>
        <w:rPr>
          <w:color w:val="000000" w:themeColor="text1"/>
          <w:sz w:val="24"/>
        </w:rPr>
        <w:t>（3）</w:t>
      </w:r>
      <w:r>
        <w:rPr>
          <w:rFonts w:hint="eastAsia"/>
          <w:color w:val="000000" w:themeColor="text1"/>
          <w:sz w:val="24"/>
        </w:rPr>
        <w:t>通风</w:t>
      </w:r>
    </w:p>
    <w:p>
      <w:pPr>
        <w:adjustRightInd w:val="0"/>
        <w:snapToGrid w:val="0"/>
        <w:ind w:firstLine="480" w:firstLineChars="200"/>
        <w:jc w:val="left"/>
        <w:rPr>
          <w:color w:val="000000" w:themeColor="text1"/>
          <w:sz w:val="24"/>
        </w:rPr>
      </w:pPr>
      <w:r>
        <w:rPr>
          <w:rFonts w:hint="eastAsia"/>
          <w:color w:val="000000" w:themeColor="text1"/>
          <w:sz w:val="24"/>
        </w:rPr>
        <w:t>办公用房、员工生活区采用自然通风，猪舍夏季采用风机强制通风。</w:t>
      </w:r>
    </w:p>
    <w:p>
      <w:pPr>
        <w:adjustRightInd w:val="0"/>
        <w:snapToGrid w:val="0"/>
        <w:ind w:firstLine="480" w:firstLineChars="200"/>
        <w:jc w:val="left"/>
        <w:rPr>
          <w:color w:val="000000" w:themeColor="text1"/>
          <w:sz w:val="24"/>
        </w:rPr>
      </w:pPr>
      <w:r>
        <w:rPr>
          <w:rFonts w:hint="eastAsia"/>
          <w:color w:val="000000" w:themeColor="text1"/>
          <w:sz w:val="24"/>
        </w:rPr>
        <w:t>（4）</w:t>
      </w:r>
      <w:r>
        <w:rPr>
          <w:color w:val="000000" w:themeColor="text1"/>
          <w:sz w:val="24"/>
        </w:rPr>
        <w:t>供暖</w:t>
      </w:r>
    </w:p>
    <w:p>
      <w:pPr>
        <w:adjustRightInd w:val="0"/>
        <w:snapToGrid w:val="0"/>
        <w:ind w:firstLine="480" w:firstLineChars="200"/>
        <w:jc w:val="left"/>
        <w:rPr>
          <w:color w:val="000000" w:themeColor="text1"/>
          <w:sz w:val="24"/>
        </w:rPr>
      </w:pPr>
      <w:r>
        <w:rPr>
          <w:rFonts w:hint="eastAsia"/>
          <w:color w:val="000000" w:themeColor="text1"/>
          <w:sz w:val="24"/>
        </w:rPr>
        <w:t>本项目猪舍冬季供暖采用电供暖。猪舍夏季采用风机湿帘降温设备，配备风机湿帘设备。</w:t>
      </w:r>
    </w:p>
    <w:p>
      <w:pPr>
        <w:adjustRightInd w:val="0"/>
        <w:snapToGrid w:val="0"/>
        <w:ind w:firstLine="480" w:firstLineChars="200"/>
        <w:jc w:val="left"/>
        <w:rPr>
          <w:color w:val="000000" w:themeColor="text1"/>
          <w:sz w:val="24"/>
        </w:rPr>
      </w:pPr>
      <w:r>
        <w:rPr>
          <w:rFonts w:hint="eastAsia"/>
          <w:color w:val="000000" w:themeColor="text1"/>
          <w:sz w:val="24"/>
        </w:rPr>
        <w:t>（5）消毒</w:t>
      </w:r>
    </w:p>
    <w:p>
      <w:pPr>
        <w:adjustRightInd w:val="0"/>
        <w:snapToGrid w:val="0"/>
        <w:ind w:firstLine="480" w:firstLineChars="200"/>
        <w:jc w:val="left"/>
        <w:rPr>
          <w:color w:val="000000" w:themeColor="text1"/>
          <w:sz w:val="24"/>
        </w:rPr>
      </w:pPr>
      <w:r>
        <w:rPr>
          <w:rFonts w:hint="eastAsia"/>
          <w:color w:val="000000" w:themeColor="text1"/>
          <w:sz w:val="24"/>
        </w:rPr>
        <w:t>消毒采取喷洒模式，消毒剂主要为火碱、过氧乙酸，消毒水在猪舍内挥发殆尽，消毒分为猪消毒和猪舍消毒，消毒频率为一周2次，全年消毒约104次。火碱用于入口车辆消毒池，过氧乙酸用于猪舍消毒。</w:t>
      </w:r>
    </w:p>
    <w:p>
      <w:pPr>
        <w:adjustRightInd w:val="0"/>
        <w:snapToGrid w:val="0"/>
        <w:ind w:firstLine="480" w:firstLineChars="200"/>
        <w:jc w:val="left"/>
        <w:rPr>
          <w:color w:val="000000" w:themeColor="text1"/>
          <w:sz w:val="24"/>
        </w:rPr>
      </w:pPr>
      <w:r>
        <w:rPr>
          <w:rFonts w:hint="eastAsia"/>
          <w:color w:val="000000" w:themeColor="text1"/>
          <w:sz w:val="24"/>
        </w:rPr>
        <w:t>（6）防疫</w:t>
      </w:r>
    </w:p>
    <w:p>
      <w:pPr>
        <w:adjustRightInd w:val="0"/>
        <w:snapToGrid w:val="0"/>
        <w:ind w:firstLine="480" w:firstLineChars="200"/>
        <w:jc w:val="left"/>
        <w:rPr>
          <w:color w:val="000000" w:themeColor="text1"/>
          <w:sz w:val="24"/>
        </w:rPr>
      </w:pPr>
      <w:r>
        <w:rPr>
          <w:rFonts w:hint="eastAsia"/>
          <w:color w:val="000000" w:themeColor="text1"/>
          <w:sz w:val="24"/>
        </w:rPr>
        <w:t>本项目养殖场内防疫工作主要委托正大集团全权负责，包含预防疫情、生病猪的治疗等工作。养殖场自行进行防疫产生的医疗废物暂存于医疗废物暂存间，定期委托有资质的单位处置。</w:t>
      </w:r>
    </w:p>
    <w:p>
      <w:pPr>
        <w:adjustRightInd w:val="0"/>
        <w:snapToGrid w:val="0"/>
        <w:outlineLvl w:val="2"/>
        <w:rPr>
          <w:b/>
          <w:color w:val="000000" w:themeColor="text1"/>
          <w:sz w:val="24"/>
        </w:rPr>
      </w:pPr>
      <w:bookmarkStart w:id="196" w:name="_Toc504403804"/>
      <w:bookmarkStart w:id="197" w:name="_Toc510547280"/>
      <w:r>
        <w:rPr>
          <w:b/>
          <w:color w:val="000000" w:themeColor="text1"/>
          <w:sz w:val="24"/>
        </w:rPr>
        <w:t>3.1.</w:t>
      </w:r>
      <w:r>
        <w:rPr>
          <w:rFonts w:hint="eastAsia"/>
          <w:b/>
          <w:color w:val="000000" w:themeColor="text1"/>
          <w:sz w:val="24"/>
        </w:rPr>
        <w:t>8</w:t>
      </w:r>
      <w:r>
        <w:rPr>
          <w:b/>
          <w:color w:val="000000" w:themeColor="text1"/>
          <w:sz w:val="24"/>
        </w:rPr>
        <w:t>项目总平面布置</w:t>
      </w:r>
      <w:bookmarkEnd w:id="196"/>
      <w:bookmarkEnd w:id="197"/>
    </w:p>
    <w:bookmarkEnd w:id="169"/>
    <w:bookmarkEnd w:id="170"/>
    <w:bookmarkEnd w:id="171"/>
    <w:bookmarkEnd w:id="172"/>
    <w:bookmarkEnd w:id="173"/>
    <w:bookmarkEnd w:id="174"/>
    <w:p>
      <w:pPr>
        <w:adjustRightInd w:val="0"/>
        <w:snapToGrid w:val="0"/>
        <w:ind w:firstLine="480" w:firstLineChars="200"/>
        <w:rPr>
          <w:color w:val="000000" w:themeColor="text1"/>
          <w:sz w:val="24"/>
        </w:rPr>
      </w:pPr>
      <w:bookmarkStart w:id="198" w:name="_Toc303261005"/>
      <w:bookmarkStart w:id="199" w:name="_Toc291776002"/>
      <w:bookmarkStart w:id="200" w:name="_Toc28795"/>
      <w:bookmarkStart w:id="201" w:name="_Toc24733"/>
      <w:bookmarkStart w:id="202" w:name="_Toc23678"/>
      <w:bookmarkStart w:id="203" w:name="_Toc402186364"/>
      <w:r>
        <w:rPr>
          <w:rFonts w:hint="eastAsia"/>
          <w:color w:val="000000" w:themeColor="text1"/>
          <w:sz w:val="24"/>
        </w:rPr>
        <w:t>项目用地面积36524</w:t>
      </w:r>
      <w:r>
        <w:rPr>
          <w:color w:val="000000" w:themeColor="text1"/>
          <w:sz w:val="24"/>
        </w:rPr>
        <w:t>m</w:t>
      </w:r>
      <w:r>
        <w:rPr>
          <w:color w:val="000000" w:themeColor="text1"/>
          <w:sz w:val="24"/>
          <w:vertAlign w:val="superscript"/>
        </w:rPr>
        <w:t>2</w:t>
      </w:r>
      <w:r>
        <w:rPr>
          <w:color w:val="000000" w:themeColor="text1"/>
          <w:sz w:val="24"/>
        </w:rPr>
        <w:t>（</w:t>
      </w:r>
      <w:r>
        <w:rPr>
          <w:rFonts w:hint="eastAsia"/>
          <w:color w:val="000000" w:themeColor="text1"/>
          <w:sz w:val="24"/>
        </w:rPr>
        <w:t>54.78</w:t>
      </w:r>
      <w:r>
        <w:rPr>
          <w:color w:val="000000" w:themeColor="text1"/>
          <w:sz w:val="24"/>
        </w:rPr>
        <w:t>亩</w:t>
      </w:r>
      <w:r>
        <w:rPr>
          <w:rFonts w:hint="eastAsia"/>
          <w:color w:val="000000" w:themeColor="text1"/>
          <w:sz w:val="24"/>
        </w:rPr>
        <w:t>，不含种植区</w:t>
      </w:r>
      <w:r>
        <w:rPr>
          <w:color w:val="000000" w:themeColor="text1"/>
          <w:sz w:val="24"/>
        </w:rPr>
        <w:t>）</w:t>
      </w:r>
      <w:r>
        <w:rPr>
          <w:rFonts w:hint="eastAsia"/>
          <w:color w:val="000000" w:themeColor="text1"/>
          <w:sz w:val="24"/>
        </w:rPr>
        <w:t>，场地东西长（416m）、南北短（118m）</w:t>
      </w:r>
      <w:r>
        <w:rPr>
          <w:color w:val="000000" w:themeColor="text1"/>
          <w:sz w:val="24"/>
        </w:rPr>
        <w:t>。</w:t>
      </w:r>
    </w:p>
    <w:p>
      <w:pPr>
        <w:adjustRightInd w:val="0"/>
        <w:snapToGrid w:val="0"/>
        <w:ind w:firstLine="480" w:firstLineChars="200"/>
        <w:rPr>
          <w:color w:val="000000" w:themeColor="text1"/>
          <w:sz w:val="24"/>
        </w:rPr>
      </w:pPr>
      <w:r>
        <w:rPr>
          <w:color w:val="000000" w:themeColor="text1"/>
          <w:sz w:val="24"/>
        </w:rPr>
        <w:t>厂区按照功能分为养殖区、</w:t>
      </w:r>
      <w:r>
        <w:rPr>
          <w:rFonts w:hint="eastAsia"/>
          <w:color w:val="000000" w:themeColor="text1"/>
          <w:sz w:val="24"/>
        </w:rPr>
        <w:t>生活</w:t>
      </w:r>
      <w:r>
        <w:rPr>
          <w:color w:val="000000" w:themeColor="text1"/>
          <w:sz w:val="24"/>
        </w:rPr>
        <w:t>区、粪污处置区。</w:t>
      </w:r>
    </w:p>
    <w:p>
      <w:pPr>
        <w:adjustRightInd w:val="0"/>
        <w:snapToGrid w:val="0"/>
        <w:ind w:firstLine="480" w:firstLineChars="200"/>
        <w:rPr>
          <w:color w:val="000000" w:themeColor="text1"/>
          <w:sz w:val="24"/>
        </w:rPr>
      </w:pPr>
      <w:r>
        <w:rPr>
          <w:color w:val="000000" w:themeColor="text1"/>
          <w:sz w:val="24"/>
        </w:rPr>
        <w:t>养殖区</w:t>
      </w:r>
      <w:r>
        <w:rPr>
          <w:rFonts w:hint="eastAsia"/>
          <w:color w:val="000000" w:themeColor="text1"/>
          <w:sz w:val="24"/>
        </w:rPr>
        <w:t>分布在厂区西侧、东侧</w:t>
      </w:r>
      <w:r>
        <w:rPr>
          <w:color w:val="000000" w:themeColor="text1"/>
          <w:sz w:val="24"/>
        </w:rPr>
        <w:t>。生活区位于厂区中部。</w:t>
      </w:r>
    </w:p>
    <w:p>
      <w:pPr>
        <w:adjustRightInd w:val="0"/>
        <w:snapToGrid w:val="0"/>
        <w:ind w:firstLine="480" w:firstLineChars="200"/>
        <w:rPr>
          <w:color w:val="000000" w:themeColor="text1"/>
          <w:sz w:val="24"/>
        </w:rPr>
      </w:pPr>
      <w:r>
        <w:rPr>
          <w:color w:val="000000" w:themeColor="text1"/>
          <w:sz w:val="24"/>
        </w:rPr>
        <w:t>粪污处置区位于厂区</w:t>
      </w:r>
      <w:r>
        <w:rPr>
          <w:rFonts w:hint="eastAsia"/>
          <w:color w:val="000000" w:themeColor="text1"/>
          <w:sz w:val="24"/>
        </w:rPr>
        <w:t>东</w:t>
      </w:r>
      <w:r>
        <w:rPr>
          <w:color w:val="000000" w:themeColor="text1"/>
          <w:sz w:val="24"/>
        </w:rPr>
        <w:t>侧，包括</w:t>
      </w:r>
      <w:r>
        <w:rPr>
          <w:rFonts w:hint="eastAsia"/>
          <w:color w:val="000000" w:themeColor="text1"/>
          <w:sz w:val="24"/>
        </w:rPr>
        <w:t>沼气系统</w:t>
      </w:r>
      <w:r>
        <w:rPr>
          <w:color w:val="000000" w:themeColor="text1"/>
          <w:sz w:val="24"/>
        </w:rPr>
        <w:t>、</w:t>
      </w:r>
      <w:r>
        <w:rPr>
          <w:rFonts w:hint="eastAsia"/>
          <w:color w:val="000000" w:themeColor="text1"/>
          <w:sz w:val="24"/>
        </w:rPr>
        <w:t>有机肥发酵车间</w:t>
      </w:r>
      <w:r>
        <w:rPr>
          <w:color w:val="000000" w:themeColor="text1"/>
          <w:sz w:val="24"/>
        </w:rPr>
        <w:t>。</w:t>
      </w:r>
    </w:p>
    <w:p>
      <w:pPr>
        <w:adjustRightInd w:val="0"/>
        <w:snapToGrid w:val="0"/>
        <w:ind w:firstLine="480" w:firstLineChars="200"/>
        <w:rPr>
          <w:color w:val="000000" w:themeColor="text1"/>
          <w:sz w:val="24"/>
        </w:rPr>
      </w:pPr>
      <w:r>
        <w:rPr>
          <w:rFonts w:hint="eastAsia"/>
          <w:color w:val="000000" w:themeColor="text1"/>
          <w:sz w:val="24"/>
        </w:rPr>
        <w:t>种植区位于紧邻养殖场南侧，用地面积154000</w:t>
      </w:r>
      <w:r>
        <w:rPr>
          <w:color w:val="000000" w:themeColor="text1"/>
          <w:sz w:val="24"/>
        </w:rPr>
        <w:t>m</w:t>
      </w:r>
      <w:r>
        <w:rPr>
          <w:color w:val="000000" w:themeColor="text1"/>
          <w:sz w:val="24"/>
          <w:vertAlign w:val="superscript"/>
        </w:rPr>
        <w:t>2</w:t>
      </w:r>
      <w:r>
        <w:rPr>
          <w:color w:val="000000" w:themeColor="text1"/>
          <w:sz w:val="24"/>
        </w:rPr>
        <w:t>（</w:t>
      </w:r>
      <w:r>
        <w:rPr>
          <w:rFonts w:hint="eastAsia"/>
          <w:color w:val="000000" w:themeColor="text1"/>
          <w:sz w:val="24"/>
        </w:rPr>
        <w:t>231</w:t>
      </w:r>
      <w:r>
        <w:rPr>
          <w:color w:val="000000" w:themeColor="text1"/>
          <w:sz w:val="24"/>
        </w:rPr>
        <w:t>亩）</w:t>
      </w:r>
      <w:r>
        <w:rPr>
          <w:rFonts w:hint="eastAsia"/>
          <w:color w:val="000000" w:themeColor="text1"/>
          <w:sz w:val="24"/>
        </w:rPr>
        <w:t>。</w:t>
      </w:r>
    </w:p>
    <w:p>
      <w:pPr>
        <w:adjustRightInd w:val="0"/>
        <w:snapToGrid w:val="0"/>
        <w:ind w:firstLine="480" w:firstLineChars="200"/>
        <w:rPr>
          <w:color w:val="000000" w:themeColor="text1"/>
          <w:sz w:val="24"/>
        </w:rPr>
      </w:pPr>
      <w:r>
        <w:rPr>
          <w:color w:val="000000" w:themeColor="text1"/>
          <w:sz w:val="24"/>
        </w:rPr>
        <w:t>项目总平面布置图详见附图3。</w:t>
      </w:r>
    </w:p>
    <w:p>
      <w:pPr>
        <w:adjustRightInd w:val="0"/>
        <w:snapToGrid w:val="0"/>
        <w:outlineLvl w:val="2"/>
        <w:rPr>
          <w:b/>
          <w:color w:val="000000" w:themeColor="text1"/>
          <w:sz w:val="24"/>
        </w:rPr>
      </w:pPr>
      <w:bookmarkStart w:id="204" w:name="_Toc510547281"/>
      <w:r>
        <w:rPr>
          <w:b/>
          <w:color w:val="000000" w:themeColor="text1"/>
          <w:sz w:val="24"/>
        </w:rPr>
        <w:t>3.1.</w:t>
      </w:r>
      <w:r>
        <w:rPr>
          <w:rFonts w:hint="eastAsia"/>
          <w:b/>
          <w:color w:val="000000" w:themeColor="text1"/>
          <w:sz w:val="24"/>
        </w:rPr>
        <w:t>9</w:t>
      </w:r>
      <w:r>
        <w:rPr>
          <w:b/>
          <w:color w:val="000000" w:themeColor="text1"/>
          <w:sz w:val="24"/>
        </w:rPr>
        <w:t>主要经济技术指标</w:t>
      </w:r>
      <w:bookmarkEnd w:id="204"/>
    </w:p>
    <w:p>
      <w:pPr>
        <w:adjustRightInd w:val="0"/>
        <w:snapToGrid w:val="0"/>
        <w:ind w:firstLine="480" w:firstLineChars="200"/>
        <w:rPr>
          <w:color w:val="000000" w:themeColor="text1"/>
          <w:sz w:val="24"/>
        </w:rPr>
      </w:pPr>
      <w:r>
        <w:rPr>
          <w:color w:val="000000" w:themeColor="text1"/>
          <w:sz w:val="24"/>
        </w:rPr>
        <w:t>项目主要经济技术指标见表3.1-5。</w:t>
      </w:r>
    </w:p>
    <w:p>
      <w:pPr>
        <w:autoSpaceDE w:val="0"/>
        <w:autoSpaceDN w:val="0"/>
        <w:adjustRightInd w:val="0"/>
        <w:spacing w:line="240" w:lineRule="auto"/>
        <w:jc w:val="center"/>
        <w:textAlignment w:val="baseline"/>
        <w:rPr>
          <w:b/>
          <w:color w:val="000000" w:themeColor="text1"/>
          <w:kern w:val="0"/>
          <w:szCs w:val="21"/>
        </w:rPr>
      </w:pPr>
      <w:r>
        <w:rPr>
          <w:b/>
          <w:color w:val="000000" w:themeColor="text1"/>
          <w:kern w:val="0"/>
          <w:szCs w:val="21"/>
        </w:rPr>
        <w:t>表3.1-5  项目主要技术、经济指标</w:t>
      </w:r>
    </w:p>
    <w:tbl>
      <w:tblPr>
        <w:tblStyle w:val="42"/>
        <w:tblW w:w="852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8"/>
        <w:gridCol w:w="2656"/>
        <w:gridCol w:w="1277"/>
        <w:gridCol w:w="1387"/>
        <w:gridCol w:w="235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58" w:type="dxa"/>
            <w:vAlign w:val="center"/>
          </w:tcPr>
          <w:p>
            <w:pPr>
              <w:autoSpaceDE w:val="0"/>
              <w:autoSpaceDN w:val="0"/>
              <w:adjustRightInd w:val="0"/>
              <w:snapToGrid w:val="0"/>
              <w:spacing w:line="240" w:lineRule="auto"/>
              <w:jc w:val="center"/>
              <w:textAlignment w:val="baseline"/>
              <w:rPr>
                <w:b/>
                <w:bCs/>
                <w:color w:val="000000" w:themeColor="text1"/>
                <w:kern w:val="0"/>
                <w:szCs w:val="21"/>
              </w:rPr>
            </w:pPr>
            <w:r>
              <w:rPr>
                <w:b/>
                <w:bCs/>
                <w:color w:val="000000" w:themeColor="text1"/>
                <w:kern w:val="0"/>
                <w:szCs w:val="21"/>
              </w:rPr>
              <w:t>序号</w:t>
            </w:r>
          </w:p>
        </w:tc>
        <w:tc>
          <w:tcPr>
            <w:tcW w:w="2656" w:type="dxa"/>
            <w:vAlign w:val="center"/>
          </w:tcPr>
          <w:p>
            <w:pPr>
              <w:autoSpaceDE w:val="0"/>
              <w:autoSpaceDN w:val="0"/>
              <w:adjustRightInd w:val="0"/>
              <w:snapToGrid w:val="0"/>
              <w:spacing w:line="240" w:lineRule="auto"/>
              <w:jc w:val="center"/>
              <w:textAlignment w:val="baseline"/>
              <w:rPr>
                <w:b/>
                <w:bCs/>
                <w:color w:val="000000" w:themeColor="text1"/>
                <w:kern w:val="0"/>
                <w:szCs w:val="21"/>
              </w:rPr>
            </w:pPr>
            <w:r>
              <w:rPr>
                <w:b/>
                <w:bCs/>
                <w:color w:val="000000" w:themeColor="text1"/>
                <w:kern w:val="0"/>
                <w:szCs w:val="21"/>
              </w:rPr>
              <w:t>内容</w:t>
            </w:r>
          </w:p>
        </w:tc>
        <w:tc>
          <w:tcPr>
            <w:tcW w:w="1277" w:type="dxa"/>
            <w:vAlign w:val="center"/>
          </w:tcPr>
          <w:p>
            <w:pPr>
              <w:autoSpaceDE w:val="0"/>
              <w:autoSpaceDN w:val="0"/>
              <w:adjustRightInd w:val="0"/>
              <w:snapToGrid w:val="0"/>
              <w:spacing w:line="240" w:lineRule="auto"/>
              <w:jc w:val="center"/>
              <w:textAlignment w:val="baseline"/>
              <w:rPr>
                <w:b/>
                <w:bCs/>
                <w:color w:val="000000" w:themeColor="text1"/>
                <w:kern w:val="0"/>
                <w:szCs w:val="21"/>
              </w:rPr>
            </w:pPr>
            <w:r>
              <w:rPr>
                <w:b/>
                <w:bCs/>
                <w:color w:val="000000" w:themeColor="text1"/>
                <w:kern w:val="0"/>
                <w:szCs w:val="21"/>
              </w:rPr>
              <w:t>单位</w:t>
            </w:r>
          </w:p>
        </w:tc>
        <w:tc>
          <w:tcPr>
            <w:tcW w:w="1387" w:type="dxa"/>
            <w:vAlign w:val="center"/>
          </w:tcPr>
          <w:p>
            <w:pPr>
              <w:autoSpaceDE w:val="0"/>
              <w:autoSpaceDN w:val="0"/>
              <w:adjustRightInd w:val="0"/>
              <w:snapToGrid w:val="0"/>
              <w:spacing w:line="240" w:lineRule="auto"/>
              <w:jc w:val="center"/>
              <w:textAlignment w:val="baseline"/>
              <w:rPr>
                <w:b/>
                <w:bCs/>
                <w:color w:val="000000" w:themeColor="text1"/>
                <w:kern w:val="0"/>
                <w:szCs w:val="21"/>
              </w:rPr>
            </w:pPr>
            <w:r>
              <w:rPr>
                <w:b/>
                <w:bCs/>
                <w:color w:val="000000" w:themeColor="text1"/>
                <w:kern w:val="0"/>
                <w:szCs w:val="21"/>
              </w:rPr>
              <w:t>指标</w:t>
            </w:r>
          </w:p>
        </w:tc>
        <w:tc>
          <w:tcPr>
            <w:tcW w:w="2350" w:type="dxa"/>
            <w:vAlign w:val="center"/>
          </w:tcPr>
          <w:p>
            <w:pPr>
              <w:autoSpaceDE w:val="0"/>
              <w:autoSpaceDN w:val="0"/>
              <w:adjustRightInd w:val="0"/>
              <w:snapToGrid w:val="0"/>
              <w:spacing w:line="240" w:lineRule="auto"/>
              <w:jc w:val="center"/>
              <w:textAlignment w:val="baseline"/>
              <w:rPr>
                <w:b/>
                <w:bCs/>
                <w:color w:val="000000" w:themeColor="text1"/>
                <w:kern w:val="0"/>
                <w:szCs w:val="21"/>
              </w:rPr>
            </w:pPr>
            <w:r>
              <w:rPr>
                <w:b/>
                <w:bCs/>
                <w:color w:val="000000" w:themeColor="text1"/>
                <w:kern w:val="0"/>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1</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年饲养量</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1.1</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存栏</w:t>
            </w:r>
            <w:r>
              <w:rPr>
                <w:rFonts w:hint="eastAsia"/>
                <w:color w:val="000000" w:themeColor="text1"/>
                <w:kern w:val="0"/>
                <w:szCs w:val="21"/>
              </w:rPr>
              <w:t>生猪</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头</w:t>
            </w: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100</w:t>
            </w:r>
            <w:r>
              <w:rPr>
                <w:color w:val="000000" w:themeColor="text1"/>
                <w:kern w:val="0"/>
                <w:szCs w:val="21"/>
              </w:rPr>
              <w:t>00</w:t>
            </w: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1.2</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出栏生猪</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头</w:t>
            </w: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250</w:t>
            </w:r>
            <w:r>
              <w:rPr>
                <w:color w:val="000000" w:themeColor="text1"/>
                <w:kern w:val="0"/>
                <w:szCs w:val="21"/>
              </w:rPr>
              <w:t>00</w:t>
            </w: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2</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项目用地</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36524</w:t>
            </w: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54.78</w:t>
            </w:r>
            <w:r>
              <w:rPr>
                <w:color w:val="000000" w:themeColor="text1"/>
                <w:kern w:val="0"/>
                <w:szCs w:val="21"/>
              </w:rPr>
              <w:t>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3</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种植区</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154000</w:t>
            </w: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231</w:t>
            </w:r>
            <w:r>
              <w:rPr>
                <w:color w:val="000000" w:themeColor="text1"/>
                <w:kern w:val="0"/>
                <w:szCs w:val="21"/>
              </w:rPr>
              <w:t>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4</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道路及硬化区</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1846</w:t>
            </w: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5</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绿地</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8600</w:t>
            </w: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绿化率</w:t>
            </w:r>
            <w:r>
              <w:rPr>
                <w:rFonts w:hint="eastAsia"/>
                <w:color w:val="000000" w:themeColor="text1"/>
                <w:kern w:val="0"/>
                <w:szCs w:val="21"/>
              </w:rPr>
              <w:t>23.5%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6</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建筑面积</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20000</w:t>
            </w: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全部为地上建筑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7</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项目总投资</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万元</w:t>
            </w: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5000</w:t>
            </w: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58"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rFonts w:hint="eastAsia"/>
                <w:color w:val="000000" w:themeColor="text1"/>
                <w:kern w:val="0"/>
                <w:szCs w:val="21"/>
              </w:rPr>
              <w:t>8</w:t>
            </w:r>
          </w:p>
        </w:tc>
        <w:tc>
          <w:tcPr>
            <w:tcW w:w="2656"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建设工期</w:t>
            </w:r>
          </w:p>
        </w:tc>
        <w:tc>
          <w:tcPr>
            <w:tcW w:w="127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年</w:t>
            </w:r>
          </w:p>
        </w:tc>
        <w:tc>
          <w:tcPr>
            <w:tcW w:w="1387"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1</w:t>
            </w:r>
          </w:p>
        </w:tc>
        <w:tc>
          <w:tcPr>
            <w:tcW w:w="2350" w:type="dxa"/>
            <w:vAlign w:val="center"/>
          </w:tcPr>
          <w:p>
            <w:pPr>
              <w:autoSpaceDE w:val="0"/>
              <w:autoSpaceDN w:val="0"/>
              <w:adjustRightInd w:val="0"/>
              <w:snapToGrid w:val="0"/>
              <w:spacing w:line="240" w:lineRule="auto"/>
              <w:jc w:val="center"/>
              <w:textAlignment w:val="baseline"/>
              <w:rPr>
                <w:color w:val="000000" w:themeColor="text1"/>
                <w:kern w:val="0"/>
                <w:szCs w:val="21"/>
              </w:rPr>
            </w:pPr>
            <w:r>
              <w:rPr>
                <w:color w:val="000000" w:themeColor="text1"/>
                <w:kern w:val="0"/>
                <w:szCs w:val="21"/>
              </w:rPr>
              <w:t>201</w:t>
            </w:r>
            <w:r>
              <w:rPr>
                <w:rFonts w:hint="eastAsia"/>
                <w:color w:val="000000" w:themeColor="text1"/>
                <w:kern w:val="0"/>
                <w:szCs w:val="21"/>
              </w:rPr>
              <w:t>9</w:t>
            </w:r>
            <w:r>
              <w:rPr>
                <w:color w:val="000000" w:themeColor="text1"/>
                <w:kern w:val="0"/>
                <w:szCs w:val="21"/>
              </w:rPr>
              <w:t>年</w:t>
            </w:r>
            <w:r>
              <w:rPr>
                <w:rFonts w:hint="eastAsia"/>
                <w:color w:val="000000" w:themeColor="text1"/>
                <w:kern w:val="0"/>
                <w:szCs w:val="21"/>
              </w:rPr>
              <w:t>5</w:t>
            </w:r>
            <w:r>
              <w:rPr>
                <w:color w:val="000000" w:themeColor="text1"/>
                <w:kern w:val="0"/>
                <w:szCs w:val="21"/>
              </w:rPr>
              <w:t>月~20</w:t>
            </w:r>
            <w:r>
              <w:rPr>
                <w:rFonts w:hint="eastAsia"/>
                <w:color w:val="000000" w:themeColor="text1"/>
                <w:kern w:val="0"/>
                <w:szCs w:val="21"/>
              </w:rPr>
              <w:t>20</w:t>
            </w:r>
            <w:r>
              <w:rPr>
                <w:color w:val="000000" w:themeColor="text1"/>
                <w:kern w:val="0"/>
                <w:szCs w:val="21"/>
              </w:rPr>
              <w:t>年</w:t>
            </w:r>
            <w:r>
              <w:rPr>
                <w:rFonts w:hint="eastAsia"/>
                <w:color w:val="000000" w:themeColor="text1"/>
                <w:kern w:val="0"/>
                <w:szCs w:val="21"/>
              </w:rPr>
              <w:t>4</w:t>
            </w:r>
            <w:r>
              <w:rPr>
                <w:color w:val="000000" w:themeColor="text1"/>
                <w:kern w:val="0"/>
                <w:szCs w:val="21"/>
              </w:rPr>
              <w:t>月</w:t>
            </w:r>
          </w:p>
        </w:tc>
      </w:tr>
    </w:tbl>
    <w:p>
      <w:pPr>
        <w:adjustRightInd w:val="0"/>
        <w:snapToGrid w:val="0"/>
        <w:outlineLvl w:val="2"/>
        <w:rPr>
          <w:b/>
          <w:color w:val="000000" w:themeColor="text1"/>
          <w:sz w:val="24"/>
        </w:rPr>
      </w:pPr>
      <w:bookmarkStart w:id="205" w:name="_Toc510547282"/>
      <w:r>
        <w:rPr>
          <w:b/>
          <w:color w:val="000000" w:themeColor="text1"/>
          <w:sz w:val="24"/>
        </w:rPr>
        <w:t>3.1.</w:t>
      </w:r>
      <w:r>
        <w:rPr>
          <w:rFonts w:hint="eastAsia"/>
          <w:b/>
          <w:color w:val="000000" w:themeColor="text1"/>
          <w:sz w:val="24"/>
        </w:rPr>
        <w:t>10</w:t>
      </w:r>
      <w:r>
        <w:rPr>
          <w:b/>
          <w:color w:val="000000" w:themeColor="text1"/>
          <w:sz w:val="24"/>
        </w:rPr>
        <w:t>工程占地</w:t>
      </w:r>
      <w:bookmarkEnd w:id="205"/>
    </w:p>
    <w:p>
      <w:pPr>
        <w:adjustRightInd w:val="0"/>
        <w:snapToGrid w:val="0"/>
        <w:ind w:firstLine="480" w:firstLineChars="200"/>
        <w:rPr>
          <w:color w:val="000000" w:themeColor="text1"/>
          <w:sz w:val="24"/>
        </w:rPr>
      </w:pPr>
      <w:r>
        <w:rPr>
          <w:color w:val="000000" w:themeColor="text1"/>
          <w:sz w:val="24"/>
        </w:rPr>
        <w:t>项目总占地面积</w:t>
      </w:r>
      <w:r>
        <w:rPr>
          <w:rFonts w:hint="eastAsia"/>
          <w:color w:val="000000" w:themeColor="text1"/>
          <w:sz w:val="24"/>
        </w:rPr>
        <w:t>36524</w:t>
      </w:r>
      <w:r>
        <w:rPr>
          <w:color w:val="000000" w:themeColor="text1"/>
          <w:sz w:val="24"/>
        </w:rPr>
        <w:t>m</w:t>
      </w:r>
      <w:r>
        <w:rPr>
          <w:color w:val="000000" w:themeColor="text1"/>
          <w:sz w:val="24"/>
          <w:vertAlign w:val="superscript"/>
        </w:rPr>
        <w:t>2</w:t>
      </w:r>
      <w:r>
        <w:rPr>
          <w:color w:val="000000" w:themeColor="text1"/>
          <w:sz w:val="24"/>
        </w:rPr>
        <w:t>，占地类型</w:t>
      </w:r>
      <w:r>
        <w:rPr>
          <w:rFonts w:hint="eastAsia"/>
          <w:color w:val="000000" w:themeColor="text1"/>
          <w:sz w:val="24"/>
        </w:rPr>
        <w:t>均为农用地，其中耕地3.0056hm</w:t>
      </w:r>
      <w:r>
        <w:rPr>
          <w:rFonts w:hint="eastAsia"/>
          <w:color w:val="000000" w:themeColor="text1"/>
          <w:sz w:val="24"/>
          <w:vertAlign w:val="superscript"/>
        </w:rPr>
        <w:t>2</w:t>
      </w:r>
      <w:r>
        <w:rPr>
          <w:rFonts w:hint="eastAsia"/>
          <w:color w:val="000000" w:themeColor="text1"/>
          <w:sz w:val="24"/>
        </w:rPr>
        <w:t>，其他农用地0.6478hm</w:t>
      </w:r>
      <w:r>
        <w:rPr>
          <w:rFonts w:hint="eastAsia"/>
          <w:color w:val="000000" w:themeColor="text1"/>
          <w:sz w:val="24"/>
          <w:vertAlign w:val="superscript"/>
        </w:rPr>
        <w:t>2</w:t>
      </w:r>
      <w:r>
        <w:rPr>
          <w:rFonts w:hint="eastAsia"/>
          <w:color w:val="000000" w:themeColor="text1"/>
          <w:sz w:val="24"/>
        </w:rPr>
        <w:t>，项目不占用基本农田。</w:t>
      </w:r>
      <w:r>
        <w:rPr>
          <w:color w:val="000000" w:themeColor="text1"/>
          <w:sz w:val="24"/>
        </w:rPr>
        <w:t>项目</w:t>
      </w:r>
      <w:r>
        <w:rPr>
          <w:rFonts w:hint="eastAsia"/>
          <w:color w:val="000000" w:themeColor="text1"/>
          <w:sz w:val="24"/>
        </w:rPr>
        <w:t>占用耕地已</w:t>
      </w:r>
      <w:r>
        <w:rPr>
          <w:color w:val="000000" w:themeColor="text1"/>
          <w:sz w:val="24"/>
        </w:rPr>
        <w:t>取得</w:t>
      </w:r>
      <w:r>
        <w:rPr>
          <w:rFonts w:hint="eastAsia"/>
          <w:color w:val="000000" w:themeColor="text1"/>
          <w:sz w:val="24"/>
        </w:rPr>
        <w:t>白鹤村委会</w:t>
      </w:r>
      <w:r>
        <w:rPr>
          <w:color w:val="000000" w:themeColor="text1"/>
          <w:sz w:val="24"/>
        </w:rPr>
        <w:t>、</w:t>
      </w:r>
      <w:r>
        <w:rPr>
          <w:rFonts w:hint="eastAsia"/>
          <w:color w:val="000000" w:themeColor="text1"/>
          <w:sz w:val="24"/>
        </w:rPr>
        <w:t>平甸乡人民政府</w:t>
      </w:r>
      <w:r>
        <w:rPr>
          <w:color w:val="000000" w:themeColor="text1"/>
          <w:sz w:val="24"/>
        </w:rPr>
        <w:t>、</w:t>
      </w:r>
      <w:r>
        <w:rPr>
          <w:rFonts w:hint="eastAsia"/>
          <w:color w:val="000000" w:themeColor="text1"/>
          <w:sz w:val="24"/>
        </w:rPr>
        <w:t>县国土局、县林业局、县人民政府</w:t>
      </w:r>
      <w:r>
        <w:rPr>
          <w:color w:val="000000" w:themeColor="text1"/>
          <w:sz w:val="24"/>
        </w:rPr>
        <w:t>等相关部门</w:t>
      </w:r>
      <w:r>
        <w:rPr>
          <w:rFonts w:hint="eastAsia"/>
          <w:color w:val="000000" w:themeColor="text1"/>
          <w:sz w:val="24"/>
        </w:rPr>
        <w:t>同意的设施农用地备案表（新平县农设备[2018]69号、新平县农设备[2018]70号）</w:t>
      </w:r>
      <w:r>
        <w:rPr>
          <w:color w:val="000000" w:themeColor="text1"/>
          <w:sz w:val="24"/>
        </w:rPr>
        <w:t>。</w:t>
      </w:r>
    </w:p>
    <w:p>
      <w:pPr>
        <w:adjustRightInd w:val="0"/>
        <w:snapToGrid w:val="0"/>
        <w:ind w:firstLine="480" w:firstLineChars="200"/>
        <w:rPr>
          <w:color w:val="000000" w:themeColor="text1"/>
          <w:sz w:val="24"/>
        </w:rPr>
      </w:pPr>
      <w:r>
        <w:rPr>
          <w:rFonts w:hint="eastAsia"/>
          <w:color w:val="000000" w:themeColor="text1"/>
          <w:sz w:val="24"/>
        </w:rPr>
        <w:t>项目种植区占地面积154000m</w:t>
      </w:r>
      <w:r>
        <w:rPr>
          <w:color w:val="000000" w:themeColor="text1"/>
          <w:sz w:val="24"/>
          <w:vertAlign w:val="superscript"/>
        </w:rPr>
        <w:t>2</w:t>
      </w:r>
      <w:r>
        <w:rPr>
          <w:color w:val="000000" w:themeColor="text1"/>
          <w:sz w:val="24"/>
        </w:rPr>
        <w:t>，</w:t>
      </w:r>
      <w:r>
        <w:rPr>
          <w:rFonts w:hint="eastAsia"/>
          <w:color w:val="000000" w:themeColor="text1"/>
          <w:sz w:val="24"/>
        </w:rPr>
        <w:t>现状为旱地，种植玉米。</w:t>
      </w:r>
    </w:p>
    <w:bookmarkEnd w:id="198"/>
    <w:bookmarkEnd w:id="199"/>
    <w:bookmarkEnd w:id="200"/>
    <w:bookmarkEnd w:id="201"/>
    <w:bookmarkEnd w:id="202"/>
    <w:bookmarkEnd w:id="203"/>
    <w:p>
      <w:pPr>
        <w:adjustRightInd w:val="0"/>
        <w:snapToGrid w:val="0"/>
        <w:outlineLvl w:val="2"/>
        <w:rPr>
          <w:b/>
          <w:color w:val="000000" w:themeColor="text1"/>
          <w:sz w:val="24"/>
        </w:rPr>
      </w:pPr>
      <w:bookmarkStart w:id="206" w:name="_Toc504403805"/>
      <w:bookmarkStart w:id="207" w:name="_Toc402186365"/>
      <w:bookmarkStart w:id="208" w:name="_Toc510547283"/>
      <w:bookmarkStart w:id="209" w:name="_Toc303261006"/>
      <w:bookmarkStart w:id="210" w:name="_Toc17492"/>
      <w:bookmarkStart w:id="211" w:name="_Toc4535"/>
      <w:bookmarkStart w:id="212" w:name="_Toc291776003"/>
      <w:bookmarkStart w:id="213" w:name="_Toc268"/>
      <w:r>
        <w:rPr>
          <w:b/>
          <w:color w:val="000000" w:themeColor="text1"/>
          <w:sz w:val="24"/>
        </w:rPr>
        <w:t>3.1.1</w:t>
      </w:r>
      <w:r>
        <w:rPr>
          <w:rFonts w:hint="eastAsia"/>
          <w:b/>
          <w:color w:val="000000" w:themeColor="text1"/>
          <w:sz w:val="24"/>
        </w:rPr>
        <w:t>1</w:t>
      </w:r>
      <w:r>
        <w:rPr>
          <w:b/>
          <w:color w:val="000000" w:themeColor="text1"/>
          <w:sz w:val="24"/>
        </w:rPr>
        <w:t>项目施工进度</w:t>
      </w:r>
      <w:bookmarkEnd w:id="206"/>
      <w:bookmarkEnd w:id="207"/>
      <w:bookmarkEnd w:id="208"/>
    </w:p>
    <w:bookmarkEnd w:id="209"/>
    <w:bookmarkEnd w:id="210"/>
    <w:bookmarkEnd w:id="211"/>
    <w:bookmarkEnd w:id="212"/>
    <w:bookmarkEnd w:id="213"/>
    <w:p>
      <w:pPr>
        <w:adjustRightInd w:val="0"/>
        <w:snapToGrid w:val="0"/>
        <w:ind w:firstLine="480" w:firstLineChars="200"/>
        <w:jc w:val="left"/>
        <w:rPr>
          <w:color w:val="000000" w:themeColor="text1"/>
          <w:sz w:val="24"/>
        </w:rPr>
        <w:sectPr>
          <w:pgSz w:w="11906" w:h="16838"/>
          <w:pgMar w:top="1440" w:right="1797" w:bottom="1440" w:left="1797" w:header="851" w:footer="992" w:gutter="0"/>
          <w:cols w:space="720" w:num="1"/>
          <w:docGrid w:linePitch="312" w:charSpace="0"/>
        </w:sectPr>
      </w:pPr>
      <w:bookmarkStart w:id="214" w:name="_Toc303261007"/>
      <w:bookmarkStart w:id="215" w:name="_Toc402186367"/>
      <w:bookmarkStart w:id="216" w:name="_Toc291776004"/>
      <w:bookmarkStart w:id="217" w:name="_Toc9950"/>
      <w:bookmarkStart w:id="218" w:name="_Toc9644"/>
      <w:bookmarkStart w:id="219" w:name="_Toc1765"/>
      <w:r>
        <w:rPr>
          <w:color w:val="000000" w:themeColor="text1"/>
          <w:sz w:val="24"/>
        </w:rPr>
        <w:t>201</w:t>
      </w:r>
      <w:r>
        <w:rPr>
          <w:rFonts w:hint="eastAsia"/>
          <w:color w:val="000000" w:themeColor="text1"/>
          <w:sz w:val="24"/>
        </w:rPr>
        <w:t>9</w:t>
      </w:r>
      <w:r>
        <w:rPr>
          <w:color w:val="000000" w:themeColor="text1"/>
          <w:sz w:val="24"/>
        </w:rPr>
        <w:t>年</w:t>
      </w:r>
      <w:r>
        <w:rPr>
          <w:rFonts w:hint="eastAsia"/>
          <w:color w:val="000000" w:themeColor="text1"/>
          <w:sz w:val="24"/>
        </w:rPr>
        <w:t>5</w:t>
      </w:r>
      <w:r>
        <w:rPr>
          <w:color w:val="000000" w:themeColor="text1"/>
          <w:sz w:val="24"/>
        </w:rPr>
        <w:t>月开工，20</w:t>
      </w:r>
      <w:r>
        <w:rPr>
          <w:rFonts w:hint="eastAsia"/>
          <w:color w:val="000000" w:themeColor="text1"/>
          <w:sz w:val="24"/>
        </w:rPr>
        <w:t>20</w:t>
      </w:r>
      <w:r>
        <w:rPr>
          <w:color w:val="000000" w:themeColor="text1"/>
          <w:sz w:val="24"/>
        </w:rPr>
        <w:t>年</w:t>
      </w:r>
      <w:r>
        <w:rPr>
          <w:rFonts w:hint="eastAsia"/>
          <w:color w:val="000000" w:themeColor="text1"/>
          <w:sz w:val="24"/>
        </w:rPr>
        <w:t>4</w:t>
      </w:r>
      <w:r>
        <w:rPr>
          <w:color w:val="000000" w:themeColor="text1"/>
          <w:sz w:val="24"/>
        </w:rPr>
        <w:t>月正式运行，工期12个月。</w:t>
      </w:r>
    </w:p>
    <w:bookmarkEnd w:id="214"/>
    <w:bookmarkEnd w:id="215"/>
    <w:bookmarkEnd w:id="216"/>
    <w:bookmarkEnd w:id="217"/>
    <w:bookmarkEnd w:id="218"/>
    <w:bookmarkEnd w:id="219"/>
    <w:p>
      <w:pPr>
        <w:pStyle w:val="3"/>
        <w:adjustRightInd w:val="0"/>
        <w:snapToGrid w:val="0"/>
        <w:spacing w:before="0" w:after="0"/>
        <w:jc w:val="left"/>
        <w:rPr>
          <w:rFonts w:ascii="Times New Roman" w:hAnsi="Times New Roman"/>
          <w:color w:val="000000" w:themeColor="text1"/>
        </w:rPr>
      </w:pPr>
      <w:bookmarkStart w:id="220" w:name="_Toc303261010"/>
      <w:bookmarkStart w:id="221" w:name="_Toc12561"/>
      <w:bookmarkStart w:id="222" w:name="_Toc402186369"/>
      <w:bookmarkStart w:id="223" w:name="_Toc29758"/>
      <w:bookmarkStart w:id="224" w:name="_Toc291776008"/>
      <w:bookmarkStart w:id="225" w:name="_Toc18569"/>
      <w:bookmarkStart w:id="226" w:name="_Toc4076485"/>
      <w:bookmarkStart w:id="227" w:name="_Toc510547284"/>
      <w:r>
        <w:rPr>
          <w:rFonts w:ascii="Times New Roman" w:hAnsi="Times New Roman"/>
          <w:color w:val="000000" w:themeColor="text1"/>
        </w:rPr>
        <w:t>3.</w:t>
      </w:r>
      <w:bookmarkEnd w:id="220"/>
      <w:bookmarkEnd w:id="221"/>
      <w:bookmarkEnd w:id="222"/>
      <w:bookmarkEnd w:id="223"/>
      <w:bookmarkEnd w:id="224"/>
      <w:bookmarkEnd w:id="225"/>
      <w:r>
        <w:rPr>
          <w:rFonts w:ascii="Times New Roman" w:hAnsi="Times New Roman"/>
          <w:color w:val="000000" w:themeColor="text1"/>
        </w:rPr>
        <w:t>2工程分析</w:t>
      </w:r>
      <w:bookmarkEnd w:id="226"/>
      <w:bookmarkEnd w:id="227"/>
    </w:p>
    <w:p>
      <w:pPr>
        <w:pStyle w:val="4"/>
        <w:adjustRightInd w:val="0"/>
        <w:snapToGrid w:val="0"/>
        <w:spacing w:before="0" w:after="0" w:line="360" w:lineRule="auto"/>
        <w:jc w:val="left"/>
        <w:rPr>
          <w:color w:val="000000" w:themeColor="text1"/>
        </w:rPr>
      </w:pPr>
      <w:bookmarkStart w:id="228" w:name="_Toc506218060"/>
      <w:bookmarkStart w:id="229" w:name="_Toc510547285"/>
      <w:bookmarkStart w:id="230" w:name="_Toc504403807"/>
      <w:r>
        <w:rPr>
          <w:color w:val="000000" w:themeColor="text1"/>
        </w:rPr>
        <w:t>3.2.1生产工艺流程</w:t>
      </w:r>
      <w:bookmarkEnd w:id="228"/>
      <w:bookmarkEnd w:id="229"/>
      <w:bookmarkEnd w:id="230"/>
    </w:p>
    <w:p>
      <w:pPr>
        <w:adjustRightInd w:val="0"/>
        <w:snapToGrid w:val="0"/>
        <w:ind w:firstLine="600"/>
        <w:rPr>
          <w:color w:val="000000" w:themeColor="text1"/>
          <w:sz w:val="24"/>
        </w:rPr>
      </w:pPr>
      <w:r>
        <w:rPr>
          <w:rFonts w:hint="eastAsia"/>
          <w:color w:val="000000" w:themeColor="text1"/>
          <w:sz w:val="24"/>
        </w:rPr>
        <w:t>项目按现代化养猪要求设计生产工艺流程，实行流水生产工艺，采用全进全出生产方式，工艺流程见图3.2-1。</w:t>
      </w:r>
    </w:p>
    <w:p>
      <w:pPr>
        <w:pStyle w:val="158"/>
        <w:ind w:firstLine="0"/>
        <w:rPr>
          <w:color w:val="000000" w:themeColor="text1"/>
          <w:sz w:val="21"/>
          <w:szCs w:val="21"/>
        </w:rPr>
      </w:pPr>
      <w:r>
        <w:rPr>
          <w:color w:val="000000" w:themeColor="text1"/>
        </w:rPr>
        <w:object>
          <v:shape id="_x0000_i1025" o:spt="75" type="#_x0000_t75" style="height:254.9pt;width:437.05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r>
        <w:rPr>
          <w:color w:val="000000" w:themeColor="text1"/>
          <w:sz w:val="21"/>
          <w:szCs w:val="21"/>
        </w:rPr>
        <w:t>图3.2-1  生猪养殖过程及产污节点图</w:t>
      </w:r>
    </w:p>
    <w:p>
      <w:pPr>
        <w:adjustRightInd w:val="0"/>
        <w:snapToGrid w:val="0"/>
        <w:ind w:firstLine="600"/>
        <w:rPr>
          <w:color w:val="000000" w:themeColor="text1"/>
          <w:sz w:val="24"/>
        </w:rPr>
      </w:pPr>
      <w:r>
        <w:rPr>
          <w:rFonts w:hint="eastAsia"/>
          <w:color w:val="000000" w:themeColor="text1"/>
          <w:sz w:val="24"/>
        </w:rPr>
        <w:t>育肥生产工艺流程阐述：</w:t>
      </w:r>
    </w:p>
    <w:p>
      <w:pPr>
        <w:adjustRightInd w:val="0"/>
        <w:snapToGrid w:val="0"/>
        <w:ind w:firstLine="600"/>
        <w:rPr>
          <w:color w:val="000000" w:themeColor="text1"/>
          <w:sz w:val="24"/>
        </w:rPr>
      </w:pPr>
      <w:r>
        <w:rPr>
          <w:rFonts w:hint="eastAsia"/>
          <w:color w:val="000000" w:themeColor="text1"/>
          <w:sz w:val="24"/>
        </w:rPr>
        <w:t>项目基地主要功能是将20kg重的优质仔猪进行育肥养殖，育肥过程中约饲养180 天左右，育肥结束后成长到120kg重优质肥猪后出售</w:t>
      </w:r>
      <w:r>
        <w:rPr>
          <w:color w:val="000000" w:themeColor="text1"/>
          <w:sz w:val="24"/>
        </w:rPr>
        <w:t>。</w:t>
      </w:r>
    </w:p>
    <w:p>
      <w:pPr>
        <w:pStyle w:val="4"/>
        <w:spacing w:before="0" w:after="0" w:line="360" w:lineRule="auto"/>
        <w:rPr>
          <w:color w:val="000000" w:themeColor="text1"/>
        </w:rPr>
      </w:pPr>
      <w:bookmarkStart w:id="231" w:name="_Toc510547288"/>
      <w:r>
        <w:rPr>
          <w:color w:val="000000" w:themeColor="text1"/>
        </w:rPr>
        <w:t>3.2.</w:t>
      </w:r>
      <w:r>
        <w:rPr>
          <w:rFonts w:hint="eastAsia"/>
          <w:color w:val="000000" w:themeColor="text1"/>
        </w:rPr>
        <w:t>2粪污</w:t>
      </w:r>
      <w:r>
        <w:rPr>
          <w:color w:val="000000" w:themeColor="text1"/>
        </w:rPr>
        <w:t>处理工艺</w:t>
      </w:r>
      <w:bookmarkEnd w:id="231"/>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本项目采用干清粪工艺，猪舍干粪采用</w:t>
      </w:r>
      <w:r>
        <w:rPr>
          <w:rFonts w:hint="eastAsia" w:ascii="Times New Roman" w:hAnsi="Times New Roman" w:cs="Times New Roman"/>
          <w:color w:val="000000" w:themeColor="text1"/>
        </w:rPr>
        <w:t>机械清粪（平板刮粪机）</w:t>
      </w:r>
      <w:r>
        <w:rPr>
          <w:rFonts w:ascii="Times New Roman" w:hAnsi="Times New Roman" w:cs="Times New Roman"/>
          <w:color w:val="000000" w:themeColor="text1"/>
        </w:rPr>
        <w:t>及时清出，</w:t>
      </w:r>
      <w:r>
        <w:rPr>
          <w:rFonts w:hint="eastAsia" w:ascii="Times New Roman" w:hAnsi="Times New Roman" w:cs="Times New Roman"/>
          <w:color w:val="000000" w:themeColor="text1"/>
        </w:rPr>
        <w:t>尿液经导尿管进沼气系统</w:t>
      </w:r>
      <w:r>
        <w:rPr>
          <w:rFonts w:ascii="Times New Roman" w:hAnsi="Times New Roman" w:cs="Times New Roman"/>
          <w:color w:val="000000" w:themeColor="text1"/>
        </w:rPr>
        <w:t>。</w:t>
      </w:r>
      <w:r>
        <w:rPr>
          <w:rFonts w:hint="eastAsia" w:ascii="Times New Roman" w:hAnsi="Times New Roman" w:cs="Times New Roman"/>
          <w:color w:val="000000" w:themeColor="text1"/>
        </w:rPr>
        <w:t>猪粪及沼气系统产生的沼液、沼渣进入异位生物发酵床处理。</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发酵车间见图</w:t>
      </w:r>
      <w:r>
        <w:rPr>
          <w:rFonts w:ascii="Times New Roman" w:hAnsi="Times New Roman" w:cs="Times New Roman"/>
          <w:color w:val="000000" w:themeColor="text1"/>
        </w:rPr>
        <w:t>3.2-</w:t>
      </w:r>
      <w:r>
        <w:rPr>
          <w:rFonts w:hint="eastAsia" w:ascii="Times New Roman" w:hAnsi="Times New Roman" w:cs="Times New Roman"/>
          <w:color w:val="000000" w:themeColor="text1"/>
        </w:rPr>
        <w:t>2。</w:t>
      </w:r>
      <w:r>
        <w:rPr>
          <w:rFonts w:ascii="Times New Roman" w:hAnsi="Times New Roman" w:cs="Times New Roman"/>
          <w:color w:val="000000" w:themeColor="text1"/>
        </w:rPr>
        <w:t>项目</w:t>
      </w:r>
      <w:r>
        <w:rPr>
          <w:rFonts w:hint="eastAsia" w:ascii="Times New Roman" w:hAnsi="Times New Roman" w:cs="Times New Roman"/>
          <w:color w:val="000000" w:themeColor="text1"/>
        </w:rPr>
        <w:t>发酵</w:t>
      </w:r>
      <w:r>
        <w:rPr>
          <w:rFonts w:ascii="Times New Roman" w:hAnsi="Times New Roman" w:cs="Times New Roman"/>
          <w:color w:val="000000" w:themeColor="text1"/>
        </w:rPr>
        <w:t>工艺见图3.2-</w:t>
      </w:r>
      <w:r>
        <w:rPr>
          <w:rFonts w:hint="eastAsia" w:ascii="Times New Roman" w:hAnsi="Times New Roman" w:cs="Times New Roman"/>
          <w:color w:val="000000" w:themeColor="text1"/>
        </w:rPr>
        <w:t>3</w:t>
      </w:r>
      <w:r>
        <w:rPr>
          <w:rFonts w:ascii="Times New Roman" w:hAnsi="Times New Roman" w:cs="Times New Roman"/>
          <w:color w:val="000000" w:themeColor="text1"/>
        </w:rPr>
        <w:t>。</w:t>
      </w:r>
    </w:p>
    <w:p>
      <w:pPr>
        <w:pStyle w:val="132"/>
        <w:adjustRightInd w:val="0"/>
        <w:snapToGrid w:val="0"/>
        <w:ind w:firstLine="0" w:firstLineChars="0"/>
        <w:rPr>
          <w:rFonts w:ascii="Times New Roman" w:hAnsi="Times New Roman" w:cs="Times New Roman"/>
          <w:color w:val="000000" w:themeColor="text1"/>
        </w:rPr>
      </w:pPr>
      <w:r>
        <w:rPr>
          <w:rFonts w:ascii="Times New Roman" w:hAnsi="Times New Roman" w:cs="Times New Roman"/>
          <w:color w:val="000000" w:themeColor="text1"/>
        </w:rPr>
        <w:drawing>
          <wp:inline distT="0" distB="0" distL="0" distR="0">
            <wp:extent cx="5271770" cy="3950970"/>
            <wp:effectExtent l="0" t="0" r="0" b="0"/>
            <wp:docPr id="1" name="图片 1" descr="D:\Documents\Tencent Files\1811203344\FileRecv\MobileFile\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Tencent Files\1811203344\FileRecv\MobileFile\IMG_117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1770" cy="3950970"/>
                    </a:xfrm>
                    <a:prstGeom prst="rect">
                      <a:avLst/>
                    </a:prstGeom>
                    <a:noFill/>
                    <a:ln>
                      <a:noFill/>
                    </a:ln>
                  </pic:spPr>
                </pic:pic>
              </a:graphicData>
            </a:graphic>
          </wp:inline>
        </w:drawing>
      </w:r>
    </w:p>
    <w:p>
      <w:pPr>
        <w:pStyle w:val="132"/>
        <w:adjustRightInd w:val="0"/>
        <w:snapToGrid w:val="0"/>
        <w:ind w:firstLine="0" w:firstLineChars="0"/>
        <w:rPr>
          <w:rFonts w:ascii="Times New Roman" w:hAnsi="Times New Roman" w:cs="Times New Roman"/>
          <w:b/>
          <w:bCs/>
          <w:color w:val="000000" w:themeColor="text1"/>
          <w:sz w:val="21"/>
          <w:szCs w:val="21"/>
        </w:rPr>
      </w:pPr>
      <w:r>
        <w:rPr>
          <w:rFonts w:hint="eastAsia" w:ascii="Times New Roman" w:hAnsi="Times New Roman" w:cs="Times New Roman"/>
          <w:b/>
          <w:bCs/>
          <w:color w:val="000000" w:themeColor="text1"/>
          <w:sz w:val="21"/>
          <w:szCs w:val="21"/>
        </w:rPr>
        <w:drawing>
          <wp:inline distT="0" distB="0" distL="0" distR="0">
            <wp:extent cx="5230495" cy="4267200"/>
            <wp:effectExtent l="0" t="0" r="0" b="0"/>
            <wp:docPr id="2" name="图片 2" descr="D:\Documents\Tencent Files\1811203344\FileRecv\MobileFile\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Tencent Files\1811203344\FileRecv\MobileFile\IMG_1169.JPG"/>
                    <pic:cNvPicPr>
                      <a:picLocks noChangeAspect="1" noChangeArrowheads="1"/>
                    </pic:cNvPicPr>
                  </pic:nvPicPr>
                  <pic:blipFill>
                    <a:blip r:embed="rId19">
                      <a:extLst>
                        <a:ext uri="{28A0092B-C50C-407E-A947-70E740481C1C}">
                          <a14:useLocalDpi xmlns:a14="http://schemas.microsoft.com/office/drawing/2010/main" val="0"/>
                        </a:ext>
                      </a:extLst>
                    </a:blip>
                    <a:srcRect t="8816"/>
                    <a:stretch>
                      <a:fillRect/>
                    </a:stretch>
                  </pic:blipFill>
                  <pic:spPr>
                    <a:xfrm>
                      <a:off x="0" y="0"/>
                      <a:ext cx="5234148" cy="4269715"/>
                    </a:xfrm>
                    <a:prstGeom prst="rect">
                      <a:avLst/>
                    </a:prstGeom>
                    <a:noFill/>
                    <a:ln>
                      <a:noFill/>
                    </a:ln>
                  </pic:spPr>
                </pic:pic>
              </a:graphicData>
            </a:graphic>
          </wp:inline>
        </w:drawing>
      </w:r>
    </w:p>
    <w:p>
      <w:pPr>
        <w:pStyle w:val="132"/>
        <w:adjustRightInd w:val="0"/>
        <w:snapToGrid w:val="0"/>
        <w:ind w:firstLine="422"/>
        <w:jc w:val="center"/>
        <w:rPr>
          <w:rFonts w:ascii="Times New Roman" w:hAnsi="Times New Roman" w:cs="Times New Roman"/>
          <w:b/>
          <w:color w:val="000000" w:themeColor="text1"/>
        </w:rPr>
      </w:pPr>
      <w:r>
        <w:rPr>
          <w:rFonts w:hint="eastAsia" w:ascii="Times New Roman" w:hAnsi="Times New Roman" w:cs="Times New Roman"/>
          <w:b/>
          <w:bCs/>
          <w:color w:val="000000" w:themeColor="text1"/>
          <w:sz w:val="21"/>
          <w:szCs w:val="21"/>
        </w:rPr>
        <w:t>图</w:t>
      </w:r>
      <w:r>
        <w:rPr>
          <w:rFonts w:ascii="Times New Roman" w:hAnsi="Times New Roman" w:cs="Times New Roman"/>
          <w:b/>
          <w:bCs/>
          <w:color w:val="000000" w:themeColor="text1"/>
          <w:sz w:val="21"/>
          <w:szCs w:val="21"/>
        </w:rPr>
        <w:t>3.2-</w:t>
      </w:r>
      <w:r>
        <w:rPr>
          <w:rFonts w:hint="eastAsia" w:ascii="Times New Roman" w:hAnsi="Times New Roman" w:cs="Times New Roman"/>
          <w:b/>
          <w:bCs/>
          <w:color w:val="000000" w:themeColor="text1"/>
          <w:sz w:val="21"/>
          <w:szCs w:val="21"/>
        </w:rPr>
        <w:t>2</w:t>
      </w:r>
      <w:r>
        <w:rPr>
          <w:rFonts w:ascii="Times New Roman" w:hAnsi="Times New Roman" w:cs="Times New Roman"/>
          <w:b/>
          <w:bCs/>
          <w:color w:val="000000" w:themeColor="text1"/>
          <w:sz w:val="21"/>
          <w:szCs w:val="21"/>
        </w:rPr>
        <w:t xml:space="preserve">  </w:t>
      </w:r>
      <w:r>
        <w:rPr>
          <w:rFonts w:hint="eastAsia" w:ascii="Times New Roman" w:hAnsi="Times New Roman" w:cs="Times New Roman"/>
          <w:b/>
          <w:bCs/>
          <w:color w:val="000000" w:themeColor="text1"/>
          <w:sz w:val="21"/>
          <w:szCs w:val="21"/>
        </w:rPr>
        <w:t>异位生物发酵床</w:t>
      </w:r>
    </w:p>
    <w:p>
      <w:pPr>
        <w:ind w:firstLine="292"/>
        <w:jc w:val="center"/>
        <w:rPr>
          <w:bCs/>
          <w:color w:val="000000" w:themeColor="text1"/>
          <w:sz w:val="24"/>
          <w:lang w:val="zh-TW" w:eastAsia="zh-TW"/>
        </w:rPr>
      </w:pPr>
    </w:p>
    <w:p>
      <w:pPr>
        <w:pStyle w:val="132"/>
        <w:adjustRightInd w:val="0"/>
        <w:snapToGrid w:val="0"/>
        <w:ind w:firstLine="480"/>
        <w:jc w:val="center"/>
        <w:rPr>
          <w:rFonts w:ascii="Times New Roman" w:hAnsi="Times New Roman" w:cs="Times New Roman"/>
          <w:b/>
          <w:bCs/>
          <w:color w:val="000000" w:themeColor="text1"/>
          <w:sz w:val="21"/>
          <w:szCs w:val="21"/>
        </w:rPr>
      </w:pPr>
      <w:r>
        <w:rPr>
          <w:color w:val="000000" w:themeColor="text1"/>
        </w:rPr>
        <w:drawing>
          <wp:inline distT="0" distB="0" distL="0" distR="0">
            <wp:extent cx="4007485" cy="3510915"/>
            <wp:effectExtent l="0" t="0" r="0" b="0"/>
            <wp:docPr id="4" name="图片 4" descr="F:\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3.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007485" cy="3510915"/>
                    </a:xfrm>
                    <a:prstGeom prst="rect">
                      <a:avLst/>
                    </a:prstGeom>
                    <a:noFill/>
                    <a:ln>
                      <a:noFill/>
                    </a:ln>
                  </pic:spPr>
                </pic:pic>
              </a:graphicData>
            </a:graphic>
          </wp:inline>
        </w:drawing>
      </w:r>
    </w:p>
    <w:p>
      <w:pPr>
        <w:pStyle w:val="132"/>
        <w:adjustRightInd w:val="0"/>
        <w:snapToGrid w:val="0"/>
        <w:ind w:firstLine="422"/>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图3.2-</w:t>
      </w:r>
      <w:r>
        <w:rPr>
          <w:rFonts w:hint="eastAsia" w:ascii="Times New Roman" w:hAnsi="Times New Roman" w:cs="Times New Roman"/>
          <w:b/>
          <w:bCs/>
          <w:color w:val="000000" w:themeColor="text1"/>
          <w:sz w:val="21"/>
          <w:szCs w:val="21"/>
        </w:rPr>
        <w:t>3  发酵</w:t>
      </w:r>
      <w:r>
        <w:rPr>
          <w:rFonts w:ascii="Times New Roman" w:hAnsi="Times New Roman" w:cs="Times New Roman"/>
          <w:b/>
          <w:bCs/>
          <w:color w:val="000000" w:themeColor="text1"/>
          <w:sz w:val="21"/>
          <w:szCs w:val="21"/>
        </w:rPr>
        <w:t>工艺流程及产污节点图</w:t>
      </w:r>
    </w:p>
    <w:p>
      <w:pPr>
        <w:pStyle w:val="132"/>
        <w:adjustRightInd w:val="0"/>
        <w:snapToGrid w:val="0"/>
        <w:ind w:firstLine="482"/>
        <w:rPr>
          <w:rFonts w:ascii="Times New Roman" w:hAnsi="Times New Roman" w:cs="Times New Roman"/>
          <w:color w:val="000000" w:themeColor="text1"/>
        </w:rPr>
      </w:pPr>
      <w:r>
        <w:rPr>
          <w:rFonts w:hint="eastAsia" w:ascii="Times New Roman" w:hAnsi="Times New Roman" w:cs="Times New Roman"/>
          <w:b/>
          <w:color w:val="000000" w:themeColor="text1"/>
        </w:rPr>
        <w:t>发酵原理：</w:t>
      </w:r>
      <w:r>
        <w:rPr>
          <w:rFonts w:hint="eastAsia" w:ascii="Times New Roman" w:hAnsi="Times New Roman" w:cs="Times New Roman"/>
          <w:color w:val="000000" w:themeColor="text1"/>
        </w:rPr>
        <w:t>异位发酵床养殖是指养殖猪与粪污发酵分开，猪不接触垫料，养殖搭棚外建垫料发酵舍，垫料铺在发酵舍内，猪场粪污收集后利用潜水泵均匀喷在垫料上进行生物菌发酵的污水处理方法。将养殖的排泄物收集后，通过搅拌、翻耙等，与谷壳木屑等按一定比例充分混合，加入适宜的专用菌种，进行充分发酵，中心发酵层温度可达50 ℃以上，通过水分蒸发、有机物分解成气体，使猪粪、尿等有机物质得到充分的分解和转化，留下少量的残渣变成有机肥。</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w:t>
      </w:r>
      <w:r>
        <w:rPr>
          <w:rFonts w:ascii="Times New Roman" w:hAnsi="Times New Roman" w:cs="Times New Roman"/>
          <w:color w:val="000000" w:themeColor="text1"/>
        </w:rPr>
        <w:t>1</w:t>
      </w:r>
      <w:r>
        <w:rPr>
          <w:rFonts w:hint="eastAsia" w:ascii="Times New Roman" w:hAnsi="Times New Roman" w:cs="Times New Roman"/>
          <w:color w:val="000000" w:themeColor="text1"/>
        </w:rPr>
        <w:t>）微生物对粪尿的分解原理</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通过人为地创造一个适宜微生物（洛东U洁微生物发酵专用菌）生长、繁殖的垫料环境；微生物通过分解养殖场排泄物（粪尿）中的有机质、蛋白、脂肪类、纤维素、半纤维素及无机盐等不断发酵产热，使垫料中心温度达到恒温60-78℃从而实现粪污中的病原体在长时间的高温环境中失活，达到无害化、腐殖化目的；通过机械化喷污系统实现粪污喷洒均匀，通过机械化翻抛机翻动垫料蒸发水分、增加氧气、垫料循环发酵。最终形成一个微生物循环发酵处理粪污的垫料环境。所有粪尿在生物发酵床内得到较彻底的降解，对外排放仅有水分、二氧化碳、氮气。</w:t>
      </w:r>
    </w:p>
    <w:p>
      <w:pPr>
        <w:pStyle w:val="132"/>
        <w:adjustRightInd w:val="0"/>
        <w:snapToGrid w:val="0"/>
        <w:ind w:firstLine="480"/>
        <w:rPr>
          <w:rFonts w:ascii="Times New Roman" w:hAnsi="Times New Roman" w:cs="Times New Roman"/>
          <w:color w:val="000000" w:themeColor="text1"/>
        </w:rPr>
      </w:pPr>
    </w:p>
    <w:p>
      <w:pPr>
        <w:pStyle w:val="132"/>
        <w:adjustRightInd w:val="0"/>
        <w:snapToGrid w:val="0"/>
        <w:ind w:firstLine="480"/>
        <w:rPr>
          <w:rFonts w:ascii="Times New Roman" w:hAnsi="Times New Roman" w:cs="Times New Roman"/>
          <w:color w:val="000000" w:themeColor="text1"/>
        </w:rPr>
      </w:pPr>
    </w:p>
    <w:p>
      <w:pPr>
        <w:pStyle w:val="132"/>
        <w:adjustRightInd w:val="0"/>
        <w:snapToGrid w:val="0"/>
        <w:ind w:firstLine="199" w:firstLineChars="83"/>
        <w:rPr>
          <w:rFonts w:ascii="Times New Roman" w:hAnsi="Times New Roman" w:cs="Times New Roman"/>
          <w:color w:val="000000" w:themeColor="text1"/>
        </w:rPr>
      </w:pPr>
      <w:r>
        <w:rPr>
          <w:rFonts w:hint="eastAsia" w:ascii="Times New Roman" w:hAnsi="Times New Roman" w:cs="Times New Roman"/>
          <w:color w:val="000000" w:themeColor="text1"/>
        </w:rPr>
        <w:drawing>
          <wp:inline distT="0" distB="0" distL="0" distR="0">
            <wp:extent cx="5252720" cy="3312160"/>
            <wp:effectExtent l="0" t="0" r="0" b="0"/>
            <wp:docPr id="6" name="图片 6" descr="F:\新建文件夹\AutoCAD_2015_Simplified_Chinese_Win_32bit_dlm\新平养殖\发酵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新建文件夹\AutoCAD_2015_Simplified_Chinese_Win_32bit_dlm\新平养殖\发酵示意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52720" cy="3312160"/>
                    </a:xfrm>
                    <a:prstGeom prst="rect">
                      <a:avLst/>
                    </a:prstGeom>
                    <a:noFill/>
                    <a:ln>
                      <a:noFill/>
                    </a:ln>
                  </pic:spPr>
                </pic:pic>
              </a:graphicData>
            </a:graphic>
          </wp:inline>
        </w:drawing>
      </w:r>
    </w:p>
    <w:p>
      <w:pPr>
        <w:pStyle w:val="132"/>
        <w:adjustRightInd w:val="0"/>
        <w:snapToGrid w:val="0"/>
        <w:ind w:firstLine="422"/>
        <w:jc w:val="center"/>
        <w:rPr>
          <w:rFonts w:ascii="Times New Roman" w:hAnsi="Times New Roman" w:cs="Times New Roman"/>
          <w:color w:val="000000" w:themeColor="text1"/>
        </w:rPr>
      </w:pPr>
      <w:r>
        <w:rPr>
          <w:rFonts w:ascii="Times New Roman" w:hAnsi="Times New Roman" w:cs="Times New Roman"/>
          <w:b/>
          <w:bCs/>
          <w:color w:val="000000" w:themeColor="text1"/>
          <w:sz w:val="21"/>
          <w:szCs w:val="21"/>
        </w:rPr>
        <w:t>图3.2-</w:t>
      </w:r>
      <w:r>
        <w:rPr>
          <w:rFonts w:hint="eastAsia" w:ascii="Times New Roman" w:hAnsi="Times New Roman" w:cs="Times New Roman"/>
          <w:b/>
          <w:bCs/>
          <w:color w:val="000000" w:themeColor="text1"/>
          <w:sz w:val="21"/>
          <w:szCs w:val="21"/>
        </w:rPr>
        <w:t>4  畜禽粪尿中的营养成分在发酵床垫料中的分解原理示意图</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w:t>
      </w:r>
      <w:r>
        <w:rPr>
          <w:rFonts w:ascii="Times New Roman" w:hAnsi="Times New Roman" w:cs="Times New Roman"/>
          <w:color w:val="000000" w:themeColor="text1"/>
        </w:rPr>
        <w:t>2</w:t>
      </w:r>
      <w:r>
        <w:rPr>
          <w:rFonts w:hint="eastAsia" w:ascii="Times New Roman" w:hAnsi="Times New Roman" w:cs="Times New Roman"/>
          <w:color w:val="000000" w:themeColor="text1"/>
        </w:rPr>
        <w:t>）相关技术要求</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①发酵原料要求</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项目垫料配比及制作管理要求见表3.2-1。垫料铺设示意图见3.2-5。</w:t>
      </w:r>
    </w:p>
    <w:p>
      <w:pPr>
        <w:spacing w:line="440" w:lineRule="exact"/>
        <w:jc w:val="center"/>
        <w:rPr>
          <w:rFonts w:eastAsiaTheme="minorEastAsia"/>
          <w:b/>
          <w:color w:val="000000" w:themeColor="text1"/>
          <w:w w:val="99"/>
          <w:szCs w:val="21"/>
        </w:rPr>
      </w:pPr>
      <w:r>
        <w:rPr>
          <w:rFonts w:eastAsiaTheme="minorEastAsia"/>
          <w:b/>
          <w:color w:val="000000" w:themeColor="text1"/>
          <w:szCs w:val="21"/>
        </w:rPr>
        <w:t>表</w:t>
      </w:r>
      <w:r>
        <w:rPr>
          <w:rFonts w:eastAsiaTheme="minorEastAsia"/>
          <w:b/>
          <w:color w:val="000000" w:themeColor="text1"/>
          <w:spacing w:val="15"/>
          <w:szCs w:val="21"/>
        </w:rPr>
        <w:t xml:space="preserve"> </w:t>
      </w:r>
      <w:r>
        <w:rPr>
          <w:rFonts w:eastAsiaTheme="minorEastAsia"/>
          <w:b/>
          <w:bCs/>
          <w:color w:val="000000" w:themeColor="text1"/>
          <w:w w:val="99"/>
          <w:szCs w:val="21"/>
        </w:rPr>
        <w:t>3</w:t>
      </w:r>
      <w:r>
        <w:rPr>
          <w:rFonts w:eastAsiaTheme="minorEastAsia"/>
          <w:b/>
          <w:bCs/>
          <w:color w:val="000000" w:themeColor="text1"/>
          <w:spacing w:val="-37"/>
          <w:szCs w:val="21"/>
        </w:rPr>
        <w:t xml:space="preserve"> </w:t>
      </w:r>
      <w:r>
        <w:rPr>
          <w:rFonts w:eastAsiaTheme="minorEastAsia"/>
          <w:b/>
          <w:bCs/>
          <w:color w:val="000000" w:themeColor="text1"/>
          <w:w w:val="99"/>
          <w:szCs w:val="21"/>
        </w:rPr>
        <w:t>.</w:t>
      </w:r>
      <w:r>
        <w:rPr>
          <w:rFonts w:eastAsiaTheme="minorEastAsia"/>
          <w:b/>
          <w:bCs/>
          <w:color w:val="000000" w:themeColor="text1"/>
          <w:spacing w:val="-30"/>
          <w:szCs w:val="21"/>
        </w:rPr>
        <w:t xml:space="preserve"> </w:t>
      </w:r>
      <w:r>
        <w:rPr>
          <w:rFonts w:eastAsiaTheme="minorEastAsia"/>
          <w:b/>
          <w:bCs/>
          <w:color w:val="000000" w:themeColor="text1"/>
          <w:w w:val="99"/>
          <w:szCs w:val="21"/>
        </w:rPr>
        <w:t>2</w:t>
      </w:r>
      <w:r>
        <w:rPr>
          <w:rFonts w:eastAsiaTheme="minorEastAsia"/>
          <w:b/>
          <w:bCs/>
          <w:color w:val="000000" w:themeColor="text1"/>
          <w:spacing w:val="-32"/>
          <w:szCs w:val="21"/>
        </w:rPr>
        <w:t xml:space="preserve"> </w:t>
      </w:r>
      <w:r>
        <w:rPr>
          <w:rFonts w:eastAsiaTheme="minorEastAsia"/>
          <w:b/>
          <w:bCs/>
          <w:color w:val="000000" w:themeColor="text1"/>
          <w:w w:val="99"/>
          <w:szCs w:val="21"/>
        </w:rPr>
        <w:t>-</w:t>
      </w:r>
      <w:r>
        <w:rPr>
          <w:rFonts w:eastAsiaTheme="minorEastAsia"/>
          <w:b/>
          <w:bCs/>
          <w:color w:val="000000" w:themeColor="text1"/>
          <w:spacing w:val="-33"/>
          <w:szCs w:val="21"/>
        </w:rPr>
        <w:t xml:space="preserve"> </w:t>
      </w:r>
      <w:r>
        <w:rPr>
          <w:rFonts w:eastAsiaTheme="minorEastAsia"/>
          <w:b/>
          <w:bCs/>
          <w:color w:val="000000" w:themeColor="text1"/>
          <w:szCs w:val="21"/>
        </w:rPr>
        <w:t>1</w:t>
      </w:r>
      <w:r>
        <w:rPr>
          <w:rFonts w:eastAsiaTheme="minorEastAsia"/>
          <w:b/>
          <w:bCs/>
          <w:color w:val="000000" w:themeColor="text1"/>
          <w:spacing w:val="20"/>
          <w:szCs w:val="21"/>
        </w:rPr>
        <w:t xml:space="preserve"> </w:t>
      </w:r>
      <w:r>
        <w:rPr>
          <w:rFonts w:eastAsiaTheme="minorEastAsia"/>
          <w:b/>
          <w:color w:val="000000" w:themeColor="text1"/>
          <w:w w:val="99"/>
          <w:szCs w:val="21"/>
        </w:rPr>
        <w:t>垫</w:t>
      </w:r>
      <w:r>
        <w:rPr>
          <w:rFonts w:eastAsiaTheme="minorEastAsia"/>
          <w:b/>
          <w:color w:val="000000" w:themeColor="text1"/>
          <w:spacing w:val="-41"/>
          <w:szCs w:val="21"/>
        </w:rPr>
        <w:t xml:space="preserve"> </w:t>
      </w:r>
      <w:r>
        <w:rPr>
          <w:rFonts w:eastAsiaTheme="minorEastAsia"/>
          <w:b/>
          <w:color w:val="000000" w:themeColor="text1"/>
          <w:w w:val="99"/>
          <w:szCs w:val="21"/>
        </w:rPr>
        <w:t>料</w:t>
      </w:r>
      <w:r>
        <w:rPr>
          <w:rFonts w:eastAsiaTheme="minorEastAsia"/>
          <w:b/>
          <w:color w:val="000000" w:themeColor="text1"/>
          <w:spacing w:val="-41"/>
          <w:szCs w:val="21"/>
        </w:rPr>
        <w:t xml:space="preserve"> </w:t>
      </w:r>
      <w:r>
        <w:rPr>
          <w:rFonts w:eastAsiaTheme="minorEastAsia"/>
          <w:b/>
          <w:color w:val="000000" w:themeColor="text1"/>
          <w:w w:val="99"/>
          <w:szCs w:val="21"/>
        </w:rPr>
        <w:t>原</w:t>
      </w:r>
      <w:r>
        <w:rPr>
          <w:rFonts w:eastAsiaTheme="minorEastAsia"/>
          <w:b/>
          <w:color w:val="000000" w:themeColor="text1"/>
          <w:spacing w:val="-41"/>
          <w:szCs w:val="21"/>
        </w:rPr>
        <w:t xml:space="preserve"> </w:t>
      </w:r>
      <w:r>
        <w:rPr>
          <w:rFonts w:eastAsiaTheme="minorEastAsia"/>
          <w:b/>
          <w:color w:val="000000" w:themeColor="text1"/>
          <w:w w:val="99"/>
          <w:szCs w:val="21"/>
        </w:rPr>
        <w:t>料</w:t>
      </w:r>
      <w:r>
        <w:rPr>
          <w:rFonts w:eastAsiaTheme="minorEastAsia"/>
          <w:b/>
          <w:color w:val="000000" w:themeColor="text1"/>
          <w:spacing w:val="-41"/>
          <w:szCs w:val="21"/>
        </w:rPr>
        <w:t xml:space="preserve"> </w:t>
      </w:r>
      <w:r>
        <w:rPr>
          <w:rFonts w:eastAsiaTheme="minorEastAsia"/>
          <w:b/>
          <w:color w:val="000000" w:themeColor="text1"/>
          <w:w w:val="99"/>
          <w:szCs w:val="21"/>
        </w:rPr>
        <w:t>组</w:t>
      </w:r>
      <w:r>
        <w:rPr>
          <w:rFonts w:eastAsiaTheme="minorEastAsia"/>
          <w:b/>
          <w:color w:val="000000" w:themeColor="text1"/>
          <w:spacing w:val="-41"/>
          <w:szCs w:val="21"/>
        </w:rPr>
        <w:t xml:space="preserve"> </w:t>
      </w:r>
      <w:r>
        <w:rPr>
          <w:rFonts w:eastAsiaTheme="minorEastAsia"/>
          <w:b/>
          <w:color w:val="000000" w:themeColor="text1"/>
          <w:w w:val="99"/>
          <w:szCs w:val="21"/>
        </w:rPr>
        <w:t>成</w:t>
      </w:r>
      <w:r>
        <w:rPr>
          <w:rFonts w:eastAsiaTheme="minorEastAsia"/>
          <w:b/>
          <w:color w:val="000000" w:themeColor="text1"/>
          <w:spacing w:val="-41"/>
          <w:szCs w:val="21"/>
        </w:rPr>
        <w:t xml:space="preserve"> </w:t>
      </w:r>
      <w:r>
        <w:rPr>
          <w:rFonts w:eastAsiaTheme="minorEastAsia"/>
          <w:b/>
          <w:color w:val="000000" w:themeColor="text1"/>
          <w:w w:val="99"/>
          <w:szCs w:val="21"/>
        </w:rPr>
        <w:t>配</w:t>
      </w:r>
      <w:r>
        <w:rPr>
          <w:rFonts w:eastAsiaTheme="minorEastAsia"/>
          <w:b/>
          <w:color w:val="000000" w:themeColor="text1"/>
          <w:spacing w:val="-41"/>
          <w:szCs w:val="21"/>
        </w:rPr>
        <w:t xml:space="preserve"> </w:t>
      </w:r>
      <w:r>
        <w:rPr>
          <w:rFonts w:eastAsiaTheme="minorEastAsia"/>
          <w:b/>
          <w:color w:val="000000" w:themeColor="text1"/>
          <w:w w:val="99"/>
          <w:szCs w:val="21"/>
        </w:rPr>
        <w:t>比</w:t>
      </w:r>
      <w:r>
        <w:rPr>
          <w:rFonts w:eastAsiaTheme="minorEastAsia"/>
          <w:b/>
          <w:color w:val="000000" w:themeColor="text1"/>
          <w:spacing w:val="-38"/>
          <w:szCs w:val="21"/>
        </w:rPr>
        <w:t xml:space="preserve"> </w:t>
      </w:r>
      <w:r>
        <w:rPr>
          <w:rFonts w:eastAsiaTheme="minorEastAsia"/>
          <w:b/>
          <w:color w:val="000000" w:themeColor="text1"/>
          <w:w w:val="99"/>
          <w:szCs w:val="21"/>
        </w:rPr>
        <w:t>及</w:t>
      </w:r>
      <w:r>
        <w:rPr>
          <w:rFonts w:eastAsiaTheme="minorEastAsia"/>
          <w:b/>
          <w:color w:val="000000" w:themeColor="text1"/>
          <w:spacing w:val="-41"/>
          <w:szCs w:val="21"/>
        </w:rPr>
        <w:t xml:space="preserve"> </w:t>
      </w:r>
      <w:r>
        <w:rPr>
          <w:rFonts w:eastAsiaTheme="minorEastAsia"/>
          <w:b/>
          <w:color w:val="000000" w:themeColor="text1"/>
          <w:w w:val="99"/>
          <w:szCs w:val="21"/>
        </w:rPr>
        <w:t>制</w:t>
      </w:r>
      <w:r>
        <w:rPr>
          <w:rFonts w:eastAsiaTheme="minorEastAsia"/>
          <w:b/>
          <w:color w:val="000000" w:themeColor="text1"/>
          <w:spacing w:val="-41"/>
          <w:szCs w:val="21"/>
        </w:rPr>
        <w:t xml:space="preserve"> </w:t>
      </w:r>
      <w:r>
        <w:rPr>
          <w:rFonts w:eastAsiaTheme="minorEastAsia"/>
          <w:b/>
          <w:color w:val="000000" w:themeColor="text1"/>
          <w:w w:val="99"/>
          <w:szCs w:val="21"/>
        </w:rPr>
        <w:t>作</w:t>
      </w:r>
      <w:r>
        <w:rPr>
          <w:rFonts w:eastAsiaTheme="minorEastAsia"/>
          <w:b/>
          <w:color w:val="000000" w:themeColor="text1"/>
          <w:spacing w:val="-41"/>
          <w:szCs w:val="21"/>
        </w:rPr>
        <w:t xml:space="preserve"> </w:t>
      </w:r>
      <w:r>
        <w:rPr>
          <w:rFonts w:eastAsiaTheme="minorEastAsia"/>
          <w:b/>
          <w:color w:val="000000" w:themeColor="text1"/>
          <w:w w:val="99"/>
          <w:szCs w:val="21"/>
        </w:rPr>
        <w:t>管</w:t>
      </w:r>
      <w:r>
        <w:rPr>
          <w:rFonts w:eastAsiaTheme="minorEastAsia"/>
          <w:b/>
          <w:color w:val="000000" w:themeColor="text1"/>
          <w:spacing w:val="-41"/>
          <w:szCs w:val="21"/>
        </w:rPr>
        <w:t xml:space="preserve"> </w:t>
      </w:r>
      <w:r>
        <w:rPr>
          <w:rFonts w:eastAsiaTheme="minorEastAsia"/>
          <w:b/>
          <w:color w:val="000000" w:themeColor="text1"/>
          <w:w w:val="99"/>
          <w:szCs w:val="21"/>
        </w:rPr>
        <w:t>理</w:t>
      </w:r>
      <w:r>
        <w:rPr>
          <w:rFonts w:eastAsiaTheme="minorEastAsia"/>
          <w:b/>
          <w:color w:val="000000" w:themeColor="text1"/>
          <w:spacing w:val="-41"/>
          <w:szCs w:val="21"/>
        </w:rPr>
        <w:t xml:space="preserve"> </w:t>
      </w:r>
      <w:r>
        <w:rPr>
          <w:rFonts w:eastAsiaTheme="minorEastAsia"/>
          <w:b/>
          <w:color w:val="000000" w:themeColor="text1"/>
          <w:w w:val="99"/>
          <w:szCs w:val="21"/>
        </w:rPr>
        <w:t>要</w:t>
      </w:r>
      <w:r>
        <w:rPr>
          <w:rFonts w:eastAsiaTheme="minorEastAsia"/>
          <w:b/>
          <w:color w:val="000000" w:themeColor="text1"/>
          <w:spacing w:val="-41"/>
          <w:szCs w:val="21"/>
        </w:rPr>
        <w:t xml:space="preserve"> </w:t>
      </w:r>
      <w:r>
        <w:rPr>
          <w:rFonts w:eastAsiaTheme="minorEastAsia"/>
          <w:b/>
          <w:color w:val="000000" w:themeColor="text1"/>
          <w:w w:val="99"/>
          <w:szCs w:val="21"/>
        </w:rPr>
        <w:t>求</w:t>
      </w:r>
      <w:r>
        <w:rPr>
          <w:rFonts w:eastAsiaTheme="minorEastAsia"/>
          <w:b/>
          <w:color w:val="000000" w:themeColor="text1"/>
          <w:spacing w:val="-41"/>
          <w:szCs w:val="21"/>
        </w:rPr>
        <w:t xml:space="preserve"> </w:t>
      </w:r>
      <w:r>
        <w:rPr>
          <w:rFonts w:eastAsiaTheme="minorEastAsia"/>
          <w:b/>
          <w:color w:val="000000" w:themeColor="text1"/>
          <w:w w:val="99"/>
          <w:szCs w:val="21"/>
        </w:rPr>
        <w:t>（</w:t>
      </w:r>
      <w:r>
        <w:rPr>
          <w:rFonts w:eastAsiaTheme="minorEastAsia"/>
          <w:b/>
          <w:color w:val="000000" w:themeColor="text1"/>
          <w:spacing w:val="-41"/>
          <w:szCs w:val="21"/>
        </w:rPr>
        <w:t xml:space="preserve"> </w:t>
      </w:r>
      <w:r>
        <w:rPr>
          <w:rFonts w:eastAsiaTheme="minorEastAsia"/>
          <w:b/>
          <w:color w:val="000000" w:themeColor="text1"/>
          <w:szCs w:val="21"/>
        </w:rPr>
        <w:t>以</w:t>
      </w:r>
      <w:r>
        <w:rPr>
          <w:rFonts w:eastAsiaTheme="minorEastAsia"/>
          <w:b/>
          <w:color w:val="000000" w:themeColor="text1"/>
          <w:spacing w:val="15"/>
          <w:szCs w:val="21"/>
        </w:rPr>
        <w:t xml:space="preserve"> </w:t>
      </w:r>
      <w:r>
        <w:rPr>
          <w:rFonts w:eastAsiaTheme="minorEastAsia"/>
          <w:b/>
          <w:bCs/>
          <w:color w:val="000000" w:themeColor="text1"/>
          <w:w w:val="99"/>
          <w:szCs w:val="21"/>
        </w:rPr>
        <w:t>1</w:t>
      </w:r>
      <w:r>
        <w:rPr>
          <w:rFonts w:eastAsiaTheme="minorEastAsia"/>
          <w:b/>
          <w:bCs/>
          <w:color w:val="000000" w:themeColor="text1"/>
          <w:spacing w:val="-37"/>
          <w:szCs w:val="21"/>
        </w:rPr>
        <w:t xml:space="preserve"> </w:t>
      </w:r>
      <w:r>
        <w:rPr>
          <w:rFonts w:eastAsiaTheme="minorEastAsia"/>
          <w:b/>
          <w:bCs/>
          <w:color w:val="000000" w:themeColor="text1"/>
          <w:w w:val="99"/>
          <w:szCs w:val="21"/>
        </w:rPr>
        <w:t>m</w:t>
      </w:r>
      <w:r>
        <w:rPr>
          <w:rFonts w:hint="eastAsia" w:eastAsiaTheme="minorEastAsia"/>
          <w:b/>
          <w:bCs/>
          <w:color w:val="000000" w:themeColor="text1"/>
          <w:position w:val="7"/>
          <w:szCs w:val="21"/>
        </w:rPr>
        <w:t>3</w:t>
      </w:r>
      <w:r>
        <w:rPr>
          <w:rFonts w:eastAsiaTheme="minorEastAsia"/>
          <w:b/>
          <w:bCs/>
          <w:color w:val="000000" w:themeColor="text1"/>
          <w:spacing w:val="-9"/>
          <w:position w:val="7"/>
          <w:szCs w:val="21"/>
        </w:rPr>
        <w:t xml:space="preserve"> </w:t>
      </w:r>
      <w:r>
        <w:rPr>
          <w:rFonts w:eastAsiaTheme="minorEastAsia"/>
          <w:b/>
          <w:color w:val="000000" w:themeColor="text1"/>
          <w:w w:val="99"/>
          <w:szCs w:val="21"/>
        </w:rPr>
        <w:t>）</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1985"/>
        <w:gridCol w:w="1841"/>
        <w:gridCol w:w="1844"/>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spacing w:line="240" w:lineRule="auto"/>
              <w:jc w:val="center"/>
              <w:rPr>
                <w:rFonts w:eastAsiaTheme="minorEastAsia"/>
                <w:b/>
                <w:color w:val="000000" w:themeColor="text1"/>
                <w:szCs w:val="21"/>
              </w:rPr>
            </w:pPr>
            <w:r>
              <w:rPr>
                <w:rFonts w:hint="eastAsia" w:eastAsiaTheme="minorEastAsia"/>
                <w:b/>
                <w:color w:val="000000" w:themeColor="text1"/>
                <w:szCs w:val="21"/>
              </w:rPr>
              <w:t>原料配比</w:t>
            </w:r>
          </w:p>
        </w:tc>
        <w:tc>
          <w:tcPr>
            <w:tcW w:w="1089" w:type="pct"/>
            <w:vAlign w:val="center"/>
          </w:tcPr>
          <w:p>
            <w:pPr>
              <w:spacing w:line="240" w:lineRule="auto"/>
              <w:jc w:val="center"/>
              <w:rPr>
                <w:rFonts w:eastAsiaTheme="minorEastAsia"/>
                <w:b/>
                <w:color w:val="000000" w:themeColor="text1"/>
                <w:szCs w:val="21"/>
              </w:rPr>
            </w:pPr>
            <w:r>
              <w:rPr>
                <w:rFonts w:hint="eastAsia" w:eastAsiaTheme="minorEastAsia"/>
                <w:b/>
                <w:color w:val="000000" w:themeColor="text1"/>
                <w:szCs w:val="21"/>
              </w:rPr>
              <w:t>原料</w:t>
            </w:r>
          </w:p>
        </w:tc>
        <w:tc>
          <w:tcPr>
            <w:tcW w:w="1010" w:type="pct"/>
            <w:vAlign w:val="center"/>
          </w:tcPr>
          <w:p>
            <w:pPr>
              <w:spacing w:line="240" w:lineRule="auto"/>
              <w:jc w:val="center"/>
              <w:rPr>
                <w:rFonts w:eastAsiaTheme="minorEastAsia"/>
                <w:b/>
                <w:color w:val="000000" w:themeColor="text1"/>
                <w:szCs w:val="21"/>
              </w:rPr>
            </w:pPr>
            <w:r>
              <w:rPr>
                <w:rFonts w:hint="eastAsia" w:eastAsiaTheme="minorEastAsia"/>
                <w:b/>
                <w:color w:val="000000" w:themeColor="text1"/>
                <w:szCs w:val="21"/>
              </w:rPr>
              <w:t>稻壳</w:t>
            </w:r>
          </w:p>
        </w:tc>
        <w:tc>
          <w:tcPr>
            <w:tcW w:w="1011" w:type="pct"/>
            <w:vAlign w:val="center"/>
          </w:tcPr>
          <w:p>
            <w:pPr>
              <w:spacing w:line="240" w:lineRule="auto"/>
              <w:jc w:val="center"/>
              <w:rPr>
                <w:rFonts w:eastAsiaTheme="minorEastAsia"/>
                <w:b/>
                <w:color w:val="000000" w:themeColor="text1"/>
                <w:szCs w:val="21"/>
              </w:rPr>
            </w:pPr>
            <w:r>
              <w:rPr>
                <w:rFonts w:hint="eastAsia" w:eastAsiaTheme="minorEastAsia"/>
                <w:b/>
                <w:color w:val="000000" w:themeColor="text1"/>
                <w:szCs w:val="21"/>
              </w:rPr>
              <w:t>锯末</w:t>
            </w:r>
          </w:p>
        </w:tc>
        <w:tc>
          <w:tcPr>
            <w:tcW w:w="1129" w:type="pct"/>
            <w:vAlign w:val="center"/>
          </w:tcPr>
          <w:p>
            <w:pPr>
              <w:spacing w:line="240" w:lineRule="auto"/>
              <w:jc w:val="center"/>
              <w:rPr>
                <w:rFonts w:eastAsiaTheme="minorEastAsia"/>
                <w:b/>
                <w:color w:val="000000" w:themeColor="text1"/>
                <w:szCs w:val="21"/>
              </w:rPr>
            </w:pPr>
            <w:r>
              <w:rPr>
                <w:rFonts w:hint="eastAsia" w:eastAsiaTheme="minorEastAsia"/>
                <w:b/>
                <w:color w:val="000000" w:themeColor="text1"/>
                <w:szCs w:val="21"/>
              </w:rPr>
              <w:t>洛东U 洁菌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spacing w:line="240" w:lineRule="auto"/>
              <w:jc w:val="center"/>
              <w:rPr>
                <w:rFonts w:eastAsiaTheme="minorEastAsia"/>
                <w:b/>
                <w:color w:val="000000" w:themeColor="text1"/>
                <w:szCs w:val="21"/>
              </w:rPr>
            </w:pPr>
          </w:p>
        </w:tc>
        <w:tc>
          <w:tcPr>
            <w:tcW w:w="1089" w:type="pct"/>
            <w:vAlign w:val="center"/>
          </w:tcPr>
          <w:p>
            <w:pPr>
              <w:spacing w:line="240" w:lineRule="auto"/>
              <w:jc w:val="center"/>
              <w:rPr>
                <w:rFonts w:eastAsiaTheme="minorEastAsia"/>
                <w:b/>
                <w:color w:val="000000" w:themeColor="text1"/>
                <w:szCs w:val="21"/>
              </w:rPr>
            </w:pPr>
            <w:r>
              <w:rPr>
                <w:rFonts w:hint="eastAsia" w:eastAsiaTheme="minorEastAsia"/>
                <w:b/>
                <w:color w:val="000000" w:themeColor="text1"/>
                <w:szCs w:val="21"/>
              </w:rPr>
              <w:t>参数值</w:t>
            </w:r>
          </w:p>
        </w:tc>
        <w:tc>
          <w:tcPr>
            <w:tcW w:w="1010" w:type="pct"/>
            <w:vAlign w:val="center"/>
          </w:tcPr>
          <w:p>
            <w:pPr>
              <w:spacing w:line="240" w:lineRule="auto"/>
              <w:jc w:val="center"/>
              <w:rPr>
                <w:rFonts w:eastAsiaTheme="minorEastAsia"/>
                <w:b/>
                <w:color w:val="000000" w:themeColor="text1"/>
                <w:szCs w:val="21"/>
              </w:rPr>
            </w:pPr>
            <w:r>
              <w:rPr>
                <w:rFonts w:hint="eastAsia" w:eastAsiaTheme="minorEastAsia"/>
                <w:b/>
                <w:color w:val="000000" w:themeColor="text1"/>
                <w:szCs w:val="21"/>
              </w:rPr>
              <w:t>0.4m</w:t>
            </w:r>
            <w:r>
              <w:rPr>
                <w:rFonts w:hint="eastAsia" w:eastAsiaTheme="minorEastAsia"/>
                <w:b/>
                <w:color w:val="000000" w:themeColor="text1"/>
                <w:szCs w:val="21"/>
                <w:vertAlign w:val="superscript"/>
              </w:rPr>
              <w:t>3</w:t>
            </w:r>
          </w:p>
        </w:tc>
        <w:tc>
          <w:tcPr>
            <w:tcW w:w="1011" w:type="pct"/>
            <w:vAlign w:val="center"/>
          </w:tcPr>
          <w:p>
            <w:pPr>
              <w:spacing w:line="240" w:lineRule="auto"/>
              <w:jc w:val="center"/>
              <w:rPr>
                <w:rFonts w:eastAsiaTheme="minorEastAsia"/>
                <w:b/>
                <w:color w:val="000000" w:themeColor="text1"/>
                <w:szCs w:val="21"/>
              </w:rPr>
            </w:pPr>
            <w:r>
              <w:rPr>
                <w:rFonts w:hint="eastAsia" w:eastAsiaTheme="minorEastAsia"/>
                <w:b/>
                <w:color w:val="000000" w:themeColor="text1"/>
                <w:szCs w:val="21"/>
              </w:rPr>
              <w:t>0.6m</w:t>
            </w:r>
            <w:r>
              <w:rPr>
                <w:rFonts w:hint="eastAsia" w:eastAsiaTheme="minorEastAsia"/>
                <w:b/>
                <w:color w:val="000000" w:themeColor="text1"/>
                <w:szCs w:val="21"/>
                <w:vertAlign w:val="superscript"/>
              </w:rPr>
              <w:t>3</w:t>
            </w:r>
          </w:p>
        </w:tc>
        <w:tc>
          <w:tcPr>
            <w:tcW w:w="1129" w:type="pct"/>
            <w:vAlign w:val="center"/>
          </w:tcPr>
          <w:p>
            <w:pPr>
              <w:spacing w:line="240" w:lineRule="auto"/>
              <w:jc w:val="center"/>
              <w:rPr>
                <w:rFonts w:eastAsiaTheme="minorEastAsia"/>
                <w:b/>
                <w:color w:val="000000" w:themeColor="text1"/>
                <w:szCs w:val="21"/>
              </w:rPr>
            </w:pPr>
            <w:r>
              <w:rPr>
                <w:rFonts w:hint="eastAsia" w:eastAsiaTheme="minorEastAsia"/>
                <w:b/>
                <w:color w:val="000000" w:themeColor="text1"/>
                <w:szCs w:val="21"/>
              </w:rPr>
              <w:t>300g/m</w:t>
            </w:r>
            <w:r>
              <w:rPr>
                <w:rFonts w:hint="eastAsia" w:eastAsiaTheme="minorEastAsia"/>
                <w:b/>
                <w:color w:val="000000" w:themeColor="text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制作要求</w:t>
            </w:r>
          </w:p>
        </w:tc>
        <w:tc>
          <w:tcPr>
            <w:tcW w:w="1089" w:type="pc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均匀度</w:t>
            </w:r>
          </w:p>
        </w:tc>
        <w:tc>
          <w:tcPr>
            <w:tcW w:w="3149" w:type="pct"/>
            <w:gridSpan w:val="3"/>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各物质混合要均匀，特别是发酵菌与营养物质的混合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spacing w:line="240" w:lineRule="auto"/>
              <w:jc w:val="center"/>
              <w:rPr>
                <w:rFonts w:eastAsiaTheme="minorEastAsia"/>
                <w:color w:val="000000" w:themeColor="text1"/>
                <w:szCs w:val="21"/>
              </w:rPr>
            </w:pPr>
          </w:p>
        </w:tc>
        <w:tc>
          <w:tcPr>
            <w:tcW w:w="1089" w:type="pc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水分、pH</w:t>
            </w:r>
          </w:p>
        </w:tc>
        <w:tc>
          <w:tcPr>
            <w:tcW w:w="3149" w:type="pct"/>
            <w:gridSpan w:val="3"/>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垫料水分控制在45~50%，pH5~8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spacing w:line="240" w:lineRule="auto"/>
              <w:jc w:val="center"/>
              <w:rPr>
                <w:rFonts w:eastAsiaTheme="minorEastAsia"/>
                <w:color w:val="000000" w:themeColor="text1"/>
                <w:szCs w:val="21"/>
              </w:rPr>
            </w:pPr>
          </w:p>
        </w:tc>
        <w:tc>
          <w:tcPr>
            <w:tcW w:w="1089" w:type="pc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堆积温度</w:t>
            </w:r>
          </w:p>
        </w:tc>
        <w:tc>
          <w:tcPr>
            <w:tcW w:w="3149" w:type="pct"/>
            <w:gridSpan w:val="3"/>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正常堆积24 小时，35cm 深度的温度应升至45℃，72 小时</w:t>
            </w:r>
          </w:p>
          <w:p>
            <w:pPr>
              <w:spacing w:line="240" w:lineRule="auto"/>
              <w:jc w:val="center"/>
              <w:rPr>
                <w:rFonts w:eastAsiaTheme="minorEastAsia"/>
                <w:color w:val="000000" w:themeColor="text1"/>
                <w:szCs w:val="21"/>
              </w:rPr>
            </w:pPr>
            <w:r>
              <w:rPr>
                <w:rFonts w:hint="eastAsia" w:eastAsiaTheme="minorEastAsia"/>
                <w:color w:val="000000" w:themeColor="text1"/>
                <w:szCs w:val="21"/>
              </w:rPr>
              <w:t>应升至60℃以上，在此温度下保持48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spacing w:line="240" w:lineRule="auto"/>
              <w:jc w:val="center"/>
              <w:rPr>
                <w:rFonts w:eastAsiaTheme="minorEastAsia"/>
                <w:color w:val="000000" w:themeColor="text1"/>
                <w:szCs w:val="21"/>
              </w:rPr>
            </w:pPr>
          </w:p>
        </w:tc>
        <w:tc>
          <w:tcPr>
            <w:tcW w:w="1089" w:type="pc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堆积周期</w:t>
            </w:r>
          </w:p>
        </w:tc>
        <w:tc>
          <w:tcPr>
            <w:tcW w:w="3149" w:type="pct"/>
            <w:gridSpan w:val="3"/>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正常堆积5 天左右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spacing w:line="240" w:lineRule="auto"/>
              <w:jc w:val="center"/>
              <w:rPr>
                <w:rFonts w:eastAsiaTheme="minorEastAsia"/>
                <w:color w:val="000000" w:themeColor="text1"/>
                <w:szCs w:val="21"/>
              </w:rPr>
            </w:pPr>
          </w:p>
        </w:tc>
        <w:tc>
          <w:tcPr>
            <w:tcW w:w="1089" w:type="pc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发酵床配比</w:t>
            </w:r>
          </w:p>
        </w:tc>
        <w:tc>
          <w:tcPr>
            <w:tcW w:w="3149" w:type="pct"/>
            <w:gridSpan w:val="3"/>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按每头存栏生猪配套0.4~0.6m</w:t>
            </w:r>
            <w:r>
              <w:rPr>
                <w:rFonts w:hint="eastAsia" w:eastAsiaTheme="minorEastAsia"/>
                <w:color w:val="000000" w:themeColor="text1"/>
                <w:szCs w:val="21"/>
                <w:vertAlign w:val="superscript"/>
              </w:rPr>
              <w:t>3</w:t>
            </w:r>
            <w:r>
              <w:rPr>
                <w:rFonts w:hint="eastAsia" w:eastAsiaTheme="minorEastAsia"/>
                <w:color w:val="000000" w:themeColor="text1"/>
                <w:szCs w:val="21"/>
              </w:rPr>
              <w:t>发酵床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管理要求</w:t>
            </w:r>
          </w:p>
        </w:tc>
        <w:tc>
          <w:tcPr>
            <w:tcW w:w="1089" w:type="pc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布粪污</w:t>
            </w:r>
          </w:p>
        </w:tc>
        <w:tc>
          <w:tcPr>
            <w:tcW w:w="3149" w:type="pct"/>
            <w:gridSpan w:val="3"/>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采用自动喷污装置全自动喷污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spacing w:line="240" w:lineRule="auto"/>
              <w:jc w:val="center"/>
              <w:rPr>
                <w:rFonts w:eastAsiaTheme="minorEastAsia"/>
                <w:color w:val="000000" w:themeColor="text1"/>
                <w:szCs w:val="21"/>
              </w:rPr>
            </w:pPr>
          </w:p>
        </w:tc>
        <w:tc>
          <w:tcPr>
            <w:tcW w:w="1089" w:type="pc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翻动</w:t>
            </w:r>
          </w:p>
        </w:tc>
        <w:tc>
          <w:tcPr>
            <w:tcW w:w="3149" w:type="pct"/>
            <w:gridSpan w:val="3"/>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翻抛机模式：每天翻抛一次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spacing w:line="240" w:lineRule="auto"/>
              <w:jc w:val="center"/>
              <w:rPr>
                <w:rFonts w:eastAsiaTheme="minorEastAsia"/>
                <w:color w:val="000000" w:themeColor="text1"/>
                <w:szCs w:val="21"/>
              </w:rPr>
            </w:pPr>
          </w:p>
        </w:tc>
        <w:tc>
          <w:tcPr>
            <w:tcW w:w="1089" w:type="pc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温度</w:t>
            </w:r>
          </w:p>
        </w:tc>
        <w:tc>
          <w:tcPr>
            <w:tcW w:w="3149" w:type="pct"/>
            <w:gridSpan w:val="3"/>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正常垫料中部温度保持在60℃以上。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spacing w:line="240" w:lineRule="auto"/>
              <w:jc w:val="center"/>
              <w:rPr>
                <w:rFonts w:eastAsiaTheme="minorEastAsia"/>
                <w:color w:val="000000" w:themeColor="text1"/>
                <w:szCs w:val="21"/>
              </w:rPr>
            </w:pPr>
          </w:p>
        </w:tc>
        <w:tc>
          <w:tcPr>
            <w:tcW w:w="1089" w:type="pct"/>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菌剂补充</w:t>
            </w:r>
          </w:p>
        </w:tc>
        <w:tc>
          <w:tcPr>
            <w:tcW w:w="3149" w:type="pct"/>
            <w:gridSpan w:val="3"/>
            <w:vAlign w:val="center"/>
          </w:tcPr>
          <w:p>
            <w:pPr>
              <w:spacing w:line="240" w:lineRule="auto"/>
              <w:jc w:val="center"/>
              <w:rPr>
                <w:rFonts w:eastAsiaTheme="minorEastAsia"/>
                <w:color w:val="000000" w:themeColor="text1"/>
                <w:szCs w:val="21"/>
              </w:rPr>
            </w:pPr>
            <w:r>
              <w:rPr>
                <w:rFonts w:hint="eastAsia" w:eastAsiaTheme="minorEastAsia"/>
                <w:color w:val="000000" w:themeColor="text1"/>
                <w:szCs w:val="21"/>
              </w:rPr>
              <w:t>每日发酵菌补充量为20~30g/m</w:t>
            </w:r>
            <w:r>
              <w:rPr>
                <w:rFonts w:hint="eastAsia" w:eastAsiaTheme="minorEastAsia"/>
                <w:color w:val="000000" w:themeColor="text1"/>
                <w:szCs w:val="21"/>
                <w:vertAlign w:val="superscript"/>
              </w:rPr>
              <w:t>3</w:t>
            </w:r>
            <w:r>
              <w:rPr>
                <w:rFonts w:hint="eastAsia" w:eastAsiaTheme="minorEastAsia"/>
                <w:color w:val="000000" w:themeColor="text1"/>
                <w:szCs w:val="21"/>
              </w:rPr>
              <w:t>垫料，维持垫料发酵菌发酵</w:t>
            </w:r>
          </w:p>
          <w:p>
            <w:pPr>
              <w:spacing w:line="240" w:lineRule="auto"/>
              <w:jc w:val="center"/>
              <w:rPr>
                <w:rFonts w:eastAsiaTheme="minorEastAsia"/>
                <w:color w:val="000000" w:themeColor="text1"/>
                <w:szCs w:val="21"/>
              </w:rPr>
            </w:pPr>
            <w:r>
              <w:rPr>
                <w:rFonts w:hint="eastAsia" w:eastAsiaTheme="minorEastAsia"/>
                <w:color w:val="000000" w:themeColor="text1"/>
                <w:szCs w:val="21"/>
              </w:rPr>
              <w:t>高温优势。</w:t>
            </w:r>
          </w:p>
        </w:tc>
      </w:tr>
    </w:tbl>
    <w:p>
      <w:pPr>
        <w:spacing w:line="440" w:lineRule="exact"/>
        <w:jc w:val="center"/>
        <w:rPr>
          <w:rFonts w:eastAsiaTheme="minorEastAsia"/>
          <w:b/>
          <w:color w:val="000000" w:themeColor="text1"/>
          <w:szCs w:val="21"/>
        </w:rPr>
      </w:pPr>
    </w:p>
    <w:p>
      <w:pPr>
        <w:rPr>
          <w:color w:val="000000" w:themeColor="text1"/>
        </w:rPr>
        <w:sectPr>
          <w:pgSz w:w="11920" w:h="16840"/>
          <w:pgMar w:top="1200" w:right="1440" w:bottom="1180" w:left="1580" w:header="937" w:footer="995" w:gutter="0"/>
          <w:cols w:space="720" w:num="1"/>
        </w:sectPr>
      </w:pPr>
    </w:p>
    <w:p>
      <w:pPr>
        <w:spacing w:line="240" w:lineRule="auto"/>
        <w:ind w:left="1072" w:right="-20"/>
        <w:rPr>
          <w:rFonts w:eastAsiaTheme="minorEastAsia"/>
          <w:color w:val="000000" w:themeColor="text1"/>
          <w:sz w:val="20"/>
          <w:szCs w:val="20"/>
        </w:rPr>
      </w:pPr>
      <w:r>
        <w:rPr>
          <w:rFonts w:hint="eastAsia" w:eastAsiaTheme="minorEastAsia"/>
          <w:color w:val="000000" w:themeColor="text1"/>
          <w:sz w:val="20"/>
          <w:szCs w:val="20"/>
        </w:rPr>
        <w:drawing>
          <wp:inline distT="0" distB="0" distL="0" distR="0">
            <wp:extent cx="4206240" cy="2428240"/>
            <wp:effectExtent l="0" t="0" r="0" b="0"/>
            <wp:docPr id="8" name="图片 8" descr="F:\新建文件夹\AutoCAD_2015_Simplified_Chinese_Win_32bit_dlm\新平养殖\垫层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新建文件夹\AutoCAD_2015_Simplified_Chinese_Win_32bit_dlm\新平养殖\垫层示意图.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06240" cy="2428240"/>
                    </a:xfrm>
                    <a:prstGeom prst="rect">
                      <a:avLst/>
                    </a:prstGeom>
                    <a:noFill/>
                    <a:ln>
                      <a:noFill/>
                    </a:ln>
                  </pic:spPr>
                </pic:pic>
              </a:graphicData>
            </a:graphic>
          </wp:inline>
        </w:drawing>
      </w:r>
    </w:p>
    <w:p>
      <w:pPr>
        <w:spacing w:line="240" w:lineRule="auto"/>
        <w:ind w:right="-20"/>
        <w:jc w:val="center"/>
        <w:rPr>
          <w:rFonts w:eastAsiaTheme="minorEastAsia"/>
          <w:color w:val="000000" w:themeColor="text1"/>
          <w:sz w:val="20"/>
          <w:szCs w:val="20"/>
        </w:rPr>
      </w:pPr>
      <w:r>
        <w:rPr>
          <w:b/>
          <w:bCs/>
          <w:color w:val="000000" w:themeColor="text1"/>
          <w:szCs w:val="21"/>
        </w:rPr>
        <w:t>图3.2-</w:t>
      </w:r>
      <w:r>
        <w:rPr>
          <w:rFonts w:hint="eastAsia"/>
          <w:b/>
          <w:bCs/>
          <w:color w:val="000000" w:themeColor="text1"/>
          <w:szCs w:val="21"/>
        </w:rPr>
        <w:t>5  垫料铺设示意图</w:t>
      </w:r>
    </w:p>
    <w:p>
      <w:pPr>
        <w:spacing w:before="4" w:line="110" w:lineRule="exact"/>
        <w:rPr>
          <w:color w:val="000000" w:themeColor="text1"/>
          <w:sz w:val="11"/>
          <w:szCs w:val="11"/>
        </w:rPr>
      </w:pP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垫料由锯木、稻壳、洛东U 洁菌、玉米粉组成；垫料各组成原料要求如下：</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锯末标准：应当是新鲜、无霉变、无腐烂、无异味的原木生产的粉状木屑。凡是将木料通过熏蒸杀虫和油漆后锯末均不能使用。这些有毒物质对微生物有抑制和杀灭作用。（锯末质地较细，在垫料中的主要功能是保水，为微生物提供稳定的水源，其主要成分是纤维素和木质素，不易被微生物分解，故耐久耐用。能替代锯末的原料是树枝粉碎成粉等原料，各地区也可根据各地资源进行试验对比之后使用当地资源。）据设计公司多年实操经验，建议购买杨木、杉木等锯末，水分40% 以内，木屑1 吨大约4m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体积。</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稻壳标准：应当是新鲜、无霉变、无腐烂、无异味、不含有毒有害物质。（稻壳质地疏松，在垫料中的主要功能是起到疏松透气，为微生物提供氧气。其主要成分是纤维素，木质素和半纤维素，仍然不易被微生物分解而耐久。若无法提供足够稻壳， 可用花生壳或秸秆、稻草( 切段2-3cm) 替代稻壳总量的50% 以内。）根据设计公司多年实操经验，建议购买米厂脱粒机制作的整颗稻壳，稻壳1 吨大约8m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体积。</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洛东U洁菌：日本原装引进母菌，高纯度、高活性、高分解能力，中国市场应用10 年发酵床现场无臭、无苍蝇、分解快、温度高、无害化彻底、运行稳定。产品成分：枯草芽抱杆菌、溶脂型芽抱杆菌、啤酒酵母粉、脱脂米糠等，主要成分分析保证值：有效活菌总数≥5.0×l08 CFU/g，水分≤9%。</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玉米粉：新鲜无霉变、粉末状； 提供菌种激活时营养。可使用米糠或者新鲜粪便替代。</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②粪污喷淋要求</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将发酵基质一次性装填到发酵槽内，装填高度1.5~1.6 米，装填完毕后，按每立方米发酵基质喷淋粪污量不超过30 千克/天测算，将暂贮在粪污收集池中的粪污通过喷淋机一次或多次均匀地喷淋到发酵槽表面，多个发酵槽的可轮换错开喷淋时间；粪污与发酵基质混合后的水分含量以45%~50%为宜。</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③翻抛及其频率</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粪污喷淋后3~4小时，完全渗入基质内部后，方可开动翻抛机进行反跑；1~2 天翻抛1 次。</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④发酵温度及其周期</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粪污喷淋后经24小时的发酵，发酵槽表面以下35 厘米处的温度应上升至45℃左右，48小时后应升至60℃以上，在此温度下保持24小时后，再行下一次粪污喷淋。发酵周期约为5天。</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（3）发酵系统组成</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异位生物发酵系统包括预处理和槽式发酵系统两部分。</w:t>
      </w:r>
    </w:p>
    <w:p>
      <w:pPr>
        <w:pStyle w:val="132"/>
        <w:adjustRightInd w:val="0"/>
        <w:snapToGrid w:val="0"/>
        <w:ind w:firstLine="480"/>
        <w:rPr>
          <w:rFonts w:ascii="Times New Roman" w:hAnsi="Times New Roman" w:cs="Times New Roman"/>
          <w:color w:val="000000" w:themeColor="text1"/>
        </w:rPr>
      </w:pPr>
      <w:r>
        <w:rPr>
          <w:rFonts w:hint="eastAsia" w:ascii="宋体" w:hAnsi="宋体" w:cs="宋体"/>
          <w:color w:val="000000" w:themeColor="text1"/>
        </w:rPr>
        <w:t>①</w:t>
      </w:r>
      <w:r>
        <w:rPr>
          <w:rFonts w:ascii="Times New Roman" w:hAnsi="Times New Roman" w:cs="Times New Roman"/>
          <w:color w:val="000000" w:themeColor="text1"/>
        </w:rPr>
        <w:t>预处理系统</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集污池：共</w:t>
      </w:r>
      <w:r>
        <w:rPr>
          <w:rFonts w:hint="eastAsia" w:ascii="Times New Roman" w:hAnsi="Times New Roman" w:cs="Times New Roman"/>
          <w:color w:val="000000" w:themeColor="text1"/>
        </w:rPr>
        <w:t>1</w:t>
      </w:r>
      <w:r>
        <w:rPr>
          <w:rFonts w:ascii="Times New Roman" w:hAnsi="Times New Roman" w:cs="Times New Roman"/>
          <w:color w:val="000000" w:themeColor="text1"/>
        </w:rPr>
        <w:t>座，现浇地下式砼结构</w:t>
      </w:r>
      <w:r>
        <w:rPr>
          <w:rFonts w:hint="eastAsia" w:ascii="Times New Roman" w:hAnsi="Times New Roman" w:cs="Times New Roman"/>
          <w:color w:val="000000" w:themeColor="text1"/>
        </w:rPr>
        <w:t>，</w:t>
      </w:r>
      <w:r>
        <w:rPr>
          <w:rFonts w:ascii="Times New Roman" w:hAnsi="Times New Roman" w:cs="Times New Roman"/>
          <w:color w:val="000000" w:themeColor="text1"/>
        </w:rPr>
        <w:t>用于贮存污水，设置防雨棚。</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均质池：共</w:t>
      </w:r>
      <w:r>
        <w:rPr>
          <w:rFonts w:hint="eastAsia" w:ascii="Times New Roman" w:hAnsi="Times New Roman" w:cs="Times New Roman"/>
          <w:color w:val="000000" w:themeColor="text1"/>
        </w:rPr>
        <w:t>1</w:t>
      </w:r>
      <w:r>
        <w:rPr>
          <w:rFonts w:ascii="Times New Roman" w:hAnsi="Times New Roman" w:cs="Times New Roman"/>
          <w:color w:val="000000" w:themeColor="text1"/>
        </w:rPr>
        <w:t>座，现浇地下式砼结构</w:t>
      </w:r>
      <w:r>
        <w:rPr>
          <w:rFonts w:hint="eastAsia" w:ascii="Times New Roman" w:hAnsi="Times New Roman" w:cs="Times New Roman"/>
          <w:color w:val="000000" w:themeColor="text1"/>
        </w:rPr>
        <w:t>，</w:t>
      </w:r>
      <w:r>
        <w:rPr>
          <w:rFonts w:ascii="Times New Roman" w:hAnsi="Times New Roman" w:cs="Times New Roman"/>
          <w:color w:val="000000" w:themeColor="text1"/>
        </w:rPr>
        <w:t>用于粪污调匀，使得</w:t>
      </w:r>
      <w:r>
        <w:rPr>
          <w:rFonts w:hint="eastAsia" w:ascii="Times New Roman" w:hAnsi="Times New Roman" w:cs="Times New Roman"/>
          <w:color w:val="000000" w:themeColor="text1"/>
        </w:rPr>
        <w:t>猪粪</w:t>
      </w:r>
      <w:r>
        <w:rPr>
          <w:rFonts w:ascii="Times New Roman" w:hAnsi="Times New Roman" w:cs="Times New Roman"/>
          <w:color w:val="000000" w:themeColor="text1"/>
        </w:rPr>
        <w:t>与</w:t>
      </w:r>
      <w:r>
        <w:rPr>
          <w:rFonts w:hint="eastAsia" w:ascii="Times New Roman" w:hAnsi="Times New Roman" w:cs="Times New Roman"/>
          <w:color w:val="000000" w:themeColor="text1"/>
        </w:rPr>
        <w:t>污水</w:t>
      </w:r>
      <w:r>
        <w:rPr>
          <w:rFonts w:ascii="Times New Roman" w:hAnsi="Times New Roman" w:cs="Times New Roman"/>
          <w:color w:val="000000" w:themeColor="text1"/>
        </w:rPr>
        <w:t>混合均匀，池内安装搅拌装置和粪污泵，设置防雨棚。</w:t>
      </w:r>
    </w:p>
    <w:p>
      <w:pPr>
        <w:pStyle w:val="132"/>
        <w:adjustRightInd w:val="0"/>
        <w:snapToGrid w:val="0"/>
        <w:ind w:firstLine="480"/>
        <w:rPr>
          <w:rFonts w:ascii="宋体" w:hAnsi="宋体" w:cs="宋体"/>
          <w:color w:val="000000" w:themeColor="text1"/>
        </w:rPr>
      </w:pPr>
      <w:r>
        <w:rPr>
          <w:rFonts w:hint="eastAsia" w:ascii="宋体" w:hAnsi="宋体" w:cs="宋体"/>
          <w:color w:val="000000" w:themeColor="text1"/>
        </w:rPr>
        <w:t>②槽式发酵系统</w:t>
      </w:r>
    </w:p>
    <w:p>
      <w:pPr>
        <w:pStyle w:val="132"/>
        <w:adjustRightInd w:val="0"/>
        <w:snapToGrid w:val="0"/>
        <w:ind w:firstLine="480"/>
        <w:rPr>
          <w:rFonts w:ascii="Times New Roman" w:hAnsi="Times New Roman" w:cs="Times New Roman"/>
          <w:color w:val="000000" w:themeColor="text1"/>
        </w:rPr>
      </w:pPr>
      <w:r>
        <w:rPr>
          <w:rFonts w:hint="eastAsia" w:ascii="宋体" w:hAnsi="宋体" w:cs="宋体"/>
          <w:color w:val="000000" w:themeColor="text1"/>
        </w:rPr>
        <w:t>发</w:t>
      </w:r>
      <w:r>
        <w:rPr>
          <w:rFonts w:ascii="Times New Roman" w:hAnsi="Times New Roman" w:cs="Times New Roman"/>
          <w:color w:val="000000" w:themeColor="text1"/>
        </w:rPr>
        <w:t>酵车间设生物发酵床</w:t>
      </w:r>
      <w:r>
        <w:rPr>
          <w:rFonts w:hint="eastAsia" w:ascii="Times New Roman" w:hAnsi="Times New Roman" w:cs="Times New Roman"/>
          <w:color w:val="000000" w:themeColor="text1"/>
        </w:rPr>
        <w:t>5</w:t>
      </w:r>
      <w:r>
        <w:rPr>
          <w:rFonts w:ascii="Times New Roman" w:hAnsi="Times New Roman" w:cs="Times New Roman"/>
          <w:color w:val="000000" w:themeColor="text1"/>
        </w:rPr>
        <w:t>套，每套发酵床配备发酵槽</w:t>
      </w:r>
      <w:r>
        <w:rPr>
          <w:rFonts w:hint="eastAsia" w:ascii="Times New Roman" w:hAnsi="Times New Roman" w:cs="Times New Roman"/>
          <w:color w:val="000000" w:themeColor="text1"/>
        </w:rPr>
        <w:t>1</w:t>
      </w:r>
      <w:r>
        <w:rPr>
          <w:rFonts w:ascii="Times New Roman" w:hAnsi="Times New Roman" w:cs="Times New Roman"/>
          <w:color w:val="000000" w:themeColor="text1"/>
        </w:rPr>
        <w:t xml:space="preserve"> 条，集污渠1条。单条发酵槽槽长</w:t>
      </w:r>
      <w:r>
        <w:rPr>
          <w:rFonts w:hint="eastAsia" w:ascii="Times New Roman" w:hAnsi="Times New Roman" w:cs="Times New Roman"/>
          <w:color w:val="000000" w:themeColor="text1"/>
        </w:rPr>
        <w:t>10</w:t>
      </w:r>
      <w:r>
        <w:rPr>
          <w:rFonts w:ascii="Times New Roman" w:hAnsi="Times New Roman" w:cs="Times New Roman"/>
          <w:color w:val="000000" w:themeColor="text1"/>
        </w:rPr>
        <w:t>0m，宽度</w:t>
      </w:r>
      <w:r>
        <w:rPr>
          <w:rFonts w:hint="eastAsia" w:ascii="Times New Roman" w:hAnsi="Times New Roman" w:cs="Times New Roman"/>
          <w:color w:val="000000" w:themeColor="text1"/>
        </w:rPr>
        <w:t>5</w:t>
      </w:r>
      <w:r>
        <w:rPr>
          <w:rFonts w:ascii="Times New Roman" w:hAnsi="Times New Roman" w:cs="Times New Roman"/>
          <w:color w:val="000000" w:themeColor="text1"/>
        </w:rPr>
        <w:t>m，槽深1.65m；集污渠槽长</w:t>
      </w:r>
      <w:r>
        <w:rPr>
          <w:rFonts w:hint="eastAsia" w:ascii="Times New Roman" w:hAnsi="Times New Roman" w:cs="Times New Roman"/>
          <w:color w:val="000000" w:themeColor="text1"/>
        </w:rPr>
        <w:t>8</w:t>
      </w:r>
      <w:r>
        <w:rPr>
          <w:rFonts w:ascii="Times New Roman" w:hAnsi="Times New Roman" w:cs="Times New Roman"/>
          <w:color w:val="000000" w:themeColor="text1"/>
        </w:rPr>
        <w:t>0m，有效宽度1.00m，深1.65m。发酵槽用于装填垫料，整体垫料厚度1.5m，槽上部安装轻轨；集污渠用于收集粪污水。配套机械：自动翻耙机，自动喷污机，移行车。</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根据环境保护部发布的“关于印发《"十二五"主要污染物总量减排核算细则》的通知”文件中的规定设计，一般情况下，每10头猪（出栏）粪便堆场所所需容积约为1m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。项目年出栏生猪25000头，则项目发酵车间发酵槽容积不得小于2500m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。项目单条发酵槽容积为825m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，工设置发酵床5套，总容积为4125m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，发酵槽总容积满足“关于印发《"十二五"主要污染物总量减排核算细则》的通知”文件要求。</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 xml:space="preserve">废水经收集后利用潜水泵均匀喷在垫料土，加入适宜的专用菌种，进行充分发酵，中心发酵层温度可达60 </w:t>
      </w:r>
      <w:r>
        <w:rPr>
          <w:rFonts w:hint="eastAsia" w:ascii="宋体" w:hAnsi="宋体" w:cs="宋体"/>
          <w:color w:val="000000" w:themeColor="text1"/>
        </w:rPr>
        <w:t>℃</w:t>
      </w:r>
      <w:r>
        <w:rPr>
          <w:rFonts w:ascii="Times New Roman" w:hAnsi="Times New Roman" w:cs="Times New Roman"/>
          <w:color w:val="000000" w:themeColor="text1"/>
        </w:rPr>
        <w:t>以上，通过水分蒸发、有机物分解成气体，使猪粪、尿等有机物质得到充分的分解和转化，留下少量的残渣变成有机肥。</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据福建洛东生物技术有限公司多年运行管理经验，每10t 粪污水可出1t 有机肥（水分30% 以内，有机质75%以上、氮磷钾3%以上）。</w:t>
      </w:r>
      <w:r>
        <w:rPr>
          <w:rFonts w:hint="eastAsia" w:ascii="Times New Roman" w:hAnsi="Times New Roman" w:cs="Times New Roman"/>
          <w:color w:val="000000" w:themeColor="text1"/>
        </w:rPr>
        <w:t>项目粪污水处理量为76.34t/d、27864.1t/a，则有机肥产生量为7.63t/d、2786.4t/a。</w:t>
      </w:r>
    </w:p>
    <w:p>
      <w:pPr>
        <w:pStyle w:val="4"/>
        <w:spacing w:before="0" w:after="0" w:line="360" w:lineRule="auto"/>
        <w:rPr>
          <w:color w:val="000000" w:themeColor="text1"/>
        </w:rPr>
      </w:pPr>
      <w:bookmarkStart w:id="232" w:name="_Toc510547289"/>
      <w:bookmarkStart w:id="233" w:name="OLE_LINK2"/>
      <w:bookmarkStart w:id="234" w:name="OLE_LINK1"/>
      <w:r>
        <w:rPr>
          <w:color w:val="000000" w:themeColor="text1"/>
        </w:rPr>
        <w:t>3.2.</w:t>
      </w:r>
      <w:r>
        <w:rPr>
          <w:rFonts w:hint="eastAsia"/>
          <w:color w:val="000000" w:themeColor="text1"/>
        </w:rPr>
        <w:t>3</w:t>
      </w:r>
      <w:r>
        <w:rPr>
          <w:color w:val="000000" w:themeColor="text1"/>
        </w:rPr>
        <w:t>污水处理工艺</w:t>
      </w:r>
      <w:bookmarkEnd w:id="232"/>
    </w:p>
    <w:bookmarkEnd w:id="233"/>
    <w:bookmarkEnd w:id="234"/>
    <w:p>
      <w:pPr>
        <w:adjustRightInd w:val="0"/>
        <w:snapToGrid w:val="0"/>
        <w:ind w:firstLine="480" w:firstLineChars="200"/>
        <w:rPr>
          <w:color w:val="000000" w:themeColor="text1"/>
          <w:sz w:val="24"/>
        </w:rPr>
      </w:pPr>
      <w:r>
        <w:rPr>
          <w:rFonts w:hint="eastAsia"/>
          <w:color w:val="000000" w:themeColor="text1"/>
          <w:sz w:val="24"/>
        </w:rPr>
        <w:t>根据建设单位提供资料，建设单位拟计划采用《畜禽养殖业污染治理工程技术规范》（HJ497-2009）中模式Ⅰ处理方式对项目养殖场废水进行综合处理。</w:t>
      </w:r>
    </w:p>
    <w:p>
      <w:pPr>
        <w:adjustRightInd w:val="0"/>
        <w:snapToGrid w:val="0"/>
        <w:ind w:firstLine="420" w:firstLineChars="200"/>
        <w:jc w:val="center"/>
        <w:rPr>
          <w:color w:val="000000" w:themeColor="text1"/>
          <w:sz w:val="24"/>
        </w:rPr>
      </w:pPr>
      <w:bookmarkStart w:id="235" w:name="OLE_LINK10"/>
      <w:bookmarkStart w:id="236" w:name="OLE_LINK11"/>
      <w:r>
        <w:rPr>
          <w:color w:val="000000" w:themeColor="text1"/>
        </w:rPr>
        <w:drawing>
          <wp:inline distT="0" distB="0" distL="0" distR="0">
            <wp:extent cx="3804285" cy="4363720"/>
            <wp:effectExtent l="0" t="0" r="0" b="0"/>
            <wp:docPr id="5" name="图片 5" descr="F:\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804633" cy="4364503"/>
                    </a:xfrm>
                    <a:prstGeom prst="rect">
                      <a:avLst/>
                    </a:prstGeom>
                    <a:noFill/>
                    <a:ln>
                      <a:noFill/>
                    </a:ln>
                  </pic:spPr>
                </pic:pic>
              </a:graphicData>
            </a:graphic>
          </wp:inline>
        </w:drawing>
      </w:r>
    </w:p>
    <w:p>
      <w:pPr>
        <w:adjustRightInd w:val="0"/>
        <w:snapToGrid w:val="0"/>
        <w:ind w:firstLine="422" w:firstLineChars="200"/>
        <w:jc w:val="center"/>
        <w:rPr>
          <w:b/>
          <w:color w:val="000000" w:themeColor="text1"/>
          <w:szCs w:val="21"/>
        </w:rPr>
      </w:pPr>
      <w:r>
        <w:rPr>
          <w:b/>
          <w:color w:val="000000" w:themeColor="text1"/>
          <w:szCs w:val="21"/>
        </w:rPr>
        <w:t>图3.2-</w:t>
      </w:r>
      <w:r>
        <w:rPr>
          <w:rFonts w:hint="eastAsia"/>
          <w:b/>
          <w:color w:val="000000" w:themeColor="text1"/>
          <w:szCs w:val="21"/>
        </w:rPr>
        <w:t xml:space="preserve">4  </w:t>
      </w:r>
      <w:r>
        <w:rPr>
          <w:b/>
          <w:color w:val="000000" w:themeColor="text1"/>
          <w:szCs w:val="21"/>
        </w:rPr>
        <w:t>污水处理工艺流程</w:t>
      </w:r>
    </w:p>
    <w:bookmarkEnd w:id="235"/>
    <w:bookmarkEnd w:id="236"/>
    <w:p>
      <w:pPr>
        <w:adjustRightInd w:val="0"/>
        <w:snapToGrid w:val="0"/>
        <w:ind w:firstLine="480" w:firstLineChars="200"/>
        <w:rPr>
          <w:color w:val="000000" w:themeColor="text1"/>
          <w:sz w:val="24"/>
        </w:rPr>
      </w:pPr>
      <w:r>
        <w:rPr>
          <w:rFonts w:hint="eastAsia"/>
          <w:color w:val="000000" w:themeColor="text1"/>
          <w:sz w:val="24"/>
        </w:rPr>
        <w:t>工艺简介：</w:t>
      </w:r>
    </w:p>
    <w:p>
      <w:pPr>
        <w:adjustRightInd w:val="0"/>
        <w:snapToGrid w:val="0"/>
        <w:ind w:firstLine="480" w:firstLineChars="200"/>
        <w:rPr>
          <w:color w:val="000000" w:themeColor="text1"/>
          <w:sz w:val="24"/>
        </w:rPr>
      </w:pPr>
      <w:r>
        <w:rPr>
          <w:color w:val="000000" w:themeColor="text1"/>
          <w:sz w:val="24"/>
        </w:rPr>
        <w:t>（1）</w:t>
      </w:r>
      <w:r>
        <w:rPr>
          <w:rFonts w:hint="eastAsia"/>
          <w:color w:val="000000" w:themeColor="text1"/>
          <w:sz w:val="24"/>
        </w:rPr>
        <w:t>预处理工艺</w:t>
      </w:r>
    </w:p>
    <w:p>
      <w:pPr>
        <w:adjustRightInd w:val="0"/>
        <w:snapToGrid w:val="0"/>
        <w:ind w:firstLine="480" w:firstLineChars="200"/>
        <w:rPr>
          <w:color w:val="000000" w:themeColor="text1"/>
          <w:sz w:val="24"/>
        </w:rPr>
      </w:pPr>
      <w:r>
        <w:rPr>
          <w:rFonts w:hint="eastAsia"/>
          <w:color w:val="000000" w:themeColor="text1"/>
          <w:sz w:val="24"/>
        </w:rPr>
        <w:t>良好的预处理是猪场废水处理的前提保证。粪便污水先进入集水池，格栅除去其他杂质进入调节池进行搅拌，搅拌均匀后进入地上式中温厌氧消化罐。</w:t>
      </w:r>
    </w:p>
    <w:p>
      <w:pPr>
        <w:adjustRightInd w:val="0"/>
        <w:snapToGrid w:val="0"/>
        <w:ind w:firstLine="480" w:firstLineChars="200"/>
        <w:rPr>
          <w:color w:val="000000" w:themeColor="text1"/>
          <w:sz w:val="24"/>
        </w:rPr>
      </w:pPr>
      <w:r>
        <w:rPr>
          <w:rFonts w:hint="eastAsia"/>
          <w:color w:val="000000" w:themeColor="text1"/>
          <w:sz w:val="24"/>
        </w:rPr>
        <w:t>（2）厌氧消化</w:t>
      </w:r>
    </w:p>
    <w:p>
      <w:pPr>
        <w:adjustRightInd w:val="0"/>
        <w:snapToGrid w:val="0"/>
        <w:ind w:firstLine="480" w:firstLineChars="200"/>
        <w:rPr>
          <w:color w:val="000000" w:themeColor="text1"/>
          <w:sz w:val="24"/>
        </w:rPr>
      </w:pPr>
      <w:r>
        <w:rPr>
          <w:rFonts w:hint="eastAsia"/>
          <w:color w:val="000000" w:themeColor="text1"/>
          <w:sz w:val="24"/>
        </w:rPr>
        <w:t>工艺设计采用基于“完全混合式厌氧反应发酵(CSTR)”方式的猪场粪污处理方法，针对原料的特点，调节提高污水浓度后进入中温厌氧消化罐消化处理的工艺。</w:t>
      </w:r>
    </w:p>
    <w:p>
      <w:pPr>
        <w:adjustRightInd w:val="0"/>
        <w:snapToGrid w:val="0"/>
        <w:ind w:firstLine="480" w:firstLineChars="200"/>
        <w:rPr>
          <w:color w:val="000000" w:themeColor="text1"/>
          <w:sz w:val="24"/>
        </w:rPr>
      </w:pPr>
      <w:r>
        <w:rPr>
          <w:rFonts w:hint="eastAsia"/>
          <w:color w:val="000000" w:themeColor="text1"/>
          <w:sz w:val="24"/>
        </w:rPr>
        <w:t>CSTR工艺是在一个密闭罐体内完成料液的发酵、沼气产生的过程。消化器内安装有搅拌装置，使发酵原料和微生物处于完全混合状态。投料方式采用恒温连续投料运行。新进入的原料由于搅拌作用很快与发酵器内的全部发酵液菌种混合，使发酵底物浓度始终保持相对较低状态。</w:t>
      </w:r>
    </w:p>
    <w:p>
      <w:pPr>
        <w:adjustRightInd w:val="0"/>
        <w:snapToGrid w:val="0"/>
        <w:ind w:firstLine="480" w:firstLineChars="200"/>
        <w:rPr>
          <w:color w:val="000000" w:themeColor="text1"/>
          <w:sz w:val="24"/>
        </w:rPr>
      </w:pPr>
      <w:r>
        <w:rPr>
          <w:rFonts w:hint="eastAsia"/>
          <w:color w:val="000000" w:themeColor="text1"/>
          <w:sz w:val="24"/>
        </w:rPr>
        <w:t>中温厌氧发酵罐有效容积1500m</w:t>
      </w:r>
      <w:r>
        <w:rPr>
          <w:rFonts w:hint="eastAsia"/>
          <w:color w:val="000000" w:themeColor="text1"/>
          <w:sz w:val="24"/>
          <w:vertAlign w:val="superscript"/>
        </w:rPr>
        <w:t>3</w:t>
      </w:r>
      <w:r>
        <w:rPr>
          <w:rFonts w:hint="eastAsia"/>
          <w:color w:val="000000" w:themeColor="text1"/>
          <w:sz w:val="24"/>
        </w:rPr>
        <w:t>，最大处理料液量70t/d，进料TS为11%。发酵罐中发酵温度控制在</w:t>
      </w:r>
      <w:r>
        <w:rPr>
          <w:color w:val="000000" w:themeColor="text1"/>
          <w:sz w:val="24"/>
        </w:rPr>
        <w:t>35</w:t>
      </w:r>
      <w:r>
        <w:rPr>
          <w:rFonts w:hint="eastAsia"/>
          <w:color w:val="000000" w:themeColor="text1"/>
          <w:sz w:val="24"/>
        </w:rPr>
        <w:t>±</w:t>
      </w:r>
      <w:r>
        <w:rPr>
          <w:color w:val="000000" w:themeColor="text1"/>
          <w:sz w:val="24"/>
        </w:rPr>
        <w:t xml:space="preserve">2 </w:t>
      </w:r>
      <w:r>
        <w:rPr>
          <w:rFonts w:hint="eastAsia"/>
          <w:color w:val="000000" w:themeColor="text1"/>
          <w:sz w:val="24"/>
        </w:rPr>
        <w:t>℃，水力停留时间为21d。</w:t>
      </w:r>
    </w:p>
    <w:p>
      <w:pPr>
        <w:adjustRightInd w:val="0"/>
        <w:snapToGrid w:val="0"/>
        <w:ind w:firstLine="480" w:firstLineChars="200"/>
        <w:rPr>
          <w:color w:val="000000" w:themeColor="text1"/>
          <w:sz w:val="24"/>
        </w:rPr>
      </w:pPr>
      <w:r>
        <w:rPr>
          <w:rFonts w:hint="eastAsia"/>
          <w:color w:val="000000" w:themeColor="text1"/>
          <w:sz w:val="24"/>
        </w:rPr>
        <w:t>完全混合式中温厌氧消化工艺（CSTR具有适应性广，抗冲击负荷能力较强、不易堵塞、不结壳、处理效果稳定等优点，广泛应用于屠宰废水，牛、猪、鸡等养殖场中畜禽粪便的处理和沼气生产、发电工程</w:t>
      </w:r>
      <w:r>
        <w:rPr>
          <w:color w:val="000000" w:themeColor="text1"/>
          <w:sz w:val="24"/>
        </w:rPr>
        <w:t>。</w:t>
      </w:r>
    </w:p>
    <w:p>
      <w:pPr>
        <w:pStyle w:val="4"/>
        <w:spacing w:before="0" w:after="0" w:line="360" w:lineRule="auto"/>
        <w:rPr>
          <w:color w:val="000000" w:themeColor="text1"/>
        </w:rPr>
      </w:pPr>
      <w:r>
        <w:rPr>
          <w:color w:val="000000" w:themeColor="text1"/>
        </w:rPr>
        <w:t>3.2.</w:t>
      </w:r>
      <w:r>
        <w:rPr>
          <w:rFonts w:hint="eastAsia"/>
          <w:color w:val="000000" w:themeColor="text1"/>
        </w:rPr>
        <w:t>4沼气利用</w:t>
      </w:r>
    </w:p>
    <w:p>
      <w:pPr>
        <w:adjustRightInd w:val="0"/>
        <w:snapToGrid w:val="0"/>
        <w:ind w:firstLine="480" w:firstLineChars="200"/>
        <w:rPr>
          <w:color w:val="000000" w:themeColor="text1"/>
          <w:sz w:val="24"/>
        </w:rPr>
      </w:pPr>
      <w:r>
        <w:rPr>
          <w:color w:val="000000" w:themeColor="text1"/>
          <w:sz w:val="24"/>
        </w:rPr>
        <w:t>沼气作为一种新兴能源其应用越来越广泛，项目沼气从</w:t>
      </w:r>
      <w:r>
        <w:rPr>
          <w:rFonts w:hint="eastAsia"/>
          <w:color w:val="000000" w:themeColor="text1"/>
          <w:sz w:val="24"/>
        </w:rPr>
        <w:t>中文</w:t>
      </w:r>
      <w:r>
        <w:rPr>
          <w:color w:val="000000" w:themeColor="text1"/>
          <w:sz w:val="24"/>
        </w:rPr>
        <w:t>厌氧发酵装置产出时，水与沼气中的H</w:t>
      </w:r>
      <w:r>
        <w:rPr>
          <w:color w:val="000000" w:themeColor="text1"/>
          <w:sz w:val="24"/>
          <w:vertAlign w:val="subscript"/>
        </w:rPr>
        <w:t>2</w:t>
      </w:r>
      <w:r>
        <w:rPr>
          <w:color w:val="000000" w:themeColor="text1"/>
          <w:sz w:val="24"/>
        </w:rPr>
        <w:t>S共同作用，加速了金属管道、阀门和流量计的腐蚀和堵塞。另外H</w:t>
      </w:r>
      <w:r>
        <w:rPr>
          <w:color w:val="000000" w:themeColor="text1"/>
          <w:sz w:val="24"/>
          <w:vertAlign w:val="subscript"/>
        </w:rPr>
        <w:t>2</w:t>
      </w:r>
      <w:r>
        <w:rPr>
          <w:color w:val="000000" w:themeColor="text1"/>
          <w:sz w:val="24"/>
        </w:rPr>
        <w:t>S燃烧后生成的SO</w:t>
      </w:r>
      <w:r>
        <w:rPr>
          <w:color w:val="000000" w:themeColor="text1"/>
          <w:sz w:val="24"/>
          <w:vertAlign w:val="subscript"/>
        </w:rPr>
        <w:t>2</w:t>
      </w:r>
      <w:r>
        <w:rPr>
          <w:color w:val="000000" w:themeColor="text1"/>
          <w:sz w:val="24"/>
        </w:rPr>
        <w:t>，与燃烧产物中的水蒸气结合成亚硫酸，使设备的金属表面产生腐蚀，并且还会造成对大气环境的污染。因此，项目在使用沼气之前，必须脱除其中的H</w:t>
      </w:r>
      <w:r>
        <w:rPr>
          <w:color w:val="000000" w:themeColor="text1"/>
          <w:sz w:val="24"/>
          <w:vertAlign w:val="subscript"/>
        </w:rPr>
        <w:t>2</w:t>
      </w:r>
      <w:r>
        <w:rPr>
          <w:color w:val="000000" w:themeColor="text1"/>
          <w:sz w:val="24"/>
        </w:rPr>
        <w:t>S。</w:t>
      </w:r>
    </w:p>
    <w:p>
      <w:pPr>
        <w:adjustRightInd w:val="0"/>
        <w:snapToGrid w:val="0"/>
        <w:ind w:firstLine="480" w:firstLineChars="200"/>
        <w:rPr>
          <w:color w:val="000000" w:themeColor="text1"/>
          <w:sz w:val="24"/>
        </w:rPr>
      </w:pPr>
      <w:r>
        <w:rPr>
          <w:color w:val="000000" w:themeColor="text1"/>
          <w:sz w:val="24"/>
        </w:rPr>
        <w:t>目前常用的沼气脱硫方法有干法脱硫、湿法脱硫、生物法脱硫等几种脱硫方法。项目拟采用干法脱硫。干发脱硫是一种简易、高效、相对低成本的脱硫方式，适合用于沼气量小，硫化氢浓度低的沼气脱硫。</w:t>
      </w:r>
    </w:p>
    <w:p>
      <w:pPr>
        <w:adjustRightInd w:val="0"/>
        <w:snapToGrid w:val="0"/>
        <w:ind w:firstLine="480" w:firstLineChars="200"/>
        <w:rPr>
          <w:color w:val="000000" w:themeColor="text1"/>
          <w:sz w:val="24"/>
        </w:rPr>
      </w:pPr>
      <w:r>
        <w:rPr>
          <w:color w:val="000000" w:themeColor="text1"/>
          <w:sz w:val="24"/>
        </w:rPr>
        <w:t>脱硫设备：</w:t>
      </w:r>
      <w:r>
        <w:rPr>
          <w:rFonts w:hint="eastAsia"/>
          <w:color w:val="000000" w:themeColor="text1"/>
          <w:sz w:val="24"/>
        </w:rPr>
        <w:t>2</w:t>
      </w:r>
      <w:r>
        <w:rPr>
          <w:color w:val="000000" w:themeColor="text1"/>
          <w:sz w:val="24"/>
        </w:rPr>
        <w:t>套干法脱硫塔，型号：T</w:t>
      </w:r>
      <w:r>
        <w:rPr>
          <w:rFonts w:hint="eastAsia"/>
          <w:color w:val="000000" w:themeColor="text1"/>
          <w:sz w:val="24"/>
        </w:rPr>
        <w:t>S</w:t>
      </w:r>
      <w:r>
        <w:rPr>
          <w:color w:val="000000" w:themeColor="text1"/>
          <w:sz w:val="24"/>
        </w:rPr>
        <w:t>-</w:t>
      </w:r>
      <w:r>
        <w:rPr>
          <w:rFonts w:hint="eastAsia"/>
          <w:color w:val="000000" w:themeColor="text1"/>
          <w:sz w:val="24"/>
        </w:rPr>
        <w:t>10</w:t>
      </w:r>
      <w:r>
        <w:rPr>
          <w:color w:val="000000" w:themeColor="text1"/>
          <w:sz w:val="24"/>
        </w:rPr>
        <w:t>00</w:t>
      </w:r>
      <w:r>
        <w:rPr>
          <w:rFonts w:hint="eastAsia"/>
          <w:color w:val="000000" w:themeColor="text1"/>
          <w:sz w:val="24"/>
        </w:rPr>
        <w:t>，单个脱硫能力</w:t>
      </w:r>
      <w:r>
        <w:rPr>
          <w:color w:val="000000" w:themeColor="text1"/>
          <w:sz w:val="24"/>
        </w:rPr>
        <w:t>30~40m</w:t>
      </w:r>
      <w:r>
        <w:rPr>
          <w:color w:val="000000" w:themeColor="text1"/>
          <w:sz w:val="24"/>
          <w:vertAlign w:val="superscript"/>
        </w:rPr>
        <w:t>3</w:t>
      </w:r>
      <w:r>
        <w:rPr>
          <w:color w:val="000000" w:themeColor="text1"/>
          <w:sz w:val="24"/>
        </w:rPr>
        <w:t>/h。采用干式脱硫技术，装置采用2mm厚度的SUS304不锈钢和其它防腐材料，内设散气孔和排水阀。沼气采用内循环均匀布气，沼气与脱硫剂可缓慢、充分接触，脱硫效果好，一次装料可用60～90天。</w:t>
      </w:r>
    </w:p>
    <w:p>
      <w:pPr>
        <w:adjustRightInd w:val="0"/>
        <w:snapToGrid w:val="0"/>
        <w:ind w:firstLine="480" w:firstLineChars="200"/>
        <w:rPr>
          <w:color w:val="000000" w:themeColor="text1"/>
          <w:sz w:val="24"/>
        </w:rPr>
      </w:pPr>
      <w:r>
        <w:rPr>
          <w:color w:val="000000" w:themeColor="text1"/>
          <w:sz w:val="24"/>
        </w:rPr>
        <w:t>原理：以O</w:t>
      </w:r>
      <w:r>
        <w:rPr>
          <w:color w:val="000000" w:themeColor="text1"/>
          <w:sz w:val="24"/>
          <w:vertAlign w:val="subscript"/>
        </w:rPr>
        <w:t>2</w:t>
      </w:r>
      <w:r>
        <w:rPr>
          <w:color w:val="000000" w:themeColor="text1"/>
          <w:sz w:val="24"/>
        </w:rPr>
        <w:t>使H</w:t>
      </w:r>
      <w:r>
        <w:rPr>
          <w:color w:val="000000" w:themeColor="text1"/>
          <w:sz w:val="24"/>
          <w:vertAlign w:val="subscript"/>
        </w:rPr>
        <w:t>2</w:t>
      </w:r>
      <w:r>
        <w:rPr>
          <w:color w:val="000000" w:themeColor="text1"/>
          <w:sz w:val="24"/>
        </w:rPr>
        <w:t>S氧化成硫或硫氧化物，气体在穿过脱硫填料层到达顶端的过程中，H</w:t>
      </w:r>
      <w:r>
        <w:rPr>
          <w:color w:val="000000" w:themeColor="text1"/>
          <w:sz w:val="24"/>
          <w:vertAlign w:val="subscript"/>
        </w:rPr>
        <w:t>2</w:t>
      </w:r>
      <w:r>
        <w:rPr>
          <w:color w:val="000000" w:themeColor="text1"/>
          <w:sz w:val="24"/>
        </w:rPr>
        <w:t>S与脱硫剂发生以下的化学反应：</w:t>
      </w:r>
    </w:p>
    <w:p>
      <w:pPr>
        <w:adjustRightInd w:val="0"/>
        <w:snapToGrid w:val="0"/>
        <w:ind w:firstLine="480" w:firstLineChars="200"/>
        <w:rPr>
          <w:color w:val="000000" w:themeColor="text1"/>
          <w:sz w:val="24"/>
        </w:rPr>
      </w:pPr>
      <w:r>
        <w:rPr>
          <w:color w:val="000000" w:themeColor="text1"/>
          <w:sz w:val="24"/>
        </w:rPr>
        <w:t>第一步: Fe</w:t>
      </w:r>
      <w:r>
        <w:rPr>
          <w:color w:val="000000" w:themeColor="text1"/>
          <w:sz w:val="24"/>
          <w:vertAlign w:val="subscript"/>
        </w:rPr>
        <w:t>2</w:t>
      </w:r>
      <w:r>
        <w:rPr>
          <w:color w:val="000000" w:themeColor="text1"/>
          <w:sz w:val="24"/>
        </w:rPr>
        <w:t>O</w:t>
      </w:r>
      <w:r>
        <w:rPr>
          <w:color w:val="000000" w:themeColor="text1"/>
          <w:sz w:val="24"/>
          <w:vertAlign w:val="subscript"/>
        </w:rPr>
        <w:t>3</w:t>
      </w:r>
      <w:r>
        <w:rPr>
          <w:color w:val="000000" w:themeColor="text1"/>
          <w:sz w:val="24"/>
        </w:rPr>
        <w:t>•H</w:t>
      </w:r>
      <w:r>
        <w:rPr>
          <w:color w:val="000000" w:themeColor="text1"/>
          <w:sz w:val="24"/>
          <w:vertAlign w:val="subscript"/>
        </w:rPr>
        <w:t>2</w:t>
      </w:r>
      <w:r>
        <w:rPr>
          <w:color w:val="000000" w:themeColor="text1"/>
          <w:sz w:val="24"/>
        </w:rPr>
        <w:t>O +3H</w:t>
      </w:r>
      <w:r>
        <w:rPr>
          <w:color w:val="000000" w:themeColor="text1"/>
          <w:sz w:val="24"/>
          <w:vertAlign w:val="subscript"/>
        </w:rPr>
        <w:t>2</w:t>
      </w:r>
      <w:r>
        <w:rPr>
          <w:color w:val="000000" w:themeColor="text1"/>
          <w:sz w:val="24"/>
        </w:rPr>
        <w:t>S =Fe</w:t>
      </w:r>
      <w:r>
        <w:rPr>
          <w:color w:val="000000" w:themeColor="text1"/>
          <w:sz w:val="24"/>
          <w:vertAlign w:val="subscript"/>
        </w:rPr>
        <w:t>2</w:t>
      </w:r>
      <w:r>
        <w:rPr>
          <w:color w:val="000000" w:themeColor="text1"/>
          <w:sz w:val="24"/>
        </w:rPr>
        <w:t>S</w:t>
      </w:r>
      <w:r>
        <w:rPr>
          <w:color w:val="000000" w:themeColor="text1"/>
          <w:sz w:val="24"/>
          <w:vertAlign w:val="subscript"/>
        </w:rPr>
        <w:t>3</w:t>
      </w:r>
      <w:r>
        <w:rPr>
          <w:color w:val="000000" w:themeColor="text1"/>
          <w:sz w:val="24"/>
        </w:rPr>
        <w:t xml:space="preserve"> +4H2O（脱硫）</w:t>
      </w:r>
    </w:p>
    <w:p>
      <w:pPr>
        <w:adjustRightInd w:val="0"/>
        <w:snapToGrid w:val="0"/>
        <w:ind w:firstLine="480" w:firstLineChars="200"/>
        <w:rPr>
          <w:color w:val="000000" w:themeColor="text1"/>
          <w:sz w:val="24"/>
        </w:rPr>
      </w:pPr>
      <w:r>
        <w:rPr>
          <w:color w:val="000000" w:themeColor="text1"/>
          <w:sz w:val="24"/>
        </w:rPr>
        <w:t>第二步:Fe</w:t>
      </w:r>
      <w:r>
        <w:rPr>
          <w:color w:val="000000" w:themeColor="text1"/>
          <w:sz w:val="24"/>
          <w:vertAlign w:val="subscript"/>
        </w:rPr>
        <w:t>2</w:t>
      </w:r>
      <w:r>
        <w:rPr>
          <w:color w:val="000000" w:themeColor="text1"/>
          <w:sz w:val="24"/>
        </w:rPr>
        <w:t>S</w:t>
      </w:r>
      <w:r>
        <w:rPr>
          <w:color w:val="000000" w:themeColor="text1"/>
          <w:sz w:val="24"/>
          <w:vertAlign w:val="subscript"/>
        </w:rPr>
        <w:t>3</w:t>
      </w:r>
      <w:r>
        <w:rPr>
          <w:color w:val="000000" w:themeColor="text1"/>
          <w:sz w:val="24"/>
        </w:rPr>
        <w:t>+3/2O</w:t>
      </w:r>
      <w:r>
        <w:rPr>
          <w:color w:val="000000" w:themeColor="text1"/>
          <w:sz w:val="24"/>
          <w:vertAlign w:val="subscript"/>
        </w:rPr>
        <w:t>2</w:t>
      </w:r>
      <w:r>
        <w:rPr>
          <w:color w:val="000000" w:themeColor="text1"/>
          <w:sz w:val="24"/>
        </w:rPr>
        <w:t xml:space="preserve"> +3H</w:t>
      </w:r>
      <w:r>
        <w:rPr>
          <w:color w:val="000000" w:themeColor="text1"/>
          <w:sz w:val="24"/>
          <w:vertAlign w:val="subscript"/>
        </w:rPr>
        <w:t>2</w:t>
      </w:r>
      <w:r>
        <w:rPr>
          <w:color w:val="000000" w:themeColor="text1"/>
          <w:sz w:val="24"/>
        </w:rPr>
        <w:t>O =Fe</w:t>
      </w:r>
      <w:r>
        <w:rPr>
          <w:color w:val="000000" w:themeColor="text1"/>
          <w:sz w:val="24"/>
          <w:vertAlign w:val="subscript"/>
        </w:rPr>
        <w:t>2</w:t>
      </w:r>
      <w:r>
        <w:rPr>
          <w:color w:val="000000" w:themeColor="text1"/>
          <w:sz w:val="24"/>
        </w:rPr>
        <w:t>O</w:t>
      </w:r>
      <w:r>
        <w:rPr>
          <w:color w:val="000000" w:themeColor="text1"/>
          <w:sz w:val="24"/>
          <w:vertAlign w:val="subscript"/>
        </w:rPr>
        <w:t>3</w:t>
      </w:r>
      <w:r>
        <w:rPr>
          <w:color w:val="000000" w:themeColor="text1"/>
          <w:sz w:val="24"/>
        </w:rPr>
        <w:t>•H</w:t>
      </w:r>
      <w:r>
        <w:rPr>
          <w:color w:val="000000" w:themeColor="text1"/>
          <w:sz w:val="24"/>
          <w:vertAlign w:val="subscript"/>
        </w:rPr>
        <w:t>2</w:t>
      </w:r>
      <w:r>
        <w:rPr>
          <w:color w:val="000000" w:themeColor="text1"/>
          <w:sz w:val="24"/>
        </w:rPr>
        <w:t>O +2H</w:t>
      </w:r>
      <w:r>
        <w:rPr>
          <w:color w:val="000000" w:themeColor="text1"/>
          <w:sz w:val="24"/>
          <w:vertAlign w:val="subscript"/>
        </w:rPr>
        <w:t>2</w:t>
      </w:r>
      <w:r>
        <w:rPr>
          <w:color w:val="000000" w:themeColor="text1"/>
          <w:sz w:val="24"/>
        </w:rPr>
        <w:t>O+3S（再生）</w:t>
      </w:r>
    </w:p>
    <w:p>
      <w:pPr>
        <w:adjustRightInd w:val="0"/>
        <w:snapToGrid w:val="0"/>
        <w:ind w:firstLine="480" w:firstLineChars="200"/>
        <w:rPr>
          <w:color w:val="000000" w:themeColor="text1"/>
          <w:sz w:val="24"/>
        </w:rPr>
      </w:pPr>
      <w:r>
        <w:rPr>
          <w:color w:val="000000" w:themeColor="text1"/>
          <w:sz w:val="24"/>
        </w:rPr>
        <w:t>沼气贮气装置：1个</w:t>
      </w:r>
      <w:r>
        <w:rPr>
          <w:rFonts w:hint="eastAsia"/>
          <w:color w:val="000000" w:themeColor="text1"/>
          <w:sz w:val="24"/>
        </w:rPr>
        <w:t>3</w:t>
      </w:r>
      <w:r>
        <w:rPr>
          <w:color w:val="000000" w:themeColor="text1"/>
          <w:sz w:val="24"/>
        </w:rPr>
        <w:t>00m</w:t>
      </w:r>
      <w:r>
        <w:rPr>
          <w:color w:val="000000" w:themeColor="text1"/>
          <w:sz w:val="24"/>
          <w:vertAlign w:val="superscript"/>
        </w:rPr>
        <w:t>3</w:t>
      </w:r>
      <w:r>
        <w:rPr>
          <w:color w:val="000000" w:themeColor="text1"/>
          <w:sz w:val="24"/>
        </w:rPr>
        <w:t>的常压双膜储气柜。</w:t>
      </w:r>
    </w:p>
    <w:p>
      <w:pPr>
        <w:adjustRightInd w:val="0"/>
        <w:snapToGrid w:val="0"/>
        <w:ind w:firstLine="420" w:firstLineChars="200"/>
        <w:rPr>
          <w:color w:val="000000" w:themeColor="text1"/>
        </w:rPr>
      </w:pPr>
      <w:bookmarkStart w:id="237" w:name="OLE_LINK3"/>
      <w:r>
        <w:rPr>
          <w:color w:val="000000" w:themeColor="text1"/>
        </w:rPr>
        <w:drawing>
          <wp:inline distT="0" distB="0" distL="0" distR="0">
            <wp:extent cx="5168900" cy="2020570"/>
            <wp:effectExtent l="0" t="0" r="0" b="0"/>
            <wp:docPr id="7" name="图片 7" descr="F:\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68595" cy="2020577"/>
                    </a:xfrm>
                    <a:prstGeom prst="rect">
                      <a:avLst/>
                    </a:prstGeom>
                    <a:noFill/>
                    <a:ln>
                      <a:noFill/>
                    </a:ln>
                  </pic:spPr>
                </pic:pic>
              </a:graphicData>
            </a:graphic>
          </wp:inline>
        </w:drawing>
      </w:r>
    </w:p>
    <w:p>
      <w:pPr>
        <w:adjustRightInd w:val="0"/>
        <w:snapToGrid w:val="0"/>
        <w:ind w:firstLine="422" w:firstLineChars="200"/>
        <w:jc w:val="center"/>
        <w:rPr>
          <w:b/>
          <w:bCs/>
          <w:color w:val="000000" w:themeColor="text1"/>
        </w:rPr>
      </w:pPr>
      <w:r>
        <w:rPr>
          <w:b/>
          <w:bCs/>
          <w:color w:val="000000" w:themeColor="text1"/>
        </w:rPr>
        <w:t>图3.2-</w:t>
      </w:r>
      <w:r>
        <w:rPr>
          <w:rFonts w:hint="eastAsia"/>
          <w:b/>
          <w:bCs/>
          <w:color w:val="000000" w:themeColor="text1"/>
        </w:rPr>
        <w:t>5  沼气利用工艺流程</w:t>
      </w:r>
    </w:p>
    <w:bookmarkEnd w:id="237"/>
    <w:p>
      <w:pPr>
        <w:adjustRightInd w:val="0"/>
        <w:snapToGrid w:val="0"/>
        <w:ind w:firstLine="480" w:firstLineChars="200"/>
        <w:rPr>
          <w:b/>
          <w:bCs/>
          <w:color w:val="000000" w:themeColor="text1"/>
          <w:sz w:val="24"/>
        </w:rPr>
      </w:pPr>
      <w:r>
        <w:rPr>
          <w:rFonts w:hint="eastAsia"/>
          <w:color w:val="000000" w:themeColor="text1"/>
          <w:sz w:val="24"/>
        </w:rPr>
        <w:t>项目中温厌氧发酵会产生沼气。</w:t>
      </w:r>
      <w:r>
        <w:rPr>
          <w:color w:val="000000" w:themeColor="text1"/>
          <w:sz w:val="24"/>
        </w:rPr>
        <w:t>根据水量平衡，项目运营期排入</w:t>
      </w:r>
      <w:r>
        <w:rPr>
          <w:rFonts w:hint="eastAsia"/>
          <w:color w:val="000000" w:themeColor="text1"/>
          <w:sz w:val="24"/>
        </w:rPr>
        <w:t>厌氧</w:t>
      </w:r>
      <w:r>
        <w:rPr>
          <w:color w:val="000000" w:themeColor="text1"/>
          <w:sz w:val="24"/>
        </w:rPr>
        <w:t>装置污水量为</w:t>
      </w:r>
      <w:r>
        <w:rPr>
          <w:rFonts w:hint="eastAsia"/>
          <w:color w:val="000000" w:themeColor="text1"/>
          <w:sz w:val="24"/>
        </w:rPr>
        <w:t>12455.8</w:t>
      </w:r>
      <w:r>
        <w:rPr>
          <w:color w:val="000000" w:themeColor="text1"/>
          <w:sz w:val="24"/>
        </w:rPr>
        <w:t>m</w:t>
      </w:r>
      <w:r>
        <w:rPr>
          <w:color w:val="000000" w:themeColor="text1"/>
          <w:sz w:val="24"/>
          <w:vertAlign w:val="superscript"/>
        </w:rPr>
        <w:t>3</w:t>
      </w:r>
      <w:r>
        <w:rPr>
          <w:color w:val="000000" w:themeColor="text1"/>
          <w:sz w:val="24"/>
        </w:rPr>
        <w:t>/a</w:t>
      </w:r>
      <w:r>
        <w:rPr>
          <w:rFonts w:hint="eastAsia"/>
          <w:color w:val="000000" w:themeColor="text1"/>
          <w:sz w:val="24"/>
        </w:rPr>
        <w:t>。根据相关文献，中温厌氧消化COD去除率为70%，则项目</w:t>
      </w:r>
      <w:r>
        <w:rPr>
          <w:color w:val="000000" w:themeColor="text1"/>
          <w:sz w:val="24"/>
        </w:rPr>
        <w:t>污水</w:t>
      </w:r>
      <w:r>
        <w:rPr>
          <w:rFonts w:hint="eastAsia"/>
          <w:color w:val="000000" w:themeColor="text1"/>
          <w:sz w:val="24"/>
        </w:rPr>
        <w:t>中</w:t>
      </w:r>
      <w:r>
        <w:rPr>
          <w:color w:val="000000" w:themeColor="text1"/>
          <w:sz w:val="24"/>
        </w:rPr>
        <w:t>COD去除</w:t>
      </w:r>
      <w:r>
        <w:rPr>
          <w:rFonts w:hint="eastAsia"/>
          <w:color w:val="000000" w:themeColor="text1"/>
          <w:sz w:val="24"/>
        </w:rPr>
        <w:t>量为22.27</w:t>
      </w:r>
      <w:r>
        <w:rPr>
          <w:color w:val="000000" w:themeColor="text1"/>
          <w:sz w:val="24"/>
        </w:rPr>
        <w:t>t/a。根据《规模化畜禽养殖场沼气设计规范》沼气产率按0.35m</w:t>
      </w:r>
      <w:r>
        <w:rPr>
          <w:color w:val="000000" w:themeColor="text1"/>
          <w:sz w:val="24"/>
          <w:vertAlign w:val="superscript"/>
        </w:rPr>
        <w:t>3</w:t>
      </w:r>
      <w:r>
        <w:rPr>
          <w:color w:val="000000" w:themeColor="text1"/>
          <w:sz w:val="24"/>
        </w:rPr>
        <w:t>/去除1kgCOD计，则本项目产生沼气</w:t>
      </w:r>
      <w:r>
        <w:rPr>
          <w:rFonts w:hint="eastAsia"/>
          <w:color w:val="000000" w:themeColor="text1"/>
          <w:sz w:val="24"/>
        </w:rPr>
        <w:t>21.35</w:t>
      </w:r>
      <w:r>
        <w:rPr>
          <w:color w:val="000000" w:themeColor="text1"/>
          <w:sz w:val="24"/>
        </w:rPr>
        <w:t>m</w:t>
      </w:r>
      <w:r>
        <w:rPr>
          <w:color w:val="000000" w:themeColor="text1"/>
          <w:sz w:val="24"/>
          <w:vertAlign w:val="superscript"/>
        </w:rPr>
        <w:t>3</w:t>
      </w:r>
      <w:r>
        <w:rPr>
          <w:color w:val="000000" w:themeColor="text1"/>
          <w:sz w:val="24"/>
        </w:rPr>
        <w:t>/d、</w:t>
      </w:r>
      <w:r>
        <w:rPr>
          <w:rFonts w:hint="eastAsia"/>
          <w:color w:val="000000" w:themeColor="text1"/>
          <w:sz w:val="24"/>
        </w:rPr>
        <w:t>7794.5</w:t>
      </w:r>
      <w:r>
        <w:rPr>
          <w:color w:val="000000" w:themeColor="text1"/>
          <w:sz w:val="24"/>
        </w:rPr>
        <w:t>m</w:t>
      </w:r>
      <w:r>
        <w:rPr>
          <w:color w:val="000000" w:themeColor="text1"/>
          <w:sz w:val="24"/>
          <w:vertAlign w:val="superscript"/>
        </w:rPr>
        <w:t>3</w:t>
      </w:r>
      <w:r>
        <w:rPr>
          <w:color w:val="000000" w:themeColor="text1"/>
          <w:sz w:val="24"/>
        </w:rPr>
        <w:t>/a。</w:t>
      </w:r>
    </w:p>
    <w:p>
      <w:pPr>
        <w:pStyle w:val="4"/>
        <w:spacing w:before="0" w:after="0" w:line="360" w:lineRule="auto"/>
        <w:rPr>
          <w:color w:val="000000" w:themeColor="text1"/>
        </w:rPr>
      </w:pPr>
      <w:bookmarkStart w:id="238" w:name="_Toc510547290"/>
      <w:r>
        <w:rPr>
          <w:color w:val="000000" w:themeColor="text1"/>
        </w:rPr>
        <w:t>3.2.</w:t>
      </w:r>
      <w:r>
        <w:rPr>
          <w:rFonts w:hint="eastAsia"/>
          <w:color w:val="000000" w:themeColor="text1"/>
        </w:rPr>
        <w:t>5</w:t>
      </w:r>
      <w:r>
        <w:rPr>
          <w:color w:val="000000" w:themeColor="text1"/>
        </w:rPr>
        <w:t>病死猪处理工艺</w:t>
      </w:r>
      <w:bookmarkEnd w:id="238"/>
    </w:p>
    <w:p>
      <w:pPr>
        <w:adjustRightInd w:val="0"/>
        <w:snapToGrid w:val="0"/>
        <w:ind w:firstLine="480" w:firstLineChars="200"/>
        <w:rPr>
          <w:color w:val="000000" w:themeColor="text1"/>
          <w:sz w:val="24"/>
        </w:rPr>
      </w:pPr>
      <w:r>
        <w:rPr>
          <w:rFonts w:hint="eastAsia"/>
          <w:color w:val="000000" w:themeColor="text1"/>
          <w:sz w:val="24"/>
        </w:rPr>
        <w:t>本项目拟采用新型生物发酵处理病死猪，该处理方法的工艺是建1 个七格的化尸房，在每一格中放入由锯末、稻壳、细米糠、发酵剂等组成的发酵原料，其发酵剂中含有由细菌、丝状菌、酵母菌、放线菌等多种天然有益微生物组成的复合菌群，当有病死猪产生时，先采用烧碱溶液进行消毒，将病菌杀灭，然后把死猪尸体放入发酵原料中掩埋发酵，微生物在适宜的温度、湿度、pH 值和良好的通气条件下，迅速生长繁殖，产生60～70℃高温，并对死猪尸体进行分解，由于发酵剂中的微生物属好氧微生物，故每周将发酵原料及死猪尸体翻至下一格中，依次循环直至第七周，尸体将被完全分解。分解后剩余的骨头再用烧碱消毒后送安全填埋井填埋处理，发酵产污与粪便、沼渣一并进入发酵车间进行发酵</w:t>
      </w:r>
      <w:r>
        <w:rPr>
          <w:color w:val="000000" w:themeColor="text1"/>
          <w:sz w:val="24"/>
        </w:rPr>
        <w:t>。</w:t>
      </w:r>
    </w:p>
    <w:p>
      <w:pPr>
        <w:ind w:firstLine="420" w:firstLineChars="200"/>
        <w:jc w:val="center"/>
        <w:rPr>
          <w:color w:val="000000" w:themeColor="text1"/>
        </w:rPr>
      </w:pPr>
      <w:r>
        <w:rPr>
          <w:color w:val="000000" w:themeColor="text1"/>
        </w:rPr>
        <w:drawing>
          <wp:inline distT="0" distB="0" distL="0" distR="0">
            <wp:extent cx="5321300" cy="1636395"/>
            <wp:effectExtent l="0" t="0" r="0" b="0"/>
            <wp:docPr id="9" name="图片 9" descr="F:\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3.2-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326143" cy="1638269"/>
                    </a:xfrm>
                    <a:prstGeom prst="rect">
                      <a:avLst/>
                    </a:prstGeom>
                    <a:noFill/>
                    <a:ln>
                      <a:noFill/>
                    </a:ln>
                  </pic:spPr>
                </pic:pic>
              </a:graphicData>
            </a:graphic>
          </wp:inline>
        </w:drawing>
      </w:r>
    </w:p>
    <w:p>
      <w:pPr>
        <w:ind w:firstLine="422" w:firstLineChars="200"/>
        <w:jc w:val="center"/>
        <w:rPr>
          <w:b/>
          <w:bCs/>
          <w:color w:val="000000" w:themeColor="text1"/>
        </w:rPr>
      </w:pPr>
      <w:r>
        <w:rPr>
          <w:b/>
          <w:bCs/>
          <w:color w:val="000000" w:themeColor="text1"/>
        </w:rPr>
        <w:t>图3.2-</w:t>
      </w:r>
      <w:r>
        <w:rPr>
          <w:rFonts w:hint="eastAsia"/>
          <w:b/>
          <w:bCs/>
          <w:color w:val="000000" w:themeColor="text1"/>
        </w:rPr>
        <w:t xml:space="preserve">6  </w:t>
      </w:r>
      <w:r>
        <w:rPr>
          <w:b/>
          <w:bCs/>
          <w:color w:val="000000" w:themeColor="text1"/>
        </w:rPr>
        <w:t>病死猪处理工艺流程</w:t>
      </w:r>
    </w:p>
    <w:p>
      <w:pPr>
        <w:ind w:firstLine="422" w:firstLineChars="200"/>
        <w:jc w:val="center"/>
        <w:rPr>
          <w:b/>
          <w:bCs/>
          <w:color w:val="000000" w:themeColor="text1"/>
        </w:rPr>
      </w:pPr>
    </w:p>
    <w:p>
      <w:pPr>
        <w:pStyle w:val="4"/>
        <w:spacing w:before="0" w:after="0" w:line="360" w:lineRule="auto"/>
        <w:rPr>
          <w:color w:val="000000" w:themeColor="text1"/>
        </w:rPr>
      </w:pPr>
      <w:r>
        <w:rPr>
          <w:color w:val="000000" w:themeColor="text1"/>
        </w:rPr>
        <w:t>3.2.</w:t>
      </w:r>
      <w:r>
        <w:rPr>
          <w:rFonts w:hint="eastAsia"/>
          <w:color w:val="000000" w:themeColor="text1"/>
        </w:rPr>
        <w:t>6种植区</w:t>
      </w:r>
    </w:p>
    <w:p>
      <w:pPr>
        <w:ind w:firstLine="480" w:firstLineChars="200"/>
        <w:jc w:val="left"/>
        <w:rPr>
          <w:color w:val="000000" w:themeColor="text1"/>
          <w:sz w:val="24"/>
        </w:rPr>
      </w:pPr>
      <w:r>
        <w:rPr>
          <w:rFonts w:hint="eastAsia"/>
          <w:color w:val="000000" w:themeColor="text1"/>
          <w:sz w:val="24"/>
        </w:rPr>
        <w:t>本项目采取“种养结合”方式，养殖场配套种植区，种植区占地面积154000m</w:t>
      </w:r>
      <w:r>
        <w:rPr>
          <w:rFonts w:hint="eastAsia"/>
          <w:color w:val="000000" w:themeColor="text1"/>
          <w:sz w:val="24"/>
          <w:vertAlign w:val="superscript"/>
        </w:rPr>
        <w:t>2</w:t>
      </w:r>
      <w:r>
        <w:rPr>
          <w:rFonts w:hint="eastAsia"/>
          <w:color w:val="000000" w:themeColor="text1"/>
          <w:sz w:val="24"/>
        </w:rPr>
        <w:t>（231亩）。种植区分布在项目养殖场南侧，租用现有旱地进行种植，主要种植果树，果树施肥利用项目沼气工程产生的沼液，实现种养结合、生态循环。</w:t>
      </w:r>
    </w:p>
    <w:p>
      <w:pPr>
        <w:ind w:firstLine="480" w:firstLineChars="200"/>
        <w:jc w:val="left"/>
        <w:rPr>
          <w:color w:val="000000" w:themeColor="text1"/>
          <w:sz w:val="24"/>
        </w:rPr>
      </w:pPr>
      <w:r>
        <w:rPr>
          <w:rFonts w:hint="eastAsia"/>
          <w:color w:val="000000" w:themeColor="text1"/>
          <w:sz w:val="24"/>
        </w:rPr>
        <w:t>养殖场建设1个800m</w:t>
      </w:r>
      <w:r>
        <w:rPr>
          <w:rFonts w:hint="eastAsia"/>
          <w:color w:val="000000" w:themeColor="text1"/>
          <w:sz w:val="24"/>
          <w:vertAlign w:val="superscript"/>
        </w:rPr>
        <w:t>3</w:t>
      </w:r>
      <w:r>
        <w:rPr>
          <w:rFonts w:hint="eastAsia"/>
          <w:color w:val="000000" w:themeColor="text1"/>
          <w:sz w:val="24"/>
        </w:rPr>
        <w:t>的沼液贮存池，敷设管道至种植区，并在种植区建设沼液暂存池。沼液通过重力输送至种植区沼液贮存池，用于果树施肥。种植区拟建设6个12m</w:t>
      </w:r>
      <w:r>
        <w:rPr>
          <w:rFonts w:hint="eastAsia"/>
          <w:color w:val="000000" w:themeColor="text1"/>
          <w:sz w:val="24"/>
          <w:vertAlign w:val="superscript"/>
        </w:rPr>
        <w:t>3</w:t>
      </w:r>
      <w:r>
        <w:rPr>
          <w:rFonts w:hint="eastAsia"/>
          <w:color w:val="000000" w:themeColor="text1"/>
          <w:sz w:val="24"/>
        </w:rPr>
        <w:t>的沼液暂存池，敷设管道约3km。</w:t>
      </w:r>
    </w:p>
    <w:p>
      <w:pPr>
        <w:ind w:firstLine="480" w:firstLineChars="200"/>
        <w:jc w:val="left"/>
        <w:rPr>
          <w:color w:val="000000" w:themeColor="text1"/>
          <w:sz w:val="24"/>
        </w:rPr>
      </w:pPr>
      <w:r>
        <w:rPr>
          <w:rFonts w:hint="eastAsia"/>
          <w:color w:val="000000" w:themeColor="text1"/>
          <w:sz w:val="24"/>
        </w:rPr>
        <w:t>种植区生产工艺见图3.2-7。</w:t>
      </w:r>
    </w:p>
    <w:p>
      <w:pPr>
        <w:ind w:firstLine="480" w:firstLineChars="200"/>
        <w:jc w:val="left"/>
        <w:rPr>
          <w:color w:val="000000" w:themeColor="text1"/>
          <w:sz w:val="24"/>
        </w:rPr>
      </w:pPr>
    </w:p>
    <w:p>
      <w:pPr>
        <w:adjustRightInd w:val="0"/>
        <w:snapToGrid w:val="0"/>
        <w:ind w:firstLine="420" w:firstLineChars="200"/>
        <w:jc w:val="center"/>
        <w:rPr>
          <w:color w:val="000000" w:themeColor="text1"/>
          <w:sz w:val="24"/>
        </w:rPr>
      </w:pPr>
      <w:r>
        <w:rPr>
          <w:color w:val="000000" w:themeColor="text1"/>
        </w:rPr>
        <w:drawing>
          <wp:inline distT="0" distB="0" distL="0" distR="0">
            <wp:extent cx="5185410" cy="1964055"/>
            <wp:effectExtent l="0" t="0" r="0" b="0"/>
            <wp:docPr id="10" name="图片 10" descr="F:\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3.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85590" cy="1964330"/>
                    </a:xfrm>
                    <a:prstGeom prst="rect">
                      <a:avLst/>
                    </a:prstGeom>
                    <a:noFill/>
                    <a:ln>
                      <a:noFill/>
                    </a:ln>
                  </pic:spPr>
                </pic:pic>
              </a:graphicData>
            </a:graphic>
          </wp:inline>
        </w:drawing>
      </w:r>
    </w:p>
    <w:p>
      <w:pPr>
        <w:adjustRightInd w:val="0"/>
        <w:snapToGrid w:val="0"/>
        <w:ind w:firstLine="422" w:firstLineChars="200"/>
        <w:jc w:val="center"/>
        <w:rPr>
          <w:b/>
          <w:color w:val="000000" w:themeColor="text1"/>
          <w:szCs w:val="21"/>
        </w:rPr>
      </w:pPr>
      <w:r>
        <w:rPr>
          <w:b/>
          <w:color w:val="000000" w:themeColor="text1"/>
          <w:szCs w:val="21"/>
        </w:rPr>
        <w:t>图3.2-</w:t>
      </w:r>
      <w:r>
        <w:rPr>
          <w:rFonts w:hint="eastAsia"/>
          <w:b/>
          <w:color w:val="000000" w:themeColor="text1"/>
          <w:szCs w:val="21"/>
        </w:rPr>
        <w:t>7  种植区</w:t>
      </w:r>
      <w:r>
        <w:rPr>
          <w:b/>
          <w:color w:val="000000" w:themeColor="text1"/>
          <w:szCs w:val="21"/>
        </w:rPr>
        <w:t>工艺流程</w:t>
      </w:r>
      <w:r>
        <w:rPr>
          <w:rFonts w:hint="eastAsia"/>
          <w:b/>
          <w:color w:val="000000" w:themeColor="text1"/>
          <w:szCs w:val="21"/>
        </w:rPr>
        <w:t>及产污环节图</w:t>
      </w:r>
    </w:p>
    <w:p>
      <w:pPr>
        <w:ind w:firstLine="480" w:firstLineChars="200"/>
        <w:jc w:val="left"/>
        <w:rPr>
          <w:color w:val="000000" w:themeColor="text1"/>
          <w:sz w:val="24"/>
        </w:rPr>
      </w:pPr>
      <w:r>
        <w:rPr>
          <w:rFonts w:hint="eastAsia"/>
          <w:color w:val="000000" w:themeColor="text1"/>
          <w:sz w:val="24"/>
        </w:rPr>
        <w:t>灌溉用水来自养殖区高位水池，灌溉次数根据土壤排水情况确定，保证水量适中。施肥采用养殖区沼液及有机肥，不使用化肥。</w:t>
      </w:r>
    </w:p>
    <w:p>
      <w:pPr>
        <w:ind w:firstLine="480" w:firstLineChars="200"/>
        <w:jc w:val="left"/>
        <w:rPr>
          <w:color w:val="000000" w:themeColor="text1"/>
          <w:sz w:val="24"/>
        </w:rPr>
      </w:pPr>
      <w:r>
        <w:rPr>
          <w:rFonts w:hint="eastAsia"/>
          <w:color w:val="000000" w:themeColor="text1"/>
          <w:sz w:val="24"/>
        </w:rPr>
        <w:t>病虫害防治在生物、物理防治的基础上，实施化学药剂防治，合理使用农药，使用高效、低毒、低残留农药，尽可能农药使用次数及用药剂量，确保水果产量和品质。</w:t>
      </w:r>
    </w:p>
    <w:p>
      <w:pPr>
        <w:ind w:firstLine="422" w:firstLineChars="200"/>
        <w:jc w:val="left"/>
        <w:rPr>
          <w:b/>
          <w:bCs/>
          <w:color w:val="000000" w:themeColor="text1"/>
        </w:rPr>
        <w:sectPr>
          <w:pgSz w:w="11906" w:h="16838"/>
          <w:pgMar w:top="1440" w:right="1797" w:bottom="1440" w:left="1797" w:header="851" w:footer="992" w:gutter="0"/>
          <w:cols w:space="720" w:num="1"/>
          <w:docGrid w:linePitch="312" w:charSpace="0"/>
        </w:sectPr>
      </w:pPr>
    </w:p>
    <w:p>
      <w:pPr>
        <w:pStyle w:val="3"/>
        <w:spacing w:before="0" w:after="0"/>
        <w:rPr>
          <w:rFonts w:ascii="Times New Roman" w:hAnsi="Times New Roman"/>
          <w:color w:val="000000" w:themeColor="text1"/>
        </w:rPr>
      </w:pPr>
      <w:bookmarkStart w:id="239" w:name="_Toc303261012"/>
      <w:bookmarkStart w:id="240" w:name="_Toc402186372"/>
      <w:bookmarkStart w:id="241" w:name="_Toc31385"/>
      <w:bookmarkStart w:id="242" w:name="_Toc11680"/>
      <w:bookmarkStart w:id="243" w:name="_Toc22854"/>
      <w:bookmarkStart w:id="244" w:name="_Toc291776010"/>
      <w:bookmarkStart w:id="245" w:name="_Toc510547291"/>
      <w:bookmarkStart w:id="246" w:name="_Toc4076486"/>
      <w:r>
        <w:rPr>
          <w:rFonts w:ascii="Times New Roman" w:hAnsi="Times New Roman"/>
          <w:color w:val="000000" w:themeColor="text1"/>
        </w:rPr>
        <w:t>3.3施工期</w:t>
      </w:r>
      <w:bookmarkEnd w:id="239"/>
      <w:bookmarkEnd w:id="240"/>
      <w:bookmarkEnd w:id="241"/>
      <w:bookmarkEnd w:id="242"/>
      <w:bookmarkEnd w:id="243"/>
      <w:bookmarkEnd w:id="244"/>
      <w:r>
        <w:rPr>
          <w:rFonts w:ascii="Times New Roman" w:hAnsi="Times New Roman"/>
          <w:color w:val="000000" w:themeColor="text1"/>
        </w:rPr>
        <w:t>污染源</w:t>
      </w:r>
      <w:bookmarkEnd w:id="245"/>
      <w:bookmarkEnd w:id="246"/>
    </w:p>
    <w:p>
      <w:pPr>
        <w:pStyle w:val="4"/>
        <w:spacing w:before="0" w:after="0" w:line="360" w:lineRule="auto"/>
        <w:rPr>
          <w:color w:val="000000" w:themeColor="text1"/>
        </w:rPr>
      </w:pPr>
      <w:bookmarkStart w:id="247" w:name="_Toc504403810"/>
      <w:bookmarkStart w:id="248" w:name="_Toc506218063"/>
      <w:bookmarkStart w:id="249" w:name="_Toc315867154"/>
      <w:bookmarkStart w:id="250" w:name="_Toc317117834"/>
      <w:bookmarkStart w:id="251" w:name="_Toc315870572"/>
      <w:bookmarkStart w:id="252" w:name="_Toc315867377"/>
      <w:bookmarkStart w:id="253" w:name="_Toc510547292"/>
      <w:r>
        <w:rPr>
          <w:color w:val="000000" w:themeColor="text1"/>
        </w:rPr>
        <w:t>3.3.1施工</w:t>
      </w:r>
      <w:bookmarkEnd w:id="247"/>
      <w:bookmarkEnd w:id="248"/>
      <w:bookmarkEnd w:id="249"/>
      <w:bookmarkEnd w:id="250"/>
      <w:bookmarkEnd w:id="251"/>
      <w:bookmarkEnd w:id="252"/>
      <w:r>
        <w:rPr>
          <w:color w:val="000000" w:themeColor="text1"/>
        </w:rPr>
        <w:t>组织</w:t>
      </w:r>
      <w:bookmarkEnd w:id="253"/>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lang w:val="zh-CN"/>
        </w:rPr>
        <w:t>项目工程施工期的工艺流程及产污情况图示如下：</w:t>
      </w:r>
    </w:p>
    <w:p>
      <w:pPr>
        <w:pStyle w:val="14"/>
        <w:spacing w:before="120" w:beforeLines="50" w:afterLines="50"/>
        <w:ind w:left="0" w:leftChars="0"/>
        <w:jc w:val="left"/>
        <w:rPr>
          <w:color w:val="000000" w:themeColor="text1"/>
        </w:rPr>
      </w:pPr>
      <w:r>
        <w:rPr>
          <w:color w:val="000000" w:themeColor="text1"/>
        </w:rPr>
        <w:object>
          <v:shape id="_x0000_i1026" o:spt="75" type="#_x0000_t75" style="height:189.35pt;width:455.75pt;" o:ole="t" filled="f" o:preferrelative="t" stroked="f" coordsize="21600,21600">
            <v:path/>
            <v:fill on="f" focussize="0,0"/>
            <v:stroke on="f" joinstyle="miter"/>
            <v:imagedata r:id="rId28" o:title=""/>
            <o:lock v:ext="edit" aspectratio="t"/>
            <w10:wrap type="none"/>
            <w10:anchorlock/>
          </v:shape>
          <o:OLEObject Type="Embed" ProgID="Visio.Drawing.11" ShapeID="_x0000_i1026" DrawAspect="Content" ObjectID="_1468075726" r:id="rId27">
            <o:LockedField>false</o:LockedField>
          </o:OLEObject>
        </w:object>
      </w:r>
    </w:p>
    <w:p>
      <w:pPr>
        <w:adjustRightInd w:val="0"/>
        <w:snapToGrid w:val="0"/>
        <w:ind w:firstLine="101" w:firstLineChars="48"/>
        <w:jc w:val="center"/>
        <w:rPr>
          <w:b/>
          <w:color w:val="000000" w:themeColor="text1"/>
          <w:szCs w:val="21"/>
        </w:rPr>
      </w:pPr>
      <w:r>
        <w:rPr>
          <w:b/>
          <w:color w:val="000000" w:themeColor="text1"/>
          <w:szCs w:val="21"/>
        </w:rPr>
        <w:t>图3.3-1  施工期产物环节图</w:t>
      </w:r>
    </w:p>
    <w:p>
      <w:pPr>
        <w:adjustRightInd w:val="0"/>
        <w:snapToGrid w:val="0"/>
        <w:ind w:firstLine="480" w:firstLineChars="200"/>
        <w:textAlignment w:val="baseline"/>
        <w:rPr>
          <w:color w:val="000000" w:themeColor="text1"/>
          <w:sz w:val="24"/>
        </w:rPr>
      </w:pPr>
      <w:r>
        <w:rPr>
          <w:color w:val="000000" w:themeColor="text1"/>
          <w:sz w:val="24"/>
        </w:rPr>
        <w:t>（1）施工道路及材料运输方案</w:t>
      </w:r>
    </w:p>
    <w:p>
      <w:pPr>
        <w:ind w:firstLine="480" w:firstLineChars="200"/>
        <w:rPr>
          <w:color w:val="000000" w:themeColor="text1"/>
          <w:sz w:val="24"/>
        </w:rPr>
      </w:pPr>
      <w:r>
        <w:rPr>
          <w:color w:val="000000" w:themeColor="text1"/>
          <w:sz w:val="24"/>
        </w:rPr>
        <w:t>施工道路：项目区运输道路主要依靠项目区现有道路，项目区外不新建施工道路。</w:t>
      </w:r>
    </w:p>
    <w:p>
      <w:pPr>
        <w:ind w:firstLine="480" w:firstLineChars="200"/>
        <w:rPr>
          <w:color w:val="000000" w:themeColor="text1"/>
          <w:sz w:val="24"/>
        </w:rPr>
      </w:pPr>
      <w:r>
        <w:rPr>
          <w:color w:val="000000" w:themeColor="text1"/>
          <w:sz w:val="24"/>
        </w:rPr>
        <w:t>物料运输方案：项目建设所需物料主要采用汽车运输。</w:t>
      </w:r>
    </w:p>
    <w:p>
      <w:pPr>
        <w:adjustRightInd w:val="0"/>
        <w:snapToGrid w:val="0"/>
        <w:ind w:firstLine="480" w:firstLineChars="200"/>
        <w:textAlignment w:val="baseline"/>
        <w:rPr>
          <w:color w:val="000000" w:themeColor="text1"/>
          <w:sz w:val="24"/>
        </w:rPr>
      </w:pPr>
      <w:r>
        <w:rPr>
          <w:color w:val="000000" w:themeColor="text1"/>
          <w:sz w:val="24"/>
        </w:rPr>
        <w:t>（2）施工建筑材料</w:t>
      </w:r>
    </w:p>
    <w:p>
      <w:pPr>
        <w:ind w:firstLine="480" w:firstLineChars="200"/>
        <w:rPr>
          <w:color w:val="000000" w:themeColor="text1"/>
          <w:sz w:val="24"/>
        </w:rPr>
      </w:pPr>
      <w:r>
        <w:rPr>
          <w:color w:val="000000" w:themeColor="text1"/>
          <w:sz w:val="24"/>
        </w:rPr>
        <w:t>工程建设所需的主要的建筑材料为钢材、水泥、砂石、木材等，均从当地具有供货资质的部门购买，本工程不设砂石料场及取土场。</w:t>
      </w:r>
    </w:p>
    <w:p>
      <w:pPr>
        <w:ind w:firstLine="480" w:firstLineChars="200"/>
        <w:rPr>
          <w:color w:val="000000" w:themeColor="text1"/>
          <w:sz w:val="24"/>
        </w:rPr>
      </w:pPr>
      <w:r>
        <w:rPr>
          <w:color w:val="000000" w:themeColor="text1"/>
          <w:sz w:val="24"/>
        </w:rPr>
        <w:t>（3）施工营地</w:t>
      </w:r>
    </w:p>
    <w:p>
      <w:pPr>
        <w:adjustRightInd w:val="0"/>
        <w:snapToGrid w:val="0"/>
        <w:ind w:firstLine="480" w:firstLineChars="200"/>
        <w:textAlignment w:val="baseline"/>
        <w:rPr>
          <w:color w:val="000000" w:themeColor="text1"/>
          <w:sz w:val="24"/>
        </w:rPr>
      </w:pPr>
      <w:r>
        <w:rPr>
          <w:color w:val="000000" w:themeColor="text1"/>
          <w:sz w:val="24"/>
        </w:rPr>
        <w:t>根据建设单位提供的资料</w:t>
      </w:r>
      <w:r>
        <w:rPr>
          <w:rFonts w:hint="eastAsia"/>
          <w:color w:val="000000" w:themeColor="text1"/>
          <w:sz w:val="24"/>
        </w:rPr>
        <w:t>，</w:t>
      </w:r>
      <w:r>
        <w:rPr>
          <w:color w:val="000000" w:themeColor="text1"/>
          <w:sz w:val="24"/>
        </w:rPr>
        <w:t>项目</w:t>
      </w:r>
      <w:r>
        <w:rPr>
          <w:rFonts w:hint="eastAsia"/>
          <w:color w:val="000000" w:themeColor="text1"/>
          <w:sz w:val="24"/>
        </w:rPr>
        <w:t>租用石头村民房用于生活办公</w:t>
      </w:r>
      <w:r>
        <w:rPr>
          <w:color w:val="000000" w:themeColor="text1"/>
          <w:sz w:val="24"/>
        </w:rPr>
        <w:t>。施工人员以周边村庄居民为主</w:t>
      </w:r>
      <w:r>
        <w:rPr>
          <w:rFonts w:hint="eastAsia"/>
          <w:color w:val="000000" w:themeColor="text1"/>
          <w:sz w:val="24"/>
        </w:rPr>
        <w:t>，食宿自理，其余管理人员食宿依托石头村</w:t>
      </w:r>
      <w:r>
        <w:rPr>
          <w:color w:val="000000" w:themeColor="text1"/>
          <w:sz w:val="24"/>
        </w:rPr>
        <w:t>。</w:t>
      </w:r>
    </w:p>
    <w:p>
      <w:pPr>
        <w:adjustRightInd w:val="0"/>
        <w:snapToGrid w:val="0"/>
        <w:ind w:firstLine="480" w:firstLineChars="200"/>
        <w:textAlignment w:val="baseline"/>
        <w:rPr>
          <w:color w:val="000000" w:themeColor="text1"/>
          <w:sz w:val="24"/>
        </w:rPr>
      </w:pPr>
      <w:r>
        <w:rPr>
          <w:color w:val="000000" w:themeColor="text1"/>
          <w:sz w:val="24"/>
        </w:rPr>
        <w:t>（4）施工排水</w:t>
      </w:r>
    </w:p>
    <w:p>
      <w:pPr>
        <w:adjustRightInd w:val="0"/>
        <w:snapToGrid w:val="0"/>
        <w:ind w:firstLine="480" w:firstLineChars="200"/>
        <w:textAlignment w:val="baseline"/>
        <w:rPr>
          <w:color w:val="000000" w:themeColor="text1"/>
          <w:sz w:val="24"/>
        </w:rPr>
      </w:pPr>
      <w:r>
        <w:rPr>
          <w:color w:val="000000" w:themeColor="text1"/>
          <w:sz w:val="24"/>
        </w:rPr>
        <w:t>施工期雨水排放主要采用临时排水沟以及临时沉砂池，雨水经沉沙后用于工程施工用水及洒水降尘，多余外排；施工废水经沉淀池处理后回用于工程或洒水降尘；施工生活污水经收集后用于洒水降尘。</w:t>
      </w:r>
    </w:p>
    <w:p>
      <w:pPr>
        <w:adjustRightInd w:val="0"/>
        <w:snapToGrid w:val="0"/>
        <w:ind w:firstLine="480" w:firstLineChars="200"/>
        <w:textAlignment w:val="baseline"/>
        <w:rPr>
          <w:color w:val="000000" w:themeColor="text1"/>
          <w:sz w:val="24"/>
        </w:rPr>
      </w:pPr>
      <w:r>
        <w:rPr>
          <w:color w:val="000000" w:themeColor="text1"/>
          <w:sz w:val="24"/>
        </w:rPr>
        <w:t>（5）表土堆场</w:t>
      </w:r>
    </w:p>
    <w:p>
      <w:pPr>
        <w:adjustRightInd w:val="0"/>
        <w:snapToGrid w:val="0"/>
        <w:ind w:firstLine="480" w:firstLineChars="200"/>
        <w:textAlignment w:val="baseline"/>
        <w:rPr>
          <w:color w:val="000000" w:themeColor="text1"/>
          <w:sz w:val="24"/>
        </w:rPr>
      </w:pPr>
      <w:r>
        <w:rPr>
          <w:color w:val="000000" w:themeColor="text1"/>
          <w:sz w:val="24"/>
        </w:rPr>
        <w:t>项目规划1个表土临时堆场，占地计入项目区用地范围。临时堆土场位置及特性见表3.1-1。</w:t>
      </w:r>
    </w:p>
    <w:p>
      <w:pPr>
        <w:adjustRightInd w:val="0"/>
        <w:snapToGrid w:val="0"/>
        <w:spacing w:line="240" w:lineRule="auto"/>
        <w:ind w:firstLine="422" w:firstLineChars="200"/>
        <w:jc w:val="center"/>
        <w:textAlignment w:val="baseline"/>
        <w:rPr>
          <w:b/>
          <w:color w:val="000000" w:themeColor="text1"/>
          <w:szCs w:val="21"/>
        </w:rPr>
      </w:pPr>
      <w:r>
        <w:rPr>
          <w:b/>
          <w:color w:val="000000" w:themeColor="text1"/>
          <w:szCs w:val="21"/>
        </w:rPr>
        <w:t>表3.1-1 表土堆场特性表</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1657"/>
        <w:gridCol w:w="1204"/>
        <w:gridCol w:w="1540"/>
        <w:gridCol w:w="1844"/>
        <w:gridCol w:w="1046"/>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657" w:type="dxa"/>
            <w:vMerge w:val="restart"/>
            <w:shd w:val="clear" w:color="auto" w:fill="auto"/>
            <w:vAlign w:val="center"/>
          </w:tcPr>
          <w:p>
            <w:pPr>
              <w:widowControl/>
              <w:spacing w:line="240" w:lineRule="auto"/>
              <w:jc w:val="center"/>
              <w:rPr>
                <w:b/>
                <w:color w:val="000000" w:themeColor="text1"/>
                <w:kern w:val="0"/>
                <w:szCs w:val="21"/>
              </w:rPr>
            </w:pPr>
            <w:r>
              <w:rPr>
                <w:b/>
                <w:color w:val="000000" w:themeColor="text1"/>
                <w:kern w:val="0"/>
                <w:szCs w:val="21"/>
              </w:rPr>
              <w:t>位置</w:t>
            </w:r>
          </w:p>
        </w:tc>
        <w:tc>
          <w:tcPr>
            <w:tcW w:w="1204" w:type="dxa"/>
            <w:vMerge w:val="restart"/>
            <w:shd w:val="clear" w:color="auto" w:fill="auto"/>
            <w:vAlign w:val="center"/>
          </w:tcPr>
          <w:p>
            <w:pPr>
              <w:widowControl/>
              <w:spacing w:line="240" w:lineRule="auto"/>
              <w:jc w:val="center"/>
              <w:rPr>
                <w:b/>
                <w:color w:val="000000" w:themeColor="text1"/>
                <w:kern w:val="0"/>
                <w:szCs w:val="21"/>
              </w:rPr>
            </w:pPr>
            <w:r>
              <w:rPr>
                <w:b/>
                <w:color w:val="000000" w:themeColor="text1"/>
                <w:kern w:val="0"/>
                <w:szCs w:val="21"/>
              </w:rPr>
              <w:t>占地面积（hm</w:t>
            </w:r>
            <w:r>
              <w:rPr>
                <w:b/>
                <w:color w:val="000000" w:themeColor="text1"/>
                <w:kern w:val="0"/>
                <w:szCs w:val="21"/>
                <w:vertAlign w:val="superscript"/>
              </w:rPr>
              <w:t>2</w:t>
            </w:r>
            <w:r>
              <w:rPr>
                <w:b/>
                <w:color w:val="000000" w:themeColor="text1"/>
                <w:kern w:val="0"/>
                <w:szCs w:val="21"/>
              </w:rPr>
              <w:t>）</w:t>
            </w:r>
          </w:p>
        </w:tc>
        <w:tc>
          <w:tcPr>
            <w:tcW w:w="1540" w:type="dxa"/>
            <w:vMerge w:val="restart"/>
            <w:shd w:val="clear" w:color="auto" w:fill="auto"/>
            <w:vAlign w:val="center"/>
          </w:tcPr>
          <w:p>
            <w:pPr>
              <w:widowControl/>
              <w:spacing w:line="240" w:lineRule="auto"/>
              <w:jc w:val="center"/>
              <w:rPr>
                <w:b/>
                <w:color w:val="000000" w:themeColor="text1"/>
                <w:kern w:val="0"/>
                <w:szCs w:val="21"/>
              </w:rPr>
            </w:pPr>
            <w:r>
              <w:rPr>
                <w:b/>
                <w:color w:val="000000" w:themeColor="text1"/>
                <w:kern w:val="0"/>
                <w:szCs w:val="21"/>
              </w:rPr>
              <w:t>容量</w:t>
            </w:r>
          </w:p>
          <w:p>
            <w:pPr>
              <w:spacing w:line="240" w:lineRule="auto"/>
              <w:jc w:val="center"/>
              <w:rPr>
                <w:b/>
                <w:color w:val="000000" w:themeColor="text1"/>
                <w:kern w:val="0"/>
                <w:szCs w:val="21"/>
              </w:rPr>
            </w:pPr>
            <w:r>
              <w:rPr>
                <w:b/>
                <w:color w:val="000000" w:themeColor="text1"/>
                <w:kern w:val="0"/>
                <w:szCs w:val="21"/>
              </w:rPr>
              <w:t>（万m</w:t>
            </w:r>
            <w:r>
              <w:rPr>
                <w:b/>
                <w:color w:val="000000" w:themeColor="text1"/>
                <w:kern w:val="0"/>
                <w:szCs w:val="21"/>
                <w:vertAlign w:val="superscript"/>
              </w:rPr>
              <w:t>3</w:t>
            </w:r>
            <w:r>
              <w:rPr>
                <w:b/>
                <w:color w:val="000000" w:themeColor="text1"/>
                <w:kern w:val="0"/>
                <w:szCs w:val="21"/>
              </w:rPr>
              <w:t>）</w:t>
            </w:r>
          </w:p>
        </w:tc>
        <w:tc>
          <w:tcPr>
            <w:tcW w:w="1844" w:type="dxa"/>
            <w:vMerge w:val="restart"/>
            <w:shd w:val="clear" w:color="auto" w:fill="auto"/>
            <w:vAlign w:val="center"/>
          </w:tcPr>
          <w:p>
            <w:pPr>
              <w:widowControl/>
              <w:spacing w:line="240" w:lineRule="auto"/>
              <w:jc w:val="center"/>
              <w:rPr>
                <w:b/>
                <w:color w:val="000000" w:themeColor="text1"/>
                <w:kern w:val="0"/>
                <w:szCs w:val="21"/>
              </w:rPr>
            </w:pPr>
            <w:r>
              <w:rPr>
                <w:b/>
                <w:color w:val="000000" w:themeColor="text1"/>
                <w:kern w:val="0"/>
                <w:szCs w:val="21"/>
              </w:rPr>
              <w:t>实际堆土量</w:t>
            </w:r>
          </w:p>
          <w:p>
            <w:pPr>
              <w:widowControl/>
              <w:spacing w:line="240" w:lineRule="auto"/>
              <w:jc w:val="center"/>
              <w:rPr>
                <w:b/>
                <w:color w:val="000000" w:themeColor="text1"/>
                <w:kern w:val="0"/>
                <w:szCs w:val="21"/>
              </w:rPr>
            </w:pPr>
            <w:r>
              <w:rPr>
                <w:b/>
                <w:color w:val="000000" w:themeColor="text1"/>
                <w:kern w:val="0"/>
                <w:szCs w:val="21"/>
              </w:rPr>
              <w:t>（万m</w:t>
            </w:r>
            <w:r>
              <w:rPr>
                <w:b/>
                <w:color w:val="000000" w:themeColor="text1"/>
                <w:kern w:val="0"/>
                <w:szCs w:val="21"/>
                <w:vertAlign w:val="superscript"/>
              </w:rPr>
              <w:t>3</w:t>
            </w:r>
            <w:r>
              <w:rPr>
                <w:b/>
                <w:color w:val="000000" w:themeColor="text1"/>
                <w:kern w:val="0"/>
                <w:szCs w:val="21"/>
              </w:rPr>
              <w:t>）</w:t>
            </w:r>
          </w:p>
        </w:tc>
        <w:tc>
          <w:tcPr>
            <w:tcW w:w="1046" w:type="dxa"/>
            <w:vMerge w:val="restart"/>
            <w:shd w:val="clear" w:color="auto" w:fill="auto"/>
            <w:vAlign w:val="center"/>
          </w:tcPr>
          <w:p>
            <w:pPr>
              <w:widowControl/>
              <w:spacing w:line="240" w:lineRule="auto"/>
              <w:jc w:val="center"/>
              <w:rPr>
                <w:b/>
                <w:color w:val="000000" w:themeColor="text1"/>
                <w:kern w:val="0"/>
                <w:szCs w:val="21"/>
              </w:rPr>
            </w:pPr>
            <w:r>
              <w:rPr>
                <w:b/>
                <w:color w:val="000000" w:themeColor="text1"/>
                <w:kern w:val="0"/>
                <w:szCs w:val="21"/>
              </w:rPr>
              <w:t>堆高（m）</w:t>
            </w:r>
          </w:p>
        </w:tc>
        <w:tc>
          <w:tcPr>
            <w:tcW w:w="1237" w:type="dxa"/>
            <w:shd w:val="clear" w:color="auto" w:fill="auto"/>
            <w:vAlign w:val="center"/>
          </w:tcPr>
          <w:p>
            <w:pPr>
              <w:widowControl/>
              <w:spacing w:line="240" w:lineRule="auto"/>
              <w:jc w:val="center"/>
              <w:rPr>
                <w:b/>
                <w:color w:val="000000" w:themeColor="text1"/>
                <w:kern w:val="0"/>
                <w:szCs w:val="21"/>
              </w:rPr>
            </w:pPr>
            <w:r>
              <w:rPr>
                <w:b/>
                <w:color w:val="000000" w:themeColor="text1"/>
                <w:kern w:val="0"/>
                <w:szCs w:val="21"/>
              </w:rPr>
              <w:t>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657" w:type="dxa"/>
            <w:vMerge w:val="continue"/>
            <w:vAlign w:val="center"/>
          </w:tcPr>
          <w:p>
            <w:pPr>
              <w:widowControl/>
              <w:spacing w:line="240" w:lineRule="auto"/>
              <w:jc w:val="center"/>
              <w:rPr>
                <w:b/>
                <w:color w:val="000000" w:themeColor="text1"/>
                <w:kern w:val="0"/>
                <w:szCs w:val="21"/>
              </w:rPr>
            </w:pPr>
          </w:p>
        </w:tc>
        <w:tc>
          <w:tcPr>
            <w:tcW w:w="1204" w:type="dxa"/>
            <w:vMerge w:val="continue"/>
            <w:vAlign w:val="center"/>
          </w:tcPr>
          <w:p>
            <w:pPr>
              <w:widowControl/>
              <w:spacing w:line="240" w:lineRule="auto"/>
              <w:jc w:val="center"/>
              <w:rPr>
                <w:b/>
                <w:color w:val="000000" w:themeColor="text1"/>
                <w:kern w:val="0"/>
                <w:szCs w:val="21"/>
              </w:rPr>
            </w:pPr>
          </w:p>
        </w:tc>
        <w:tc>
          <w:tcPr>
            <w:tcW w:w="1540" w:type="dxa"/>
            <w:vMerge w:val="continue"/>
            <w:shd w:val="clear" w:color="auto" w:fill="auto"/>
            <w:vAlign w:val="center"/>
          </w:tcPr>
          <w:p>
            <w:pPr>
              <w:widowControl/>
              <w:spacing w:line="240" w:lineRule="auto"/>
              <w:jc w:val="center"/>
              <w:rPr>
                <w:b/>
                <w:color w:val="000000" w:themeColor="text1"/>
                <w:kern w:val="0"/>
                <w:szCs w:val="21"/>
              </w:rPr>
            </w:pPr>
          </w:p>
        </w:tc>
        <w:tc>
          <w:tcPr>
            <w:tcW w:w="1844" w:type="dxa"/>
            <w:vMerge w:val="continue"/>
            <w:shd w:val="clear" w:color="auto" w:fill="auto"/>
            <w:vAlign w:val="center"/>
          </w:tcPr>
          <w:p>
            <w:pPr>
              <w:widowControl/>
              <w:spacing w:line="240" w:lineRule="auto"/>
              <w:jc w:val="center"/>
              <w:rPr>
                <w:b/>
                <w:color w:val="000000" w:themeColor="text1"/>
                <w:kern w:val="0"/>
                <w:szCs w:val="21"/>
              </w:rPr>
            </w:pPr>
          </w:p>
        </w:tc>
        <w:tc>
          <w:tcPr>
            <w:tcW w:w="1046" w:type="dxa"/>
            <w:vMerge w:val="continue"/>
            <w:vAlign w:val="center"/>
          </w:tcPr>
          <w:p>
            <w:pPr>
              <w:widowControl/>
              <w:spacing w:line="240" w:lineRule="auto"/>
              <w:jc w:val="center"/>
              <w:rPr>
                <w:b/>
                <w:color w:val="000000" w:themeColor="text1"/>
                <w:kern w:val="0"/>
                <w:szCs w:val="21"/>
              </w:rPr>
            </w:pPr>
          </w:p>
        </w:tc>
        <w:tc>
          <w:tcPr>
            <w:tcW w:w="1237" w:type="dxa"/>
            <w:shd w:val="clear" w:color="auto" w:fill="auto"/>
            <w:vAlign w:val="center"/>
          </w:tcPr>
          <w:p>
            <w:pPr>
              <w:widowControl/>
              <w:spacing w:line="240" w:lineRule="auto"/>
              <w:jc w:val="center"/>
              <w:rPr>
                <w:b/>
                <w:color w:val="000000" w:themeColor="text1"/>
                <w:kern w:val="0"/>
                <w:szCs w:val="21"/>
              </w:rPr>
            </w:pPr>
            <w:r>
              <w:rPr>
                <w:b/>
                <w:color w:val="000000" w:themeColor="text1"/>
                <w:kern w:val="0"/>
                <w:szCs w:val="21"/>
              </w:rPr>
              <w:t>坡比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657" w:type="dxa"/>
            <w:shd w:val="clear" w:color="auto" w:fill="auto"/>
            <w:vAlign w:val="center"/>
          </w:tcPr>
          <w:p>
            <w:pPr>
              <w:widowControl/>
              <w:spacing w:line="240" w:lineRule="auto"/>
              <w:jc w:val="center"/>
              <w:rPr>
                <w:color w:val="000000" w:themeColor="text1"/>
                <w:kern w:val="0"/>
                <w:szCs w:val="21"/>
              </w:rPr>
            </w:pPr>
            <w:r>
              <w:rPr>
                <w:color w:val="000000" w:themeColor="text1"/>
                <w:kern w:val="0"/>
                <w:szCs w:val="21"/>
              </w:rPr>
              <w:t>项目区西南侧</w:t>
            </w:r>
          </w:p>
        </w:tc>
        <w:tc>
          <w:tcPr>
            <w:tcW w:w="1204" w:type="dxa"/>
            <w:shd w:val="clear" w:color="auto" w:fill="auto"/>
            <w:vAlign w:val="center"/>
          </w:tcPr>
          <w:p>
            <w:pPr>
              <w:widowControl/>
              <w:spacing w:line="240" w:lineRule="auto"/>
              <w:jc w:val="center"/>
              <w:rPr>
                <w:color w:val="000000" w:themeColor="text1"/>
                <w:kern w:val="0"/>
                <w:szCs w:val="21"/>
              </w:rPr>
            </w:pPr>
            <w:r>
              <w:rPr>
                <w:color w:val="000000" w:themeColor="text1"/>
                <w:kern w:val="0"/>
                <w:szCs w:val="21"/>
              </w:rPr>
              <w:t>0.2</w:t>
            </w:r>
          </w:p>
        </w:tc>
        <w:tc>
          <w:tcPr>
            <w:tcW w:w="1540" w:type="dxa"/>
            <w:shd w:val="clear" w:color="auto" w:fill="auto"/>
            <w:vAlign w:val="center"/>
          </w:tcPr>
          <w:p>
            <w:pPr>
              <w:widowControl/>
              <w:spacing w:line="240" w:lineRule="auto"/>
              <w:jc w:val="center"/>
              <w:rPr>
                <w:color w:val="000000" w:themeColor="text1"/>
                <w:kern w:val="0"/>
                <w:szCs w:val="21"/>
              </w:rPr>
            </w:pPr>
            <w:r>
              <w:rPr>
                <w:color w:val="000000" w:themeColor="text1"/>
                <w:kern w:val="0"/>
                <w:szCs w:val="21"/>
              </w:rPr>
              <w:t>0.6</w:t>
            </w:r>
          </w:p>
        </w:tc>
        <w:tc>
          <w:tcPr>
            <w:tcW w:w="1844" w:type="dxa"/>
            <w:shd w:val="clear" w:color="auto" w:fill="auto"/>
            <w:vAlign w:val="center"/>
          </w:tcPr>
          <w:p>
            <w:pPr>
              <w:widowControl/>
              <w:spacing w:line="240" w:lineRule="auto"/>
              <w:jc w:val="center"/>
              <w:rPr>
                <w:color w:val="000000" w:themeColor="text1"/>
                <w:kern w:val="0"/>
                <w:szCs w:val="21"/>
              </w:rPr>
            </w:pPr>
            <w:r>
              <w:rPr>
                <w:color w:val="000000" w:themeColor="text1"/>
                <w:kern w:val="0"/>
                <w:szCs w:val="21"/>
              </w:rPr>
              <w:t>0.18</w:t>
            </w:r>
          </w:p>
        </w:tc>
        <w:tc>
          <w:tcPr>
            <w:tcW w:w="1046" w:type="dxa"/>
            <w:shd w:val="clear" w:color="auto" w:fill="auto"/>
            <w:vAlign w:val="center"/>
          </w:tcPr>
          <w:p>
            <w:pPr>
              <w:widowControl/>
              <w:spacing w:line="240" w:lineRule="auto"/>
              <w:jc w:val="center"/>
              <w:rPr>
                <w:color w:val="000000" w:themeColor="text1"/>
                <w:kern w:val="0"/>
                <w:szCs w:val="21"/>
              </w:rPr>
            </w:pPr>
            <w:r>
              <w:rPr>
                <w:color w:val="000000" w:themeColor="text1"/>
                <w:kern w:val="0"/>
                <w:szCs w:val="21"/>
              </w:rPr>
              <w:t>2.0~3.0</w:t>
            </w:r>
          </w:p>
        </w:tc>
        <w:tc>
          <w:tcPr>
            <w:tcW w:w="1237" w:type="dxa"/>
            <w:shd w:val="clear" w:color="auto" w:fill="auto"/>
            <w:vAlign w:val="center"/>
          </w:tcPr>
          <w:p>
            <w:pPr>
              <w:widowControl/>
              <w:spacing w:line="240" w:lineRule="auto"/>
              <w:jc w:val="center"/>
              <w:rPr>
                <w:color w:val="000000" w:themeColor="text1"/>
                <w:kern w:val="0"/>
                <w:szCs w:val="21"/>
              </w:rPr>
            </w:pPr>
            <w:r>
              <w:rPr>
                <w:color w:val="000000" w:themeColor="text1"/>
                <w:kern w:val="0"/>
                <w:szCs w:val="21"/>
              </w:rPr>
              <w:t>1:2.0</w:t>
            </w:r>
          </w:p>
        </w:tc>
      </w:tr>
    </w:tbl>
    <w:p>
      <w:pPr>
        <w:adjustRightInd w:val="0"/>
        <w:snapToGrid w:val="0"/>
        <w:ind w:firstLine="480" w:firstLineChars="200"/>
        <w:textAlignment w:val="baseline"/>
        <w:rPr>
          <w:color w:val="000000" w:themeColor="text1"/>
          <w:sz w:val="24"/>
        </w:rPr>
      </w:pPr>
      <w:r>
        <w:rPr>
          <w:color w:val="000000" w:themeColor="text1"/>
          <w:sz w:val="24"/>
        </w:rPr>
        <w:t>（6）土石方平衡</w:t>
      </w:r>
    </w:p>
    <w:p>
      <w:pPr>
        <w:ind w:firstLine="480" w:firstLineChars="200"/>
        <w:rPr>
          <w:color w:val="000000" w:themeColor="text1"/>
          <w:sz w:val="24"/>
        </w:rPr>
      </w:pPr>
      <w:r>
        <w:rPr>
          <w:color w:val="000000" w:themeColor="text1"/>
          <w:sz w:val="24"/>
        </w:rPr>
        <w:t>项目区内土石方开挖总量为8.66万m</w:t>
      </w:r>
      <w:r>
        <w:rPr>
          <w:color w:val="000000" w:themeColor="text1"/>
          <w:sz w:val="24"/>
          <w:vertAlign w:val="superscript"/>
        </w:rPr>
        <w:t>3</w:t>
      </w:r>
      <w:r>
        <w:rPr>
          <w:color w:val="000000" w:themeColor="text1"/>
          <w:sz w:val="24"/>
        </w:rPr>
        <w:t>（其中表土剥离0.18万m</w:t>
      </w:r>
      <w:r>
        <w:rPr>
          <w:color w:val="000000" w:themeColor="text1"/>
          <w:sz w:val="24"/>
          <w:vertAlign w:val="superscript"/>
        </w:rPr>
        <w:t>3</w:t>
      </w:r>
      <w:r>
        <w:rPr>
          <w:color w:val="000000" w:themeColor="text1"/>
          <w:sz w:val="24"/>
        </w:rPr>
        <w:t>，场地平整8.48万m</w:t>
      </w:r>
      <w:r>
        <w:rPr>
          <w:color w:val="000000" w:themeColor="text1"/>
          <w:sz w:val="24"/>
          <w:vertAlign w:val="superscript"/>
        </w:rPr>
        <w:t>3</w:t>
      </w:r>
      <w:r>
        <w:rPr>
          <w:color w:val="000000" w:themeColor="text1"/>
          <w:sz w:val="24"/>
        </w:rPr>
        <w:t>）；回填总量为8.66万m</w:t>
      </w:r>
      <w:r>
        <w:rPr>
          <w:color w:val="000000" w:themeColor="text1"/>
          <w:sz w:val="24"/>
          <w:vertAlign w:val="superscript"/>
        </w:rPr>
        <w:t>3</w:t>
      </w:r>
      <w:r>
        <w:rPr>
          <w:color w:val="000000" w:themeColor="text1"/>
          <w:sz w:val="24"/>
        </w:rPr>
        <w:t>（其中绿化覆土量为0.18万m</w:t>
      </w:r>
      <w:r>
        <w:rPr>
          <w:color w:val="000000" w:themeColor="text1"/>
          <w:sz w:val="24"/>
          <w:vertAlign w:val="superscript"/>
        </w:rPr>
        <w:t>3</w:t>
      </w:r>
      <w:r>
        <w:rPr>
          <w:color w:val="000000" w:themeColor="text1"/>
          <w:sz w:val="24"/>
        </w:rPr>
        <w:t>，一般回填量为8.48万m</w:t>
      </w:r>
      <w:r>
        <w:rPr>
          <w:color w:val="000000" w:themeColor="text1"/>
          <w:sz w:val="24"/>
          <w:vertAlign w:val="superscript"/>
        </w:rPr>
        <w:t>3</w:t>
      </w:r>
      <w:r>
        <w:rPr>
          <w:color w:val="000000" w:themeColor="text1"/>
          <w:sz w:val="24"/>
        </w:rPr>
        <w:t>），本项目不产生永久弃方。</w:t>
      </w:r>
    </w:p>
    <w:p>
      <w:pPr>
        <w:pStyle w:val="14"/>
        <w:rPr>
          <w:color w:val="000000" w:themeColor="text1"/>
        </w:rPr>
      </w:pPr>
      <w:r>
        <w:rPr>
          <w:color w:val="000000" w:themeColor="text1"/>
        </w:rPr>
        <w:t>项目土石方明细见表3.3-2，土石方平衡见图3.3-2。</w:t>
      </w:r>
    </w:p>
    <w:p>
      <w:pPr>
        <w:spacing w:line="240" w:lineRule="auto"/>
        <w:ind w:firstLine="422" w:firstLineChars="200"/>
        <w:jc w:val="center"/>
        <w:rPr>
          <w:b/>
          <w:color w:val="000000" w:themeColor="text1"/>
          <w:szCs w:val="21"/>
        </w:rPr>
      </w:pPr>
      <w:r>
        <w:rPr>
          <w:b/>
          <w:color w:val="000000" w:themeColor="text1"/>
          <w:szCs w:val="21"/>
        </w:rPr>
        <w:t>表3.3-2  土石方平衡及流向分析表单位：万m</w:t>
      </w:r>
      <w:r>
        <w:rPr>
          <w:b/>
          <w:color w:val="000000" w:themeColor="text1"/>
          <w:szCs w:val="21"/>
          <w:vertAlign w:val="superscript"/>
        </w:rPr>
        <w:t>3</w:t>
      </w:r>
    </w:p>
    <w:tbl>
      <w:tblPr>
        <w:tblStyle w:val="42"/>
        <w:tblW w:w="83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4"/>
        <w:gridCol w:w="925"/>
        <w:gridCol w:w="1009"/>
        <w:gridCol w:w="841"/>
        <w:gridCol w:w="925"/>
        <w:gridCol w:w="887"/>
        <w:gridCol w:w="854"/>
        <w:gridCol w:w="865"/>
        <w:gridCol w:w="504"/>
        <w:gridCol w:w="5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vMerge w:val="restart"/>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项目分区</w:t>
            </w:r>
          </w:p>
        </w:tc>
        <w:tc>
          <w:tcPr>
            <w:tcW w:w="925" w:type="dxa"/>
            <w:vMerge w:val="restart"/>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分类</w:t>
            </w:r>
          </w:p>
        </w:tc>
        <w:tc>
          <w:tcPr>
            <w:tcW w:w="1009" w:type="dxa"/>
            <w:vMerge w:val="restart"/>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开挖或剥离方</w:t>
            </w:r>
          </w:p>
        </w:tc>
        <w:tc>
          <w:tcPr>
            <w:tcW w:w="841" w:type="dxa"/>
            <w:vMerge w:val="restart"/>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回填</w:t>
            </w:r>
          </w:p>
        </w:tc>
        <w:tc>
          <w:tcPr>
            <w:tcW w:w="3531" w:type="dxa"/>
            <w:gridSpan w:val="4"/>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直接调运方</w:t>
            </w:r>
          </w:p>
        </w:tc>
        <w:tc>
          <w:tcPr>
            <w:tcW w:w="1082" w:type="dxa"/>
            <w:gridSpan w:val="2"/>
            <w:vMerge w:val="restart"/>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弃方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vMerge w:val="continue"/>
            <w:tcMar>
              <w:left w:w="0" w:type="dxa"/>
              <w:right w:w="0" w:type="dxa"/>
            </w:tcMar>
            <w:vAlign w:val="center"/>
          </w:tcPr>
          <w:p>
            <w:pPr>
              <w:widowControl/>
              <w:spacing w:line="240" w:lineRule="auto"/>
              <w:jc w:val="center"/>
              <w:rPr>
                <w:b/>
                <w:color w:val="000000" w:themeColor="text1"/>
                <w:kern w:val="0"/>
                <w:szCs w:val="21"/>
              </w:rPr>
            </w:pPr>
          </w:p>
        </w:tc>
        <w:tc>
          <w:tcPr>
            <w:tcW w:w="925" w:type="dxa"/>
            <w:vMerge w:val="continue"/>
            <w:tcMar>
              <w:left w:w="0" w:type="dxa"/>
              <w:right w:w="0" w:type="dxa"/>
            </w:tcMar>
            <w:vAlign w:val="center"/>
          </w:tcPr>
          <w:p>
            <w:pPr>
              <w:widowControl/>
              <w:spacing w:line="240" w:lineRule="auto"/>
              <w:jc w:val="center"/>
              <w:rPr>
                <w:b/>
                <w:color w:val="000000" w:themeColor="text1"/>
                <w:kern w:val="0"/>
                <w:szCs w:val="21"/>
              </w:rPr>
            </w:pPr>
          </w:p>
        </w:tc>
        <w:tc>
          <w:tcPr>
            <w:tcW w:w="1009" w:type="dxa"/>
            <w:vMerge w:val="continue"/>
            <w:tcMar>
              <w:left w:w="0" w:type="dxa"/>
              <w:right w:w="0" w:type="dxa"/>
            </w:tcMar>
            <w:vAlign w:val="center"/>
          </w:tcPr>
          <w:p>
            <w:pPr>
              <w:widowControl/>
              <w:spacing w:line="240" w:lineRule="auto"/>
              <w:jc w:val="center"/>
              <w:rPr>
                <w:b/>
                <w:color w:val="000000" w:themeColor="text1"/>
                <w:kern w:val="0"/>
                <w:szCs w:val="21"/>
              </w:rPr>
            </w:pPr>
          </w:p>
        </w:tc>
        <w:tc>
          <w:tcPr>
            <w:tcW w:w="841" w:type="dxa"/>
            <w:vMerge w:val="continue"/>
            <w:tcMar>
              <w:left w:w="0" w:type="dxa"/>
              <w:right w:w="0" w:type="dxa"/>
            </w:tcMar>
            <w:vAlign w:val="center"/>
          </w:tcPr>
          <w:p>
            <w:pPr>
              <w:widowControl/>
              <w:spacing w:line="240" w:lineRule="auto"/>
              <w:jc w:val="center"/>
              <w:rPr>
                <w:b/>
                <w:color w:val="000000" w:themeColor="text1"/>
                <w:kern w:val="0"/>
                <w:szCs w:val="21"/>
              </w:rPr>
            </w:pPr>
          </w:p>
        </w:tc>
        <w:tc>
          <w:tcPr>
            <w:tcW w:w="1812" w:type="dxa"/>
            <w:gridSpan w:val="2"/>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调入方</w:t>
            </w:r>
          </w:p>
        </w:tc>
        <w:tc>
          <w:tcPr>
            <w:tcW w:w="1719" w:type="dxa"/>
            <w:gridSpan w:val="2"/>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调出方</w:t>
            </w:r>
          </w:p>
        </w:tc>
        <w:tc>
          <w:tcPr>
            <w:tcW w:w="1082" w:type="dxa"/>
            <w:gridSpan w:val="2"/>
            <w:vMerge w:val="continue"/>
            <w:tcMar>
              <w:left w:w="0" w:type="dxa"/>
              <w:right w:w="0" w:type="dxa"/>
            </w:tcMar>
            <w:vAlign w:val="center"/>
          </w:tcPr>
          <w:p>
            <w:pPr>
              <w:widowControl/>
              <w:spacing w:line="240" w:lineRule="auto"/>
              <w:jc w:val="center"/>
              <w:rPr>
                <w:b/>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vMerge w:val="continue"/>
            <w:tcMar>
              <w:left w:w="0" w:type="dxa"/>
              <w:right w:w="0" w:type="dxa"/>
            </w:tcMar>
            <w:vAlign w:val="center"/>
          </w:tcPr>
          <w:p>
            <w:pPr>
              <w:widowControl/>
              <w:spacing w:line="240" w:lineRule="auto"/>
              <w:jc w:val="center"/>
              <w:rPr>
                <w:b/>
                <w:color w:val="000000" w:themeColor="text1"/>
                <w:kern w:val="0"/>
                <w:szCs w:val="21"/>
              </w:rPr>
            </w:pPr>
          </w:p>
        </w:tc>
        <w:tc>
          <w:tcPr>
            <w:tcW w:w="925" w:type="dxa"/>
            <w:vMerge w:val="continue"/>
            <w:tcMar>
              <w:left w:w="0" w:type="dxa"/>
              <w:right w:w="0" w:type="dxa"/>
            </w:tcMar>
            <w:vAlign w:val="center"/>
          </w:tcPr>
          <w:p>
            <w:pPr>
              <w:widowControl/>
              <w:spacing w:line="240" w:lineRule="auto"/>
              <w:jc w:val="center"/>
              <w:rPr>
                <w:b/>
                <w:color w:val="000000" w:themeColor="text1"/>
                <w:kern w:val="0"/>
                <w:szCs w:val="21"/>
              </w:rPr>
            </w:pPr>
          </w:p>
        </w:tc>
        <w:tc>
          <w:tcPr>
            <w:tcW w:w="1009" w:type="dxa"/>
            <w:vMerge w:val="continue"/>
            <w:tcMar>
              <w:left w:w="0" w:type="dxa"/>
              <w:right w:w="0" w:type="dxa"/>
            </w:tcMar>
            <w:vAlign w:val="center"/>
          </w:tcPr>
          <w:p>
            <w:pPr>
              <w:widowControl/>
              <w:spacing w:line="240" w:lineRule="auto"/>
              <w:jc w:val="center"/>
              <w:rPr>
                <w:b/>
                <w:color w:val="000000" w:themeColor="text1"/>
                <w:kern w:val="0"/>
                <w:szCs w:val="21"/>
              </w:rPr>
            </w:pPr>
          </w:p>
        </w:tc>
        <w:tc>
          <w:tcPr>
            <w:tcW w:w="841" w:type="dxa"/>
            <w:vMerge w:val="continue"/>
            <w:tcMar>
              <w:left w:w="0" w:type="dxa"/>
              <w:right w:w="0" w:type="dxa"/>
            </w:tcMar>
            <w:vAlign w:val="center"/>
          </w:tcPr>
          <w:p>
            <w:pPr>
              <w:widowControl/>
              <w:spacing w:line="240" w:lineRule="auto"/>
              <w:jc w:val="center"/>
              <w:rPr>
                <w:b/>
                <w:color w:val="000000" w:themeColor="text1"/>
                <w:kern w:val="0"/>
                <w:szCs w:val="21"/>
              </w:rPr>
            </w:pPr>
          </w:p>
        </w:tc>
        <w:tc>
          <w:tcPr>
            <w:tcW w:w="925" w:type="dxa"/>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数量</w:t>
            </w:r>
          </w:p>
        </w:tc>
        <w:tc>
          <w:tcPr>
            <w:tcW w:w="887" w:type="dxa"/>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来源</w:t>
            </w:r>
          </w:p>
        </w:tc>
        <w:tc>
          <w:tcPr>
            <w:tcW w:w="854" w:type="dxa"/>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数量</w:t>
            </w:r>
          </w:p>
        </w:tc>
        <w:tc>
          <w:tcPr>
            <w:tcW w:w="865" w:type="dxa"/>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去向</w:t>
            </w:r>
          </w:p>
        </w:tc>
        <w:tc>
          <w:tcPr>
            <w:tcW w:w="504" w:type="dxa"/>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数量</w:t>
            </w:r>
          </w:p>
        </w:tc>
        <w:tc>
          <w:tcPr>
            <w:tcW w:w="578" w:type="dxa"/>
            <w:shd w:val="clear" w:color="auto" w:fill="auto"/>
            <w:tcMar>
              <w:left w:w="0" w:type="dxa"/>
              <w:right w:w="0" w:type="dxa"/>
            </w:tcMar>
            <w:vAlign w:val="center"/>
          </w:tcPr>
          <w:p>
            <w:pPr>
              <w:widowControl/>
              <w:spacing w:line="240" w:lineRule="auto"/>
              <w:jc w:val="center"/>
              <w:rPr>
                <w:b/>
                <w:color w:val="000000" w:themeColor="text1"/>
                <w:kern w:val="0"/>
                <w:szCs w:val="21"/>
              </w:rPr>
            </w:pPr>
            <w:r>
              <w:rPr>
                <w:b/>
                <w:color w:val="000000" w:themeColor="text1"/>
                <w:kern w:val="0"/>
                <w:szCs w:val="21"/>
              </w:rPr>
              <w:t>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vMerge w:val="restart"/>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项目区</w:t>
            </w: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土石方</w:t>
            </w:r>
          </w:p>
        </w:tc>
        <w:tc>
          <w:tcPr>
            <w:tcW w:w="1009"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4.51</w:t>
            </w:r>
          </w:p>
        </w:tc>
        <w:tc>
          <w:tcPr>
            <w:tcW w:w="841"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5.01</w:t>
            </w: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0.50</w:t>
            </w:r>
          </w:p>
        </w:tc>
        <w:tc>
          <w:tcPr>
            <w:tcW w:w="887"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54"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65"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504"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578" w:type="dxa"/>
            <w:shd w:val="clear" w:color="auto" w:fill="auto"/>
            <w:tcMar>
              <w:left w:w="0" w:type="dxa"/>
              <w:right w:w="0" w:type="dxa"/>
            </w:tcMar>
            <w:vAlign w:val="center"/>
          </w:tcPr>
          <w:p>
            <w:pPr>
              <w:widowControl/>
              <w:spacing w:line="240" w:lineRule="auto"/>
              <w:jc w:val="center"/>
              <w:rPr>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vMerge w:val="continue"/>
            <w:tcMar>
              <w:left w:w="0" w:type="dxa"/>
              <w:right w:w="0" w:type="dxa"/>
            </w:tcMar>
            <w:vAlign w:val="center"/>
          </w:tcPr>
          <w:p>
            <w:pPr>
              <w:widowControl/>
              <w:spacing w:line="240" w:lineRule="auto"/>
              <w:jc w:val="center"/>
              <w:rPr>
                <w:color w:val="000000" w:themeColor="text1"/>
                <w:kern w:val="0"/>
                <w:szCs w:val="21"/>
              </w:rPr>
            </w:pP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表土</w:t>
            </w:r>
          </w:p>
        </w:tc>
        <w:tc>
          <w:tcPr>
            <w:tcW w:w="1009"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0.18</w:t>
            </w:r>
          </w:p>
        </w:tc>
        <w:tc>
          <w:tcPr>
            <w:tcW w:w="841"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87"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54"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0.18</w:t>
            </w:r>
          </w:p>
        </w:tc>
        <w:tc>
          <w:tcPr>
            <w:tcW w:w="86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绿化区</w:t>
            </w:r>
          </w:p>
        </w:tc>
        <w:tc>
          <w:tcPr>
            <w:tcW w:w="504"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578" w:type="dxa"/>
            <w:shd w:val="clear" w:color="auto" w:fill="auto"/>
            <w:tcMar>
              <w:left w:w="0" w:type="dxa"/>
              <w:right w:w="0" w:type="dxa"/>
            </w:tcMar>
            <w:vAlign w:val="center"/>
          </w:tcPr>
          <w:p>
            <w:pPr>
              <w:widowControl/>
              <w:spacing w:line="240" w:lineRule="auto"/>
              <w:jc w:val="center"/>
              <w:rPr>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vMerge w:val="continue"/>
            <w:tcMar>
              <w:left w:w="0" w:type="dxa"/>
              <w:right w:w="0" w:type="dxa"/>
            </w:tcMar>
            <w:vAlign w:val="center"/>
          </w:tcPr>
          <w:p>
            <w:pPr>
              <w:widowControl/>
              <w:spacing w:line="240" w:lineRule="auto"/>
              <w:jc w:val="center"/>
              <w:rPr>
                <w:color w:val="000000" w:themeColor="text1"/>
                <w:kern w:val="0"/>
                <w:szCs w:val="21"/>
              </w:rPr>
            </w:pP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小计</w:t>
            </w:r>
          </w:p>
        </w:tc>
        <w:tc>
          <w:tcPr>
            <w:tcW w:w="1009"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4.69</w:t>
            </w:r>
          </w:p>
        </w:tc>
        <w:tc>
          <w:tcPr>
            <w:tcW w:w="841"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5.01</w:t>
            </w: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0.50</w:t>
            </w:r>
          </w:p>
        </w:tc>
        <w:tc>
          <w:tcPr>
            <w:tcW w:w="887"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54"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0.18</w:t>
            </w:r>
          </w:p>
        </w:tc>
        <w:tc>
          <w:tcPr>
            <w:tcW w:w="865"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504"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578" w:type="dxa"/>
            <w:shd w:val="clear" w:color="auto" w:fill="auto"/>
            <w:tcMar>
              <w:left w:w="0" w:type="dxa"/>
              <w:right w:w="0" w:type="dxa"/>
            </w:tcMar>
            <w:vAlign w:val="center"/>
          </w:tcPr>
          <w:p>
            <w:pPr>
              <w:widowControl/>
              <w:spacing w:line="240" w:lineRule="auto"/>
              <w:jc w:val="center"/>
              <w:rPr>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建构筑物区</w:t>
            </w: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土石方</w:t>
            </w:r>
          </w:p>
        </w:tc>
        <w:tc>
          <w:tcPr>
            <w:tcW w:w="1009"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2.13</w:t>
            </w:r>
          </w:p>
        </w:tc>
        <w:tc>
          <w:tcPr>
            <w:tcW w:w="841"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1.94</w:t>
            </w: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87"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54"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0.19</w:t>
            </w:r>
          </w:p>
        </w:tc>
        <w:tc>
          <w:tcPr>
            <w:tcW w:w="86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场地平整</w:t>
            </w:r>
          </w:p>
        </w:tc>
        <w:tc>
          <w:tcPr>
            <w:tcW w:w="504"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578" w:type="dxa"/>
            <w:shd w:val="clear" w:color="auto" w:fill="auto"/>
            <w:tcMar>
              <w:left w:w="0" w:type="dxa"/>
              <w:right w:w="0" w:type="dxa"/>
            </w:tcMar>
            <w:vAlign w:val="center"/>
          </w:tcPr>
          <w:p>
            <w:pPr>
              <w:widowControl/>
              <w:spacing w:line="240" w:lineRule="auto"/>
              <w:jc w:val="center"/>
              <w:rPr>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道路及硬化区</w:t>
            </w: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土石方</w:t>
            </w:r>
          </w:p>
        </w:tc>
        <w:tc>
          <w:tcPr>
            <w:tcW w:w="1009"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1.84</w:t>
            </w:r>
          </w:p>
        </w:tc>
        <w:tc>
          <w:tcPr>
            <w:tcW w:w="841"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1.53</w:t>
            </w: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87"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54"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0.31</w:t>
            </w:r>
          </w:p>
        </w:tc>
        <w:tc>
          <w:tcPr>
            <w:tcW w:w="86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场地平整</w:t>
            </w:r>
          </w:p>
        </w:tc>
        <w:tc>
          <w:tcPr>
            <w:tcW w:w="504"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578" w:type="dxa"/>
            <w:shd w:val="clear" w:color="auto" w:fill="auto"/>
            <w:tcMar>
              <w:left w:w="0" w:type="dxa"/>
              <w:right w:w="0" w:type="dxa"/>
            </w:tcMar>
            <w:vAlign w:val="center"/>
          </w:tcPr>
          <w:p>
            <w:pPr>
              <w:widowControl/>
              <w:spacing w:line="240" w:lineRule="auto"/>
              <w:jc w:val="center"/>
              <w:rPr>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绿化区</w:t>
            </w: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覆土</w:t>
            </w:r>
          </w:p>
        </w:tc>
        <w:tc>
          <w:tcPr>
            <w:tcW w:w="1009"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41"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0.18</w:t>
            </w:r>
          </w:p>
        </w:tc>
        <w:tc>
          <w:tcPr>
            <w:tcW w:w="925"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0.18</w:t>
            </w:r>
          </w:p>
        </w:tc>
        <w:tc>
          <w:tcPr>
            <w:tcW w:w="887" w:type="dxa"/>
            <w:shd w:val="clear" w:color="auto" w:fill="auto"/>
            <w:tcMar>
              <w:left w:w="0" w:type="dxa"/>
              <w:right w:w="0" w:type="dxa"/>
            </w:tcMar>
            <w:vAlign w:val="center"/>
          </w:tcPr>
          <w:p>
            <w:pPr>
              <w:widowControl/>
              <w:spacing w:line="240" w:lineRule="auto"/>
              <w:jc w:val="center"/>
              <w:rPr>
                <w:color w:val="000000" w:themeColor="text1"/>
                <w:kern w:val="0"/>
                <w:szCs w:val="21"/>
              </w:rPr>
            </w:pPr>
            <w:r>
              <w:rPr>
                <w:color w:val="000000" w:themeColor="text1"/>
                <w:kern w:val="0"/>
                <w:szCs w:val="21"/>
              </w:rPr>
              <w:t>项目区</w:t>
            </w:r>
          </w:p>
        </w:tc>
        <w:tc>
          <w:tcPr>
            <w:tcW w:w="854"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865"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504" w:type="dxa"/>
            <w:shd w:val="clear" w:color="auto" w:fill="auto"/>
            <w:tcMar>
              <w:left w:w="0" w:type="dxa"/>
              <w:right w:w="0" w:type="dxa"/>
            </w:tcMar>
            <w:vAlign w:val="center"/>
          </w:tcPr>
          <w:p>
            <w:pPr>
              <w:widowControl/>
              <w:spacing w:line="240" w:lineRule="auto"/>
              <w:jc w:val="center"/>
              <w:rPr>
                <w:color w:val="000000" w:themeColor="text1"/>
                <w:kern w:val="0"/>
                <w:szCs w:val="21"/>
              </w:rPr>
            </w:pPr>
          </w:p>
        </w:tc>
        <w:tc>
          <w:tcPr>
            <w:tcW w:w="578" w:type="dxa"/>
            <w:shd w:val="clear" w:color="auto" w:fill="auto"/>
            <w:tcMar>
              <w:left w:w="0" w:type="dxa"/>
              <w:right w:w="0" w:type="dxa"/>
            </w:tcMar>
            <w:vAlign w:val="center"/>
          </w:tcPr>
          <w:p>
            <w:pPr>
              <w:widowControl/>
              <w:spacing w:line="240" w:lineRule="auto"/>
              <w:jc w:val="center"/>
              <w:rPr>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vMerge w:val="restart"/>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合计</w:t>
            </w:r>
          </w:p>
        </w:tc>
        <w:tc>
          <w:tcPr>
            <w:tcW w:w="925"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土石方</w:t>
            </w:r>
          </w:p>
        </w:tc>
        <w:tc>
          <w:tcPr>
            <w:tcW w:w="1009"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8.48</w:t>
            </w:r>
          </w:p>
        </w:tc>
        <w:tc>
          <w:tcPr>
            <w:tcW w:w="841"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8.48</w:t>
            </w:r>
          </w:p>
        </w:tc>
        <w:tc>
          <w:tcPr>
            <w:tcW w:w="925"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0.50</w:t>
            </w:r>
          </w:p>
        </w:tc>
        <w:tc>
          <w:tcPr>
            <w:tcW w:w="887"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c>
          <w:tcPr>
            <w:tcW w:w="854"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0.50</w:t>
            </w:r>
          </w:p>
        </w:tc>
        <w:tc>
          <w:tcPr>
            <w:tcW w:w="865"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c>
          <w:tcPr>
            <w:tcW w:w="504"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c>
          <w:tcPr>
            <w:tcW w:w="578"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vMerge w:val="continue"/>
            <w:tcMar>
              <w:left w:w="0" w:type="dxa"/>
              <w:right w:w="0" w:type="dxa"/>
            </w:tcMar>
            <w:vAlign w:val="center"/>
          </w:tcPr>
          <w:p>
            <w:pPr>
              <w:widowControl/>
              <w:spacing w:line="240" w:lineRule="auto"/>
              <w:jc w:val="center"/>
              <w:rPr>
                <w:b/>
                <w:bCs/>
                <w:color w:val="000000" w:themeColor="text1"/>
                <w:kern w:val="0"/>
                <w:szCs w:val="21"/>
              </w:rPr>
            </w:pPr>
          </w:p>
        </w:tc>
        <w:tc>
          <w:tcPr>
            <w:tcW w:w="925"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表土</w:t>
            </w:r>
          </w:p>
        </w:tc>
        <w:tc>
          <w:tcPr>
            <w:tcW w:w="1009"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0.18</w:t>
            </w:r>
          </w:p>
        </w:tc>
        <w:tc>
          <w:tcPr>
            <w:tcW w:w="841"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0.18</w:t>
            </w:r>
          </w:p>
        </w:tc>
        <w:tc>
          <w:tcPr>
            <w:tcW w:w="925"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0.18</w:t>
            </w:r>
          </w:p>
        </w:tc>
        <w:tc>
          <w:tcPr>
            <w:tcW w:w="887"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c>
          <w:tcPr>
            <w:tcW w:w="854"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0.18</w:t>
            </w:r>
          </w:p>
        </w:tc>
        <w:tc>
          <w:tcPr>
            <w:tcW w:w="865"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c>
          <w:tcPr>
            <w:tcW w:w="504"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c>
          <w:tcPr>
            <w:tcW w:w="578"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34" w:type="dxa"/>
            <w:vMerge w:val="continue"/>
            <w:tcMar>
              <w:left w:w="0" w:type="dxa"/>
              <w:right w:w="0" w:type="dxa"/>
            </w:tcMar>
            <w:vAlign w:val="center"/>
          </w:tcPr>
          <w:p>
            <w:pPr>
              <w:widowControl/>
              <w:spacing w:line="240" w:lineRule="auto"/>
              <w:jc w:val="center"/>
              <w:rPr>
                <w:b/>
                <w:bCs/>
                <w:color w:val="000000" w:themeColor="text1"/>
                <w:kern w:val="0"/>
                <w:szCs w:val="21"/>
              </w:rPr>
            </w:pPr>
          </w:p>
        </w:tc>
        <w:tc>
          <w:tcPr>
            <w:tcW w:w="925"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小计</w:t>
            </w:r>
          </w:p>
        </w:tc>
        <w:tc>
          <w:tcPr>
            <w:tcW w:w="1009"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8.66</w:t>
            </w:r>
          </w:p>
        </w:tc>
        <w:tc>
          <w:tcPr>
            <w:tcW w:w="841"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8.66</w:t>
            </w:r>
          </w:p>
        </w:tc>
        <w:tc>
          <w:tcPr>
            <w:tcW w:w="925"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0.68</w:t>
            </w:r>
          </w:p>
        </w:tc>
        <w:tc>
          <w:tcPr>
            <w:tcW w:w="887"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c>
          <w:tcPr>
            <w:tcW w:w="854" w:type="dxa"/>
            <w:shd w:val="clear" w:color="auto" w:fill="auto"/>
            <w:tcMar>
              <w:left w:w="0" w:type="dxa"/>
              <w:right w:w="0" w:type="dxa"/>
            </w:tcMar>
            <w:vAlign w:val="center"/>
          </w:tcPr>
          <w:p>
            <w:pPr>
              <w:widowControl/>
              <w:spacing w:line="240" w:lineRule="auto"/>
              <w:jc w:val="center"/>
              <w:rPr>
                <w:b/>
                <w:bCs/>
                <w:color w:val="000000" w:themeColor="text1"/>
                <w:kern w:val="0"/>
                <w:szCs w:val="21"/>
              </w:rPr>
            </w:pPr>
            <w:r>
              <w:rPr>
                <w:b/>
                <w:bCs/>
                <w:color w:val="000000" w:themeColor="text1"/>
                <w:kern w:val="0"/>
                <w:szCs w:val="21"/>
              </w:rPr>
              <w:t>0.68</w:t>
            </w:r>
          </w:p>
        </w:tc>
        <w:tc>
          <w:tcPr>
            <w:tcW w:w="865"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c>
          <w:tcPr>
            <w:tcW w:w="504"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c>
          <w:tcPr>
            <w:tcW w:w="578" w:type="dxa"/>
            <w:shd w:val="clear" w:color="auto" w:fill="auto"/>
            <w:tcMar>
              <w:left w:w="0" w:type="dxa"/>
              <w:right w:w="0" w:type="dxa"/>
            </w:tcMar>
            <w:vAlign w:val="center"/>
          </w:tcPr>
          <w:p>
            <w:pPr>
              <w:widowControl/>
              <w:spacing w:line="240" w:lineRule="auto"/>
              <w:jc w:val="center"/>
              <w:rPr>
                <w:b/>
                <w:bCs/>
                <w:color w:val="000000" w:themeColor="text1"/>
                <w:kern w:val="0"/>
                <w:szCs w:val="21"/>
              </w:rPr>
            </w:pPr>
          </w:p>
        </w:tc>
      </w:tr>
    </w:tbl>
    <w:p>
      <w:pPr>
        <w:spacing w:line="240" w:lineRule="auto"/>
        <w:ind w:firstLine="422" w:firstLineChars="200"/>
        <w:jc w:val="center"/>
        <w:rPr>
          <w:b/>
          <w:color w:val="000000" w:themeColor="text1"/>
          <w:szCs w:val="21"/>
        </w:rPr>
      </w:pPr>
    </w:p>
    <w:p>
      <w:pPr>
        <w:adjustRightInd w:val="0"/>
        <w:snapToGrid w:val="0"/>
        <w:ind w:firstLine="420" w:firstLineChars="200"/>
        <w:jc w:val="center"/>
        <w:textAlignment w:val="baseline"/>
        <w:rPr>
          <w:color w:val="000000" w:themeColor="text1"/>
        </w:rPr>
      </w:pPr>
      <w:r>
        <w:rPr>
          <w:color w:val="000000" w:themeColor="text1"/>
        </w:rPr>
        <w:object>
          <v:shape id="_x0000_i1027" o:spt="75" type="#_x0000_t75" style="height:282.25pt;width:333.35pt;" o:ole="t" filled="f" o:preferrelative="t" stroked="f" coordsize="21600,21600">
            <v:path/>
            <v:fill on="f" focussize="0,0"/>
            <v:stroke on="f" joinstyle="miter"/>
            <v:imagedata r:id="rId30" o:title=""/>
            <o:lock v:ext="edit" aspectratio="t"/>
            <w10:wrap type="none"/>
            <w10:anchorlock/>
          </v:shape>
          <o:OLEObject Type="Embed" ProgID="Visio.Drawing.11" ShapeID="_x0000_i1027" DrawAspect="Content" ObjectID="_1468075727" r:id="rId29">
            <o:LockedField>false</o:LockedField>
          </o:OLEObject>
        </w:object>
      </w:r>
    </w:p>
    <w:p>
      <w:pPr>
        <w:adjustRightInd w:val="0"/>
        <w:snapToGrid w:val="0"/>
        <w:spacing w:line="440" w:lineRule="exact"/>
        <w:ind w:firstLine="422" w:firstLineChars="200"/>
        <w:jc w:val="center"/>
        <w:textAlignment w:val="baseline"/>
        <w:rPr>
          <w:color w:val="000000" w:themeColor="text1"/>
          <w:sz w:val="24"/>
        </w:rPr>
      </w:pPr>
      <w:r>
        <w:rPr>
          <w:b/>
          <w:color w:val="000000" w:themeColor="text1"/>
          <w:szCs w:val="21"/>
        </w:rPr>
        <w:t>图3.3-</w:t>
      </w:r>
      <w:r>
        <w:rPr>
          <w:rFonts w:hint="eastAsia"/>
          <w:b/>
          <w:color w:val="000000" w:themeColor="text1"/>
          <w:szCs w:val="21"/>
        </w:rPr>
        <w:t>2</w:t>
      </w:r>
      <w:r>
        <w:rPr>
          <w:b/>
          <w:color w:val="000000" w:themeColor="text1"/>
          <w:szCs w:val="21"/>
        </w:rPr>
        <w:t xml:space="preserve">  土石方流向框图</w:t>
      </w:r>
    </w:p>
    <w:p>
      <w:pPr>
        <w:adjustRightInd w:val="0"/>
        <w:snapToGrid w:val="0"/>
        <w:ind w:firstLine="480" w:firstLineChars="200"/>
        <w:textAlignment w:val="baseline"/>
        <w:rPr>
          <w:color w:val="000000" w:themeColor="text1"/>
          <w:sz w:val="24"/>
        </w:rPr>
      </w:pPr>
      <w:r>
        <w:rPr>
          <w:color w:val="000000" w:themeColor="text1"/>
          <w:sz w:val="24"/>
        </w:rPr>
        <w:t>（7）施工工艺</w:t>
      </w:r>
    </w:p>
    <w:p>
      <w:pPr>
        <w:ind w:firstLine="480" w:firstLineChars="200"/>
        <w:rPr>
          <w:color w:val="000000" w:themeColor="text1"/>
          <w:sz w:val="24"/>
        </w:rPr>
      </w:pPr>
      <w:r>
        <w:rPr>
          <w:color w:val="000000" w:themeColor="text1"/>
          <w:sz w:val="24"/>
        </w:rPr>
        <w:t>场地平整方式为连续整平，主要包括表土剥离，剥离的表土运至规划的临时表土堆放场堆存。场地内高于规划场地标高的地段要进行开挖，用于低于场地标高地段的填土。</w:t>
      </w:r>
    </w:p>
    <w:p>
      <w:pPr>
        <w:ind w:firstLine="480" w:firstLineChars="200"/>
        <w:rPr>
          <w:color w:val="000000" w:themeColor="text1"/>
          <w:sz w:val="24"/>
        </w:rPr>
      </w:pPr>
      <w:r>
        <w:rPr>
          <w:color w:val="000000" w:themeColor="text1"/>
          <w:sz w:val="24"/>
        </w:rPr>
        <w:t>（8）施工机械</w:t>
      </w:r>
    </w:p>
    <w:p>
      <w:pPr>
        <w:ind w:firstLine="480" w:firstLineChars="200"/>
        <w:rPr>
          <w:color w:val="000000" w:themeColor="text1"/>
          <w:sz w:val="24"/>
        </w:rPr>
      </w:pPr>
      <w:r>
        <w:rPr>
          <w:color w:val="000000" w:themeColor="text1"/>
          <w:sz w:val="24"/>
        </w:rPr>
        <w:t>项目建设期间施工机械有挖掘机、推土机、大型载重车、电锯、砂浆机、切割机等。</w:t>
      </w:r>
    </w:p>
    <w:p>
      <w:pPr>
        <w:adjustRightInd w:val="0"/>
        <w:snapToGrid w:val="0"/>
        <w:ind w:firstLine="480" w:firstLineChars="200"/>
        <w:textAlignment w:val="baseline"/>
        <w:rPr>
          <w:color w:val="000000" w:themeColor="text1"/>
          <w:sz w:val="24"/>
        </w:rPr>
      </w:pPr>
      <w:r>
        <w:rPr>
          <w:color w:val="000000" w:themeColor="text1"/>
          <w:sz w:val="24"/>
        </w:rPr>
        <w:t>（9）施工人员及进度</w:t>
      </w:r>
    </w:p>
    <w:p>
      <w:pPr>
        <w:adjustRightInd w:val="0"/>
        <w:snapToGrid w:val="0"/>
        <w:ind w:firstLine="480" w:firstLineChars="200"/>
        <w:rPr>
          <w:color w:val="000000" w:themeColor="text1"/>
          <w:sz w:val="24"/>
        </w:rPr>
      </w:pPr>
      <w:r>
        <w:rPr>
          <w:color w:val="000000" w:themeColor="text1"/>
          <w:sz w:val="24"/>
        </w:rPr>
        <w:t>施工人员为50人，施工期主要完成项目主体工程施工、公辅工程施工</w:t>
      </w:r>
      <w:r>
        <w:rPr>
          <w:color w:val="000000" w:themeColor="text1"/>
          <w:sz w:val="24"/>
          <w:szCs w:val="28"/>
        </w:rPr>
        <w:t>。项目预计</w:t>
      </w:r>
      <w:r>
        <w:rPr>
          <w:color w:val="000000" w:themeColor="text1"/>
          <w:sz w:val="24"/>
        </w:rPr>
        <w:t>201</w:t>
      </w:r>
      <w:r>
        <w:rPr>
          <w:rFonts w:hint="eastAsia"/>
          <w:color w:val="000000" w:themeColor="text1"/>
          <w:sz w:val="24"/>
        </w:rPr>
        <w:t>9</w:t>
      </w:r>
      <w:r>
        <w:rPr>
          <w:color w:val="000000" w:themeColor="text1"/>
          <w:sz w:val="24"/>
        </w:rPr>
        <w:t>年</w:t>
      </w:r>
      <w:r>
        <w:rPr>
          <w:rFonts w:hint="eastAsia"/>
          <w:color w:val="000000" w:themeColor="text1"/>
          <w:sz w:val="24"/>
        </w:rPr>
        <w:t>5</w:t>
      </w:r>
      <w:r>
        <w:rPr>
          <w:color w:val="000000" w:themeColor="text1"/>
          <w:sz w:val="24"/>
        </w:rPr>
        <w:t>月开工，20</w:t>
      </w:r>
      <w:r>
        <w:rPr>
          <w:rFonts w:hint="eastAsia"/>
          <w:color w:val="000000" w:themeColor="text1"/>
          <w:sz w:val="24"/>
        </w:rPr>
        <w:t>20</w:t>
      </w:r>
      <w:r>
        <w:rPr>
          <w:color w:val="000000" w:themeColor="text1"/>
          <w:sz w:val="24"/>
        </w:rPr>
        <w:t>年</w:t>
      </w:r>
      <w:r>
        <w:rPr>
          <w:rFonts w:hint="eastAsia"/>
          <w:color w:val="000000" w:themeColor="text1"/>
          <w:sz w:val="24"/>
        </w:rPr>
        <w:t>4</w:t>
      </w:r>
      <w:r>
        <w:rPr>
          <w:color w:val="000000" w:themeColor="text1"/>
          <w:sz w:val="24"/>
        </w:rPr>
        <w:t>月正式运行，工期12个月。</w:t>
      </w:r>
    </w:p>
    <w:p>
      <w:pPr>
        <w:pStyle w:val="4"/>
        <w:spacing w:before="0" w:after="0" w:line="360" w:lineRule="auto"/>
        <w:rPr>
          <w:color w:val="000000" w:themeColor="text1"/>
        </w:rPr>
      </w:pPr>
      <w:bookmarkStart w:id="254" w:name="_Toc510547293"/>
      <w:bookmarkStart w:id="255" w:name="_Toc504403811"/>
      <w:bookmarkStart w:id="256" w:name="_Toc506218064"/>
      <w:r>
        <w:rPr>
          <w:color w:val="000000" w:themeColor="text1"/>
        </w:rPr>
        <w:t>3.3.2废气</w:t>
      </w:r>
      <w:bookmarkEnd w:id="254"/>
      <w:bookmarkEnd w:id="255"/>
      <w:bookmarkEnd w:id="256"/>
    </w:p>
    <w:p>
      <w:pPr>
        <w:adjustRightInd w:val="0"/>
        <w:snapToGrid w:val="0"/>
        <w:spacing w:line="440" w:lineRule="exact"/>
        <w:ind w:firstLine="480" w:firstLineChars="200"/>
        <w:textAlignment w:val="baseline"/>
        <w:rPr>
          <w:color w:val="000000" w:themeColor="text1"/>
          <w:sz w:val="24"/>
        </w:rPr>
      </w:pPr>
      <w:r>
        <w:rPr>
          <w:color w:val="000000" w:themeColor="text1"/>
          <w:sz w:val="24"/>
        </w:rPr>
        <w:t>施工过程中的空气污染主要源自土方开挖、车辆运输中产生的地表扬尘，运输车辆、施工机械产生的尾气及各建筑物装修过程中产生的装修废气。</w:t>
      </w:r>
      <w:r>
        <w:rPr>
          <w:rFonts w:hint="eastAsia"/>
          <w:color w:val="000000" w:themeColor="text1"/>
          <w:sz w:val="24"/>
        </w:rPr>
        <w:t>施工期废气主要来自养殖场施工，种植区施工主要为种植坑开挖，施工作业点小，废气产生量小。</w:t>
      </w:r>
    </w:p>
    <w:p>
      <w:pPr>
        <w:adjustRightInd w:val="0"/>
        <w:snapToGrid w:val="0"/>
        <w:spacing w:line="440" w:lineRule="exact"/>
        <w:ind w:firstLine="480" w:firstLineChars="200"/>
        <w:textAlignment w:val="baseline"/>
        <w:rPr>
          <w:color w:val="000000" w:themeColor="text1"/>
          <w:sz w:val="24"/>
        </w:rPr>
      </w:pPr>
      <w:r>
        <w:rPr>
          <w:color w:val="000000" w:themeColor="text1"/>
          <w:sz w:val="24"/>
        </w:rPr>
        <w:t>（1）施工扬尘</w:t>
      </w:r>
    </w:p>
    <w:p>
      <w:pPr>
        <w:adjustRightInd w:val="0"/>
        <w:snapToGrid w:val="0"/>
        <w:spacing w:line="440" w:lineRule="exact"/>
        <w:ind w:firstLine="480" w:firstLineChars="200"/>
        <w:textAlignment w:val="baseline"/>
        <w:rPr>
          <w:color w:val="000000" w:themeColor="text1"/>
          <w:sz w:val="24"/>
        </w:rPr>
      </w:pPr>
      <w:r>
        <w:rPr>
          <w:color w:val="000000" w:themeColor="text1"/>
          <w:sz w:val="24"/>
        </w:rPr>
        <w:t>扬尘是建设阶段的大气污染的主要来源，拟建项目建设期扬尘主要来自于露天堆场和裸露场地的风力扬尘，土石方和建筑材料运输所产生的动力道路扬尘。对整个施工期而言，施工产生的扬尘主要集中在土建施工阶段，由于主要采用商品混凝土，则起尘的原因主要为风力起尘，即露天堆放的建材（如细沙、水泥等)及裸露的施工区表层浮尘由于天气干燥及大风，产生风力扬尘。施工的扬尘呈无组织排放，产生量随施工强度、施工方式以及外环境而定，在有风时施工扬尘会使施工现场环境空气中的总悬浮颗粒物（TSP）超标。</w:t>
      </w:r>
    </w:p>
    <w:p>
      <w:pPr>
        <w:tabs>
          <w:tab w:val="left" w:pos="5580"/>
        </w:tabs>
        <w:adjustRightInd w:val="0"/>
        <w:spacing w:line="440" w:lineRule="exact"/>
        <w:ind w:firstLine="480" w:firstLineChars="200"/>
        <w:textAlignment w:val="baseline"/>
        <w:rPr>
          <w:color w:val="000000" w:themeColor="text1"/>
          <w:sz w:val="24"/>
        </w:rPr>
      </w:pPr>
      <w:r>
        <w:rPr>
          <w:color w:val="000000" w:themeColor="text1"/>
          <w:sz w:val="24"/>
        </w:rPr>
        <w:t>北京市</w:t>
      </w:r>
      <w:r>
        <w:rPr>
          <w:bCs/>
          <w:color w:val="000000" w:themeColor="text1"/>
          <w:sz w:val="24"/>
        </w:rPr>
        <w:t>环境</w:t>
      </w:r>
      <w:r>
        <w:rPr>
          <w:color w:val="000000" w:themeColor="text1"/>
          <w:sz w:val="24"/>
        </w:rPr>
        <w:t>科学研究院曾对7个建筑工程工地施工扬尘进行了测定，测定时风速为2.4m/s。测定结果表明：</w:t>
      </w:r>
    </w:p>
    <w:p>
      <w:pPr>
        <w:tabs>
          <w:tab w:val="left" w:pos="5580"/>
        </w:tabs>
        <w:adjustRightInd w:val="0"/>
        <w:spacing w:line="440" w:lineRule="exact"/>
        <w:ind w:firstLine="480" w:firstLineChars="200"/>
        <w:textAlignment w:val="baseline"/>
        <w:rPr>
          <w:color w:val="000000" w:themeColor="text1"/>
          <w:sz w:val="24"/>
        </w:rPr>
      </w:pPr>
      <w:r>
        <w:rPr>
          <w:rFonts w:hint="eastAsia" w:ascii="宋体" w:hAnsi="宋体" w:cs="宋体"/>
          <w:color w:val="000000" w:themeColor="text1"/>
          <w:sz w:val="24"/>
        </w:rPr>
        <w:t>①</w:t>
      </w:r>
      <w:r>
        <w:rPr>
          <w:color w:val="000000" w:themeColor="text1"/>
          <w:sz w:val="24"/>
        </w:rPr>
        <w:t>当</w:t>
      </w:r>
      <w:r>
        <w:rPr>
          <w:bCs/>
          <w:color w:val="000000" w:themeColor="text1"/>
          <w:sz w:val="24"/>
        </w:rPr>
        <w:t>风速</w:t>
      </w:r>
      <w:r>
        <w:rPr>
          <w:color w:val="000000" w:themeColor="text1"/>
          <w:sz w:val="24"/>
        </w:rPr>
        <w:t>为2.4m/s时，建筑施工的扬尘污染较为严重，工地内TSP浓度为上风向对照点的1.5～2.3倍，平均1.88倍，相当于环境空气质量标准的1.4～2.5倍，平均1.98倍；</w:t>
      </w:r>
    </w:p>
    <w:p>
      <w:pPr>
        <w:tabs>
          <w:tab w:val="left" w:pos="5580"/>
        </w:tabs>
        <w:adjustRightInd w:val="0"/>
        <w:spacing w:line="440" w:lineRule="exact"/>
        <w:ind w:firstLine="480" w:firstLineChars="200"/>
        <w:textAlignment w:val="baseline"/>
        <w:rPr>
          <w:color w:val="000000" w:themeColor="text1"/>
          <w:sz w:val="24"/>
        </w:rPr>
      </w:pPr>
      <w:r>
        <w:rPr>
          <w:rFonts w:hint="eastAsia" w:ascii="宋体" w:hAnsi="宋体" w:cs="宋体"/>
          <w:color w:val="000000" w:themeColor="text1"/>
          <w:sz w:val="24"/>
        </w:rPr>
        <w:t>②</w:t>
      </w:r>
      <w:r>
        <w:rPr>
          <w:bCs/>
          <w:color w:val="000000" w:themeColor="text1"/>
          <w:sz w:val="24"/>
        </w:rPr>
        <w:t>建筑</w:t>
      </w:r>
      <w:r>
        <w:rPr>
          <w:color w:val="000000" w:themeColor="text1"/>
          <w:sz w:val="24"/>
        </w:rPr>
        <w:t>施工扬尘的影响范围为其下风向150m之内，被影响地区的TSP浓度平均值为0.491mg/m</w:t>
      </w:r>
      <w:r>
        <w:rPr>
          <w:color w:val="000000" w:themeColor="text1"/>
          <w:sz w:val="24"/>
          <w:vertAlign w:val="superscript"/>
        </w:rPr>
        <w:t>3</w:t>
      </w:r>
      <w:r>
        <w:rPr>
          <w:color w:val="000000" w:themeColor="text1"/>
          <w:sz w:val="24"/>
        </w:rPr>
        <w:t>，为上风向对照点的1.5倍，相当于环境空气质量标准的1.6倍。</w:t>
      </w:r>
    </w:p>
    <w:p>
      <w:pPr>
        <w:tabs>
          <w:tab w:val="left" w:pos="5580"/>
        </w:tabs>
        <w:adjustRightInd w:val="0"/>
        <w:spacing w:line="440" w:lineRule="exact"/>
        <w:ind w:firstLine="480" w:firstLineChars="200"/>
        <w:textAlignment w:val="baseline"/>
        <w:rPr>
          <w:color w:val="000000" w:themeColor="text1"/>
          <w:sz w:val="24"/>
        </w:rPr>
      </w:pPr>
      <w:r>
        <w:rPr>
          <w:rFonts w:hint="eastAsia" w:ascii="宋体" w:hAnsi="宋体" w:cs="宋体"/>
          <w:color w:val="000000" w:themeColor="text1"/>
          <w:sz w:val="24"/>
        </w:rPr>
        <w:t>③</w:t>
      </w:r>
      <w:r>
        <w:rPr>
          <w:color w:val="000000" w:themeColor="text1"/>
          <w:sz w:val="24"/>
        </w:rPr>
        <w:t>类比</w:t>
      </w:r>
      <w:r>
        <w:rPr>
          <w:bCs/>
          <w:color w:val="000000" w:themeColor="text1"/>
          <w:sz w:val="24"/>
        </w:rPr>
        <w:t>其它</w:t>
      </w:r>
      <w:r>
        <w:rPr>
          <w:color w:val="000000" w:themeColor="text1"/>
          <w:sz w:val="24"/>
        </w:rPr>
        <w:t>建筑施工工地扬尘污染情况（表</w:t>
      </w:r>
      <w:r>
        <w:rPr>
          <w:rFonts w:hint="eastAsia"/>
          <w:color w:val="000000" w:themeColor="text1"/>
          <w:sz w:val="24"/>
        </w:rPr>
        <w:t>3.3-3</w:t>
      </w:r>
      <w:r>
        <w:rPr>
          <w:color w:val="000000" w:themeColor="text1"/>
          <w:sz w:val="24"/>
        </w:rPr>
        <w:t>），当风速＞2.5m/s时项目施工粉尘的影响范围变大，特别下风向超标范围将更大。施工现场近地面粉尘浓度会超过《环境空气质量标准》（GB3096-2012）二级标准中日平均值0.3mg/m</w:t>
      </w:r>
      <w:r>
        <w:rPr>
          <w:color w:val="000000" w:themeColor="text1"/>
          <w:sz w:val="24"/>
          <w:vertAlign w:val="superscript"/>
        </w:rPr>
        <w:t>3</w:t>
      </w:r>
      <w:r>
        <w:rPr>
          <w:color w:val="000000" w:themeColor="text1"/>
          <w:sz w:val="24"/>
        </w:rPr>
        <w:t>的1～2倍。</w:t>
      </w:r>
    </w:p>
    <w:p>
      <w:pPr>
        <w:spacing w:line="440" w:lineRule="exact"/>
        <w:jc w:val="center"/>
        <w:rPr>
          <w:b/>
          <w:bCs/>
          <w:color w:val="000000" w:themeColor="text1"/>
          <w:szCs w:val="21"/>
        </w:rPr>
      </w:pPr>
      <w:r>
        <w:rPr>
          <w:b/>
          <w:bCs/>
          <w:color w:val="000000" w:themeColor="text1"/>
          <w:szCs w:val="21"/>
        </w:rPr>
        <w:t>表3.3-3  类比其它建筑施工工地扬尘污染情况单位：mg/m</w:t>
      </w:r>
      <w:r>
        <w:rPr>
          <w:b/>
          <w:bCs/>
          <w:color w:val="000000" w:themeColor="text1"/>
          <w:szCs w:val="21"/>
          <w:vertAlign w:val="superscript"/>
        </w:rPr>
        <w:t>3</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204"/>
        <w:gridCol w:w="1218"/>
        <w:gridCol w:w="936"/>
        <w:gridCol w:w="1259"/>
        <w:gridCol w:w="1462"/>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33" w:type="dxa"/>
            <w:vMerge w:val="restart"/>
            <w:vAlign w:val="center"/>
          </w:tcPr>
          <w:p>
            <w:pPr>
              <w:spacing w:line="240" w:lineRule="auto"/>
              <w:jc w:val="center"/>
              <w:rPr>
                <w:b/>
                <w:color w:val="000000" w:themeColor="text1"/>
                <w:szCs w:val="21"/>
              </w:rPr>
            </w:pPr>
            <w:r>
              <w:rPr>
                <w:b/>
                <w:color w:val="000000" w:themeColor="text1"/>
                <w:szCs w:val="21"/>
              </w:rPr>
              <w:t>工地上风向50m</w:t>
            </w:r>
          </w:p>
        </w:tc>
        <w:tc>
          <w:tcPr>
            <w:tcW w:w="1204" w:type="dxa"/>
            <w:vMerge w:val="restart"/>
            <w:vAlign w:val="center"/>
          </w:tcPr>
          <w:p>
            <w:pPr>
              <w:spacing w:line="240" w:lineRule="auto"/>
              <w:jc w:val="center"/>
              <w:rPr>
                <w:b/>
                <w:color w:val="000000" w:themeColor="text1"/>
                <w:szCs w:val="21"/>
              </w:rPr>
            </w:pPr>
            <w:r>
              <w:rPr>
                <w:b/>
                <w:color w:val="000000" w:themeColor="text1"/>
                <w:szCs w:val="21"/>
              </w:rPr>
              <w:t>工地内</w:t>
            </w:r>
          </w:p>
        </w:tc>
        <w:tc>
          <w:tcPr>
            <w:tcW w:w="3413" w:type="dxa"/>
            <w:gridSpan w:val="3"/>
            <w:vAlign w:val="center"/>
          </w:tcPr>
          <w:p>
            <w:pPr>
              <w:spacing w:line="240" w:lineRule="auto"/>
              <w:jc w:val="center"/>
              <w:rPr>
                <w:b/>
                <w:color w:val="000000" w:themeColor="text1"/>
                <w:szCs w:val="21"/>
              </w:rPr>
            </w:pPr>
            <w:r>
              <w:rPr>
                <w:b/>
                <w:color w:val="000000" w:themeColor="text1"/>
                <w:szCs w:val="21"/>
              </w:rPr>
              <w:t>工地下风向</w:t>
            </w:r>
          </w:p>
        </w:tc>
        <w:tc>
          <w:tcPr>
            <w:tcW w:w="1462" w:type="dxa"/>
            <w:vAlign w:val="center"/>
          </w:tcPr>
          <w:p>
            <w:pPr>
              <w:spacing w:line="240" w:lineRule="auto"/>
              <w:jc w:val="center"/>
              <w:rPr>
                <w:b/>
                <w:color w:val="000000" w:themeColor="text1"/>
                <w:szCs w:val="21"/>
              </w:rPr>
            </w:pPr>
            <w:r>
              <w:rPr>
                <w:b/>
                <w:color w:val="000000" w:themeColor="text1"/>
                <w:szCs w:val="21"/>
              </w:rPr>
              <w:t>检测位置</w:t>
            </w:r>
          </w:p>
        </w:tc>
        <w:tc>
          <w:tcPr>
            <w:tcW w:w="1216" w:type="dxa"/>
            <w:vMerge w:val="restart"/>
            <w:vAlign w:val="center"/>
          </w:tcPr>
          <w:p>
            <w:pPr>
              <w:spacing w:line="240" w:lineRule="auto"/>
              <w:jc w:val="center"/>
              <w:rPr>
                <w:b/>
                <w:color w:val="000000" w:themeColor="text1"/>
                <w:szCs w:val="21"/>
              </w:rPr>
            </w:pPr>
            <w:r>
              <w:rPr>
                <w:b/>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33" w:type="dxa"/>
            <w:vMerge w:val="continue"/>
            <w:vAlign w:val="center"/>
          </w:tcPr>
          <w:p>
            <w:pPr>
              <w:spacing w:line="240" w:lineRule="auto"/>
              <w:jc w:val="center"/>
              <w:rPr>
                <w:color w:val="000000" w:themeColor="text1"/>
                <w:szCs w:val="21"/>
              </w:rPr>
            </w:pPr>
          </w:p>
        </w:tc>
        <w:tc>
          <w:tcPr>
            <w:tcW w:w="1204" w:type="dxa"/>
            <w:vMerge w:val="continue"/>
            <w:vAlign w:val="center"/>
          </w:tcPr>
          <w:p>
            <w:pPr>
              <w:spacing w:line="240" w:lineRule="auto"/>
              <w:jc w:val="center"/>
              <w:rPr>
                <w:color w:val="000000" w:themeColor="text1"/>
                <w:szCs w:val="21"/>
              </w:rPr>
            </w:pPr>
          </w:p>
        </w:tc>
        <w:tc>
          <w:tcPr>
            <w:tcW w:w="1218" w:type="dxa"/>
            <w:vAlign w:val="center"/>
          </w:tcPr>
          <w:p>
            <w:pPr>
              <w:spacing w:line="240" w:lineRule="auto"/>
              <w:jc w:val="center"/>
              <w:rPr>
                <w:color w:val="000000" w:themeColor="text1"/>
                <w:szCs w:val="21"/>
              </w:rPr>
            </w:pPr>
            <w:r>
              <w:rPr>
                <w:color w:val="000000" w:themeColor="text1"/>
                <w:szCs w:val="21"/>
              </w:rPr>
              <w:t>50m</w:t>
            </w:r>
          </w:p>
        </w:tc>
        <w:tc>
          <w:tcPr>
            <w:tcW w:w="936" w:type="dxa"/>
            <w:vAlign w:val="center"/>
          </w:tcPr>
          <w:p>
            <w:pPr>
              <w:spacing w:line="240" w:lineRule="auto"/>
              <w:jc w:val="center"/>
              <w:rPr>
                <w:color w:val="000000" w:themeColor="text1"/>
                <w:szCs w:val="21"/>
              </w:rPr>
            </w:pPr>
          </w:p>
        </w:tc>
        <w:tc>
          <w:tcPr>
            <w:tcW w:w="1259" w:type="dxa"/>
            <w:vAlign w:val="center"/>
          </w:tcPr>
          <w:p>
            <w:pPr>
              <w:spacing w:line="240" w:lineRule="auto"/>
              <w:jc w:val="center"/>
              <w:rPr>
                <w:color w:val="000000" w:themeColor="text1"/>
                <w:szCs w:val="21"/>
              </w:rPr>
            </w:pPr>
            <w:r>
              <w:rPr>
                <w:color w:val="000000" w:themeColor="text1"/>
                <w:szCs w:val="21"/>
              </w:rPr>
              <w:t>100m</w:t>
            </w:r>
          </w:p>
        </w:tc>
        <w:tc>
          <w:tcPr>
            <w:tcW w:w="1462" w:type="dxa"/>
            <w:vAlign w:val="center"/>
          </w:tcPr>
          <w:p>
            <w:pPr>
              <w:spacing w:line="240" w:lineRule="auto"/>
              <w:jc w:val="center"/>
              <w:rPr>
                <w:color w:val="000000" w:themeColor="text1"/>
                <w:szCs w:val="21"/>
              </w:rPr>
            </w:pPr>
            <w:r>
              <w:rPr>
                <w:color w:val="000000" w:themeColor="text1"/>
                <w:szCs w:val="21"/>
              </w:rPr>
              <w:t>150m</w:t>
            </w:r>
          </w:p>
        </w:tc>
        <w:tc>
          <w:tcPr>
            <w:tcW w:w="1216" w:type="dxa"/>
            <w:vMerge w:val="continue"/>
            <w:vAlign w:val="center"/>
          </w:tcPr>
          <w:p>
            <w:pPr>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33" w:type="dxa"/>
            <w:vAlign w:val="center"/>
          </w:tcPr>
          <w:p>
            <w:pPr>
              <w:spacing w:line="240" w:lineRule="auto"/>
              <w:jc w:val="center"/>
              <w:rPr>
                <w:color w:val="000000" w:themeColor="text1"/>
                <w:szCs w:val="21"/>
              </w:rPr>
            </w:pPr>
            <w:r>
              <w:rPr>
                <w:color w:val="000000" w:themeColor="text1"/>
                <w:szCs w:val="21"/>
              </w:rPr>
              <w:t>0.303</w:t>
            </w:r>
            <w:r>
              <w:rPr>
                <w:color w:val="000000" w:themeColor="text1"/>
              </w:rPr>
              <w:t>~</w:t>
            </w:r>
          </w:p>
          <w:p>
            <w:pPr>
              <w:spacing w:line="240" w:lineRule="auto"/>
              <w:jc w:val="center"/>
              <w:rPr>
                <w:color w:val="000000" w:themeColor="text1"/>
                <w:szCs w:val="21"/>
              </w:rPr>
            </w:pPr>
            <w:r>
              <w:rPr>
                <w:color w:val="000000" w:themeColor="text1"/>
                <w:szCs w:val="21"/>
              </w:rPr>
              <w:t>0.328</w:t>
            </w:r>
          </w:p>
        </w:tc>
        <w:tc>
          <w:tcPr>
            <w:tcW w:w="1204" w:type="dxa"/>
            <w:vAlign w:val="center"/>
          </w:tcPr>
          <w:p>
            <w:pPr>
              <w:spacing w:line="240" w:lineRule="auto"/>
              <w:jc w:val="center"/>
              <w:rPr>
                <w:color w:val="000000" w:themeColor="text1"/>
                <w:szCs w:val="21"/>
              </w:rPr>
            </w:pPr>
            <w:r>
              <w:rPr>
                <w:color w:val="000000" w:themeColor="text1"/>
                <w:szCs w:val="21"/>
              </w:rPr>
              <w:t>0.409</w:t>
            </w:r>
            <w:r>
              <w:rPr>
                <w:color w:val="000000" w:themeColor="text1"/>
              </w:rPr>
              <w:t>~</w:t>
            </w:r>
          </w:p>
          <w:p>
            <w:pPr>
              <w:spacing w:line="240" w:lineRule="auto"/>
              <w:jc w:val="center"/>
              <w:rPr>
                <w:color w:val="000000" w:themeColor="text1"/>
                <w:szCs w:val="21"/>
              </w:rPr>
            </w:pPr>
            <w:r>
              <w:rPr>
                <w:color w:val="000000" w:themeColor="text1"/>
                <w:szCs w:val="21"/>
              </w:rPr>
              <w:t>0.759</w:t>
            </w:r>
          </w:p>
        </w:tc>
        <w:tc>
          <w:tcPr>
            <w:tcW w:w="1218" w:type="dxa"/>
            <w:vAlign w:val="center"/>
          </w:tcPr>
          <w:p>
            <w:pPr>
              <w:spacing w:line="240" w:lineRule="auto"/>
              <w:jc w:val="center"/>
              <w:rPr>
                <w:color w:val="000000" w:themeColor="text1"/>
                <w:szCs w:val="21"/>
              </w:rPr>
            </w:pPr>
            <w:r>
              <w:rPr>
                <w:color w:val="000000" w:themeColor="text1"/>
                <w:szCs w:val="21"/>
              </w:rPr>
              <w:t>0.434</w:t>
            </w:r>
            <w:r>
              <w:rPr>
                <w:color w:val="000000" w:themeColor="text1"/>
              </w:rPr>
              <w:t>~</w:t>
            </w:r>
          </w:p>
          <w:p>
            <w:pPr>
              <w:spacing w:line="240" w:lineRule="auto"/>
              <w:jc w:val="center"/>
              <w:rPr>
                <w:color w:val="000000" w:themeColor="text1"/>
                <w:szCs w:val="21"/>
              </w:rPr>
            </w:pPr>
            <w:r>
              <w:rPr>
                <w:color w:val="000000" w:themeColor="text1"/>
                <w:szCs w:val="21"/>
              </w:rPr>
              <w:t>0.534</w:t>
            </w:r>
          </w:p>
        </w:tc>
        <w:tc>
          <w:tcPr>
            <w:tcW w:w="936" w:type="dxa"/>
            <w:vAlign w:val="center"/>
          </w:tcPr>
          <w:p>
            <w:pPr>
              <w:spacing w:line="240" w:lineRule="auto"/>
              <w:jc w:val="center"/>
              <w:rPr>
                <w:color w:val="000000" w:themeColor="text1"/>
                <w:szCs w:val="21"/>
              </w:rPr>
            </w:pPr>
            <w:r>
              <w:rPr>
                <w:color w:val="000000" w:themeColor="text1"/>
                <w:szCs w:val="21"/>
              </w:rPr>
              <w:t>范围值</w:t>
            </w:r>
          </w:p>
        </w:tc>
        <w:tc>
          <w:tcPr>
            <w:tcW w:w="1259" w:type="dxa"/>
            <w:vAlign w:val="center"/>
          </w:tcPr>
          <w:p>
            <w:pPr>
              <w:spacing w:line="240" w:lineRule="auto"/>
              <w:jc w:val="center"/>
              <w:rPr>
                <w:color w:val="000000" w:themeColor="text1"/>
                <w:szCs w:val="21"/>
              </w:rPr>
            </w:pPr>
            <w:r>
              <w:rPr>
                <w:color w:val="000000" w:themeColor="text1"/>
                <w:szCs w:val="21"/>
              </w:rPr>
              <w:t>0.356</w:t>
            </w:r>
            <w:r>
              <w:rPr>
                <w:color w:val="000000" w:themeColor="text1"/>
              </w:rPr>
              <w:t>~</w:t>
            </w:r>
          </w:p>
          <w:p>
            <w:pPr>
              <w:spacing w:line="240" w:lineRule="auto"/>
              <w:jc w:val="center"/>
              <w:rPr>
                <w:color w:val="000000" w:themeColor="text1"/>
                <w:szCs w:val="21"/>
              </w:rPr>
            </w:pPr>
            <w:r>
              <w:rPr>
                <w:color w:val="000000" w:themeColor="text1"/>
                <w:szCs w:val="21"/>
              </w:rPr>
              <w:t>0.465</w:t>
            </w:r>
          </w:p>
        </w:tc>
        <w:tc>
          <w:tcPr>
            <w:tcW w:w="1462" w:type="dxa"/>
            <w:vAlign w:val="center"/>
          </w:tcPr>
          <w:p>
            <w:pPr>
              <w:spacing w:line="240" w:lineRule="auto"/>
              <w:jc w:val="center"/>
              <w:rPr>
                <w:color w:val="000000" w:themeColor="text1"/>
                <w:szCs w:val="21"/>
              </w:rPr>
            </w:pPr>
            <w:r>
              <w:rPr>
                <w:color w:val="000000" w:themeColor="text1"/>
                <w:szCs w:val="21"/>
              </w:rPr>
              <w:t>0.309</w:t>
            </w:r>
            <w:r>
              <w:rPr>
                <w:color w:val="000000" w:themeColor="text1"/>
              </w:rPr>
              <w:t>~</w:t>
            </w:r>
          </w:p>
          <w:p>
            <w:pPr>
              <w:spacing w:line="240" w:lineRule="auto"/>
              <w:jc w:val="center"/>
              <w:rPr>
                <w:color w:val="000000" w:themeColor="text1"/>
                <w:szCs w:val="21"/>
              </w:rPr>
            </w:pPr>
            <w:r>
              <w:rPr>
                <w:color w:val="000000" w:themeColor="text1"/>
                <w:szCs w:val="21"/>
              </w:rPr>
              <w:t>0.336</w:t>
            </w:r>
          </w:p>
        </w:tc>
        <w:tc>
          <w:tcPr>
            <w:tcW w:w="1216" w:type="dxa"/>
            <w:vMerge w:val="restart"/>
            <w:vAlign w:val="center"/>
          </w:tcPr>
          <w:p>
            <w:pPr>
              <w:spacing w:line="240" w:lineRule="auto"/>
              <w:jc w:val="center"/>
              <w:rPr>
                <w:color w:val="000000" w:themeColor="text1"/>
                <w:szCs w:val="21"/>
              </w:rPr>
            </w:pPr>
            <w:r>
              <w:rPr>
                <w:color w:val="000000" w:themeColor="text1"/>
                <w:szCs w:val="21"/>
              </w:rPr>
              <w:t>平均风速2.5m/s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33" w:type="dxa"/>
            <w:vAlign w:val="center"/>
          </w:tcPr>
          <w:p>
            <w:pPr>
              <w:spacing w:line="240" w:lineRule="auto"/>
              <w:jc w:val="center"/>
              <w:rPr>
                <w:color w:val="000000" w:themeColor="text1"/>
                <w:szCs w:val="21"/>
              </w:rPr>
            </w:pPr>
            <w:r>
              <w:rPr>
                <w:color w:val="000000" w:themeColor="text1"/>
                <w:szCs w:val="21"/>
              </w:rPr>
              <w:t>0.317</w:t>
            </w:r>
          </w:p>
        </w:tc>
        <w:tc>
          <w:tcPr>
            <w:tcW w:w="1204" w:type="dxa"/>
            <w:vAlign w:val="center"/>
          </w:tcPr>
          <w:p>
            <w:pPr>
              <w:spacing w:line="240" w:lineRule="auto"/>
              <w:jc w:val="center"/>
              <w:rPr>
                <w:color w:val="000000" w:themeColor="text1"/>
                <w:szCs w:val="21"/>
              </w:rPr>
            </w:pPr>
            <w:r>
              <w:rPr>
                <w:color w:val="000000" w:themeColor="text1"/>
                <w:szCs w:val="21"/>
              </w:rPr>
              <w:t>0.596</w:t>
            </w:r>
          </w:p>
        </w:tc>
        <w:tc>
          <w:tcPr>
            <w:tcW w:w="1218" w:type="dxa"/>
            <w:vAlign w:val="center"/>
          </w:tcPr>
          <w:p>
            <w:pPr>
              <w:spacing w:line="240" w:lineRule="auto"/>
              <w:jc w:val="center"/>
              <w:rPr>
                <w:color w:val="000000" w:themeColor="text1"/>
                <w:szCs w:val="21"/>
              </w:rPr>
            </w:pPr>
            <w:r>
              <w:rPr>
                <w:color w:val="000000" w:themeColor="text1"/>
                <w:szCs w:val="21"/>
              </w:rPr>
              <w:t>0.417</w:t>
            </w:r>
          </w:p>
        </w:tc>
        <w:tc>
          <w:tcPr>
            <w:tcW w:w="936" w:type="dxa"/>
            <w:vAlign w:val="center"/>
          </w:tcPr>
          <w:p>
            <w:pPr>
              <w:spacing w:line="240" w:lineRule="auto"/>
              <w:jc w:val="center"/>
              <w:rPr>
                <w:color w:val="000000" w:themeColor="text1"/>
                <w:szCs w:val="21"/>
              </w:rPr>
            </w:pPr>
            <w:r>
              <w:rPr>
                <w:color w:val="000000" w:themeColor="text1"/>
                <w:szCs w:val="21"/>
              </w:rPr>
              <w:t>均值</w:t>
            </w:r>
          </w:p>
        </w:tc>
        <w:tc>
          <w:tcPr>
            <w:tcW w:w="1259" w:type="dxa"/>
            <w:vAlign w:val="center"/>
          </w:tcPr>
          <w:p>
            <w:pPr>
              <w:spacing w:line="240" w:lineRule="auto"/>
              <w:jc w:val="center"/>
              <w:rPr>
                <w:color w:val="000000" w:themeColor="text1"/>
                <w:szCs w:val="21"/>
              </w:rPr>
            </w:pPr>
            <w:r>
              <w:rPr>
                <w:color w:val="000000" w:themeColor="text1"/>
                <w:szCs w:val="21"/>
              </w:rPr>
              <w:t>0.390</w:t>
            </w:r>
          </w:p>
        </w:tc>
        <w:tc>
          <w:tcPr>
            <w:tcW w:w="1462" w:type="dxa"/>
            <w:vAlign w:val="center"/>
          </w:tcPr>
          <w:p>
            <w:pPr>
              <w:spacing w:line="240" w:lineRule="auto"/>
              <w:jc w:val="center"/>
              <w:rPr>
                <w:color w:val="000000" w:themeColor="text1"/>
                <w:szCs w:val="21"/>
              </w:rPr>
            </w:pPr>
            <w:r>
              <w:rPr>
                <w:color w:val="000000" w:themeColor="text1"/>
                <w:szCs w:val="21"/>
              </w:rPr>
              <w:t>0.322</w:t>
            </w:r>
          </w:p>
        </w:tc>
        <w:tc>
          <w:tcPr>
            <w:tcW w:w="1216" w:type="dxa"/>
            <w:vMerge w:val="continue"/>
            <w:vAlign w:val="center"/>
          </w:tcPr>
          <w:p>
            <w:pPr>
              <w:spacing w:line="240" w:lineRule="auto"/>
              <w:jc w:val="center"/>
              <w:rPr>
                <w:color w:val="000000" w:themeColor="text1"/>
                <w:szCs w:val="21"/>
              </w:rPr>
            </w:pPr>
          </w:p>
        </w:tc>
      </w:tr>
    </w:tbl>
    <w:p>
      <w:pPr>
        <w:adjustRightInd w:val="0"/>
        <w:snapToGrid w:val="0"/>
        <w:ind w:firstLine="480" w:firstLineChars="200"/>
        <w:textAlignment w:val="baseline"/>
        <w:rPr>
          <w:color w:val="000000" w:themeColor="text1"/>
          <w:sz w:val="24"/>
        </w:rPr>
      </w:pPr>
      <w:r>
        <w:rPr>
          <w:color w:val="000000" w:themeColor="text1"/>
          <w:sz w:val="24"/>
        </w:rPr>
        <w:t>根据表3.3-3，拟建项目场界粉尘浓度满足《大气污染物综合排放标准》（GB16297-1996）无组织排放监控浓度限值1.0mg/m</w:t>
      </w:r>
      <w:r>
        <w:rPr>
          <w:color w:val="000000" w:themeColor="text1"/>
          <w:sz w:val="24"/>
          <w:vertAlign w:val="superscript"/>
        </w:rPr>
        <w:t>3</w:t>
      </w:r>
      <w:r>
        <w:rPr>
          <w:color w:val="000000" w:themeColor="text1"/>
          <w:sz w:val="24"/>
        </w:rPr>
        <w:t>。</w:t>
      </w:r>
    </w:p>
    <w:p>
      <w:pPr>
        <w:adjustRightInd w:val="0"/>
        <w:snapToGrid w:val="0"/>
        <w:ind w:firstLine="480" w:firstLineChars="200"/>
        <w:textAlignment w:val="baseline"/>
        <w:rPr>
          <w:color w:val="000000" w:themeColor="text1"/>
          <w:sz w:val="24"/>
        </w:rPr>
      </w:pPr>
      <w:r>
        <w:rPr>
          <w:color w:val="000000" w:themeColor="text1"/>
          <w:sz w:val="24"/>
        </w:rPr>
        <w:t>对照</w:t>
      </w:r>
      <w:r>
        <w:rPr>
          <w:bCs/>
          <w:color w:val="000000" w:themeColor="text1"/>
          <w:sz w:val="24"/>
        </w:rPr>
        <w:t>上述</w:t>
      </w:r>
      <w:r>
        <w:rPr>
          <w:color w:val="000000" w:themeColor="text1"/>
          <w:sz w:val="24"/>
        </w:rPr>
        <w:t>测定结果，拟建项目区主导风向为西</w:t>
      </w:r>
      <w:r>
        <w:rPr>
          <w:rFonts w:hint="eastAsia"/>
          <w:color w:val="000000" w:themeColor="text1"/>
          <w:sz w:val="24"/>
        </w:rPr>
        <w:t>南</w:t>
      </w:r>
      <w:r>
        <w:rPr>
          <w:color w:val="000000" w:themeColor="text1"/>
          <w:sz w:val="24"/>
        </w:rPr>
        <w:t>风，平均风速为</w:t>
      </w:r>
      <w:r>
        <w:rPr>
          <w:rFonts w:hint="eastAsia"/>
          <w:color w:val="000000" w:themeColor="text1"/>
          <w:sz w:val="24"/>
        </w:rPr>
        <w:t>2.3</w:t>
      </w:r>
      <w:r>
        <w:rPr>
          <w:color w:val="000000" w:themeColor="text1"/>
          <w:sz w:val="24"/>
        </w:rPr>
        <w:t>m/s，</w:t>
      </w:r>
      <w:r>
        <w:rPr>
          <w:rFonts w:hint="eastAsia"/>
          <w:color w:val="000000" w:themeColor="text1"/>
          <w:sz w:val="24"/>
        </w:rPr>
        <w:t>小于</w:t>
      </w:r>
      <w:r>
        <w:rPr>
          <w:color w:val="000000" w:themeColor="text1"/>
          <w:sz w:val="24"/>
        </w:rPr>
        <w:t>上述北京工地测定数据，同时项目建设所在地的空气平均相对湿度为</w:t>
      </w:r>
      <w:r>
        <w:rPr>
          <w:rFonts w:hint="eastAsia"/>
          <w:color w:val="000000" w:themeColor="text1"/>
          <w:sz w:val="24"/>
          <w:szCs w:val="28"/>
        </w:rPr>
        <w:t>74</w:t>
      </w:r>
      <w:r>
        <w:rPr>
          <w:color w:val="000000" w:themeColor="text1"/>
          <w:sz w:val="24"/>
        </w:rPr>
        <w:t>%，而北京的平均相对湿度一般都在52%以下。考虑湿度和风速的综合影响因素，本项目施工期扬尘有影响范围集中在场界外300m范围内。</w:t>
      </w:r>
    </w:p>
    <w:p>
      <w:pPr>
        <w:adjustRightInd w:val="0"/>
        <w:snapToGrid w:val="0"/>
        <w:ind w:firstLine="480" w:firstLineChars="200"/>
        <w:textAlignment w:val="baseline"/>
        <w:rPr>
          <w:color w:val="000000" w:themeColor="text1"/>
          <w:sz w:val="24"/>
        </w:rPr>
      </w:pPr>
      <w:r>
        <w:rPr>
          <w:color w:val="000000" w:themeColor="text1"/>
          <w:sz w:val="24"/>
        </w:rPr>
        <w:t>汽车运输产生的扬尘与车速、路面清洁度有关。同样路面清洁程度条件下，车速越快，扬尘量越大；而在同样车速情况下，路面越脏，扬尘量越大。</w:t>
      </w:r>
    </w:p>
    <w:p>
      <w:pPr>
        <w:adjustRightInd w:val="0"/>
        <w:snapToGrid w:val="0"/>
        <w:ind w:firstLine="480" w:firstLineChars="200"/>
        <w:textAlignment w:val="baseline"/>
        <w:rPr>
          <w:color w:val="000000" w:themeColor="text1"/>
          <w:sz w:val="24"/>
        </w:rPr>
      </w:pPr>
      <w:r>
        <w:rPr>
          <w:color w:val="000000" w:themeColor="text1"/>
          <w:sz w:val="24"/>
        </w:rPr>
        <w:t>拟建项目的扬尘主要表现在工地附近，尤其是天气干燥及风速较大时影响更为明显，使该区块及周围近地区大气中总悬浮颗粒（TSP）浓度增大。扬尘的排放量大小直接与施工期的管理措施有关。</w:t>
      </w:r>
    </w:p>
    <w:p>
      <w:pPr>
        <w:ind w:firstLine="480" w:firstLineChars="200"/>
        <w:rPr>
          <w:color w:val="000000" w:themeColor="text1"/>
          <w:sz w:val="24"/>
        </w:rPr>
      </w:pPr>
      <w:r>
        <w:rPr>
          <w:color w:val="000000" w:themeColor="text1"/>
          <w:sz w:val="24"/>
        </w:rPr>
        <w:t>（2）运输车辆、施工机械尾气</w:t>
      </w:r>
    </w:p>
    <w:p>
      <w:pPr>
        <w:adjustRightInd w:val="0"/>
        <w:snapToGrid w:val="0"/>
        <w:ind w:firstLine="480" w:firstLineChars="200"/>
        <w:textAlignment w:val="baseline"/>
        <w:rPr>
          <w:color w:val="000000" w:themeColor="text1"/>
          <w:sz w:val="24"/>
        </w:rPr>
      </w:pPr>
      <w:r>
        <w:rPr>
          <w:color w:val="000000" w:themeColor="text1"/>
          <w:sz w:val="24"/>
        </w:rPr>
        <w:t>拟建项目在施工阶段将使用大量的机械设备和运输车辆，均用汽油和柴油作为动力燃料，当燃料燃烧不充分时，会产生一定量的废气，特别是柴油车，主要污染物为NOx、CO和THC。</w:t>
      </w:r>
    </w:p>
    <w:p>
      <w:pPr>
        <w:adjustRightInd w:val="0"/>
        <w:snapToGrid w:val="0"/>
        <w:ind w:firstLine="480" w:firstLineChars="200"/>
        <w:textAlignment w:val="baseline"/>
        <w:rPr>
          <w:color w:val="000000" w:themeColor="text1"/>
          <w:sz w:val="24"/>
        </w:rPr>
      </w:pPr>
      <w:r>
        <w:rPr>
          <w:color w:val="000000" w:themeColor="text1"/>
          <w:sz w:val="24"/>
        </w:rPr>
        <w:t>工程施工期废气主要来自于施工机械和运输车辆产生的燃油废气，其产生量较小，属间断性、分散性排放，基本可不考虑其影响。</w:t>
      </w:r>
    </w:p>
    <w:p>
      <w:pPr>
        <w:pStyle w:val="4"/>
        <w:spacing w:before="0" w:after="0" w:line="360" w:lineRule="auto"/>
        <w:rPr>
          <w:color w:val="000000" w:themeColor="text1"/>
          <w:kern w:val="0"/>
          <w:szCs w:val="24"/>
          <w:lang w:val="zh-CN"/>
        </w:rPr>
      </w:pPr>
      <w:bookmarkStart w:id="257" w:name="_Toc506218065"/>
      <w:bookmarkStart w:id="258" w:name="_Toc510547294"/>
      <w:bookmarkStart w:id="259" w:name="_Toc504403812"/>
      <w:r>
        <w:rPr>
          <w:color w:val="000000" w:themeColor="text1"/>
        </w:rPr>
        <w:t>3.3.3</w:t>
      </w:r>
      <w:r>
        <w:rPr>
          <w:color w:val="000000" w:themeColor="text1"/>
          <w:kern w:val="0"/>
          <w:szCs w:val="24"/>
          <w:lang w:val="zh-CN"/>
        </w:rPr>
        <w:t>废水</w:t>
      </w:r>
      <w:bookmarkEnd w:id="257"/>
      <w:bookmarkEnd w:id="258"/>
      <w:bookmarkEnd w:id="259"/>
    </w:p>
    <w:p>
      <w:pPr>
        <w:pStyle w:val="153"/>
        <w:rPr>
          <w:rFonts w:ascii="Times New Roman" w:hAnsi="Times New Roman" w:cs="Times New Roman"/>
          <w:color w:val="000000" w:themeColor="text1"/>
        </w:rPr>
      </w:pPr>
      <w:r>
        <w:rPr>
          <w:rFonts w:ascii="Times New Roman" w:hAnsi="Times New Roman" w:cs="Times New Roman"/>
          <w:color w:val="000000" w:themeColor="text1"/>
        </w:rPr>
        <w:t>项目施工期产生的废水主要是施工废水、生活污水和降雨径流</w:t>
      </w:r>
      <w:r>
        <w:rPr>
          <w:rFonts w:hint="eastAsia" w:ascii="Times New Roman" w:hAnsi="Times New Roman" w:cs="Times New Roman"/>
          <w:color w:val="000000" w:themeColor="text1"/>
        </w:rPr>
        <w:t>，其中以养殖区施工为主，种植区仅产生施工人员生活污水</w:t>
      </w:r>
      <w:r>
        <w:rPr>
          <w:rFonts w:ascii="Times New Roman" w:hAnsi="Times New Roman" w:cs="Times New Roman"/>
          <w:color w:val="000000" w:themeColor="text1"/>
        </w:rPr>
        <w:t>。</w:t>
      </w:r>
    </w:p>
    <w:p>
      <w:pPr>
        <w:pStyle w:val="153"/>
        <w:rPr>
          <w:rFonts w:ascii="Times New Roman" w:hAnsi="Times New Roman" w:cs="Times New Roman"/>
          <w:color w:val="000000" w:themeColor="text1"/>
        </w:rPr>
      </w:pPr>
      <w:r>
        <w:rPr>
          <w:rFonts w:ascii="Times New Roman" w:hAnsi="Times New Roman" w:cs="Times New Roman"/>
          <w:color w:val="000000" w:themeColor="text1"/>
        </w:rPr>
        <w:t>（1）施工废水</w:t>
      </w:r>
    </w:p>
    <w:p>
      <w:pPr>
        <w:ind w:firstLine="480" w:firstLineChars="200"/>
        <w:rPr>
          <w:color w:val="000000" w:themeColor="text1"/>
          <w:sz w:val="24"/>
        </w:rPr>
      </w:pPr>
      <w:r>
        <w:rPr>
          <w:color w:val="000000" w:themeColor="text1"/>
          <w:sz w:val="24"/>
        </w:rPr>
        <w:t>本项目猪舍建筑结构主要为彩钢瓦结构，建筑施工废水主要来源于砂浆拌和、施工机械和车辆清洗废水等过程。这些废水排放点多面广，且多为瞬时排放，污染物主要为SS、酸碱度、含油等，废水量一般为3~9m</w:t>
      </w:r>
      <w:r>
        <w:rPr>
          <w:color w:val="000000" w:themeColor="text1"/>
          <w:sz w:val="24"/>
          <w:vertAlign w:val="superscript"/>
        </w:rPr>
        <w:t>3</w:t>
      </w:r>
      <w:r>
        <w:rPr>
          <w:color w:val="000000" w:themeColor="text1"/>
          <w:sz w:val="24"/>
        </w:rPr>
        <w:t>/d。类比相关资料得，污染物产生浓度约为：SS2000mg/L、石油类 30mg/L、pH值6~8。</w:t>
      </w:r>
    </w:p>
    <w:p>
      <w:pPr>
        <w:ind w:firstLine="480" w:firstLineChars="200"/>
        <w:rPr>
          <w:color w:val="000000" w:themeColor="text1"/>
        </w:rPr>
      </w:pPr>
      <w:r>
        <w:rPr>
          <w:color w:val="000000" w:themeColor="text1"/>
          <w:sz w:val="24"/>
        </w:rPr>
        <w:t>施工场地设施1个收集池，容积为3m</w:t>
      </w:r>
      <w:r>
        <w:rPr>
          <w:color w:val="000000" w:themeColor="text1"/>
          <w:sz w:val="24"/>
          <w:vertAlign w:val="superscript"/>
        </w:rPr>
        <w:t>3</w:t>
      </w:r>
      <w:r>
        <w:rPr>
          <w:color w:val="000000" w:themeColor="text1"/>
          <w:sz w:val="24"/>
        </w:rPr>
        <w:t>，收集机械清洗废水，收集沉淀后循环利用；施工场地主出口拟设车辆清洗池1个，8m×3.5m，清洗运输车辆，清洗废水沉淀后循环利用</w:t>
      </w:r>
      <w:r>
        <w:rPr>
          <w:color w:val="000000" w:themeColor="text1"/>
        </w:rPr>
        <w:t>。</w:t>
      </w:r>
    </w:p>
    <w:p>
      <w:pPr>
        <w:pStyle w:val="153"/>
        <w:rPr>
          <w:rFonts w:ascii="Times New Roman" w:hAnsi="Times New Roman" w:cs="Times New Roman"/>
          <w:bCs/>
          <w:color w:val="000000" w:themeColor="text1"/>
        </w:rPr>
      </w:pPr>
      <w:r>
        <w:rPr>
          <w:rFonts w:ascii="Times New Roman" w:hAnsi="Times New Roman" w:cs="Times New Roman"/>
          <w:bCs/>
          <w:color w:val="000000" w:themeColor="text1"/>
        </w:rPr>
        <w:t>（2）生活污水</w:t>
      </w:r>
    </w:p>
    <w:p>
      <w:pPr>
        <w:ind w:firstLine="480" w:firstLineChars="200"/>
        <w:rPr>
          <w:color w:val="000000" w:themeColor="text1"/>
          <w:sz w:val="24"/>
        </w:rPr>
      </w:pPr>
      <w:r>
        <w:rPr>
          <w:color w:val="000000" w:themeColor="text1"/>
          <w:sz w:val="24"/>
        </w:rPr>
        <w:t>施工人员生活污水</w:t>
      </w:r>
      <w:r>
        <w:rPr>
          <w:rFonts w:hint="eastAsia"/>
          <w:color w:val="000000" w:themeColor="text1"/>
          <w:sz w:val="24"/>
        </w:rPr>
        <w:t>依托租用民房化粪池处置，定期清掏用于农肥。施工场地</w:t>
      </w:r>
      <w:r>
        <w:rPr>
          <w:color w:val="000000" w:themeColor="text1"/>
          <w:sz w:val="24"/>
        </w:rPr>
        <w:t>洗手废水产生量很小，直接用于洒水降尘。</w:t>
      </w:r>
    </w:p>
    <w:p>
      <w:pPr>
        <w:ind w:firstLine="480" w:firstLineChars="200"/>
        <w:rPr>
          <w:color w:val="000000" w:themeColor="text1"/>
          <w:sz w:val="24"/>
        </w:rPr>
      </w:pPr>
      <w:r>
        <w:rPr>
          <w:color w:val="000000" w:themeColor="text1"/>
          <w:sz w:val="24"/>
        </w:rPr>
        <w:t>（3）降雨径流</w:t>
      </w:r>
    </w:p>
    <w:p>
      <w:pPr>
        <w:ind w:firstLine="480" w:firstLineChars="200"/>
        <w:rPr>
          <w:color w:val="000000" w:themeColor="text1"/>
          <w:sz w:val="24"/>
        </w:rPr>
      </w:pPr>
      <w:r>
        <w:rPr>
          <w:color w:val="000000" w:themeColor="text1"/>
          <w:sz w:val="24"/>
        </w:rPr>
        <w:t>施工场地结合临时排水沟开挖，在排水口末端拟设3座沉砂池，沉淀池尺寸为3.6m×1.8m×2m，单个容积为12.96m</w:t>
      </w:r>
      <w:r>
        <w:rPr>
          <w:color w:val="000000" w:themeColor="text1"/>
          <w:sz w:val="24"/>
          <w:vertAlign w:val="superscript"/>
        </w:rPr>
        <w:t>3</w:t>
      </w:r>
      <w:r>
        <w:rPr>
          <w:color w:val="000000" w:themeColor="text1"/>
          <w:sz w:val="24"/>
        </w:rPr>
        <w:t>，作为施工场地内降雨径流沉淀池。</w:t>
      </w:r>
    </w:p>
    <w:p>
      <w:pPr>
        <w:ind w:firstLine="480" w:firstLineChars="200"/>
        <w:rPr>
          <w:color w:val="000000" w:themeColor="text1"/>
          <w:sz w:val="24"/>
        </w:rPr>
      </w:pPr>
      <w:r>
        <w:rPr>
          <w:color w:val="000000" w:themeColor="text1"/>
          <w:sz w:val="24"/>
        </w:rPr>
        <w:t>降雨径流主要污染物为SS，经沉砂池沉淀处理后，优先用于洒水及施工用水，多余部分外排。</w:t>
      </w:r>
    </w:p>
    <w:p>
      <w:pPr>
        <w:pStyle w:val="4"/>
        <w:spacing w:before="0" w:after="0" w:line="360" w:lineRule="auto"/>
        <w:rPr>
          <w:color w:val="000000" w:themeColor="text1"/>
        </w:rPr>
      </w:pPr>
      <w:bookmarkStart w:id="260" w:name="_Toc510547295"/>
      <w:bookmarkStart w:id="261" w:name="_Toc504403813"/>
      <w:bookmarkStart w:id="262" w:name="_Toc506218066"/>
      <w:r>
        <w:rPr>
          <w:color w:val="000000" w:themeColor="text1"/>
        </w:rPr>
        <w:t>3.3.4噪声</w:t>
      </w:r>
      <w:bookmarkEnd w:id="260"/>
      <w:bookmarkEnd w:id="261"/>
      <w:bookmarkEnd w:id="262"/>
    </w:p>
    <w:p>
      <w:pPr>
        <w:pStyle w:val="153"/>
        <w:rPr>
          <w:rFonts w:ascii="Times New Roman" w:hAnsi="Times New Roman" w:cs="Times New Roman"/>
          <w:color w:val="000000" w:themeColor="text1"/>
        </w:rPr>
      </w:pPr>
      <w:r>
        <w:rPr>
          <w:rFonts w:ascii="Times New Roman" w:hAnsi="Times New Roman" w:cs="Times New Roman"/>
          <w:color w:val="000000" w:themeColor="text1"/>
        </w:rPr>
        <w:t>施工期间噪声主要为施工机械及运输车辆，其特点是突发性和间歇性。各类施工机械声级采用类比调查法获取，项目各施工机械噪声源的噪声值见表3.3-4。</w:t>
      </w:r>
    </w:p>
    <w:p>
      <w:pPr>
        <w:spacing w:line="440" w:lineRule="exact"/>
        <w:jc w:val="center"/>
        <w:rPr>
          <w:b/>
          <w:color w:val="000000" w:themeColor="text1"/>
          <w:szCs w:val="21"/>
        </w:rPr>
      </w:pPr>
      <w:r>
        <w:rPr>
          <w:b/>
          <w:color w:val="000000" w:themeColor="text1"/>
          <w:szCs w:val="21"/>
        </w:rPr>
        <w:t>表3.3-4  工程施工机械噪声测试值（5m处）单位：Leq[dB (A)]</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3287"/>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Align w:val="center"/>
          </w:tcPr>
          <w:p>
            <w:pPr>
              <w:spacing w:line="240" w:lineRule="auto"/>
              <w:jc w:val="center"/>
              <w:rPr>
                <w:b/>
                <w:color w:val="000000" w:themeColor="text1"/>
                <w:kern w:val="28"/>
                <w:szCs w:val="21"/>
              </w:rPr>
            </w:pPr>
            <w:r>
              <w:rPr>
                <w:b/>
                <w:color w:val="000000" w:themeColor="text1"/>
                <w:kern w:val="28"/>
                <w:szCs w:val="21"/>
              </w:rPr>
              <w:t>施工阶段</w:t>
            </w:r>
          </w:p>
        </w:tc>
        <w:tc>
          <w:tcPr>
            <w:tcW w:w="3287" w:type="dxa"/>
            <w:vAlign w:val="center"/>
          </w:tcPr>
          <w:p>
            <w:pPr>
              <w:spacing w:line="240" w:lineRule="auto"/>
              <w:jc w:val="center"/>
              <w:rPr>
                <w:b/>
                <w:color w:val="000000" w:themeColor="text1"/>
                <w:kern w:val="28"/>
                <w:szCs w:val="21"/>
              </w:rPr>
            </w:pPr>
            <w:r>
              <w:rPr>
                <w:b/>
                <w:color w:val="000000" w:themeColor="text1"/>
                <w:kern w:val="28"/>
                <w:szCs w:val="21"/>
              </w:rPr>
              <w:t>施工机械</w:t>
            </w:r>
          </w:p>
        </w:tc>
        <w:tc>
          <w:tcPr>
            <w:tcW w:w="2987" w:type="dxa"/>
            <w:vAlign w:val="center"/>
          </w:tcPr>
          <w:p>
            <w:pPr>
              <w:spacing w:line="240" w:lineRule="auto"/>
              <w:jc w:val="center"/>
              <w:rPr>
                <w:b/>
                <w:color w:val="000000" w:themeColor="text1"/>
                <w:kern w:val="28"/>
                <w:szCs w:val="21"/>
              </w:rPr>
            </w:pPr>
            <w:r>
              <w:rPr>
                <w:b/>
                <w:color w:val="000000" w:themeColor="text1"/>
                <w:kern w:val="28"/>
                <w:szCs w:val="21"/>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restart"/>
            <w:vAlign w:val="center"/>
          </w:tcPr>
          <w:p>
            <w:pPr>
              <w:spacing w:line="240" w:lineRule="auto"/>
              <w:jc w:val="center"/>
              <w:rPr>
                <w:color w:val="000000" w:themeColor="text1"/>
                <w:kern w:val="28"/>
                <w:szCs w:val="21"/>
              </w:rPr>
            </w:pPr>
            <w:r>
              <w:rPr>
                <w:color w:val="000000" w:themeColor="text1"/>
                <w:kern w:val="28"/>
                <w:szCs w:val="21"/>
              </w:rPr>
              <w:t>土石方、基础阶段</w:t>
            </w:r>
          </w:p>
        </w:tc>
        <w:tc>
          <w:tcPr>
            <w:tcW w:w="3287" w:type="dxa"/>
            <w:vAlign w:val="center"/>
          </w:tcPr>
          <w:p>
            <w:pPr>
              <w:spacing w:line="240" w:lineRule="auto"/>
              <w:jc w:val="center"/>
              <w:rPr>
                <w:color w:val="000000" w:themeColor="text1"/>
              </w:rPr>
            </w:pPr>
            <w:r>
              <w:rPr>
                <w:color w:val="000000" w:themeColor="text1"/>
              </w:rPr>
              <w:t>挖掘机</w:t>
            </w:r>
          </w:p>
        </w:tc>
        <w:tc>
          <w:tcPr>
            <w:tcW w:w="2987" w:type="dxa"/>
            <w:vAlign w:val="center"/>
          </w:tcPr>
          <w:p>
            <w:pPr>
              <w:spacing w:line="240" w:lineRule="auto"/>
              <w:jc w:val="center"/>
              <w:rPr>
                <w:color w:val="000000" w:themeColor="text1"/>
              </w:rPr>
            </w:pPr>
            <w:r>
              <w:rPr>
                <w:color w:val="000000" w:themeColor="text1"/>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4" w:type="dxa"/>
            <w:vMerge w:val="continue"/>
            <w:vAlign w:val="center"/>
          </w:tcPr>
          <w:p>
            <w:pPr>
              <w:spacing w:line="240" w:lineRule="auto"/>
              <w:ind w:firstLine="420"/>
              <w:jc w:val="center"/>
              <w:rPr>
                <w:color w:val="000000" w:themeColor="text1"/>
                <w:kern w:val="28"/>
                <w:szCs w:val="21"/>
              </w:rPr>
            </w:pPr>
          </w:p>
        </w:tc>
        <w:tc>
          <w:tcPr>
            <w:tcW w:w="3287" w:type="dxa"/>
            <w:vAlign w:val="center"/>
          </w:tcPr>
          <w:p>
            <w:pPr>
              <w:spacing w:line="240" w:lineRule="auto"/>
              <w:jc w:val="center"/>
              <w:rPr>
                <w:color w:val="000000" w:themeColor="text1"/>
              </w:rPr>
            </w:pPr>
            <w:r>
              <w:rPr>
                <w:color w:val="000000" w:themeColor="text1"/>
              </w:rPr>
              <w:t>大型载重车</w:t>
            </w:r>
          </w:p>
        </w:tc>
        <w:tc>
          <w:tcPr>
            <w:tcW w:w="2987" w:type="dxa"/>
            <w:vAlign w:val="center"/>
          </w:tcPr>
          <w:p>
            <w:pPr>
              <w:spacing w:line="240" w:lineRule="auto"/>
              <w:jc w:val="center"/>
              <w:rPr>
                <w:color w:val="000000" w:themeColor="text1"/>
              </w:rPr>
            </w:pPr>
            <w:r>
              <w:rPr>
                <w:color w:val="000000" w:themeColor="text1"/>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4" w:type="dxa"/>
            <w:vMerge w:val="continue"/>
            <w:vAlign w:val="center"/>
          </w:tcPr>
          <w:p>
            <w:pPr>
              <w:spacing w:line="240" w:lineRule="auto"/>
              <w:ind w:firstLine="420"/>
              <w:jc w:val="center"/>
              <w:rPr>
                <w:color w:val="000000" w:themeColor="text1"/>
                <w:kern w:val="28"/>
                <w:szCs w:val="21"/>
              </w:rPr>
            </w:pPr>
          </w:p>
        </w:tc>
        <w:tc>
          <w:tcPr>
            <w:tcW w:w="3287" w:type="dxa"/>
            <w:vAlign w:val="center"/>
          </w:tcPr>
          <w:p>
            <w:pPr>
              <w:spacing w:line="240" w:lineRule="auto"/>
              <w:jc w:val="center"/>
              <w:rPr>
                <w:color w:val="000000" w:themeColor="text1"/>
              </w:rPr>
            </w:pPr>
            <w:r>
              <w:rPr>
                <w:color w:val="000000" w:themeColor="text1"/>
              </w:rPr>
              <w:t>推土机</w:t>
            </w:r>
          </w:p>
        </w:tc>
        <w:tc>
          <w:tcPr>
            <w:tcW w:w="2987" w:type="dxa"/>
            <w:vAlign w:val="center"/>
          </w:tcPr>
          <w:p>
            <w:pPr>
              <w:spacing w:line="240" w:lineRule="auto"/>
              <w:jc w:val="center"/>
              <w:rPr>
                <w:color w:val="000000" w:themeColor="text1"/>
              </w:rPr>
            </w:pPr>
            <w:r>
              <w:rPr>
                <w:color w:val="000000" w:themeColor="text1"/>
              </w:rPr>
              <w:t>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4" w:type="dxa"/>
            <w:vMerge w:val="restart"/>
            <w:vAlign w:val="center"/>
          </w:tcPr>
          <w:p>
            <w:pPr>
              <w:spacing w:line="240" w:lineRule="auto"/>
              <w:jc w:val="center"/>
              <w:rPr>
                <w:color w:val="000000" w:themeColor="text1"/>
                <w:kern w:val="28"/>
                <w:szCs w:val="21"/>
              </w:rPr>
            </w:pPr>
            <w:r>
              <w:rPr>
                <w:color w:val="000000" w:themeColor="text1"/>
                <w:kern w:val="28"/>
                <w:szCs w:val="21"/>
              </w:rPr>
              <w:t>底板与结构阶段</w:t>
            </w:r>
          </w:p>
        </w:tc>
        <w:tc>
          <w:tcPr>
            <w:tcW w:w="3287" w:type="dxa"/>
            <w:vAlign w:val="center"/>
          </w:tcPr>
          <w:p>
            <w:pPr>
              <w:spacing w:line="240" w:lineRule="auto"/>
              <w:jc w:val="center"/>
              <w:rPr>
                <w:color w:val="000000" w:themeColor="text1"/>
              </w:rPr>
            </w:pPr>
            <w:r>
              <w:rPr>
                <w:color w:val="000000" w:themeColor="text1"/>
              </w:rPr>
              <w:t>电锯</w:t>
            </w:r>
          </w:p>
        </w:tc>
        <w:tc>
          <w:tcPr>
            <w:tcW w:w="2987" w:type="dxa"/>
            <w:vAlign w:val="center"/>
          </w:tcPr>
          <w:p>
            <w:pPr>
              <w:spacing w:line="240" w:lineRule="auto"/>
              <w:jc w:val="center"/>
              <w:rPr>
                <w:color w:val="000000" w:themeColor="text1"/>
              </w:rPr>
            </w:pPr>
            <w:r>
              <w:rPr>
                <w:color w:val="000000" w:themeColor="text1"/>
              </w:rPr>
              <w:t>93~99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spacing w:line="240" w:lineRule="auto"/>
              <w:ind w:firstLine="420"/>
              <w:jc w:val="center"/>
              <w:rPr>
                <w:color w:val="000000" w:themeColor="text1"/>
                <w:kern w:val="28"/>
                <w:szCs w:val="21"/>
              </w:rPr>
            </w:pPr>
          </w:p>
        </w:tc>
        <w:tc>
          <w:tcPr>
            <w:tcW w:w="3287" w:type="dxa"/>
            <w:vAlign w:val="center"/>
          </w:tcPr>
          <w:p>
            <w:pPr>
              <w:spacing w:line="240" w:lineRule="auto"/>
              <w:jc w:val="center"/>
              <w:rPr>
                <w:color w:val="000000" w:themeColor="text1"/>
              </w:rPr>
            </w:pPr>
            <w:r>
              <w:rPr>
                <w:color w:val="000000" w:themeColor="text1"/>
              </w:rPr>
              <w:t>砂浆拌和机</w:t>
            </w:r>
          </w:p>
        </w:tc>
        <w:tc>
          <w:tcPr>
            <w:tcW w:w="2987" w:type="dxa"/>
            <w:vAlign w:val="center"/>
          </w:tcPr>
          <w:p>
            <w:pPr>
              <w:spacing w:line="240" w:lineRule="auto"/>
              <w:jc w:val="center"/>
              <w:rPr>
                <w:color w:val="000000" w:themeColor="text1"/>
              </w:rPr>
            </w:pPr>
            <w:r>
              <w:rPr>
                <w:color w:val="000000" w:themeColor="text1"/>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spacing w:line="240" w:lineRule="auto"/>
              <w:ind w:firstLine="420"/>
              <w:jc w:val="center"/>
              <w:rPr>
                <w:color w:val="000000" w:themeColor="text1"/>
                <w:kern w:val="28"/>
                <w:szCs w:val="21"/>
              </w:rPr>
            </w:pPr>
          </w:p>
        </w:tc>
        <w:tc>
          <w:tcPr>
            <w:tcW w:w="3287" w:type="dxa"/>
            <w:vAlign w:val="center"/>
          </w:tcPr>
          <w:p>
            <w:pPr>
              <w:spacing w:line="240" w:lineRule="auto"/>
              <w:jc w:val="center"/>
              <w:rPr>
                <w:color w:val="000000" w:themeColor="text1"/>
              </w:rPr>
            </w:pPr>
            <w:r>
              <w:rPr>
                <w:color w:val="000000" w:themeColor="text1"/>
              </w:rPr>
              <w:t>电焊机</w:t>
            </w:r>
          </w:p>
        </w:tc>
        <w:tc>
          <w:tcPr>
            <w:tcW w:w="2987" w:type="dxa"/>
            <w:vAlign w:val="center"/>
          </w:tcPr>
          <w:p>
            <w:pPr>
              <w:spacing w:line="240" w:lineRule="auto"/>
              <w:jc w:val="center"/>
              <w:rPr>
                <w:color w:val="000000" w:themeColor="text1"/>
              </w:rPr>
            </w:pPr>
            <w:r>
              <w:rPr>
                <w:color w:val="000000" w:themeColor="text1"/>
              </w:rPr>
              <w:t>88~92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4" w:type="dxa"/>
            <w:vMerge w:val="continue"/>
            <w:vAlign w:val="center"/>
          </w:tcPr>
          <w:p>
            <w:pPr>
              <w:spacing w:line="240" w:lineRule="auto"/>
              <w:ind w:firstLine="420"/>
              <w:jc w:val="center"/>
              <w:rPr>
                <w:color w:val="000000" w:themeColor="text1"/>
                <w:kern w:val="28"/>
                <w:szCs w:val="21"/>
              </w:rPr>
            </w:pPr>
          </w:p>
        </w:tc>
        <w:tc>
          <w:tcPr>
            <w:tcW w:w="3287" w:type="dxa"/>
            <w:vAlign w:val="center"/>
          </w:tcPr>
          <w:p>
            <w:pPr>
              <w:spacing w:line="240" w:lineRule="auto"/>
              <w:jc w:val="center"/>
              <w:rPr>
                <w:color w:val="000000" w:themeColor="text1"/>
              </w:rPr>
            </w:pPr>
            <w:r>
              <w:rPr>
                <w:color w:val="000000" w:themeColor="text1"/>
              </w:rPr>
              <w:t>空压机</w:t>
            </w:r>
          </w:p>
        </w:tc>
        <w:tc>
          <w:tcPr>
            <w:tcW w:w="2987" w:type="dxa"/>
            <w:vAlign w:val="center"/>
          </w:tcPr>
          <w:p>
            <w:pPr>
              <w:spacing w:line="240" w:lineRule="auto"/>
              <w:jc w:val="center"/>
              <w:rPr>
                <w:color w:val="000000" w:themeColor="text1"/>
              </w:rPr>
            </w:pPr>
            <w:r>
              <w:rPr>
                <w:color w:val="000000" w:themeColor="text1"/>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spacing w:line="240" w:lineRule="auto"/>
              <w:ind w:firstLine="420"/>
              <w:jc w:val="center"/>
              <w:rPr>
                <w:color w:val="000000" w:themeColor="text1"/>
                <w:kern w:val="28"/>
                <w:szCs w:val="21"/>
              </w:rPr>
            </w:pPr>
          </w:p>
        </w:tc>
        <w:tc>
          <w:tcPr>
            <w:tcW w:w="3287" w:type="dxa"/>
            <w:vAlign w:val="center"/>
          </w:tcPr>
          <w:p>
            <w:pPr>
              <w:spacing w:line="240" w:lineRule="auto"/>
              <w:jc w:val="center"/>
              <w:rPr>
                <w:color w:val="000000" w:themeColor="text1"/>
              </w:rPr>
            </w:pPr>
            <w:r>
              <w:rPr>
                <w:color w:val="000000" w:themeColor="text1"/>
              </w:rPr>
              <w:t>中型载重车</w:t>
            </w:r>
          </w:p>
        </w:tc>
        <w:tc>
          <w:tcPr>
            <w:tcW w:w="2987" w:type="dxa"/>
            <w:vAlign w:val="center"/>
          </w:tcPr>
          <w:p>
            <w:pPr>
              <w:spacing w:line="240" w:lineRule="auto"/>
              <w:jc w:val="center"/>
              <w:rPr>
                <w:color w:val="000000" w:themeColor="text1"/>
              </w:rPr>
            </w:pPr>
            <w:r>
              <w:rPr>
                <w:color w:val="000000" w:themeColor="text1"/>
              </w:rPr>
              <w:t>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restart"/>
            <w:vAlign w:val="center"/>
          </w:tcPr>
          <w:p>
            <w:pPr>
              <w:spacing w:line="240" w:lineRule="auto"/>
              <w:jc w:val="center"/>
              <w:rPr>
                <w:color w:val="000000" w:themeColor="text1"/>
                <w:kern w:val="28"/>
                <w:szCs w:val="21"/>
              </w:rPr>
            </w:pPr>
            <w:r>
              <w:rPr>
                <w:color w:val="000000" w:themeColor="text1"/>
                <w:kern w:val="28"/>
                <w:szCs w:val="21"/>
              </w:rPr>
              <w:t>安装阶段</w:t>
            </w:r>
          </w:p>
        </w:tc>
        <w:tc>
          <w:tcPr>
            <w:tcW w:w="3287" w:type="dxa"/>
            <w:vAlign w:val="center"/>
          </w:tcPr>
          <w:p>
            <w:pPr>
              <w:spacing w:line="240" w:lineRule="auto"/>
              <w:jc w:val="center"/>
              <w:rPr>
                <w:color w:val="000000" w:themeColor="text1"/>
              </w:rPr>
            </w:pPr>
            <w:r>
              <w:rPr>
                <w:color w:val="000000" w:themeColor="text1"/>
              </w:rPr>
              <w:t>电钻</w:t>
            </w:r>
          </w:p>
        </w:tc>
        <w:tc>
          <w:tcPr>
            <w:tcW w:w="2987" w:type="dxa"/>
            <w:vAlign w:val="center"/>
          </w:tcPr>
          <w:p>
            <w:pPr>
              <w:spacing w:line="240" w:lineRule="auto"/>
              <w:jc w:val="center"/>
              <w:rPr>
                <w:color w:val="000000" w:themeColor="text1"/>
              </w:rPr>
            </w:pPr>
            <w:r>
              <w:rPr>
                <w:color w:val="000000" w:themeColor="text1"/>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spacing w:line="240" w:lineRule="auto"/>
              <w:jc w:val="center"/>
              <w:rPr>
                <w:color w:val="000000" w:themeColor="text1"/>
                <w:kern w:val="28"/>
                <w:szCs w:val="21"/>
              </w:rPr>
            </w:pPr>
          </w:p>
        </w:tc>
        <w:tc>
          <w:tcPr>
            <w:tcW w:w="3287" w:type="dxa"/>
            <w:vAlign w:val="center"/>
          </w:tcPr>
          <w:p>
            <w:pPr>
              <w:spacing w:line="240" w:lineRule="auto"/>
              <w:jc w:val="center"/>
              <w:rPr>
                <w:color w:val="000000" w:themeColor="text1"/>
              </w:rPr>
            </w:pPr>
            <w:r>
              <w:rPr>
                <w:color w:val="000000" w:themeColor="text1"/>
              </w:rPr>
              <w:t>砂浆拌和机</w:t>
            </w:r>
          </w:p>
        </w:tc>
        <w:tc>
          <w:tcPr>
            <w:tcW w:w="2987" w:type="dxa"/>
            <w:vAlign w:val="center"/>
          </w:tcPr>
          <w:p>
            <w:pPr>
              <w:spacing w:line="240" w:lineRule="auto"/>
              <w:jc w:val="center"/>
              <w:rPr>
                <w:color w:val="000000" w:themeColor="text1"/>
              </w:rPr>
            </w:pPr>
            <w:r>
              <w:rPr>
                <w:color w:val="000000" w:themeColor="text1"/>
              </w:rPr>
              <w:t>80~95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4" w:type="dxa"/>
            <w:vMerge w:val="continue"/>
            <w:vAlign w:val="center"/>
          </w:tcPr>
          <w:p>
            <w:pPr>
              <w:spacing w:line="240" w:lineRule="auto"/>
              <w:ind w:firstLine="420"/>
              <w:jc w:val="center"/>
              <w:rPr>
                <w:color w:val="000000" w:themeColor="text1"/>
                <w:kern w:val="28"/>
                <w:szCs w:val="21"/>
              </w:rPr>
            </w:pPr>
          </w:p>
        </w:tc>
        <w:tc>
          <w:tcPr>
            <w:tcW w:w="3287" w:type="dxa"/>
            <w:vAlign w:val="center"/>
          </w:tcPr>
          <w:p>
            <w:pPr>
              <w:spacing w:line="240" w:lineRule="auto"/>
              <w:jc w:val="center"/>
              <w:rPr>
                <w:color w:val="000000" w:themeColor="text1"/>
              </w:rPr>
            </w:pPr>
            <w:r>
              <w:rPr>
                <w:color w:val="000000" w:themeColor="text1"/>
              </w:rPr>
              <w:t>无齿锯</w:t>
            </w:r>
          </w:p>
        </w:tc>
        <w:tc>
          <w:tcPr>
            <w:tcW w:w="2987" w:type="dxa"/>
            <w:vAlign w:val="center"/>
          </w:tcPr>
          <w:p>
            <w:pPr>
              <w:spacing w:line="240" w:lineRule="auto"/>
              <w:jc w:val="center"/>
              <w:rPr>
                <w:color w:val="000000" w:themeColor="text1"/>
              </w:rPr>
            </w:pPr>
            <w:r>
              <w:rPr>
                <w:color w:val="000000" w:themeColor="text1"/>
              </w:rPr>
              <w:t>75~80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vMerge w:val="continue"/>
            <w:vAlign w:val="center"/>
          </w:tcPr>
          <w:p>
            <w:pPr>
              <w:spacing w:line="240" w:lineRule="auto"/>
              <w:ind w:firstLine="420"/>
              <w:jc w:val="center"/>
              <w:rPr>
                <w:color w:val="000000" w:themeColor="text1"/>
                <w:kern w:val="28"/>
                <w:szCs w:val="21"/>
              </w:rPr>
            </w:pPr>
          </w:p>
        </w:tc>
        <w:tc>
          <w:tcPr>
            <w:tcW w:w="3287" w:type="dxa"/>
            <w:vAlign w:val="center"/>
          </w:tcPr>
          <w:p>
            <w:pPr>
              <w:spacing w:line="240" w:lineRule="auto"/>
              <w:jc w:val="center"/>
              <w:rPr>
                <w:color w:val="000000" w:themeColor="text1"/>
              </w:rPr>
            </w:pPr>
            <w:r>
              <w:rPr>
                <w:color w:val="000000" w:themeColor="text1"/>
              </w:rPr>
              <w:t>轻型载重车</w:t>
            </w:r>
          </w:p>
        </w:tc>
        <w:tc>
          <w:tcPr>
            <w:tcW w:w="2987" w:type="dxa"/>
            <w:vAlign w:val="center"/>
          </w:tcPr>
          <w:p>
            <w:pPr>
              <w:spacing w:line="240" w:lineRule="auto"/>
              <w:jc w:val="center"/>
              <w:rPr>
                <w:color w:val="000000" w:themeColor="text1"/>
              </w:rPr>
            </w:pPr>
            <w:r>
              <w:rPr>
                <w:color w:val="000000" w:themeColor="text1"/>
              </w:rPr>
              <w:t>82~90</w:t>
            </w:r>
          </w:p>
        </w:tc>
      </w:tr>
    </w:tbl>
    <w:p>
      <w:pPr>
        <w:pStyle w:val="4"/>
        <w:adjustRightInd w:val="0"/>
        <w:snapToGrid w:val="0"/>
        <w:spacing w:before="0" w:after="0" w:line="360" w:lineRule="auto"/>
        <w:rPr>
          <w:color w:val="000000" w:themeColor="text1"/>
        </w:rPr>
      </w:pPr>
      <w:bookmarkStart w:id="263" w:name="_Toc506218067"/>
      <w:bookmarkStart w:id="264" w:name="_Toc504403814"/>
      <w:bookmarkStart w:id="265" w:name="_Toc510547296"/>
      <w:r>
        <w:rPr>
          <w:color w:val="000000" w:themeColor="text1"/>
        </w:rPr>
        <w:t>3.3.5固体废物</w:t>
      </w:r>
      <w:bookmarkEnd w:id="263"/>
      <w:bookmarkEnd w:id="264"/>
      <w:bookmarkEnd w:id="265"/>
    </w:p>
    <w:p>
      <w:pPr>
        <w:pStyle w:val="192"/>
        <w:snapToGrid w:val="0"/>
        <w:ind w:firstLine="480"/>
        <w:rPr>
          <w:bCs/>
          <w:color w:val="000000" w:themeColor="text1"/>
          <w:sz w:val="24"/>
          <w:szCs w:val="24"/>
        </w:rPr>
      </w:pPr>
      <w:r>
        <w:rPr>
          <w:bCs/>
          <w:color w:val="000000" w:themeColor="text1"/>
          <w:sz w:val="24"/>
          <w:szCs w:val="24"/>
        </w:rPr>
        <w:t>施工期固体废弃物为场地平整开挖产生的土方、施工活动产生的各种建筑垃圾与施工人员的生活垃圾。</w:t>
      </w:r>
    </w:p>
    <w:p>
      <w:pPr>
        <w:pStyle w:val="153"/>
        <w:rPr>
          <w:rFonts w:ascii="Times New Roman" w:hAnsi="Times New Roman" w:cs="Times New Roman"/>
          <w:color w:val="000000" w:themeColor="text1"/>
        </w:rPr>
      </w:pPr>
      <w:r>
        <w:rPr>
          <w:rFonts w:ascii="Times New Roman" w:hAnsi="Times New Roman" w:cs="Times New Roman"/>
          <w:color w:val="000000" w:themeColor="text1"/>
        </w:rPr>
        <w:t>（1）土石方</w:t>
      </w:r>
    </w:p>
    <w:p>
      <w:pPr>
        <w:ind w:firstLine="480" w:firstLineChars="200"/>
        <w:rPr>
          <w:bCs/>
          <w:color w:val="000000" w:themeColor="text1"/>
          <w:sz w:val="24"/>
        </w:rPr>
      </w:pPr>
      <w:r>
        <w:rPr>
          <w:rFonts w:hint="eastAsia"/>
          <w:color w:val="000000" w:themeColor="text1"/>
          <w:sz w:val="24"/>
        </w:rPr>
        <w:t>养殖场</w:t>
      </w:r>
      <w:r>
        <w:rPr>
          <w:color w:val="000000" w:themeColor="text1"/>
          <w:sz w:val="24"/>
        </w:rPr>
        <w:t>内土石方开挖总量为8.66万m</w:t>
      </w:r>
      <w:r>
        <w:rPr>
          <w:color w:val="000000" w:themeColor="text1"/>
          <w:sz w:val="24"/>
          <w:vertAlign w:val="superscript"/>
        </w:rPr>
        <w:t>3</w:t>
      </w:r>
      <w:r>
        <w:rPr>
          <w:color w:val="000000" w:themeColor="text1"/>
          <w:sz w:val="24"/>
        </w:rPr>
        <w:t>（其中表土剥离0.18万m</w:t>
      </w:r>
      <w:r>
        <w:rPr>
          <w:color w:val="000000" w:themeColor="text1"/>
          <w:sz w:val="24"/>
          <w:vertAlign w:val="superscript"/>
        </w:rPr>
        <w:t>3</w:t>
      </w:r>
      <w:r>
        <w:rPr>
          <w:color w:val="000000" w:themeColor="text1"/>
          <w:sz w:val="24"/>
        </w:rPr>
        <w:t>，场地平整8.48万m</w:t>
      </w:r>
      <w:r>
        <w:rPr>
          <w:color w:val="000000" w:themeColor="text1"/>
          <w:sz w:val="24"/>
          <w:vertAlign w:val="superscript"/>
        </w:rPr>
        <w:t>3</w:t>
      </w:r>
      <w:r>
        <w:rPr>
          <w:color w:val="000000" w:themeColor="text1"/>
          <w:sz w:val="24"/>
        </w:rPr>
        <w:t>）；回填总量为8.66万m</w:t>
      </w:r>
      <w:r>
        <w:rPr>
          <w:color w:val="000000" w:themeColor="text1"/>
          <w:sz w:val="24"/>
          <w:vertAlign w:val="superscript"/>
        </w:rPr>
        <w:t>3</w:t>
      </w:r>
      <w:r>
        <w:rPr>
          <w:color w:val="000000" w:themeColor="text1"/>
          <w:sz w:val="24"/>
        </w:rPr>
        <w:t>（其中绿化覆土量为0.18万m</w:t>
      </w:r>
      <w:r>
        <w:rPr>
          <w:color w:val="000000" w:themeColor="text1"/>
          <w:sz w:val="24"/>
          <w:vertAlign w:val="superscript"/>
        </w:rPr>
        <w:t>3</w:t>
      </w:r>
      <w:r>
        <w:rPr>
          <w:color w:val="000000" w:themeColor="text1"/>
          <w:sz w:val="24"/>
        </w:rPr>
        <w:t>，一般回填量为8.48万m</w:t>
      </w:r>
      <w:r>
        <w:rPr>
          <w:color w:val="000000" w:themeColor="text1"/>
          <w:sz w:val="24"/>
          <w:vertAlign w:val="superscript"/>
        </w:rPr>
        <w:t>3</w:t>
      </w:r>
      <w:r>
        <w:rPr>
          <w:color w:val="000000" w:themeColor="text1"/>
          <w:sz w:val="24"/>
        </w:rPr>
        <w:t>），不产生永久弃方</w:t>
      </w:r>
      <w:r>
        <w:rPr>
          <w:bCs/>
          <w:color w:val="000000" w:themeColor="text1"/>
          <w:sz w:val="24"/>
        </w:rPr>
        <w:t>。</w:t>
      </w:r>
    </w:p>
    <w:p>
      <w:pPr>
        <w:ind w:firstLine="480" w:firstLineChars="200"/>
        <w:rPr>
          <w:bCs/>
          <w:color w:val="000000" w:themeColor="text1"/>
          <w:sz w:val="24"/>
        </w:rPr>
      </w:pPr>
      <w:r>
        <w:rPr>
          <w:rFonts w:hint="eastAsia"/>
          <w:bCs/>
          <w:color w:val="000000" w:themeColor="text1"/>
          <w:sz w:val="24"/>
        </w:rPr>
        <w:t>种植区开挖土方完全回填，无弃方产生。</w:t>
      </w:r>
    </w:p>
    <w:p>
      <w:pPr>
        <w:ind w:firstLine="480" w:firstLineChars="200"/>
        <w:rPr>
          <w:color w:val="000000" w:themeColor="text1"/>
          <w:sz w:val="24"/>
        </w:rPr>
      </w:pPr>
      <w:r>
        <w:rPr>
          <w:bCs/>
          <w:color w:val="000000" w:themeColor="text1"/>
          <w:sz w:val="24"/>
        </w:rPr>
        <w:t>（2）建筑垃圾</w:t>
      </w:r>
    </w:p>
    <w:p>
      <w:pPr>
        <w:pStyle w:val="192"/>
        <w:snapToGrid w:val="0"/>
        <w:ind w:firstLine="482"/>
        <w:rPr>
          <w:color w:val="000000" w:themeColor="text1"/>
          <w:sz w:val="24"/>
          <w:szCs w:val="24"/>
        </w:rPr>
      </w:pPr>
      <w:r>
        <w:rPr>
          <w:color w:val="000000" w:themeColor="text1"/>
          <w:sz w:val="24"/>
          <w:szCs w:val="24"/>
        </w:rPr>
        <w:t>建筑垃圾包括废弃的砖石、水泥凝结废渣、废弃铁质或木质建材。项目施工产生的建筑垃圾约为0.14万m</w:t>
      </w:r>
      <w:r>
        <w:rPr>
          <w:color w:val="000000" w:themeColor="text1"/>
          <w:sz w:val="24"/>
          <w:szCs w:val="24"/>
          <w:vertAlign w:val="superscript"/>
        </w:rPr>
        <w:t>3</w:t>
      </w:r>
      <w:r>
        <w:rPr>
          <w:color w:val="000000" w:themeColor="text1"/>
          <w:sz w:val="24"/>
          <w:szCs w:val="24"/>
        </w:rPr>
        <w:t>。</w:t>
      </w:r>
    </w:p>
    <w:p>
      <w:pPr>
        <w:pStyle w:val="192"/>
        <w:snapToGrid w:val="0"/>
        <w:ind w:firstLine="482"/>
        <w:rPr>
          <w:color w:val="000000" w:themeColor="text1"/>
          <w:sz w:val="24"/>
          <w:szCs w:val="24"/>
        </w:rPr>
      </w:pPr>
      <w:r>
        <w:rPr>
          <w:color w:val="000000" w:themeColor="text1"/>
          <w:sz w:val="24"/>
          <w:szCs w:val="24"/>
        </w:rPr>
        <w:t>建筑垃圾中的废弃铁质集中收集后外售，木质建材由相关单位回收，不能回收利用的部分用于场地内回填，禁止随意处置和堆放。</w:t>
      </w:r>
    </w:p>
    <w:p>
      <w:pPr>
        <w:pStyle w:val="192"/>
        <w:snapToGrid w:val="0"/>
        <w:ind w:firstLine="482"/>
        <w:rPr>
          <w:color w:val="000000" w:themeColor="text1"/>
          <w:sz w:val="24"/>
          <w:szCs w:val="24"/>
        </w:rPr>
      </w:pPr>
      <w:r>
        <w:rPr>
          <w:color w:val="000000" w:themeColor="text1"/>
          <w:sz w:val="24"/>
          <w:szCs w:val="24"/>
        </w:rPr>
        <w:t>（3）生活垃圾</w:t>
      </w:r>
    </w:p>
    <w:p>
      <w:pPr>
        <w:pStyle w:val="192"/>
        <w:snapToGrid w:val="0"/>
        <w:ind w:firstLine="482"/>
        <w:rPr>
          <w:color w:val="000000" w:themeColor="text1"/>
          <w:sz w:val="24"/>
          <w:szCs w:val="24"/>
        </w:rPr>
      </w:pPr>
      <w:r>
        <w:rPr>
          <w:color w:val="000000" w:themeColor="text1"/>
          <w:sz w:val="24"/>
          <w:szCs w:val="24"/>
        </w:rPr>
        <w:t>项目施工场地无食宿，施工人员生活垃圾产生量按0.5kg/人•d计，产生量为25kg/d。生活垃圾经统一收集后，委托当地村镇环卫部门收集处理。</w:t>
      </w:r>
    </w:p>
    <w:p>
      <w:pPr>
        <w:pStyle w:val="192"/>
        <w:snapToGrid w:val="0"/>
        <w:ind w:firstLine="482"/>
        <w:rPr>
          <w:color w:val="000000" w:themeColor="text1"/>
          <w:sz w:val="24"/>
          <w:szCs w:val="24"/>
        </w:rPr>
      </w:pPr>
      <w:r>
        <w:rPr>
          <w:color w:val="000000" w:themeColor="text1"/>
          <w:sz w:val="24"/>
          <w:szCs w:val="24"/>
        </w:rPr>
        <w:t>（4）旱厕固废</w:t>
      </w:r>
    </w:p>
    <w:p>
      <w:pPr>
        <w:pStyle w:val="192"/>
        <w:snapToGrid w:val="0"/>
        <w:ind w:firstLine="482"/>
        <w:rPr>
          <w:color w:val="000000" w:themeColor="text1"/>
          <w:sz w:val="24"/>
          <w:szCs w:val="24"/>
        </w:rPr>
      </w:pPr>
      <w:r>
        <w:rPr>
          <w:color w:val="000000" w:themeColor="text1"/>
          <w:sz w:val="24"/>
          <w:szCs w:val="24"/>
        </w:rPr>
        <w:t>旱厕粪便委托当地居民定期清掏用于农肥。</w:t>
      </w:r>
    </w:p>
    <w:p>
      <w:pPr>
        <w:pStyle w:val="4"/>
        <w:spacing w:before="0" w:after="0" w:line="360" w:lineRule="auto"/>
        <w:rPr>
          <w:color w:val="000000" w:themeColor="text1"/>
        </w:rPr>
      </w:pPr>
      <w:bookmarkStart w:id="266" w:name="_Toc506218068"/>
      <w:bookmarkStart w:id="267" w:name="_Toc510547297"/>
      <w:bookmarkStart w:id="268" w:name="_Toc504403815"/>
      <w:r>
        <w:rPr>
          <w:color w:val="000000" w:themeColor="text1"/>
        </w:rPr>
        <w:t>3.3.6生态环境</w:t>
      </w:r>
      <w:bookmarkEnd w:id="266"/>
      <w:bookmarkEnd w:id="267"/>
      <w:bookmarkEnd w:id="268"/>
    </w:p>
    <w:p>
      <w:pPr>
        <w:ind w:firstLine="480" w:firstLineChars="200"/>
        <w:rPr>
          <w:color w:val="000000" w:themeColor="text1"/>
          <w:sz w:val="24"/>
        </w:rPr>
      </w:pPr>
      <w:r>
        <w:rPr>
          <w:color w:val="000000" w:themeColor="text1"/>
          <w:sz w:val="24"/>
        </w:rPr>
        <w:t>（1）</w:t>
      </w:r>
      <w:r>
        <w:rPr>
          <w:rFonts w:hint="eastAsia"/>
          <w:color w:val="000000" w:themeColor="text1"/>
          <w:sz w:val="24"/>
        </w:rPr>
        <w:t>土地</w:t>
      </w:r>
    </w:p>
    <w:p>
      <w:pPr>
        <w:ind w:firstLine="480" w:firstLineChars="200"/>
        <w:rPr>
          <w:color w:val="000000" w:themeColor="text1"/>
          <w:sz w:val="24"/>
        </w:rPr>
      </w:pPr>
      <w:r>
        <w:rPr>
          <w:color w:val="000000" w:themeColor="text1"/>
          <w:sz w:val="24"/>
        </w:rPr>
        <w:t>项目</w:t>
      </w:r>
      <w:r>
        <w:rPr>
          <w:rFonts w:hint="eastAsia"/>
          <w:color w:val="000000" w:themeColor="text1"/>
          <w:sz w:val="24"/>
        </w:rPr>
        <w:t>养殖区</w:t>
      </w:r>
      <w:r>
        <w:rPr>
          <w:color w:val="000000" w:themeColor="text1"/>
          <w:sz w:val="24"/>
        </w:rPr>
        <w:t>占地面积</w:t>
      </w:r>
      <w:r>
        <w:rPr>
          <w:rFonts w:hint="eastAsia"/>
          <w:color w:val="000000" w:themeColor="text1"/>
          <w:sz w:val="24"/>
        </w:rPr>
        <w:t>36524</w:t>
      </w:r>
      <w:r>
        <w:rPr>
          <w:color w:val="000000" w:themeColor="text1"/>
          <w:sz w:val="24"/>
        </w:rPr>
        <w:t>m</w:t>
      </w:r>
      <w:r>
        <w:rPr>
          <w:color w:val="000000" w:themeColor="text1"/>
          <w:sz w:val="24"/>
          <w:vertAlign w:val="superscript"/>
        </w:rPr>
        <w:t>2</w:t>
      </w:r>
      <w:r>
        <w:rPr>
          <w:color w:val="000000" w:themeColor="text1"/>
          <w:sz w:val="24"/>
        </w:rPr>
        <w:t>，占地类型</w:t>
      </w:r>
      <w:r>
        <w:rPr>
          <w:rFonts w:hint="eastAsia"/>
          <w:color w:val="000000" w:themeColor="text1"/>
          <w:sz w:val="24"/>
        </w:rPr>
        <w:t>均为农用地，其中耕地3.0056hm</w:t>
      </w:r>
      <w:r>
        <w:rPr>
          <w:rFonts w:hint="eastAsia"/>
          <w:color w:val="000000" w:themeColor="text1"/>
          <w:sz w:val="24"/>
          <w:vertAlign w:val="superscript"/>
        </w:rPr>
        <w:t>2</w:t>
      </w:r>
      <w:r>
        <w:rPr>
          <w:rFonts w:hint="eastAsia"/>
          <w:color w:val="000000" w:themeColor="text1"/>
          <w:sz w:val="24"/>
        </w:rPr>
        <w:t>，其他农用地0.6478hm</w:t>
      </w:r>
      <w:r>
        <w:rPr>
          <w:rFonts w:hint="eastAsia"/>
          <w:color w:val="000000" w:themeColor="text1"/>
          <w:sz w:val="24"/>
          <w:vertAlign w:val="superscript"/>
        </w:rPr>
        <w:t>2</w:t>
      </w:r>
      <w:r>
        <w:rPr>
          <w:rFonts w:hint="eastAsia"/>
          <w:color w:val="000000" w:themeColor="text1"/>
          <w:sz w:val="24"/>
        </w:rPr>
        <w:t>，不涉及基本农田。</w:t>
      </w:r>
    </w:p>
    <w:p>
      <w:pPr>
        <w:ind w:firstLine="480" w:firstLineChars="200"/>
        <w:rPr>
          <w:color w:val="000000" w:themeColor="text1"/>
          <w:sz w:val="24"/>
        </w:rPr>
      </w:pPr>
      <w:r>
        <w:rPr>
          <w:rFonts w:hint="eastAsia"/>
          <w:color w:val="000000" w:themeColor="text1"/>
          <w:sz w:val="24"/>
        </w:rPr>
        <w:t>项目种植区占地面积154000</w:t>
      </w:r>
      <w:r>
        <w:rPr>
          <w:color w:val="000000" w:themeColor="text1"/>
          <w:sz w:val="24"/>
        </w:rPr>
        <w:t>m</w:t>
      </w:r>
      <w:r>
        <w:rPr>
          <w:color w:val="000000" w:themeColor="text1"/>
          <w:sz w:val="24"/>
          <w:vertAlign w:val="superscript"/>
        </w:rPr>
        <w:t>2</w:t>
      </w:r>
      <w:r>
        <w:rPr>
          <w:color w:val="000000" w:themeColor="text1"/>
          <w:sz w:val="24"/>
        </w:rPr>
        <w:t>，占地类型</w:t>
      </w:r>
      <w:r>
        <w:rPr>
          <w:rFonts w:hint="eastAsia"/>
          <w:color w:val="000000" w:themeColor="text1"/>
          <w:sz w:val="24"/>
        </w:rPr>
        <w:t>均为旱地，不涉及基本农田。</w:t>
      </w:r>
    </w:p>
    <w:p>
      <w:pPr>
        <w:ind w:firstLine="480" w:firstLineChars="200"/>
        <w:rPr>
          <w:color w:val="000000" w:themeColor="text1"/>
          <w:sz w:val="24"/>
        </w:rPr>
      </w:pPr>
      <w:r>
        <w:rPr>
          <w:rFonts w:hint="eastAsia"/>
          <w:color w:val="000000" w:themeColor="text1"/>
          <w:sz w:val="24"/>
        </w:rPr>
        <w:t>项目的建设将改变项目现有的土地利用方式，使土地利用的使用价值发生改变。</w:t>
      </w:r>
    </w:p>
    <w:p>
      <w:pPr>
        <w:ind w:firstLine="480" w:firstLineChars="200"/>
        <w:rPr>
          <w:color w:val="000000" w:themeColor="text1"/>
          <w:sz w:val="24"/>
        </w:rPr>
      </w:pPr>
      <w:r>
        <w:rPr>
          <w:rFonts w:hint="eastAsia"/>
          <w:color w:val="000000" w:themeColor="text1"/>
          <w:sz w:val="24"/>
        </w:rPr>
        <w:t>（2）</w:t>
      </w:r>
      <w:r>
        <w:rPr>
          <w:color w:val="000000" w:themeColor="text1"/>
          <w:sz w:val="24"/>
        </w:rPr>
        <w:t>植物</w:t>
      </w:r>
    </w:p>
    <w:p>
      <w:pPr>
        <w:ind w:firstLine="480" w:firstLineChars="200"/>
        <w:rPr>
          <w:color w:val="000000" w:themeColor="text1"/>
          <w:sz w:val="24"/>
        </w:rPr>
      </w:pPr>
      <w:r>
        <w:rPr>
          <w:rFonts w:hint="eastAsia"/>
          <w:color w:val="000000" w:themeColor="text1"/>
          <w:sz w:val="24"/>
        </w:rPr>
        <w:t>项目占用土地性质为农用地，根据现场调查，用地中部土地荒废时间长，地表次生植被为云南松及其它灌木，用地东部为核桃林，西部现状为耕地。</w:t>
      </w:r>
    </w:p>
    <w:p>
      <w:pPr>
        <w:ind w:firstLine="480" w:firstLineChars="200"/>
        <w:rPr>
          <w:color w:val="000000" w:themeColor="text1"/>
          <w:sz w:val="24"/>
        </w:rPr>
      </w:pPr>
      <w:r>
        <w:rPr>
          <w:color w:val="000000" w:themeColor="text1"/>
          <w:sz w:val="24"/>
        </w:rPr>
        <w:t>项目破坏植被均为常见种类，占地范围内没有发现需要特殊保护的珍稀、濒危植物种类</w:t>
      </w:r>
      <w:r>
        <w:rPr>
          <w:rFonts w:hint="eastAsia"/>
          <w:color w:val="000000" w:themeColor="text1"/>
          <w:sz w:val="24"/>
        </w:rPr>
        <w:t>。</w:t>
      </w:r>
    </w:p>
    <w:p>
      <w:pPr>
        <w:ind w:firstLine="480" w:firstLineChars="200"/>
        <w:rPr>
          <w:color w:val="000000" w:themeColor="text1"/>
          <w:sz w:val="24"/>
        </w:rPr>
      </w:pPr>
      <w:r>
        <w:rPr>
          <w:color w:val="000000" w:themeColor="text1"/>
          <w:sz w:val="24"/>
        </w:rPr>
        <w:t>（2）动物</w:t>
      </w:r>
    </w:p>
    <w:p>
      <w:pPr>
        <w:ind w:firstLine="480" w:firstLineChars="200"/>
        <w:rPr>
          <w:color w:val="000000" w:themeColor="text1"/>
          <w:sz w:val="24"/>
        </w:rPr>
      </w:pPr>
      <w:r>
        <w:rPr>
          <w:color w:val="000000" w:themeColor="text1"/>
          <w:sz w:val="24"/>
        </w:rPr>
        <w:t>项目区内未发现珍稀、濒危或当地特有动物种类。施工过程中将带来大量的人行车往，导致项目区周边小型野生动物的短暂性消失，但施工结束后随着施工人员的撤离，野生动物将逐渐回归周边区域活动。</w:t>
      </w:r>
    </w:p>
    <w:p>
      <w:pPr>
        <w:ind w:firstLine="480" w:firstLineChars="200"/>
        <w:rPr>
          <w:color w:val="000000" w:themeColor="text1"/>
          <w:sz w:val="24"/>
        </w:rPr>
      </w:pPr>
      <w:r>
        <w:rPr>
          <w:color w:val="000000" w:themeColor="text1"/>
          <w:sz w:val="24"/>
        </w:rPr>
        <w:t>（3）水土流失</w:t>
      </w:r>
    </w:p>
    <w:p>
      <w:pPr>
        <w:ind w:firstLine="480" w:firstLineChars="200"/>
        <w:rPr>
          <w:bCs/>
          <w:color w:val="000000" w:themeColor="text1"/>
          <w:sz w:val="24"/>
        </w:rPr>
        <w:sectPr>
          <w:pgSz w:w="11906" w:h="16838"/>
          <w:pgMar w:top="1440" w:right="1797" w:bottom="1440" w:left="1797" w:header="851" w:footer="992" w:gutter="0"/>
          <w:cols w:space="720" w:num="1"/>
          <w:docGrid w:linePitch="312" w:charSpace="0"/>
        </w:sectPr>
      </w:pPr>
      <w:r>
        <w:rPr>
          <w:color w:val="000000" w:themeColor="text1"/>
          <w:sz w:val="24"/>
        </w:rPr>
        <w:t>在施工过程中必将形成新的开挖面，由于土体结构的扰动，破坏了原来的地貌和地表植被，使土壤的抗蚀能力减弱，会导致不同程度的水土流失；在径流的冲刷作用下，施工场地的水土流失量将会大量增加，污染附近水体，其后果是水变浑浊，透明度降低</w:t>
      </w:r>
      <w:r>
        <w:rPr>
          <w:bCs/>
          <w:color w:val="000000" w:themeColor="text1"/>
          <w:sz w:val="24"/>
        </w:rPr>
        <w:t>。</w:t>
      </w:r>
    </w:p>
    <w:p>
      <w:pPr>
        <w:pStyle w:val="3"/>
        <w:spacing w:before="0" w:after="0"/>
        <w:rPr>
          <w:rFonts w:ascii="Times New Roman" w:hAnsi="Times New Roman"/>
          <w:color w:val="000000" w:themeColor="text1"/>
        </w:rPr>
      </w:pPr>
      <w:bookmarkStart w:id="269" w:name="_Toc402186373"/>
      <w:bookmarkStart w:id="270" w:name="_Toc303261013"/>
      <w:bookmarkStart w:id="271" w:name="_Toc510547298"/>
      <w:bookmarkStart w:id="272" w:name="_Toc4076487"/>
      <w:r>
        <w:rPr>
          <w:rFonts w:ascii="Times New Roman" w:hAnsi="Times New Roman"/>
          <w:color w:val="000000" w:themeColor="text1"/>
        </w:rPr>
        <w:t>3.4运营期</w:t>
      </w:r>
      <w:bookmarkEnd w:id="269"/>
      <w:bookmarkEnd w:id="270"/>
      <w:bookmarkEnd w:id="271"/>
      <w:bookmarkEnd w:id="272"/>
    </w:p>
    <w:p>
      <w:pPr>
        <w:pStyle w:val="4"/>
        <w:spacing w:before="0" w:after="0" w:line="360" w:lineRule="auto"/>
        <w:rPr>
          <w:color w:val="000000" w:themeColor="text1"/>
        </w:rPr>
      </w:pPr>
      <w:bookmarkStart w:id="273" w:name="_Toc510547299"/>
      <w:bookmarkStart w:id="274" w:name="_Toc504403817"/>
      <w:bookmarkStart w:id="275" w:name="_Toc506218070"/>
      <w:r>
        <w:rPr>
          <w:color w:val="000000" w:themeColor="text1"/>
        </w:rPr>
        <w:t>3.4.1废气</w:t>
      </w:r>
      <w:bookmarkEnd w:id="273"/>
      <w:bookmarkEnd w:id="274"/>
      <w:bookmarkEnd w:id="275"/>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项目废气主要为猪舍、</w:t>
      </w:r>
      <w:r>
        <w:rPr>
          <w:rFonts w:hint="eastAsia" w:ascii="Times New Roman" w:hAnsi="Times New Roman" w:cs="Times New Roman"/>
          <w:color w:val="000000" w:themeColor="text1"/>
        </w:rPr>
        <w:t>沼气预处理</w:t>
      </w:r>
      <w:r>
        <w:rPr>
          <w:rFonts w:ascii="Times New Roman" w:hAnsi="Times New Roman" w:cs="Times New Roman"/>
          <w:color w:val="000000" w:themeColor="text1"/>
        </w:rPr>
        <w:t>及</w:t>
      </w:r>
      <w:r>
        <w:rPr>
          <w:rFonts w:hint="eastAsia" w:ascii="Times New Roman" w:hAnsi="Times New Roman" w:cs="Times New Roman"/>
          <w:color w:val="000000" w:themeColor="text1"/>
        </w:rPr>
        <w:t>堆肥</w:t>
      </w:r>
      <w:r>
        <w:rPr>
          <w:rFonts w:ascii="Times New Roman" w:hAnsi="Times New Roman" w:cs="Times New Roman"/>
          <w:color w:val="000000" w:themeColor="text1"/>
        </w:rPr>
        <w:t>恶臭、食堂油烟、发电机废气。</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（1）恶臭</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恶臭气体主要产生于猪舍、发酵间及污水处理设施。养猪场恶臭污染属于复合型污染，污染物成份十分复杂，而且臭气污染物对居民的影响程度更多的是人的一种主观感受，养猪场恶臭污染物中主要成分为H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S、NH</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 1 \* GB3 </w:instrText>
      </w:r>
      <w:r>
        <w:rPr>
          <w:rFonts w:ascii="Times New Roman" w:hAnsi="Times New Roman" w:cs="Times New Roman"/>
          <w:color w:val="000000" w:themeColor="text1"/>
        </w:rPr>
        <w:fldChar w:fldCharType="separate"/>
      </w:r>
      <w:r>
        <w:rPr>
          <w:rFonts w:hint="eastAsia" w:ascii="宋体" w:hAnsi="宋体" w:cs="宋体"/>
          <w:color w:val="000000" w:themeColor="text1"/>
        </w:rPr>
        <w:t>①</w:t>
      </w:r>
      <w:r>
        <w:rPr>
          <w:rFonts w:ascii="Times New Roman" w:hAnsi="Times New Roman" w:cs="Times New Roman"/>
          <w:color w:val="000000" w:themeColor="text1"/>
        </w:rPr>
        <w:fldChar w:fldCharType="end"/>
      </w:r>
      <w:r>
        <w:rPr>
          <w:rFonts w:ascii="Times New Roman" w:hAnsi="Times New Roman" w:cs="Times New Roman"/>
          <w:color w:val="000000" w:themeColor="text1"/>
        </w:rPr>
        <w:t>猪舍</w:t>
      </w:r>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根据《养猪场恶臭影响量化分析及控制对策研究》（天津市环境影响评价中心孙艳青、张潞、李万庆）的统计资料，猪舍NH</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和</w:t>
      </w:r>
      <w:r>
        <w:rPr>
          <w:rFonts w:ascii="Times New Roman" w:hAnsi="Times New Roman" w:cs="Times New Roman"/>
          <w:color w:val="000000" w:themeColor="text1"/>
          <w:spacing w:val="20"/>
        </w:rPr>
        <w:t>H</w:t>
      </w:r>
      <w:r>
        <w:rPr>
          <w:rFonts w:ascii="Times New Roman" w:hAnsi="Times New Roman" w:cs="Times New Roman"/>
          <w:color w:val="000000" w:themeColor="text1"/>
          <w:spacing w:val="20"/>
          <w:vertAlign w:val="subscript"/>
        </w:rPr>
        <w:t>2</w:t>
      </w:r>
      <w:r>
        <w:rPr>
          <w:rFonts w:ascii="Times New Roman" w:hAnsi="Times New Roman" w:cs="Times New Roman"/>
          <w:color w:val="000000" w:themeColor="text1"/>
          <w:spacing w:val="20"/>
        </w:rPr>
        <w:t>S</w:t>
      </w:r>
      <w:r>
        <w:rPr>
          <w:rFonts w:ascii="Times New Roman" w:hAnsi="Times New Roman" w:cs="Times New Roman"/>
          <w:color w:val="000000" w:themeColor="text1"/>
        </w:rPr>
        <w:t>的排放强度受到许多因素的影响，包括生产工艺、气温、湿度、猪群种类、室内排风情况以及粪便的堆积时间等，其排放源强如下表所示。</w:t>
      </w:r>
    </w:p>
    <w:p>
      <w:pPr>
        <w:pStyle w:val="158"/>
        <w:spacing w:line="240" w:lineRule="auto"/>
        <w:rPr>
          <w:color w:val="000000" w:themeColor="text1"/>
          <w:sz w:val="21"/>
          <w:szCs w:val="21"/>
        </w:rPr>
      </w:pPr>
      <w:r>
        <w:rPr>
          <w:color w:val="000000" w:themeColor="text1"/>
          <w:sz w:val="21"/>
          <w:szCs w:val="21"/>
        </w:rPr>
        <w:t>表3.4-</w:t>
      </w:r>
      <w:r>
        <w:rPr>
          <w:rFonts w:hint="eastAsia"/>
          <w:color w:val="000000" w:themeColor="text1"/>
          <w:sz w:val="21"/>
          <w:szCs w:val="21"/>
        </w:rPr>
        <w:t>1</w:t>
      </w:r>
      <w:r>
        <w:rPr>
          <w:color w:val="000000" w:themeColor="text1"/>
          <w:sz w:val="21"/>
          <w:szCs w:val="21"/>
        </w:rPr>
        <w:t xml:space="preserve">  猪舍NH</w:t>
      </w:r>
      <w:r>
        <w:rPr>
          <w:color w:val="000000" w:themeColor="text1"/>
          <w:sz w:val="21"/>
          <w:szCs w:val="21"/>
          <w:vertAlign w:val="subscript"/>
        </w:rPr>
        <w:t>3</w:t>
      </w:r>
      <w:r>
        <w:rPr>
          <w:color w:val="000000" w:themeColor="text1"/>
          <w:sz w:val="21"/>
          <w:szCs w:val="21"/>
        </w:rPr>
        <w:t>和</w:t>
      </w:r>
      <w:r>
        <w:rPr>
          <w:color w:val="000000" w:themeColor="text1"/>
          <w:spacing w:val="20"/>
          <w:sz w:val="21"/>
          <w:szCs w:val="21"/>
        </w:rPr>
        <w:t>H</w:t>
      </w:r>
      <w:r>
        <w:rPr>
          <w:color w:val="000000" w:themeColor="text1"/>
          <w:spacing w:val="20"/>
          <w:sz w:val="21"/>
          <w:szCs w:val="21"/>
          <w:vertAlign w:val="subscript"/>
        </w:rPr>
        <w:t>2</w:t>
      </w:r>
      <w:r>
        <w:rPr>
          <w:color w:val="000000" w:themeColor="text1"/>
          <w:spacing w:val="20"/>
          <w:sz w:val="21"/>
          <w:szCs w:val="21"/>
        </w:rPr>
        <w:t>S</w:t>
      </w:r>
      <w:r>
        <w:rPr>
          <w:color w:val="000000" w:themeColor="text1"/>
          <w:sz w:val="21"/>
          <w:szCs w:val="21"/>
        </w:rPr>
        <w:t>产生量统计表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pStyle w:val="100"/>
              <w:rPr>
                <w:rFonts w:ascii="Times New Roman" w:hAnsi="Times New Roman" w:cs="Times New Roman"/>
                <w:b/>
                <w:color w:val="000000" w:themeColor="text1"/>
              </w:rPr>
            </w:pPr>
            <w:r>
              <w:rPr>
                <w:rFonts w:ascii="Times New Roman" w:hAnsi="Times New Roman" w:cs="Times New Roman"/>
                <w:b/>
                <w:color w:val="000000" w:themeColor="text1"/>
                <w:kern w:val="0"/>
                <w:sz w:val="20"/>
                <w:szCs w:val="20"/>
              </w:rPr>
              <w:t>污染源</w:t>
            </w:r>
          </w:p>
        </w:tc>
        <w:tc>
          <w:tcPr>
            <w:tcW w:w="2501" w:type="pct"/>
            <w:vAlign w:val="center"/>
          </w:tcPr>
          <w:p>
            <w:pPr>
              <w:pStyle w:val="100"/>
              <w:rPr>
                <w:rFonts w:ascii="Times New Roman" w:hAnsi="Times New Roman" w:cs="Times New Roman"/>
                <w:b/>
                <w:color w:val="000000" w:themeColor="text1"/>
                <w:kern w:val="0"/>
                <w:sz w:val="20"/>
                <w:szCs w:val="20"/>
              </w:rPr>
            </w:pPr>
            <w:r>
              <w:rPr>
                <w:rFonts w:hint="eastAsia" w:ascii="Times New Roman" w:hAnsi="Times New Roman" w:cs="Times New Roman"/>
                <w:b/>
                <w:color w:val="000000" w:themeColor="text1"/>
                <w:kern w:val="0"/>
                <w:sz w:val="20"/>
                <w:szCs w:val="20"/>
              </w:rPr>
              <w:t>生猪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kern w:val="0"/>
                <w:sz w:val="20"/>
                <w:szCs w:val="20"/>
              </w:rPr>
              <w:t>NH</w:t>
            </w:r>
            <w:r>
              <w:rPr>
                <w:rFonts w:ascii="Times New Roman" w:hAnsi="Times New Roman" w:cs="Times New Roman"/>
                <w:color w:val="000000" w:themeColor="text1"/>
                <w:kern w:val="0"/>
                <w:sz w:val="20"/>
                <w:szCs w:val="20"/>
                <w:vertAlign w:val="subscript"/>
              </w:rPr>
              <w:t>3</w:t>
            </w:r>
          </w:p>
        </w:tc>
        <w:tc>
          <w:tcPr>
            <w:tcW w:w="2501" w:type="pct"/>
            <w:vAlign w:val="center"/>
          </w:tcPr>
          <w:p>
            <w:pPr>
              <w:pStyle w:val="100"/>
              <w:rPr>
                <w:rFonts w:ascii="Times New Roman" w:hAnsi="Times New Roman" w:cs="Times New Roman"/>
                <w:color w:val="000000" w:themeColor="text1"/>
                <w:kern w:val="0"/>
                <w:sz w:val="20"/>
                <w:szCs w:val="20"/>
              </w:rPr>
            </w:pPr>
            <w:r>
              <w:rPr>
                <w:rFonts w:hint="eastAsia" w:ascii="Times New Roman" w:hAnsi="Times New Roman" w:cs="Times New Roman"/>
                <w:color w:val="000000" w:themeColor="text1"/>
                <w:kern w:val="0"/>
                <w:sz w:val="20"/>
                <w:szCs w:val="20"/>
              </w:rPr>
              <w:t>2.0</w:t>
            </w:r>
            <w:r>
              <w:rPr>
                <w:rFonts w:ascii="Times New Roman" w:hAnsi="Times New Roman" w:cs="Times New Roman"/>
                <w:color w:val="000000" w:themeColor="text1"/>
                <w:kern w:val="0"/>
                <w:sz w:val="20"/>
                <w:szCs w:val="20"/>
              </w:rPr>
              <w:t>g/头•日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pStyle w:val="100"/>
              <w:rPr>
                <w:rFonts w:ascii="Times New Roman" w:hAnsi="Times New Roman" w:cs="Times New Roman"/>
                <w:color w:val="000000" w:themeColor="text1"/>
              </w:rPr>
            </w:pPr>
            <w:r>
              <w:rPr>
                <w:rFonts w:ascii="Times New Roman" w:hAnsi="Times New Roman" w:cs="Times New Roman"/>
                <w:color w:val="000000" w:themeColor="text1"/>
                <w:spacing w:val="20"/>
                <w:kern w:val="0"/>
                <w:sz w:val="20"/>
                <w:szCs w:val="20"/>
              </w:rPr>
              <w:t>H</w:t>
            </w:r>
            <w:r>
              <w:rPr>
                <w:rFonts w:ascii="Times New Roman" w:hAnsi="Times New Roman" w:cs="Times New Roman"/>
                <w:color w:val="000000" w:themeColor="text1"/>
                <w:spacing w:val="20"/>
                <w:kern w:val="0"/>
                <w:sz w:val="20"/>
                <w:szCs w:val="20"/>
                <w:vertAlign w:val="subscript"/>
              </w:rPr>
              <w:t>2</w:t>
            </w:r>
            <w:r>
              <w:rPr>
                <w:rFonts w:ascii="Times New Roman" w:hAnsi="Times New Roman" w:cs="Times New Roman"/>
                <w:color w:val="000000" w:themeColor="text1"/>
                <w:spacing w:val="20"/>
                <w:kern w:val="0"/>
                <w:sz w:val="20"/>
                <w:szCs w:val="20"/>
              </w:rPr>
              <w:t>S</w:t>
            </w:r>
          </w:p>
        </w:tc>
        <w:tc>
          <w:tcPr>
            <w:tcW w:w="2501" w:type="pct"/>
            <w:vAlign w:val="center"/>
          </w:tcPr>
          <w:p>
            <w:pPr>
              <w:pStyle w:val="100"/>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0.</w:t>
            </w:r>
            <w:r>
              <w:rPr>
                <w:rFonts w:hint="eastAsia" w:ascii="Times New Roman" w:hAnsi="Times New Roman" w:cs="Times New Roman"/>
                <w:color w:val="000000" w:themeColor="text1"/>
                <w:kern w:val="0"/>
                <w:sz w:val="20"/>
                <w:szCs w:val="20"/>
              </w:rPr>
              <w:t>30</w:t>
            </w:r>
            <w:r>
              <w:rPr>
                <w:rFonts w:ascii="Times New Roman" w:hAnsi="Times New Roman" w:cs="Times New Roman"/>
                <w:color w:val="000000" w:themeColor="text1"/>
                <w:kern w:val="0"/>
                <w:sz w:val="20"/>
                <w:szCs w:val="20"/>
              </w:rPr>
              <w:t>g/头•日</w:t>
            </w:r>
          </w:p>
        </w:tc>
      </w:tr>
    </w:tbl>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根据上表可知，本项目恶臭产生源强如下表所示。</w:t>
      </w:r>
    </w:p>
    <w:p>
      <w:pPr>
        <w:pStyle w:val="158"/>
        <w:spacing w:line="240" w:lineRule="auto"/>
        <w:rPr>
          <w:color w:val="000000" w:themeColor="text1"/>
          <w:sz w:val="21"/>
          <w:szCs w:val="21"/>
        </w:rPr>
      </w:pPr>
      <w:r>
        <w:rPr>
          <w:color w:val="000000" w:themeColor="text1"/>
          <w:sz w:val="21"/>
          <w:szCs w:val="21"/>
        </w:rPr>
        <w:t>表3.4-</w:t>
      </w:r>
      <w:r>
        <w:rPr>
          <w:rFonts w:hint="eastAsia"/>
          <w:color w:val="000000" w:themeColor="text1"/>
          <w:sz w:val="21"/>
          <w:szCs w:val="21"/>
        </w:rPr>
        <w:t>2</w:t>
      </w:r>
      <w:r>
        <w:rPr>
          <w:color w:val="000000" w:themeColor="text1"/>
          <w:sz w:val="21"/>
          <w:szCs w:val="21"/>
        </w:rPr>
        <w:t xml:space="preserve">  猪舍无组织排放恶臭源强</w:t>
      </w:r>
    </w:p>
    <w:tbl>
      <w:tblPr>
        <w:tblStyle w:val="42"/>
        <w:tblW w:w="8528" w:type="dxa"/>
        <w:jc w:val="center"/>
        <w:tblLayout w:type="fixed"/>
        <w:tblCellMar>
          <w:top w:w="0" w:type="dxa"/>
          <w:left w:w="108" w:type="dxa"/>
          <w:bottom w:w="0" w:type="dxa"/>
          <w:right w:w="108" w:type="dxa"/>
        </w:tblCellMar>
      </w:tblPr>
      <w:tblGrid>
        <w:gridCol w:w="1207"/>
        <w:gridCol w:w="1274"/>
        <w:gridCol w:w="1275"/>
        <w:gridCol w:w="1111"/>
        <w:gridCol w:w="1275"/>
        <w:gridCol w:w="1196"/>
        <w:gridCol w:w="1190"/>
      </w:tblGrid>
      <w:tr>
        <w:tblPrEx>
          <w:tblCellMar>
            <w:top w:w="0" w:type="dxa"/>
            <w:left w:w="108" w:type="dxa"/>
            <w:bottom w:w="0" w:type="dxa"/>
            <w:right w:w="108" w:type="dxa"/>
          </w:tblCellMar>
        </w:tblPrEx>
        <w:trPr>
          <w:trHeight w:val="300" w:hRule="atLeast"/>
          <w:jc w:val="center"/>
        </w:trPr>
        <w:tc>
          <w:tcPr>
            <w:tcW w:w="1207" w:type="dxa"/>
            <w:vMerge w:val="restart"/>
            <w:tcBorders>
              <w:top w:val="single" w:color="auto" w:sz="4" w:space="0"/>
              <w:left w:val="single" w:color="auto" w:sz="4" w:space="0"/>
              <w:right w:val="single" w:color="auto" w:sz="4" w:space="0"/>
              <w:tl2br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污染物</w:t>
            </w:r>
          </w:p>
          <w:p>
            <w:pPr>
              <w:pStyle w:val="100"/>
              <w:spacing w:line="240" w:lineRule="auto"/>
              <w:jc w:val="both"/>
              <w:rPr>
                <w:rFonts w:ascii="Times New Roman" w:hAnsi="Times New Roman" w:cs="Times New Roman"/>
                <w:b/>
                <w:color w:val="000000" w:themeColor="text1"/>
                <w:szCs w:val="21"/>
              </w:rPr>
            </w:pPr>
          </w:p>
          <w:p>
            <w:pPr>
              <w:pStyle w:val="100"/>
              <w:spacing w:line="240" w:lineRule="auto"/>
              <w:jc w:val="both"/>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污染源</w:t>
            </w:r>
          </w:p>
        </w:tc>
        <w:tc>
          <w:tcPr>
            <w:tcW w:w="3660" w:type="dxa"/>
            <w:gridSpan w:val="3"/>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rPr>
              <w:t>NH</w:t>
            </w:r>
            <w:r>
              <w:rPr>
                <w:rFonts w:ascii="Times New Roman" w:hAnsi="Times New Roman" w:cs="Times New Roman"/>
                <w:b/>
                <w:color w:val="000000" w:themeColor="text1"/>
                <w:vertAlign w:val="subscript"/>
              </w:rPr>
              <w:t>3</w:t>
            </w:r>
          </w:p>
        </w:tc>
        <w:tc>
          <w:tcPr>
            <w:tcW w:w="3661" w:type="dxa"/>
            <w:gridSpan w:val="3"/>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pacing w:val="20"/>
              </w:rPr>
              <w:t>H</w:t>
            </w:r>
            <w:r>
              <w:rPr>
                <w:rFonts w:ascii="Times New Roman" w:hAnsi="Times New Roman" w:cs="Times New Roman"/>
                <w:b/>
                <w:color w:val="000000" w:themeColor="text1"/>
                <w:spacing w:val="20"/>
                <w:vertAlign w:val="subscript"/>
              </w:rPr>
              <w:t>2</w:t>
            </w:r>
            <w:r>
              <w:rPr>
                <w:rFonts w:ascii="Times New Roman" w:hAnsi="Times New Roman" w:cs="Times New Roman"/>
                <w:b/>
                <w:color w:val="000000" w:themeColor="text1"/>
                <w:spacing w:val="20"/>
              </w:rPr>
              <w:t>S</w:t>
            </w:r>
          </w:p>
        </w:tc>
      </w:tr>
      <w:tr>
        <w:tblPrEx>
          <w:tblCellMar>
            <w:top w:w="0" w:type="dxa"/>
            <w:left w:w="108" w:type="dxa"/>
            <w:bottom w:w="0" w:type="dxa"/>
            <w:right w:w="108" w:type="dxa"/>
          </w:tblCellMar>
        </w:tblPrEx>
        <w:trPr>
          <w:trHeight w:val="540" w:hRule="atLeast"/>
          <w:jc w:val="center"/>
        </w:trPr>
        <w:tc>
          <w:tcPr>
            <w:tcW w:w="1207" w:type="dxa"/>
            <w:vMerge w:val="continue"/>
            <w:tcBorders>
              <w:left w:val="single" w:color="auto" w:sz="4" w:space="0"/>
              <w:bottom w:val="single" w:color="auto" w:sz="4" w:space="0"/>
              <w:right w:val="single" w:color="auto" w:sz="4" w:space="0"/>
              <w:tl2br w:val="single" w:color="auto" w:sz="4" w:space="0"/>
            </w:tcBorders>
            <w:vAlign w:val="center"/>
          </w:tcPr>
          <w:p>
            <w:pPr>
              <w:pStyle w:val="100"/>
              <w:spacing w:line="240" w:lineRule="auto"/>
              <w:rPr>
                <w:rFonts w:ascii="Times New Roman" w:hAnsi="Times New Roman" w:cs="Times New Roman"/>
                <w:b/>
                <w:color w:val="000000" w:themeColor="text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排放速率（kg/h）</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日产生量（kg/d）</w:t>
            </w:r>
          </w:p>
        </w:tc>
        <w:tc>
          <w:tcPr>
            <w:tcW w:w="1111"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年产生量（t/a）</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排放速率（kg/h）</w:t>
            </w:r>
          </w:p>
        </w:tc>
        <w:tc>
          <w:tcPr>
            <w:tcW w:w="1196"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日产生量（kg/d）</w:t>
            </w:r>
          </w:p>
        </w:tc>
        <w:tc>
          <w:tcPr>
            <w:tcW w:w="1190"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年产生量（t/a）</w:t>
            </w:r>
          </w:p>
        </w:tc>
      </w:tr>
      <w:tr>
        <w:trPr>
          <w:trHeight w:val="300" w:hRule="atLeast"/>
          <w:jc w:val="center"/>
        </w:trPr>
        <w:tc>
          <w:tcPr>
            <w:tcW w:w="1207"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rPr>
            </w:pPr>
            <w:r>
              <w:rPr>
                <w:rFonts w:hint="eastAsia" w:ascii="Times New Roman" w:hAnsi="Times New Roman" w:cs="Times New Roman"/>
                <w:color w:val="000000" w:themeColor="text1"/>
                <w:kern w:val="0"/>
                <w:sz w:val="20"/>
                <w:szCs w:val="20"/>
              </w:rPr>
              <w:t>生猪</w:t>
            </w:r>
          </w:p>
        </w:tc>
        <w:tc>
          <w:tcPr>
            <w:tcW w:w="1274"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0.83</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20</w:t>
            </w:r>
          </w:p>
        </w:tc>
        <w:tc>
          <w:tcPr>
            <w:tcW w:w="1111"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7.3</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0.13</w:t>
            </w:r>
          </w:p>
        </w:tc>
        <w:tc>
          <w:tcPr>
            <w:tcW w:w="1196"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3.0</w:t>
            </w:r>
          </w:p>
        </w:tc>
        <w:tc>
          <w:tcPr>
            <w:tcW w:w="1190"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1.10</w:t>
            </w:r>
          </w:p>
        </w:tc>
      </w:tr>
    </w:tbl>
    <w:p>
      <w:pPr>
        <w:pStyle w:val="132"/>
        <w:ind w:firstLine="480"/>
        <w:rPr>
          <w:rFonts w:ascii="Times New Roman" w:hAnsi="Times New Roman" w:cs="Times New Roman"/>
          <w:color w:val="000000" w:themeColor="text1"/>
          <w:spacing w:val="20"/>
        </w:rPr>
      </w:pPr>
      <w:r>
        <w:rPr>
          <w:rFonts w:ascii="Times New Roman" w:hAnsi="Times New Roman" w:cs="Times New Roman"/>
          <w:color w:val="000000" w:themeColor="text1"/>
        </w:rPr>
        <w:t>a.结合建设单位介绍养殖过程中在饲料中添加活菌剂等，根据《动物科学》现代农业科技2011年第6期“猪舍内氨气排放控制研究进展”，通过在饲料中添加活菌剂</w:t>
      </w:r>
      <w:r>
        <w:rPr>
          <w:rFonts w:hint="eastAsia" w:ascii="Times New Roman" w:hAnsi="Times New Roman" w:cs="Times New Roman"/>
          <w:color w:val="000000" w:themeColor="text1"/>
        </w:rPr>
        <w:t>（亚罗康菌微生物制剂）</w:t>
      </w:r>
      <w:r>
        <w:rPr>
          <w:rFonts w:ascii="Times New Roman" w:hAnsi="Times New Roman" w:cs="Times New Roman"/>
          <w:color w:val="000000" w:themeColor="text1"/>
        </w:rPr>
        <w:t>，可使猪舍中臭气含量下降40.28%~56.46，通过上述措施，对NH</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和</w:t>
      </w:r>
      <w:r>
        <w:rPr>
          <w:rFonts w:ascii="Times New Roman" w:hAnsi="Times New Roman" w:cs="Times New Roman"/>
          <w:color w:val="000000" w:themeColor="text1"/>
          <w:spacing w:val="20"/>
        </w:rPr>
        <w:t>H</w:t>
      </w:r>
      <w:r>
        <w:rPr>
          <w:rFonts w:ascii="Times New Roman" w:hAnsi="Times New Roman" w:cs="Times New Roman"/>
          <w:color w:val="000000" w:themeColor="text1"/>
          <w:spacing w:val="20"/>
          <w:vertAlign w:val="subscript"/>
        </w:rPr>
        <w:t>2</w:t>
      </w:r>
      <w:r>
        <w:rPr>
          <w:rFonts w:ascii="Times New Roman" w:hAnsi="Times New Roman" w:cs="Times New Roman"/>
          <w:color w:val="000000" w:themeColor="text1"/>
          <w:spacing w:val="20"/>
        </w:rPr>
        <w:t>S的排放量可减少约40%。</w:t>
      </w:r>
    </w:p>
    <w:p>
      <w:pPr>
        <w:pStyle w:val="132"/>
        <w:ind w:firstLine="480"/>
        <w:rPr>
          <w:rFonts w:ascii="Times New Roman" w:hAnsi="Times New Roman" w:cs="Times New Roman"/>
          <w:color w:val="000000" w:themeColor="text1"/>
          <w:spacing w:val="20"/>
        </w:rPr>
      </w:pPr>
      <w:r>
        <w:rPr>
          <w:rFonts w:ascii="Times New Roman" w:hAnsi="Times New Roman" w:cs="Times New Roman"/>
          <w:color w:val="000000" w:themeColor="text1"/>
        </w:rPr>
        <w:t>b.本项目再通过采用喷洒</w:t>
      </w:r>
      <w:r>
        <w:rPr>
          <w:rFonts w:hint="eastAsia" w:ascii="Times New Roman" w:hAnsi="Times New Roman" w:cs="Times New Roman"/>
          <w:color w:val="000000" w:themeColor="text1"/>
        </w:rPr>
        <w:t>万洁芬生物除臭剂</w:t>
      </w:r>
      <w:r>
        <w:rPr>
          <w:rFonts w:ascii="Times New Roman" w:hAnsi="Times New Roman" w:cs="Times New Roman"/>
          <w:color w:val="000000" w:themeColor="text1"/>
        </w:rPr>
        <w:t>去除猪舍的恶臭。根据《自然科学》现代化农业，2011年第6期（总第383期）“微生物除臭剂研究进展”赵晓峰，隋文志的资料，经国家环境分析测试中心和陕西环境监测中心测试养殖场生物除臭剂（万洁芬）对NH</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和</w:t>
      </w:r>
      <w:r>
        <w:rPr>
          <w:rFonts w:ascii="Times New Roman" w:hAnsi="Times New Roman" w:cs="Times New Roman"/>
          <w:color w:val="000000" w:themeColor="text1"/>
          <w:spacing w:val="20"/>
        </w:rPr>
        <w:t>H</w:t>
      </w:r>
      <w:r>
        <w:rPr>
          <w:rFonts w:ascii="Times New Roman" w:hAnsi="Times New Roman" w:cs="Times New Roman"/>
          <w:color w:val="000000" w:themeColor="text1"/>
          <w:spacing w:val="20"/>
          <w:vertAlign w:val="subscript"/>
        </w:rPr>
        <w:t>2</w:t>
      </w:r>
      <w:r>
        <w:rPr>
          <w:rFonts w:ascii="Times New Roman" w:hAnsi="Times New Roman" w:cs="Times New Roman"/>
          <w:color w:val="000000" w:themeColor="text1"/>
          <w:spacing w:val="20"/>
        </w:rPr>
        <w:t>S的去除率分别为92.6%和89%。</w:t>
      </w:r>
    </w:p>
    <w:p>
      <w:pPr>
        <w:pStyle w:val="132"/>
        <w:ind w:firstLine="560"/>
        <w:rPr>
          <w:rFonts w:ascii="Times New Roman" w:hAnsi="Times New Roman" w:cs="Times New Roman"/>
          <w:color w:val="000000" w:themeColor="text1"/>
        </w:rPr>
      </w:pPr>
      <w:r>
        <w:rPr>
          <w:rFonts w:ascii="Times New Roman" w:hAnsi="Times New Roman" w:cs="Times New Roman"/>
          <w:color w:val="000000" w:themeColor="text1"/>
          <w:spacing w:val="20"/>
        </w:rPr>
        <w:t>本项目通过喷洒除臭剂、饲料添加活菌剂</w:t>
      </w:r>
      <w:r>
        <w:rPr>
          <w:rFonts w:hint="eastAsia" w:ascii="Times New Roman" w:hAnsi="Times New Roman" w:cs="Times New Roman"/>
          <w:color w:val="000000" w:themeColor="text1"/>
          <w:spacing w:val="20"/>
        </w:rPr>
        <w:t>两</w:t>
      </w:r>
      <w:r>
        <w:rPr>
          <w:rFonts w:ascii="Times New Roman" w:hAnsi="Times New Roman" w:cs="Times New Roman"/>
          <w:color w:val="000000" w:themeColor="text1"/>
          <w:spacing w:val="20"/>
        </w:rPr>
        <w:t>种联合除臭措施，可大大降低臭气产生量。根据</w:t>
      </w:r>
      <w:r>
        <w:rPr>
          <w:rFonts w:hint="eastAsia" w:ascii="Times New Roman" w:hAnsi="Times New Roman" w:cs="Times New Roman"/>
          <w:color w:val="000000" w:themeColor="text1"/>
          <w:spacing w:val="20"/>
        </w:rPr>
        <w:t>两种</w:t>
      </w:r>
      <w:r>
        <w:rPr>
          <w:rFonts w:ascii="Times New Roman" w:hAnsi="Times New Roman" w:cs="Times New Roman"/>
          <w:color w:val="000000" w:themeColor="text1"/>
          <w:spacing w:val="20"/>
        </w:rPr>
        <w:t>除臭方式除臭效率，本次评价综合除臭效率为：</w:t>
      </w:r>
      <w:r>
        <w:rPr>
          <w:rFonts w:ascii="Times New Roman" w:hAnsi="Times New Roman" w:cs="Times New Roman"/>
          <w:color w:val="000000" w:themeColor="text1"/>
        </w:rPr>
        <w:t>NH</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的去除率为</w:t>
      </w:r>
      <w:r>
        <w:rPr>
          <w:rFonts w:hint="eastAsia" w:ascii="Times New Roman" w:hAnsi="Times New Roman" w:cs="Times New Roman"/>
          <w:color w:val="000000" w:themeColor="text1"/>
        </w:rPr>
        <w:t>95.6</w:t>
      </w:r>
      <w:r>
        <w:rPr>
          <w:rFonts w:ascii="Times New Roman" w:hAnsi="Times New Roman" w:cs="Times New Roman"/>
          <w:color w:val="000000" w:themeColor="text1"/>
        </w:rPr>
        <w:t>%，H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S的去除率为</w:t>
      </w:r>
      <w:r>
        <w:rPr>
          <w:rFonts w:hint="eastAsia" w:ascii="Times New Roman" w:hAnsi="Times New Roman" w:cs="Times New Roman"/>
          <w:color w:val="000000" w:themeColor="text1"/>
        </w:rPr>
        <w:t>93.4</w:t>
      </w:r>
      <w:r>
        <w:rPr>
          <w:rFonts w:ascii="Times New Roman" w:hAnsi="Times New Roman" w:cs="Times New Roman"/>
          <w:color w:val="000000" w:themeColor="text1"/>
        </w:rPr>
        <w:t>%</w:t>
      </w:r>
      <w:r>
        <w:rPr>
          <w:rFonts w:ascii="Times New Roman" w:hAnsi="Times New Roman" w:cs="Times New Roman"/>
          <w:color w:val="000000" w:themeColor="text1"/>
          <w:spacing w:val="20"/>
        </w:rPr>
        <w:t>。</w:t>
      </w:r>
      <w:r>
        <w:rPr>
          <w:rFonts w:ascii="Times New Roman" w:hAnsi="Times New Roman" w:cs="Times New Roman"/>
          <w:color w:val="000000" w:themeColor="text1"/>
        </w:rPr>
        <w:t>通过除臭处理后的污染物排放量如下表所示。</w:t>
      </w:r>
    </w:p>
    <w:p>
      <w:pPr>
        <w:pStyle w:val="158"/>
        <w:spacing w:line="240" w:lineRule="auto"/>
        <w:rPr>
          <w:color w:val="000000" w:themeColor="text1"/>
          <w:sz w:val="21"/>
          <w:szCs w:val="21"/>
        </w:rPr>
      </w:pPr>
      <w:r>
        <w:rPr>
          <w:color w:val="000000" w:themeColor="text1"/>
          <w:sz w:val="21"/>
          <w:szCs w:val="21"/>
        </w:rPr>
        <w:t>表3.4-</w:t>
      </w:r>
      <w:r>
        <w:rPr>
          <w:rFonts w:hint="eastAsia"/>
          <w:color w:val="000000" w:themeColor="text1"/>
          <w:sz w:val="21"/>
          <w:szCs w:val="21"/>
        </w:rPr>
        <w:t>3</w:t>
      </w:r>
      <w:r>
        <w:rPr>
          <w:color w:val="000000" w:themeColor="text1"/>
          <w:sz w:val="21"/>
          <w:szCs w:val="21"/>
        </w:rPr>
        <w:t xml:space="preserve">  猪舍无组织排放恶臭处理后源强</w:t>
      </w:r>
    </w:p>
    <w:tbl>
      <w:tblPr>
        <w:tblStyle w:val="42"/>
        <w:tblW w:w="8528" w:type="dxa"/>
        <w:jc w:val="center"/>
        <w:tblLayout w:type="fixed"/>
        <w:tblCellMar>
          <w:top w:w="0" w:type="dxa"/>
          <w:left w:w="108" w:type="dxa"/>
          <w:bottom w:w="0" w:type="dxa"/>
          <w:right w:w="108" w:type="dxa"/>
        </w:tblCellMar>
      </w:tblPr>
      <w:tblGrid>
        <w:gridCol w:w="1207"/>
        <w:gridCol w:w="1274"/>
        <w:gridCol w:w="1275"/>
        <w:gridCol w:w="1111"/>
        <w:gridCol w:w="1275"/>
        <w:gridCol w:w="1275"/>
        <w:gridCol w:w="1111"/>
      </w:tblGrid>
      <w:tr>
        <w:tblPrEx>
          <w:tblCellMar>
            <w:top w:w="0" w:type="dxa"/>
            <w:left w:w="108" w:type="dxa"/>
            <w:bottom w:w="0" w:type="dxa"/>
            <w:right w:w="108" w:type="dxa"/>
          </w:tblCellMar>
        </w:tblPrEx>
        <w:trPr>
          <w:trHeight w:val="300" w:hRule="atLeast"/>
          <w:jc w:val="center"/>
        </w:trPr>
        <w:tc>
          <w:tcPr>
            <w:tcW w:w="1207" w:type="dxa"/>
            <w:vMerge w:val="restart"/>
            <w:tcBorders>
              <w:top w:val="single" w:color="auto" w:sz="4" w:space="0"/>
              <w:left w:val="single" w:color="auto" w:sz="4" w:space="0"/>
              <w:right w:val="single" w:color="auto" w:sz="4" w:space="0"/>
              <w:tl2br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 xml:space="preserve"> </w:t>
            </w:r>
            <w:r>
              <w:rPr>
                <w:rFonts w:ascii="Times New Roman" w:hAnsi="Times New Roman" w:cs="Times New Roman"/>
                <w:b/>
                <w:color w:val="000000" w:themeColor="text1"/>
                <w:szCs w:val="21"/>
              </w:rPr>
              <w:t>污染物</w:t>
            </w:r>
          </w:p>
          <w:p>
            <w:pPr>
              <w:pStyle w:val="100"/>
              <w:spacing w:line="240" w:lineRule="auto"/>
              <w:jc w:val="both"/>
              <w:rPr>
                <w:rFonts w:ascii="Times New Roman" w:hAnsi="Times New Roman" w:cs="Times New Roman"/>
                <w:b/>
                <w:color w:val="000000" w:themeColor="text1"/>
                <w:szCs w:val="21"/>
              </w:rPr>
            </w:pPr>
          </w:p>
          <w:p>
            <w:pPr>
              <w:pStyle w:val="100"/>
              <w:spacing w:line="240" w:lineRule="auto"/>
              <w:jc w:val="both"/>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污染源</w:t>
            </w:r>
          </w:p>
        </w:tc>
        <w:tc>
          <w:tcPr>
            <w:tcW w:w="3660" w:type="dxa"/>
            <w:gridSpan w:val="3"/>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rPr>
              <w:t>NH</w:t>
            </w:r>
            <w:r>
              <w:rPr>
                <w:rFonts w:ascii="Times New Roman" w:hAnsi="Times New Roman" w:cs="Times New Roman"/>
                <w:b/>
                <w:color w:val="000000" w:themeColor="text1"/>
                <w:vertAlign w:val="subscript"/>
              </w:rPr>
              <w:t>3</w:t>
            </w:r>
          </w:p>
        </w:tc>
        <w:tc>
          <w:tcPr>
            <w:tcW w:w="3661" w:type="dxa"/>
            <w:gridSpan w:val="3"/>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pacing w:val="20"/>
              </w:rPr>
              <w:t>H</w:t>
            </w:r>
            <w:r>
              <w:rPr>
                <w:rFonts w:ascii="Times New Roman" w:hAnsi="Times New Roman" w:cs="Times New Roman"/>
                <w:b/>
                <w:color w:val="000000" w:themeColor="text1"/>
                <w:spacing w:val="20"/>
                <w:vertAlign w:val="subscript"/>
              </w:rPr>
              <w:t>2</w:t>
            </w:r>
            <w:r>
              <w:rPr>
                <w:rFonts w:ascii="Times New Roman" w:hAnsi="Times New Roman" w:cs="Times New Roman"/>
                <w:b/>
                <w:color w:val="000000" w:themeColor="text1"/>
                <w:spacing w:val="20"/>
              </w:rPr>
              <w:t>S</w:t>
            </w:r>
          </w:p>
        </w:tc>
      </w:tr>
      <w:tr>
        <w:tblPrEx>
          <w:tblCellMar>
            <w:top w:w="0" w:type="dxa"/>
            <w:left w:w="108" w:type="dxa"/>
            <w:bottom w:w="0" w:type="dxa"/>
            <w:right w:w="108" w:type="dxa"/>
          </w:tblCellMar>
        </w:tblPrEx>
        <w:trPr>
          <w:trHeight w:val="540" w:hRule="atLeast"/>
          <w:jc w:val="center"/>
        </w:trPr>
        <w:tc>
          <w:tcPr>
            <w:tcW w:w="1207" w:type="dxa"/>
            <w:vMerge w:val="continue"/>
            <w:tcBorders>
              <w:left w:val="single" w:color="auto" w:sz="4" w:space="0"/>
              <w:bottom w:val="single" w:color="auto" w:sz="4" w:space="0"/>
              <w:right w:val="single" w:color="auto" w:sz="4" w:space="0"/>
              <w:tl2br w:val="single" w:color="auto" w:sz="4" w:space="0"/>
            </w:tcBorders>
            <w:vAlign w:val="center"/>
          </w:tcPr>
          <w:p>
            <w:pPr>
              <w:pStyle w:val="100"/>
              <w:spacing w:line="240" w:lineRule="auto"/>
              <w:rPr>
                <w:rFonts w:ascii="Times New Roman" w:hAnsi="Times New Roman" w:cs="Times New Roman"/>
                <w:b/>
                <w:color w:val="000000" w:themeColor="text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排放速率（kg/h）</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日排放量（kg/d）</w:t>
            </w:r>
          </w:p>
        </w:tc>
        <w:tc>
          <w:tcPr>
            <w:tcW w:w="1111"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年排放量（t/a）</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排放速率（kg/h）</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日排放量（kg/d）</w:t>
            </w:r>
          </w:p>
        </w:tc>
        <w:tc>
          <w:tcPr>
            <w:tcW w:w="1111"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年排放量（t/a）</w:t>
            </w:r>
          </w:p>
        </w:tc>
      </w:tr>
      <w:tr>
        <w:tblPrEx>
          <w:tblCellMar>
            <w:top w:w="0" w:type="dxa"/>
            <w:left w:w="108" w:type="dxa"/>
            <w:bottom w:w="0" w:type="dxa"/>
            <w:right w:w="108" w:type="dxa"/>
          </w:tblCellMar>
        </w:tblPrEx>
        <w:trPr>
          <w:trHeight w:val="300" w:hRule="atLeast"/>
          <w:jc w:val="center"/>
        </w:trPr>
        <w:tc>
          <w:tcPr>
            <w:tcW w:w="1207"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b/>
                <w:color w:val="000000" w:themeColor="text1"/>
              </w:rPr>
            </w:pPr>
            <w:r>
              <w:rPr>
                <w:rFonts w:ascii="Times New Roman" w:hAnsi="Times New Roman" w:cs="Times New Roman"/>
                <w:b/>
                <w:color w:val="000000" w:themeColor="text1"/>
              </w:rPr>
              <w:t>猪舍</w:t>
            </w:r>
          </w:p>
        </w:tc>
        <w:tc>
          <w:tcPr>
            <w:tcW w:w="1274"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0.036</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0.88</w:t>
            </w:r>
          </w:p>
        </w:tc>
        <w:tc>
          <w:tcPr>
            <w:tcW w:w="1111"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0.32</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0.0085</w:t>
            </w:r>
          </w:p>
        </w:tc>
        <w:tc>
          <w:tcPr>
            <w:tcW w:w="1275"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0.19</w:t>
            </w:r>
          </w:p>
        </w:tc>
        <w:tc>
          <w:tcPr>
            <w:tcW w:w="1111" w:type="dxa"/>
            <w:tcBorders>
              <w:top w:val="single" w:color="auto" w:sz="4" w:space="0"/>
              <w:left w:val="single" w:color="auto" w:sz="4" w:space="0"/>
              <w:bottom w:val="single" w:color="auto" w:sz="4" w:space="0"/>
              <w:right w:val="single" w:color="auto" w:sz="4" w:space="0"/>
            </w:tcBorders>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0.072</w:t>
            </w:r>
          </w:p>
        </w:tc>
      </w:tr>
    </w:tbl>
    <w:p>
      <w:pPr>
        <w:pStyle w:val="132"/>
        <w:ind w:firstLine="480"/>
        <w:rPr>
          <w:rFonts w:ascii="Times New Roman" w:hAnsi="Times New Roman" w:cs="Times New Roman"/>
          <w:color w:val="000000" w:themeColor="text1"/>
        </w:rPr>
      </w:pPr>
      <w:r>
        <w:rPr>
          <w:rFonts w:hint="eastAsia" w:ascii="宋体" w:hAnsi="宋体" w:cs="宋体"/>
          <w:color w:val="000000" w:themeColor="text1"/>
        </w:rPr>
        <w:t>②</w:t>
      </w:r>
      <w:r>
        <w:rPr>
          <w:rFonts w:hint="eastAsia" w:ascii="Times New Roman" w:hAnsi="Times New Roman" w:cs="Times New Roman"/>
          <w:color w:val="000000" w:themeColor="text1"/>
        </w:rPr>
        <w:t>发酵车间</w:t>
      </w:r>
      <w:r>
        <w:rPr>
          <w:rFonts w:ascii="Times New Roman" w:hAnsi="Times New Roman" w:cs="Times New Roman"/>
          <w:color w:val="000000" w:themeColor="text1"/>
        </w:rPr>
        <w:t>臭气</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项目发酵车间占地3000m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，据福建省同类型生猪标准化养殖场（江山石明畜业有限公司）资料，发酵车间NH</w:t>
      </w:r>
      <w:r>
        <w:rPr>
          <w:rFonts w:hint="eastAsia" w:ascii="Times New Roman" w:hAnsi="Times New Roman" w:cs="Times New Roman"/>
          <w:color w:val="000000" w:themeColor="text1"/>
          <w:vertAlign w:val="subscript"/>
        </w:rPr>
        <w:t>3</w:t>
      </w:r>
      <w:r>
        <w:rPr>
          <w:rFonts w:hint="eastAsia" w:ascii="Times New Roman" w:hAnsi="Times New Roman" w:cs="Times New Roman"/>
          <w:color w:val="000000" w:themeColor="text1"/>
        </w:rPr>
        <w:t>排放强度为0.5g/（m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•d）、H</w:t>
      </w:r>
      <w:r>
        <w:rPr>
          <w:rFonts w:hint="eastAsia" w:ascii="Times New Roman" w:hAnsi="Times New Roman" w:cs="Times New Roman"/>
          <w:color w:val="000000" w:themeColor="text1"/>
          <w:vertAlign w:val="subscript"/>
        </w:rPr>
        <w:t>2</w:t>
      </w:r>
      <w:r>
        <w:rPr>
          <w:rFonts w:hint="eastAsia" w:ascii="Times New Roman" w:hAnsi="Times New Roman" w:cs="Times New Roman"/>
          <w:color w:val="000000" w:themeColor="text1"/>
        </w:rPr>
        <w:t>S排放强度为0.12g/（m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•d），则发酵车间的NH</w:t>
      </w:r>
      <w:r>
        <w:rPr>
          <w:rFonts w:hint="eastAsia" w:ascii="Times New Roman" w:hAnsi="Times New Roman" w:cs="Times New Roman"/>
          <w:color w:val="000000" w:themeColor="text1"/>
          <w:vertAlign w:val="subscript"/>
        </w:rPr>
        <w:t>3</w:t>
      </w:r>
      <w:r>
        <w:rPr>
          <w:rFonts w:hint="eastAsia" w:ascii="Times New Roman" w:hAnsi="Times New Roman" w:cs="Times New Roman"/>
          <w:color w:val="000000" w:themeColor="text1"/>
        </w:rPr>
        <w:t>产生量为1.5kg/d，H</w:t>
      </w:r>
      <w:r>
        <w:rPr>
          <w:rFonts w:hint="eastAsia" w:ascii="Times New Roman" w:hAnsi="Times New Roman" w:cs="Times New Roman"/>
          <w:color w:val="000000" w:themeColor="text1"/>
          <w:vertAlign w:val="subscript"/>
        </w:rPr>
        <w:t>2</w:t>
      </w:r>
      <w:r>
        <w:rPr>
          <w:rFonts w:hint="eastAsia" w:ascii="Times New Roman" w:hAnsi="Times New Roman" w:cs="Times New Roman"/>
          <w:color w:val="000000" w:themeColor="text1"/>
        </w:rPr>
        <w:t>S的产生量为0.36kg/d。</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项目采用异位发酵床处理猪粪，随着发酵程度的推进，猪粪恶臭气体的排放强度不断下降。发酵车间采用喷洒万洁芬生物除臭剂</w:t>
      </w:r>
      <w:r>
        <w:rPr>
          <w:rFonts w:ascii="Times New Roman" w:hAnsi="Times New Roman" w:cs="Times New Roman"/>
          <w:color w:val="000000" w:themeColor="text1"/>
        </w:rPr>
        <w:t>去除</w:t>
      </w:r>
      <w:r>
        <w:rPr>
          <w:rFonts w:hint="eastAsia" w:ascii="Times New Roman" w:hAnsi="Times New Roman" w:cs="Times New Roman"/>
          <w:color w:val="000000" w:themeColor="text1"/>
        </w:rPr>
        <w:t>发酵车间</w:t>
      </w:r>
      <w:r>
        <w:rPr>
          <w:rFonts w:ascii="Times New Roman" w:hAnsi="Times New Roman" w:cs="Times New Roman"/>
          <w:color w:val="000000" w:themeColor="text1"/>
        </w:rPr>
        <w:t>的恶臭</w:t>
      </w:r>
      <w:r>
        <w:rPr>
          <w:rFonts w:hint="eastAsia" w:ascii="Times New Roman" w:hAnsi="Times New Roman" w:cs="Times New Roman"/>
          <w:color w:val="000000" w:themeColor="text1"/>
        </w:rPr>
        <w:t>，</w:t>
      </w:r>
      <w:r>
        <w:rPr>
          <w:rFonts w:ascii="Times New Roman" w:hAnsi="Times New Roman" w:cs="Times New Roman"/>
          <w:color w:val="000000" w:themeColor="text1"/>
        </w:rPr>
        <w:t>根据《自然科学》现代化农业，2011年第6期（总第383期）“微生物除臭剂研究进展”赵晓峰，隋文志的资料，经国家环境分析测试中心和陕西环境监测中心测试养殖场生物除臭剂（万洁芬）对NH</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和</w:t>
      </w:r>
      <w:r>
        <w:rPr>
          <w:rFonts w:ascii="Times New Roman" w:hAnsi="Times New Roman" w:cs="Times New Roman"/>
          <w:color w:val="000000" w:themeColor="text1"/>
          <w:spacing w:val="20"/>
        </w:rPr>
        <w:t>H</w:t>
      </w:r>
      <w:r>
        <w:rPr>
          <w:rFonts w:ascii="Times New Roman" w:hAnsi="Times New Roman" w:cs="Times New Roman"/>
          <w:color w:val="000000" w:themeColor="text1"/>
          <w:spacing w:val="20"/>
          <w:vertAlign w:val="subscript"/>
        </w:rPr>
        <w:t>2</w:t>
      </w:r>
      <w:r>
        <w:rPr>
          <w:rFonts w:ascii="Times New Roman" w:hAnsi="Times New Roman" w:cs="Times New Roman"/>
          <w:color w:val="000000" w:themeColor="text1"/>
          <w:spacing w:val="20"/>
        </w:rPr>
        <w:t>S的去除率分别为92.6%和89%。</w:t>
      </w:r>
      <w:r>
        <w:rPr>
          <w:rFonts w:hint="eastAsia" w:ascii="Times New Roman" w:hAnsi="Times New Roman" w:cs="Times New Roman"/>
          <w:color w:val="000000" w:themeColor="text1"/>
        </w:rPr>
        <w:t>则发酵车间NH</w:t>
      </w:r>
      <w:r>
        <w:rPr>
          <w:rFonts w:hint="eastAsia" w:ascii="Times New Roman" w:hAnsi="Times New Roman" w:cs="Times New Roman"/>
          <w:color w:val="000000" w:themeColor="text1"/>
          <w:vertAlign w:val="subscript"/>
        </w:rPr>
        <w:t>3</w:t>
      </w:r>
      <w:r>
        <w:rPr>
          <w:rFonts w:hint="eastAsia" w:ascii="Times New Roman" w:hAnsi="Times New Roman" w:cs="Times New Roman"/>
          <w:color w:val="000000" w:themeColor="text1"/>
        </w:rPr>
        <w:t>排放量为0.11kg/d、0.004kg/h，H</w:t>
      </w:r>
      <w:r>
        <w:rPr>
          <w:rFonts w:hint="eastAsia" w:ascii="Times New Roman" w:hAnsi="Times New Roman" w:cs="Times New Roman"/>
          <w:color w:val="000000" w:themeColor="text1"/>
          <w:vertAlign w:val="subscript"/>
        </w:rPr>
        <w:t>2</w:t>
      </w:r>
      <w:r>
        <w:rPr>
          <w:rFonts w:hint="eastAsia" w:ascii="Times New Roman" w:hAnsi="Times New Roman" w:cs="Times New Roman"/>
          <w:color w:val="000000" w:themeColor="text1"/>
        </w:rPr>
        <w:t>S排放量为0.04kg/d、0.002kg/h。</w:t>
      </w:r>
    </w:p>
    <w:p>
      <w:pPr>
        <w:pStyle w:val="132"/>
        <w:ind w:firstLine="480"/>
        <w:rPr>
          <w:rFonts w:ascii="宋体" w:hAnsi="宋体" w:cs="宋体"/>
          <w:color w:val="000000" w:themeColor="text1"/>
          <w:szCs w:val="21"/>
        </w:rPr>
      </w:pPr>
      <w:r>
        <w:rPr>
          <w:rFonts w:hint="eastAsia" w:ascii="宋体" w:hAnsi="宋体" w:cs="宋体"/>
          <w:color w:val="000000" w:themeColor="text1"/>
          <w:szCs w:val="21"/>
        </w:rPr>
        <w:t>③</w:t>
      </w:r>
      <w:r>
        <w:rPr>
          <w:rFonts w:hint="eastAsia" w:ascii="Times New Roman" w:hAnsi="Times New Roman" w:cs="Times New Roman"/>
          <w:color w:val="000000" w:themeColor="text1"/>
          <w:szCs w:val="21"/>
        </w:rPr>
        <w:t>沼气工程</w:t>
      </w:r>
      <w:r>
        <w:rPr>
          <w:rFonts w:ascii="Times New Roman" w:hAnsi="Times New Roman" w:cs="Times New Roman"/>
          <w:color w:val="000000" w:themeColor="text1"/>
          <w:szCs w:val="21"/>
        </w:rPr>
        <w:t>恶臭</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szCs w:val="21"/>
        </w:rPr>
        <w:t>污水进行厌氧发酵处理过程中会产生恶臭气体，呈无组织面源排放。</w:t>
      </w:r>
      <w:r>
        <w:rPr>
          <w:rFonts w:hint="eastAsia" w:ascii="Times New Roman" w:hAnsi="Times New Roman" w:cs="Times New Roman"/>
          <w:color w:val="000000" w:themeColor="text1"/>
          <w:szCs w:val="21"/>
        </w:rPr>
        <w:t>项目沼气设施建筑面积为180m</w:t>
      </w:r>
      <w:r>
        <w:rPr>
          <w:rFonts w:hint="eastAsia"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Cs w:val="21"/>
        </w:rPr>
        <w:t>，根据同类型生猪标准化养殖场资料，</w:t>
      </w:r>
      <w:r>
        <w:rPr>
          <w:rFonts w:hint="eastAsia" w:ascii="Times New Roman" w:hAnsi="Times New Roman" w:cs="Times New Roman"/>
          <w:color w:val="000000" w:themeColor="text1"/>
        </w:rPr>
        <w:t>沼气设施NH</w:t>
      </w:r>
      <w:r>
        <w:rPr>
          <w:rFonts w:hint="eastAsia" w:ascii="Times New Roman" w:hAnsi="Times New Roman" w:cs="Times New Roman"/>
          <w:color w:val="000000" w:themeColor="text1"/>
          <w:vertAlign w:val="subscript"/>
        </w:rPr>
        <w:t>3</w:t>
      </w:r>
      <w:r>
        <w:rPr>
          <w:rFonts w:hint="eastAsia" w:ascii="Times New Roman" w:hAnsi="Times New Roman" w:cs="Times New Roman"/>
          <w:color w:val="000000" w:themeColor="text1"/>
        </w:rPr>
        <w:t>排放强度为2.95g/（m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•d）、H</w:t>
      </w:r>
      <w:r>
        <w:rPr>
          <w:rFonts w:hint="eastAsia" w:ascii="Times New Roman" w:hAnsi="Times New Roman" w:cs="Times New Roman"/>
          <w:color w:val="000000" w:themeColor="text1"/>
          <w:vertAlign w:val="subscript"/>
        </w:rPr>
        <w:t>2</w:t>
      </w:r>
      <w:r>
        <w:rPr>
          <w:rFonts w:hint="eastAsia" w:ascii="Times New Roman" w:hAnsi="Times New Roman" w:cs="Times New Roman"/>
          <w:color w:val="000000" w:themeColor="text1"/>
        </w:rPr>
        <w:t>S排放强度为0.84g/（m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•d），则沼气设施NH</w:t>
      </w:r>
      <w:r>
        <w:rPr>
          <w:rFonts w:hint="eastAsia" w:ascii="Times New Roman" w:hAnsi="Times New Roman" w:cs="Times New Roman"/>
          <w:color w:val="000000" w:themeColor="text1"/>
          <w:vertAlign w:val="subscript"/>
        </w:rPr>
        <w:t>3</w:t>
      </w:r>
      <w:r>
        <w:rPr>
          <w:rFonts w:hint="eastAsia" w:ascii="Times New Roman" w:hAnsi="Times New Roman" w:cs="Times New Roman"/>
          <w:color w:val="000000" w:themeColor="text1"/>
        </w:rPr>
        <w:t>产生量为0.53kg/d，H</w:t>
      </w:r>
      <w:r>
        <w:rPr>
          <w:rFonts w:hint="eastAsia" w:ascii="Times New Roman" w:hAnsi="Times New Roman" w:cs="Times New Roman"/>
          <w:color w:val="000000" w:themeColor="text1"/>
          <w:vertAlign w:val="subscript"/>
        </w:rPr>
        <w:t>2</w:t>
      </w:r>
      <w:r>
        <w:rPr>
          <w:rFonts w:hint="eastAsia" w:ascii="Times New Roman" w:hAnsi="Times New Roman" w:cs="Times New Roman"/>
          <w:color w:val="000000" w:themeColor="text1"/>
        </w:rPr>
        <w:t>S的产生量为0.15kg/d。</w:t>
      </w:r>
    </w:p>
    <w:p>
      <w:pPr>
        <w:pStyle w:val="132"/>
        <w:ind w:firstLine="480"/>
        <w:rPr>
          <w:rFonts w:ascii="Times New Roman" w:hAnsi="Times New Roman" w:cs="Times New Roman"/>
          <w:color w:val="000000" w:themeColor="text1"/>
          <w:szCs w:val="21"/>
        </w:rPr>
      </w:pPr>
      <w:r>
        <w:rPr>
          <w:rFonts w:ascii="Times New Roman" w:hAnsi="Times New Roman" w:cs="Times New Roman"/>
          <w:color w:val="000000" w:themeColor="text1"/>
          <w:szCs w:val="21"/>
        </w:rPr>
        <w:t>由于采用</w:t>
      </w:r>
      <w:r>
        <w:rPr>
          <w:rFonts w:hint="eastAsia" w:ascii="Times New Roman" w:hAnsi="Times New Roman" w:cs="Times New Roman"/>
          <w:color w:val="000000" w:themeColor="text1"/>
          <w:szCs w:val="21"/>
        </w:rPr>
        <w:t>中温</w:t>
      </w:r>
      <w:r>
        <w:rPr>
          <w:rFonts w:ascii="Times New Roman" w:hAnsi="Times New Roman" w:cs="Times New Roman"/>
          <w:color w:val="000000" w:themeColor="text1"/>
          <w:szCs w:val="21"/>
        </w:rPr>
        <w:t>厌氧发酵罐，密封性较好，</w:t>
      </w:r>
      <w:r>
        <w:rPr>
          <w:rFonts w:hint="eastAsia" w:ascii="Times New Roman" w:hAnsi="Times New Roman" w:cs="Times New Roman"/>
          <w:color w:val="000000" w:themeColor="text1"/>
          <w:szCs w:val="21"/>
        </w:rPr>
        <w:t>恶臭气体排放量减少80%，则</w:t>
      </w:r>
      <w:r>
        <w:rPr>
          <w:rFonts w:hint="eastAsia" w:ascii="Times New Roman" w:hAnsi="Times New Roman" w:cs="Times New Roman"/>
          <w:color w:val="000000" w:themeColor="text1"/>
        </w:rPr>
        <w:t>沼气设施NH</w:t>
      </w:r>
      <w:r>
        <w:rPr>
          <w:rFonts w:hint="eastAsia" w:ascii="Times New Roman" w:hAnsi="Times New Roman" w:cs="Times New Roman"/>
          <w:color w:val="000000" w:themeColor="text1"/>
          <w:vertAlign w:val="subscript"/>
        </w:rPr>
        <w:t>3</w:t>
      </w:r>
      <w:r>
        <w:rPr>
          <w:rFonts w:hint="eastAsia" w:ascii="Times New Roman" w:hAnsi="Times New Roman" w:cs="Times New Roman"/>
          <w:color w:val="000000" w:themeColor="text1"/>
        </w:rPr>
        <w:t>排放量为0.11kg/d、0.004kg/h，H</w:t>
      </w:r>
      <w:r>
        <w:rPr>
          <w:rFonts w:hint="eastAsia" w:ascii="Times New Roman" w:hAnsi="Times New Roman" w:cs="Times New Roman"/>
          <w:color w:val="000000" w:themeColor="text1"/>
          <w:vertAlign w:val="subscript"/>
        </w:rPr>
        <w:t>2</w:t>
      </w:r>
      <w:r>
        <w:rPr>
          <w:rFonts w:hint="eastAsia" w:ascii="Times New Roman" w:hAnsi="Times New Roman" w:cs="Times New Roman"/>
          <w:color w:val="000000" w:themeColor="text1"/>
        </w:rPr>
        <w:t>S排放量为0.03kg/d、0.001kg/h</w:t>
      </w:r>
      <w:r>
        <w:rPr>
          <w:rFonts w:ascii="Times New Roman" w:hAnsi="Times New Roman" w:cs="Times New Roman"/>
          <w:color w:val="000000" w:themeColor="text1"/>
          <w:szCs w:val="21"/>
        </w:rPr>
        <w:t>。</w:t>
      </w:r>
    </w:p>
    <w:p>
      <w:pPr>
        <w:pStyle w:val="132"/>
        <w:ind w:firstLine="48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综上，项目无组织排放恶臭气体中</w:t>
      </w:r>
      <w:r>
        <w:rPr>
          <w:rFonts w:hint="eastAsia" w:ascii="Times New Roman" w:hAnsi="Times New Roman" w:cs="Times New Roman"/>
          <w:color w:val="000000" w:themeColor="text1"/>
        </w:rPr>
        <w:t>NH</w:t>
      </w:r>
      <w:r>
        <w:rPr>
          <w:rFonts w:hint="eastAsia" w:ascii="Times New Roman" w:hAnsi="Times New Roman" w:cs="Times New Roman"/>
          <w:color w:val="000000" w:themeColor="text1"/>
          <w:vertAlign w:val="subscript"/>
        </w:rPr>
        <w:t>3</w:t>
      </w:r>
      <w:r>
        <w:rPr>
          <w:rFonts w:hint="eastAsia" w:ascii="Times New Roman" w:hAnsi="Times New Roman" w:cs="Times New Roman"/>
          <w:color w:val="000000" w:themeColor="text1"/>
        </w:rPr>
        <w:t>排放量为1.06kg/d、0.043kg/h，H</w:t>
      </w:r>
      <w:r>
        <w:rPr>
          <w:rFonts w:hint="eastAsia" w:ascii="Times New Roman" w:hAnsi="Times New Roman" w:cs="Times New Roman"/>
          <w:color w:val="000000" w:themeColor="text1"/>
          <w:vertAlign w:val="subscript"/>
        </w:rPr>
        <w:t>2</w:t>
      </w:r>
      <w:r>
        <w:rPr>
          <w:rFonts w:hint="eastAsia" w:ascii="Times New Roman" w:hAnsi="Times New Roman" w:cs="Times New Roman"/>
          <w:color w:val="000000" w:themeColor="text1"/>
        </w:rPr>
        <w:t>S排放量为0.24kg/d、0.0105kg/h</w:t>
      </w:r>
      <w:r>
        <w:rPr>
          <w:rFonts w:ascii="Times New Roman" w:hAnsi="Times New Roman" w:cs="Times New Roman"/>
          <w:color w:val="000000" w:themeColor="text1"/>
          <w:szCs w:val="2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（2）沼气</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项目中温厌氧发酵会产生沼气。</w:t>
      </w:r>
      <w:r>
        <w:rPr>
          <w:rFonts w:ascii="Times New Roman" w:hAnsi="Times New Roman" w:cs="Times New Roman"/>
          <w:color w:val="000000" w:themeColor="text1"/>
        </w:rPr>
        <w:t>根据水量平衡，项目运营期排入</w:t>
      </w:r>
      <w:r>
        <w:rPr>
          <w:rFonts w:hint="eastAsia" w:ascii="Times New Roman" w:hAnsi="Times New Roman" w:cs="Times New Roman"/>
          <w:color w:val="000000" w:themeColor="text1"/>
        </w:rPr>
        <w:t>厌氧</w:t>
      </w:r>
      <w:r>
        <w:rPr>
          <w:rFonts w:ascii="Times New Roman" w:hAnsi="Times New Roman" w:cs="Times New Roman"/>
          <w:color w:val="000000" w:themeColor="text1"/>
        </w:rPr>
        <w:t>装置污水量为</w:t>
      </w:r>
      <w:r>
        <w:rPr>
          <w:rFonts w:hint="eastAsia" w:ascii="Times New Roman" w:hAnsi="Times New Roman" w:cs="Times New Roman"/>
          <w:color w:val="000000" w:themeColor="text1"/>
        </w:rPr>
        <w:t>12455.8</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/a</w:t>
      </w:r>
      <w:r>
        <w:rPr>
          <w:rFonts w:hint="eastAsia" w:ascii="Times New Roman" w:hAnsi="Times New Roman" w:cs="Times New Roman"/>
          <w:color w:val="000000" w:themeColor="text1"/>
        </w:rPr>
        <w:t>。根据相关文献，中温厌氧消化COD去除率为70%，则项目</w:t>
      </w:r>
      <w:r>
        <w:rPr>
          <w:rFonts w:ascii="Times New Roman" w:hAnsi="Times New Roman" w:cs="Times New Roman"/>
          <w:color w:val="000000" w:themeColor="text1"/>
        </w:rPr>
        <w:t>污水</w:t>
      </w:r>
      <w:r>
        <w:rPr>
          <w:rFonts w:hint="eastAsia" w:ascii="Times New Roman" w:hAnsi="Times New Roman" w:cs="Times New Roman"/>
          <w:color w:val="000000" w:themeColor="text1"/>
        </w:rPr>
        <w:t>中</w:t>
      </w:r>
      <w:r>
        <w:rPr>
          <w:rFonts w:ascii="Times New Roman" w:hAnsi="Times New Roman" w:cs="Times New Roman"/>
          <w:color w:val="000000" w:themeColor="text1"/>
        </w:rPr>
        <w:t>COD去除</w:t>
      </w:r>
      <w:r>
        <w:rPr>
          <w:rFonts w:hint="eastAsia" w:ascii="Times New Roman" w:hAnsi="Times New Roman" w:cs="Times New Roman"/>
          <w:color w:val="000000" w:themeColor="text1"/>
        </w:rPr>
        <w:t>量为22.27</w:t>
      </w:r>
      <w:r>
        <w:rPr>
          <w:rFonts w:ascii="Times New Roman" w:hAnsi="Times New Roman" w:cs="Times New Roman"/>
          <w:color w:val="000000" w:themeColor="text1"/>
        </w:rPr>
        <w:t>t/a。根据《规模化畜禽养殖场沼气设计规范》沼气产率按0.35m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/去除1kgCOD计，则本项目产生沼气</w:t>
      </w:r>
      <w:r>
        <w:rPr>
          <w:rFonts w:hint="eastAsia" w:ascii="Times New Roman" w:hAnsi="Times New Roman" w:cs="Times New Roman"/>
          <w:color w:val="000000" w:themeColor="text1"/>
        </w:rPr>
        <w:t>21.35</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/d、</w:t>
      </w:r>
      <w:r>
        <w:rPr>
          <w:rFonts w:hint="eastAsia" w:ascii="Times New Roman" w:hAnsi="Times New Roman" w:cs="Times New Roman"/>
          <w:color w:val="000000" w:themeColor="text1"/>
        </w:rPr>
        <w:t>7794.5</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/a。未经处理的沼气成分见表3.4-</w:t>
      </w:r>
      <w:r>
        <w:rPr>
          <w:rFonts w:hint="eastAsia" w:ascii="Times New Roman" w:hAnsi="Times New Roman" w:cs="Times New Roman"/>
          <w:color w:val="000000" w:themeColor="text1"/>
        </w:rPr>
        <w:t>5</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p>
    <w:p>
      <w:pPr>
        <w:snapToGrid w:val="0"/>
        <w:spacing w:line="240" w:lineRule="auto"/>
        <w:ind w:firstLine="211" w:firstLineChars="100"/>
        <w:jc w:val="center"/>
        <w:rPr>
          <w:color w:val="000000" w:themeColor="text1"/>
          <w:szCs w:val="21"/>
        </w:rPr>
      </w:pPr>
      <w:r>
        <w:rPr>
          <w:b/>
          <w:color w:val="000000" w:themeColor="text1"/>
          <w:szCs w:val="21"/>
        </w:rPr>
        <w:t>表3.4-</w:t>
      </w:r>
      <w:r>
        <w:rPr>
          <w:rFonts w:hint="eastAsia"/>
          <w:b/>
          <w:color w:val="000000" w:themeColor="text1"/>
          <w:szCs w:val="21"/>
        </w:rPr>
        <w:t xml:space="preserve">5  </w:t>
      </w:r>
      <w:r>
        <w:rPr>
          <w:b/>
          <w:color w:val="000000" w:themeColor="text1"/>
          <w:szCs w:val="21"/>
        </w:rPr>
        <w:t>未经处理的沼气主要成分分析一览表</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276"/>
        <w:gridCol w:w="1416"/>
        <w:gridCol w:w="1133"/>
        <w:gridCol w:w="1416"/>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2" w:type="dxa"/>
            <w:shd w:val="clear" w:color="auto" w:fill="auto"/>
            <w:vAlign w:val="center"/>
          </w:tcPr>
          <w:p>
            <w:pPr>
              <w:adjustRightInd w:val="0"/>
              <w:snapToGrid w:val="0"/>
              <w:spacing w:line="240" w:lineRule="auto"/>
              <w:jc w:val="center"/>
              <w:rPr>
                <w:b/>
                <w:bCs/>
                <w:color w:val="000000" w:themeColor="text1"/>
                <w:szCs w:val="21"/>
              </w:rPr>
            </w:pPr>
            <w:r>
              <w:rPr>
                <w:b/>
                <w:bCs/>
                <w:color w:val="000000" w:themeColor="text1"/>
                <w:szCs w:val="21"/>
              </w:rPr>
              <w:t>项目</w:t>
            </w:r>
          </w:p>
        </w:tc>
        <w:tc>
          <w:tcPr>
            <w:tcW w:w="1276" w:type="dxa"/>
            <w:shd w:val="clear" w:color="auto" w:fill="auto"/>
            <w:vAlign w:val="center"/>
          </w:tcPr>
          <w:p>
            <w:pPr>
              <w:adjustRightInd w:val="0"/>
              <w:snapToGrid w:val="0"/>
              <w:spacing w:line="240" w:lineRule="auto"/>
              <w:jc w:val="center"/>
              <w:rPr>
                <w:b/>
                <w:bCs/>
                <w:color w:val="000000" w:themeColor="text1"/>
                <w:szCs w:val="21"/>
              </w:rPr>
            </w:pPr>
            <w:r>
              <w:rPr>
                <w:b/>
                <w:bCs/>
                <w:color w:val="000000" w:themeColor="text1"/>
                <w:szCs w:val="21"/>
              </w:rPr>
              <w:t>CH</w:t>
            </w:r>
            <w:r>
              <w:rPr>
                <w:b/>
                <w:bCs/>
                <w:color w:val="000000" w:themeColor="text1"/>
                <w:szCs w:val="21"/>
                <w:vertAlign w:val="subscript"/>
              </w:rPr>
              <w:t>4</w:t>
            </w:r>
          </w:p>
        </w:tc>
        <w:tc>
          <w:tcPr>
            <w:tcW w:w="1416" w:type="dxa"/>
            <w:shd w:val="clear" w:color="auto" w:fill="auto"/>
            <w:vAlign w:val="center"/>
          </w:tcPr>
          <w:p>
            <w:pPr>
              <w:adjustRightInd w:val="0"/>
              <w:snapToGrid w:val="0"/>
              <w:spacing w:line="240" w:lineRule="auto"/>
              <w:jc w:val="center"/>
              <w:rPr>
                <w:b/>
                <w:bCs/>
                <w:color w:val="000000" w:themeColor="text1"/>
                <w:szCs w:val="21"/>
                <w:vertAlign w:val="subscript"/>
              </w:rPr>
            </w:pPr>
            <w:r>
              <w:rPr>
                <w:b/>
                <w:bCs/>
                <w:color w:val="000000" w:themeColor="text1"/>
                <w:szCs w:val="21"/>
              </w:rPr>
              <w:t>CO</w:t>
            </w:r>
            <w:r>
              <w:rPr>
                <w:b/>
                <w:bCs/>
                <w:color w:val="000000" w:themeColor="text1"/>
                <w:szCs w:val="21"/>
                <w:vertAlign w:val="subscript"/>
              </w:rPr>
              <w:t>2</w:t>
            </w:r>
          </w:p>
        </w:tc>
        <w:tc>
          <w:tcPr>
            <w:tcW w:w="1133" w:type="dxa"/>
            <w:shd w:val="clear" w:color="auto" w:fill="auto"/>
            <w:vAlign w:val="center"/>
          </w:tcPr>
          <w:p>
            <w:pPr>
              <w:adjustRightInd w:val="0"/>
              <w:snapToGrid w:val="0"/>
              <w:spacing w:line="240" w:lineRule="auto"/>
              <w:jc w:val="center"/>
              <w:rPr>
                <w:b/>
                <w:bCs/>
                <w:color w:val="000000" w:themeColor="text1"/>
                <w:szCs w:val="21"/>
                <w:vertAlign w:val="subscript"/>
              </w:rPr>
            </w:pPr>
            <w:r>
              <w:rPr>
                <w:b/>
                <w:bCs/>
                <w:color w:val="000000" w:themeColor="text1"/>
                <w:szCs w:val="21"/>
              </w:rPr>
              <w:t>N</w:t>
            </w:r>
            <w:r>
              <w:rPr>
                <w:b/>
                <w:bCs/>
                <w:color w:val="000000" w:themeColor="text1"/>
                <w:szCs w:val="21"/>
                <w:vertAlign w:val="subscript"/>
              </w:rPr>
              <w:t>2</w:t>
            </w:r>
          </w:p>
        </w:tc>
        <w:tc>
          <w:tcPr>
            <w:tcW w:w="1416" w:type="dxa"/>
            <w:shd w:val="clear" w:color="auto" w:fill="auto"/>
            <w:vAlign w:val="center"/>
          </w:tcPr>
          <w:p>
            <w:pPr>
              <w:adjustRightInd w:val="0"/>
              <w:snapToGrid w:val="0"/>
              <w:spacing w:line="240" w:lineRule="auto"/>
              <w:jc w:val="center"/>
              <w:rPr>
                <w:b/>
                <w:bCs/>
                <w:color w:val="000000" w:themeColor="text1"/>
                <w:szCs w:val="21"/>
              </w:rPr>
            </w:pPr>
            <w:r>
              <w:rPr>
                <w:b/>
                <w:bCs/>
                <w:color w:val="000000" w:themeColor="text1"/>
                <w:szCs w:val="21"/>
              </w:rPr>
              <w:t>硫化物</w:t>
            </w:r>
          </w:p>
        </w:tc>
        <w:tc>
          <w:tcPr>
            <w:tcW w:w="1615" w:type="dxa"/>
            <w:shd w:val="clear" w:color="auto" w:fill="auto"/>
            <w:vAlign w:val="center"/>
          </w:tcPr>
          <w:p>
            <w:pPr>
              <w:adjustRightInd w:val="0"/>
              <w:snapToGrid w:val="0"/>
              <w:spacing w:line="240" w:lineRule="auto"/>
              <w:jc w:val="center"/>
              <w:rPr>
                <w:b/>
                <w:bCs/>
                <w:color w:val="000000" w:themeColor="text1"/>
                <w:szCs w:val="21"/>
                <w:vertAlign w:val="subscript"/>
              </w:rPr>
            </w:pPr>
            <w:r>
              <w:rPr>
                <w:b/>
                <w:bCs/>
                <w:color w:val="000000" w:themeColor="text1"/>
                <w:szCs w:val="21"/>
              </w:rPr>
              <w:t>H</w:t>
            </w:r>
            <w:r>
              <w:rPr>
                <w:b/>
                <w:bCs/>
                <w:color w:val="000000" w:themeColor="text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2" w:type="dxa"/>
            <w:shd w:val="clear" w:color="auto" w:fill="auto"/>
            <w:vAlign w:val="center"/>
          </w:tcPr>
          <w:p>
            <w:pPr>
              <w:adjustRightInd w:val="0"/>
              <w:snapToGrid w:val="0"/>
              <w:spacing w:line="240" w:lineRule="auto"/>
              <w:jc w:val="center"/>
              <w:rPr>
                <w:color w:val="000000" w:themeColor="text1"/>
                <w:szCs w:val="21"/>
              </w:rPr>
            </w:pPr>
            <w:r>
              <w:rPr>
                <w:color w:val="000000" w:themeColor="text1"/>
                <w:szCs w:val="21"/>
              </w:rPr>
              <w:t>体积分数%</w:t>
            </w:r>
          </w:p>
        </w:tc>
        <w:tc>
          <w:tcPr>
            <w:tcW w:w="1276" w:type="dxa"/>
            <w:shd w:val="clear" w:color="auto" w:fill="auto"/>
            <w:vAlign w:val="center"/>
          </w:tcPr>
          <w:p>
            <w:pPr>
              <w:adjustRightInd w:val="0"/>
              <w:snapToGrid w:val="0"/>
              <w:spacing w:line="240" w:lineRule="auto"/>
              <w:jc w:val="center"/>
              <w:rPr>
                <w:color w:val="000000" w:themeColor="text1"/>
                <w:szCs w:val="21"/>
              </w:rPr>
            </w:pPr>
            <w:r>
              <w:rPr>
                <w:color w:val="000000" w:themeColor="text1"/>
                <w:szCs w:val="21"/>
              </w:rPr>
              <w:t>50%~80%</w:t>
            </w:r>
          </w:p>
        </w:tc>
        <w:tc>
          <w:tcPr>
            <w:tcW w:w="1416" w:type="dxa"/>
            <w:shd w:val="clear" w:color="auto" w:fill="auto"/>
            <w:vAlign w:val="center"/>
          </w:tcPr>
          <w:p>
            <w:pPr>
              <w:adjustRightInd w:val="0"/>
              <w:snapToGrid w:val="0"/>
              <w:spacing w:line="240" w:lineRule="auto"/>
              <w:jc w:val="center"/>
              <w:rPr>
                <w:color w:val="000000" w:themeColor="text1"/>
                <w:szCs w:val="21"/>
              </w:rPr>
            </w:pPr>
            <w:r>
              <w:rPr>
                <w:color w:val="000000" w:themeColor="text1"/>
                <w:szCs w:val="21"/>
              </w:rPr>
              <w:t>20%~40%</w:t>
            </w:r>
          </w:p>
        </w:tc>
        <w:tc>
          <w:tcPr>
            <w:tcW w:w="1133" w:type="dxa"/>
            <w:shd w:val="clear" w:color="auto" w:fill="auto"/>
            <w:vAlign w:val="center"/>
          </w:tcPr>
          <w:p>
            <w:pPr>
              <w:adjustRightInd w:val="0"/>
              <w:snapToGrid w:val="0"/>
              <w:spacing w:line="240" w:lineRule="auto"/>
              <w:jc w:val="center"/>
              <w:rPr>
                <w:color w:val="000000" w:themeColor="text1"/>
                <w:szCs w:val="21"/>
              </w:rPr>
            </w:pPr>
            <w:r>
              <w:rPr>
                <w:color w:val="000000" w:themeColor="text1"/>
                <w:szCs w:val="21"/>
              </w:rPr>
              <w:t>＜5%</w:t>
            </w:r>
          </w:p>
        </w:tc>
        <w:tc>
          <w:tcPr>
            <w:tcW w:w="1416" w:type="dxa"/>
            <w:shd w:val="clear" w:color="auto" w:fill="auto"/>
            <w:vAlign w:val="center"/>
          </w:tcPr>
          <w:p>
            <w:pPr>
              <w:adjustRightInd w:val="0"/>
              <w:snapToGrid w:val="0"/>
              <w:spacing w:line="240" w:lineRule="auto"/>
              <w:jc w:val="center"/>
              <w:rPr>
                <w:color w:val="000000" w:themeColor="text1"/>
                <w:szCs w:val="21"/>
              </w:rPr>
            </w:pPr>
            <w:r>
              <w:rPr>
                <w:color w:val="000000" w:themeColor="text1"/>
                <w:szCs w:val="21"/>
              </w:rPr>
              <w:t>＜1%</w:t>
            </w:r>
          </w:p>
        </w:tc>
        <w:tc>
          <w:tcPr>
            <w:tcW w:w="1615" w:type="dxa"/>
            <w:shd w:val="clear" w:color="auto" w:fill="auto"/>
            <w:vAlign w:val="center"/>
          </w:tcPr>
          <w:p>
            <w:pPr>
              <w:adjustRightInd w:val="0"/>
              <w:snapToGrid w:val="0"/>
              <w:spacing w:line="240" w:lineRule="auto"/>
              <w:jc w:val="center"/>
              <w:rPr>
                <w:color w:val="000000" w:themeColor="text1"/>
                <w:szCs w:val="21"/>
              </w:rPr>
            </w:pPr>
            <w:r>
              <w:rPr>
                <w:color w:val="000000" w:themeColor="text1"/>
                <w:szCs w:val="21"/>
              </w:rPr>
              <w:t>＜0.1%~0.6%</w:t>
            </w:r>
          </w:p>
        </w:tc>
      </w:tr>
    </w:tbl>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由于原沼气含硫化物量较大，且以H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为主，易形成酸腐蚀管路。因此，《规模化畜禽养殖场沼气设计规范》要求（NY/T1222-2006），在进入沼气储罐前必须脱硫。项目配套设置有沼气净化装置，采用脱水脱硫罐净化沼气，具体处理工艺为：沼气池沼气→</w:t>
      </w:r>
      <w:r>
        <w:rPr>
          <w:rFonts w:hint="eastAsia" w:ascii="Times New Roman" w:hAnsi="Times New Roman" w:cs="Times New Roman"/>
          <w:color w:val="000000" w:themeColor="text1"/>
        </w:rPr>
        <w:t>气水分离</w:t>
      </w:r>
      <w:r>
        <w:rPr>
          <w:rFonts w:ascii="Times New Roman" w:hAnsi="Times New Roman" w:cs="Times New Roman"/>
          <w:color w:val="000000" w:themeColor="text1"/>
        </w:rPr>
        <w:t>→干法脱硫→沼气储气柜→</w:t>
      </w:r>
      <w:r>
        <w:rPr>
          <w:rFonts w:hint="eastAsia" w:ascii="Times New Roman" w:hAnsi="Times New Roman" w:cs="Times New Roman"/>
          <w:color w:val="000000" w:themeColor="text1"/>
        </w:rPr>
        <w:t>发电机</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沼气干法脱硫最常用的方法为常温氧化铁脱硫，根据《常温氧化铁脱硫剂在沼气脱硫中的应用》（山西省汾阳催化剂厂霍保根、田凤军），常温氧化铁脱硫剂硫容可达30%~40%以上，脱硫效率均在99%以上。根据沼气成分表，100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沼气中，H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S约占0.1~0.6m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（151.8~910.7g），经过脱硫后H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S浓度可降低至20mg/m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以下。</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本项目沼气产生量为</w:t>
      </w:r>
      <w:r>
        <w:rPr>
          <w:rFonts w:hint="eastAsia" w:ascii="Times New Roman" w:hAnsi="Times New Roman" w:cs="Times New Roman"/>
          <w:color w:val="000000" w:themeColor="text1"/>
        </w:rPr>
        <w:t>21.35</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/d，项目设有</w:t>
      </w:r>
      <w:r>
        <w:rPr>
          <w:rFonts w:hint="eastAsia" w:ascii="Times New Roman" w:hAnsi="Times New Roman" w:cs="Times New Roman"/>
          <w:color w:val="000000" w:themeColor="text1"/>
        </w:rPr>
        <w:t>3</w:t>
      </w:r>
      <w:r>
        <w:rPr>
          <w:rFonts w:ascii="Times New Roman" w:hAnsi="Times New Roman" w:cs="Times New Roman"/>
          <w:color w:val="000000" w:themeColor="text1"/>
        </w:rPr>
        <w:t>00m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沼气储气柜对沼气进行储存，沼气用作</w:t>
      </w:r>
      <w:r>
        <w:rPr>
          <w:rFonts w:hint="eastAsia" w:ascii="Times New Roman" w:hAnsi="Times New Roman" w:cs="Times New Roman"/>
          <w:color w:val="000000" w:themeColor="text1"/>
        </w:rPr>
        <w:t>发电</w:t>
      </w:r>
      <w:r>
        <w:rPr>
          <w:rFonts w:ascii="Times New Roman" w:hAnsi="Times New Roman" w:cs="Times New Roman"/>
          <w:color w:val="000000" w:themeColor="text1"/>
        </w:rPr>
        <w:t>。经脱硫后的沼气</w:t>
      </w:r>
      <w:r>
        <w:rPr>
          <w:rFonts w:hint="eastAsia" w:ascii="Times New Roman" w:hAnsi="Times New Roman" w:cs="Times New Roman"/>
          <w:color w:val="000000" w:themeColor="text1"/>
        </w:rPr>
        <w:t>发电</w:t>
      </w:r>
      <w:r>
        <w:rPr>
          <w:rFonts w:ascii="Times New Roman" w:hAnsi="Times New Roman" w:cs="Times New Roman"/>
          <w:color w:val="000000" w:themeColor="text1"/>
        </w:rPr>
        <w:t>燃烧后排放的尾气污染物主要是</w:t>
      </w:r>
      <w:bookmarkStart w:id="276" w:name="OLE_LINK4"/>
      <w:r>
        <w:rPr>
          <w:rFonts w:ascii="Times New Roman" w:hAnsi="Times New Roman" w:cs="Times New Roman"/>
          <w:color w:val="000000" w:themeColor="text1"/>
        </w:rPr>
        <w:t>NOx、SO</w:t>
      </w:r>
      <w:r>
        <w:rPr>
          <w:rFonts w:ascii="Times New Roman" w:hAnsi="Times New Roman" w:cs="Times New Roman"/>
          <w:color w:val="000000" w:themeColor="text1"/>
          <w:vertAlign w:val="subscript"/>
        </w:rPr>
        <w:t>2</w:t>
      </w:r>
      <w:bookmarkEnd w:id="276"/>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①沼气发电尾量估算</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根据《环境保护实用数据手册》，每燃烧1m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沼气产生废气10.5m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（空气过剩量按1计算），即项目沼气发电机废气产生量为81824m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/a。</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②发电废气污染物源强</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本项目沼气量为81824m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/a。1m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沼气中</w:t>
      </w:r>
      <w:r>
        <w:rPr>
          <w:rFonts w:ascii="Times New Roman" w:hAnsi="Times New Roman" w:cs="Times New Roman"/>
          <w:color w:val="000000" w:themeColor="text1"/>
        </w:rPr>
        <w:t>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S浓度</w:t>
      </w:r>
      <w:r>
        <w:rPr>
          <w:rFonts w:hint="eastAsia" w:ascii="Times New Roman" w:hAnsi="Times New Roman" w:cs="Times New Roman"/>
          <w:color w:val="000000" w:themeColor="text1"/>
        </w:rPr>
        <w:t>按照</w:t>
      </w:r>
      <w:r>
        <w:rPr>
          <w:rFonts w:ascii="Times New Roman" w:hAnsi="Times New Roman" w:cs="Times New Roman"/>
          <w:color w:val="000000" w:themeColor="text1"/>
        </w:rPr>
        <w:t>20mg/m</w:t>
      </w:r>
      <w:r>
        <w:rPr>
          <w:rFonts w:ascii="Times New Roman" w:hAnsi="Times New Roman" w:cs="Times New Roman"/>
          <w:color w:val="000000" w:themeColor="text1"/>
          <w:vertAlign w:val="superscript"/>
        </w:rPr>
        <w:t>3</w:t>
      </w:r>
      <w:r>
        <w:rPr>
          <w:rFonts w:hint="eastAsia" w:ascii="Times New Roman" w:hAnsi="Times New Roman" w:cs="Times New Roman"/>
          <w:color w:val="000000" w:themeColor="text1"/>
        </w:rPr>
        <w:t>计算，全部转化为SO</w:t>
      </w:r>
      <w:r>
        <w:rPr>
          <w:rFonts w:hint="eastAsia" w:ascii="Times New Roman" w:hAnsi="Times New Roman" w:cs="Times New Roman"/>
          <w:color w:val="000000" w:themeColor="text1"/>
          <w:vertAlign w:val="subscript"/>
        </w:rPr>
        <w:t>2</w:t>
      </w:r>
      <w:r>
        <w:rPr>
          <w:rFonts w:hint="eastAsia" w:ascii="Times New Roman" w:hAnsi="Times New Roman" w:cs="Times New Roman"/>
          <w:color w:val="000000" w:themeColor="text1"/>
        </w:rPr>
        <w:t>量为37.6</w:t>
      </w:r>
      <w:r>
        <w:rPr>
          <w:rFonts w:ascii="Times New Roman" w:hAnsi="Times New Roman" w:cs="Times New Roman"/>
          <w:color w:val="000000" w:themeColor="text1"/>
        </w:rPr>
        <w:t>mg</w:t>
      </w:r>
      <w:r>
        <w:rPr>
          <w:rFonts w:hint="eastAsia"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根据《环境保护实用数手册》中各种燃料烧时产生污染物系数：沼气燃烧时NO</w:t>
      </w:r>
      <w:r>
        <w:rPr>
          <w:rFonts w:hint="eastAsia" w:ascii="Times New Roman" w:hAnsi="Times New Roman" w:cs="Times New Roman"/>
          <w:color w:val="000000" w:themeColor="text1"/>
          <w:vertAlign w:val="subscript"/>
        </w:rPr>
        <w:t>X</w:t>
      </w:r>
      <w:r>
        <w:rPr>
          <w:rFonts w:hint="eastAsia" w:ascii="Times New Roman" w:hAnsi="Times New Roman" w:cs="Times New Roman"/>
          <w:color w:val="000000" w:themeColor="text1"/>
        </w:rPr>
        <w:t>产生量为1.0kg/万m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沼气。</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项目沼气发电机功率为100kW，沼气平均消耗量为39.5m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/h，则本项目沼气发电机组的污染产生排放情况如表。</w:t>
      </w:r>
    </w:p>
    <w:p>
      <w:pPr>
        <w:snapToGrid w:val="0"/>
        <w:spacing w:line="240" w:lineRule="auto"/>
        <w:ind w:firstLine="211" w:firstLineChars="100"/>
        <w:jc w:val="center"/>
        <w:rPr>
          <w:color w:val="000000" w:themeColor="text1"/>
          <w:szCs w:val="21"/>
        </w:rPr>
      </w:pPr>
      <w:r>
        <w:rPr>
          <w:b/>
          <w:color w:val="000000" w:themeColor="text1"/>
          <w:szCs w:val="21"/>
        </w:rPr>
        <w:t>表3.4-</w:t>
      </w:r>
      <w:r>
        <w:rPr>
          <w:rFonts w:hint="eastAsia"/>
          <w:b/>
          <w:color w:val="000000" w:themeColor="text1"/>
          <w:szCs w:val="21"/>
        </w:rPr>
        <w:t>6  沼气发电机组的污染产排情况表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417"/>
        <w:gridCol w:w="1985"/>
        <w:gridCol w:w="1700"/>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Merge w:val="restart"/>
            <w:shd w:val="clear" w:color="auto" w:fill="auto"/>
            <w:vAlign w:val="center"/>
          </w:tcPr>
          <w:p>
            <w:pPr>
              <w:adjustRightInd w:val="0"/>
              <w:snapToGrid w:val="0"/>
              <w:spacing w:line="240" w:lineRule="auto"/>
              <w:jc w:val="center"/>
              <w:rPr>
                <w:b/>
                <w:bCs/>
                <w:color w:val="000000" w:themeColor="text1"/>
                <w:szCs w:val="21"/>
              </w:rPr>
            </w:pPr>
            <w:r>
              <w:rPr>
                <w:b/>
                <w:bCs/>
                <w:color w:val="000000" w:themeColor="text1"/>
                <w:szCs w:val="21"/>
              </w:rPr>
              <w:t>废气量</w:t>
            </w:r>
          </w:p>
        </w:tc>
        <w:tc>
          <w:tcPr>
            <w:tcW w:w="831" w:type="pct"/>
            <w:vMerge w:val="restart"/>
            <w:shd w:val="clear" w:color="auto" w:fill="auto"/>
            <w:vAlign w:val="center"/>
          </w:tcPr>
          <w:p>
            <w:pPr>
              <w:adjustRightInd w:val="0"/>
              <w:snapToGrid w:val="0"/>
              <w:spacing w:line="240" w:lineRule="auto"/>
              <w:jc w:val="center"/>
              <w:rPr>
                <w:b/>
                <w:bCs/>
                <w:color w:val="000000" w:themeColor="text1"/>
                <w:szCs w:val="21"/>
              </w:rPr>
            </w:pPr>
            <w:r>
              <w:rPr>
                <w:b/>
                <w:bCs/>
                <w:color w:val="000000" w:themeColor="text1"/>
                <w:szCs w:val="21"/>
              </w:rPr>
              <w:t>污染物</w:t>
            </w:r>
          </w:p>
        </w:tc>
        <w:tc>
          <w:tcPr>
            <w:tcW w:w="3191" w:type="pct"/>
            <w:gridSpan w:val="3"/>
            <w:shd w:val="clear" w:color="auto" w:fill="auto"/>
            <w:vAlign w:val="center"/>
          </w:tcPr>
          <w:p>
            <w:pPr>
              <w:adjustRightInd w:val="0"/>
              <w:snapToGrid w:val="0"/>
              <w:spacing w:line="240" w:lineRule="auto"/>
              <w:jc w:val="center"/>
              <w:rPr>
                <w:b/>
                <w:bCs/>
                <w:color w:val="000000" w:themeColor="text1"/>
                <w:szCs w:val="21"/>
              </w:rPr>
            </w:pPr>
            <w:r>
              <w:rPr>
                <w:rFonts w:hint="eastAsia"/>
                <w:b/>
                <w:bCs/>
                <w:color w:val="000000" w:themeColor="text1"/>
                <w:szCs w:val="21"/>
              </w:rPr>
              <w:t>污染物产生情况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9" w:type="pct"/>
            <w:vMerge w:val="continue"/>
            <w:shd w:val="clear" w:color="auto" w:fill="auto"/>
            <w:vAlign w:val="center"/>
          </w:tcPr>
          <w:p>
            <w:pPr>
              <w:adjustRightInd w:val="0"/>
              <w:snapToGrid w:val="0"/>
              <w:spacing w:line="240" w:lineRule="auto"/>
              <w:jc w:val="center"/>
              <w:rPr>
                <w:color w:val="000000" w:themeColor="text1"/>
                <w:szCs w:val="21"/>
              </w:rPr>
            </w:pPr>
          </w:p>
        </w:tc>
        <w:tc>
          <w:tcPr>
            <w:tcW w:w="831" w:type="pct"/>
            <w:vMerge w:val="continue"/>
            <w:shd w:val="clear" w:color="auto" w:fill="auto"/>
            <w:vAlign w:val="center"/>
          </w:tcPr>
          <w:p>
            <w:pPr>
              <w:adjustRightInd w:val="0"/>
              <w:snapToGrid w:val="0"/>
              <w:spacing w:line="240" w:lineRule="auto"/>
              <w:jc w:val="center"/>
              <w:rPr>
                <w:color w:val="000000" w:themeColor="text1"/>
                <w:szCs w:val="21"/>
              </w:rPr>
            </w:pPr>
          </w:p>
        </w:tc>
        <w:tc>
          <w:tcPr>
            <w:tcW w:w="1164" w:type="pct"/>
            <w:shd w:val="clear" w:color="auto" w:fill="auto"/>
            <w:vAlign w:val="center"/>
          </w:tcPr>
          <w:p>
            <w:pPr>
              <w:adjustRightInd w:val="0"/>
              <w:snapToGrid w:val="0"/>
              <w:spacing w:line="240" w:lineRule="auto"/>
              <w:jc w:val="center"/>
              <w:rPr>
                <w:b/>
                <w:color w:val="000000" w:themeColor="text1"/>
                <w:szCs w:val="21"/>
              </w:rPr>
            </w:pPr>
            <w:r>
              <w:rPr>
                <w:rFonts w:hint="eastAsia"/>
                <w:b/>
                <w:color w:val="000000" w:themeColor="text1"/>
                <w:szCs w:val="21"/>
              </w:rPr>
              <w:t>浓度（mg/m</w:t>
            </w:r>
            <w:r>
              <w:rPr>
                <w:rFonts w:hint="eastAsia"/>
                <w:b/>
                <w:color w:val="000000" w:themeColor="text1"/>
                <w:szCs w:val="21"/>
                <w:vertAlign w:val="superscript"/>
              </w:rPr>
              <w:t>3</w:t>
            </w:r>
            <w:r>
              <w:rPr>
                <w:rFonts w:hint="eastAsia"/>
                <w:b/>
                <w:color w:val="000000" w:themeColor="text1"/>
                <w:szCs w:val="21"/>
              </w:rPr>
              <w:t>）</w:t>
            </w:r>
          </w:p>
        </w:tc>
        <w:tc>
          <w:tcPr>
            <w:tcW w:w="997" w:type="pct"/>
            <w:shd w:val="clear" w:color="auto" w:fill="auto"/>
            <w:vAlign w:val="center"/>
          </w:tcPr>
          <w:p>
            <w:pPr>
              <w:adjustRightInd w:val="0"/>
              <w:snapToGrid w:val="0"/>
              <w:spacing w:line="240" w:lineRule="auto"/>
              <w:jc w:val="center"/>
              <w:rPr>
                <w:b/>
                <w:color w:val="000000" w:themeColor="text1"/>
                <w:szCs w:val="21"/>
              </w:rPr>
            </w:pPr>
            <w:r>
              <w:rPr>
                <w:rFonts w:hint="eastAsia"/>
                <w:b/>
                <w:color w:val="000000" w:themeColor="text1"/>
                <w:szCs w:val="21"/>
              </w:rPr>
              <w:t>速率（kg/h）</w:t>
            </w:r>
          </w:p>
        </w:tc>
        <w:tc>
          <w:tcPr>
            <w:tcW w:w="1030" w:type="pct"/>
            <w:shd w:val="clear" w:color="auto" w:fill="auto"/>
            <w:vAlign w:val="center"/>
          </w:tcPr>
          <w:p>
            <w:pPr>
              <w:adjustRightInd w:val="0"/>
              <w:snapToGrid w:val="0"/>
              <w:spacing w:line="240" w:lineRule="auto"/>
              <w:jc w:val="center"/>
              <w:rPr>
                <w:b/>
                <w:color w:val="000000" w:themeColor="text1"/>
                <w:szCs w:val="21"/>
              </w:rPr>
            </w:pPr>
            <w:r>
              <w:rPr>
                <w:rFonts w:hint="eastAsia"/>
                <w:b/>
                <w:color w:val="000000" w:themeColor="text1"/>
                <w:szCs w:val="21"/>
              </w:rPr>
              <w:t>产生量（kg/a）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pct"/>
            <w:vMerge w:val="restart"/>
            <w:shd w:val="clear" w:color="auto" w:fill="auto"/>
            <w:vAlign w:val="center"/>
          </w:tcPr>
          <w:p>
            <w:pPr>
              <w:adjustRightInd w:val="0"/>
              <w:snapToGrid w:val="0"/>
              <w:spacing w:line="240" w:lineRule="auto"/>
              <w:jc w:val="center"/>
              <w:rPr>
                <w:color w:val="000000" w:themeColor="text1"/>
                <w:szCs w:val="21"/>
              </w:rPr>
            </w:pPr>
            <w:r>
              <w:rPr>
                <w:color w:val="000000" w:themeColor="text1"/>
                <w:szCs w:val="21"/>
              </w:rPr>
              <w:t>81824m</w:t>
            </w:r>
            <w:r>
              <w:rPr>
                <w:color w:val="000000" w:themeColor="text1"/>
                <w:szCs w:val="21"/>
                <w:vertAlign w:val="superscript"/>
              </w:rPr>
              <w:t>3</w:t>
            </w:r>
            <w:r>
              <w:rPr>
                <w:color w:val="000000" w:themeColor="text1"/>
                <w:szCs w:val="21"/>
              </w:rPr>
              <w:t>/a</w:t>
            </w:r>
          </w:p>
        </w:tc>
        <w:tc>
          <w:tcPr>
            <w:tcW w:w="831" w:type="pct"/>
            <w:shd w:val="clear" w:color="auto" w:fill="auto"/>
            <w:vAlign w:val="center"/>
          </w:tcPr>
          <w:p>
            <w:pPr>
              <w:adjustRightInd w:val="0"/>
              <w:snapToGrid w:val="0"/>
              <w:spacing w:line="240" w:lineRule="auto"/>
              <w:jc w:val="center"/>
              <w:rPr>
                <w:color w:val="000000" w:themeColor="text1"/>
                <w:szCs w:val="21"/>
              </w:rPr>
            </w:pPr>
            <w:r>
              <w:rPr>
                <w:color w:val="000000" w:themeColor="text1"/>
                <w:szCs w:val="21"/>
              </w:rPr>
              <w:t>SO</w:t>
            </w:r>
            <w:r>
              <w:rPr>
                <w:color w:val="000000" w:themeColor="text1"/>
                <w:szCs w:val="21"/>
                <w:vertAlign w:val="subscript"/>
              </w:rPr>
              <w:t>2</w:t>
            </w:r>
          </w:p>
        </w:tc>
        <w:tc>
          <w:tcPr>
            <w:tcW w:w="1164" w:type="pct"/>
            <w:shd w:val="clear" w:color="auto" w:fill="auto"/>
            <w:vAlign w:val="center"/>
          </w:tcPr>
          <w:p>
            <w:pPr>
              <w:adjustRightInd w:val="0"/>
              <w:snapToGrid w:val="0"/>
              <w:spacing w:line="240" w:lineRule="auto"/>
              <w:jc w:val="center"/>
              <w:rPr>
                <w:color w:val="000000" w:themeColor="text1"/>
                <w:szCs w:val="21"/>
              </w:rPr>
            </w:pPr>
            <w:r>
              <w:rPr>
                <w:rFonts w:hint="eastAsia"/>
                <w:color w:val="000000" w:themeColor="text1"/>
                <w:szCs w:val="21"/>
              </w:rPr>
              <w:t>4.82</w:t>
            </w:r>
          </w:p>
        </w:tc>
        <w:tc>
          <w:tcPr>
            <w:tcW w:w="997" w:type="pct"/>
            <w:shd w:val="clear" w:color="auto" w:fill="auto"/>
            <w:vAlign w:val="center"/>
          </w:tcPr>
          <w:p>
            <w:pPr>
              <w:adjustRightInd w:val="0"/>
              <w:snapToGrid w:val="0"/>
              <w:spacing w:line="240" w:lineRule="auto"/>
              <w:jc w:val="center"/>
              <w:rPr>
                <w:color w:val="000000" w:themeColor="text1"/>
                <w:szCs w:val="21"/>
              </w:rPr>
            </w:pPr>
            <w:r>
              <w:rPr>
                <w:rFonts w:hint="eastAsia"/>
                <w:color w:val="000000" w:themeColor="text1"/>
                <w:szCs w:val="21"/>
              </w:rPr>
              <w:t>0.002</w:t>
            </w:r>
          </w:p>
        </w:tc>
        <w:tc>
          <w:tcPr>
            <w:tcW w:w="1030" w:type="pct"/>
            <w:shd w:val="clear" w:color="auto" w:fill="auto"/>
            <w:vAlign w:val="center"/>
          </w:tcPr>
          <w:p>
            <w:pPr>
              <w:adjustRightInd w:val="0"/>
              <w:snapToGrid w:val="0"/>
              <w:spacing w:line="240" w:lineRule="auto"/>
              <w:jc w:val="center"/>
              <w:rPr>
                <w:color w:val="000000" w:themeColor="text1"/>
                <w:szCs w:val="21"/>
              </w:rPr>
            </w:pPr>
            <w:r>
              <w:rPr>
                <w:rFonts w:hint="eastAsia"/>
                <w:color w:val="000000" w:themeColor="text1"/>
                <w:szCs w:val="21"/>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9" w:type="pct"/>
            <w:vMerge w:val="continue"/>
            <w:shd w:val="clear" w:color="auto" w:fill="auto"/>
            <w:vAlign w:val="center"/>
          </w:tcPr>
          <w:p>
            <w:pPr>
              <w:adjustRightInd w:val="0"/>
              <w:snapToGrid w:val="0"/>
              <w:spacing w:line="240" w:lineRule="auto"/>
              <w:jc w:val="center"/>
              <w:rPr>
                <w:color w:val="000000" w:themeColor="text1"/>
                <w:szCs w:val="21"/>
              </w:rPr>
            </w:pPr>
          </w:p>
        </w:tc>
        <w:tc>
          <w:tcPr>
            <w:tcW w:w="831" w:type="pct"/>
            <w:shd w:val="clear" w:color="auto" w:fill="auto"/>
            <w:vAlign w:val="center"/>
          </w:tcPr>
          <w:p>
            <w:pPr>
              <w:adjustRightInd w:val="0"/>
              <w:snapToGrid w:val="0"/>
              <w:spacing w:line="240" w:lineRule="auto"/>
              <w:jc w:val="center"/>
              <w:rPr>
                <w:color w:val="000000" w:themeColor="text1"/>
                <w:szCs w:val="21"/>
              </w:rPr>
            </w:pPr>
            <w:r>
              <w:rPr>
                <w:color w:val="000000" w:themeColor="text1"/>
                <w:szCs w:val="21"/>
              </w:rPr>
              <w:t>NO</w:t>
            </w:r>
            <w:r>
              <w:rPr>
                <w:color w:val="000000" w:themeColor="text1"/>
                <w:szCs w:val="21"/>
                <w:vertAlign w:val="subscript"/>
              </w:rPr>
              <w:t>X</w:t>
            </w:r>
          </w:p>
        </w:tc>
        <w:tc>
          <w:tcPr>
            <w:tcW w:w="1164" w:type="pct"/>
            <w:shd w:val="clear" w:color="auto" w:fill="auto"/>
            <w:vAlign w:val="center"/>
          </w:tcPr>
          <w:p>
            <w:pPr>
              <w:adjustRightInd w:val="0"/>
              <w:snapToGrid w:val="0"/>
              <w:spacing w:line="240" w:lineRule="auto"/>
              <w:jc w:val="center"/>
              <w:rPr>
                <w:color w:val="000000" w:themeColor="text1"/>
                <w:szCs w:val="21"/>
              </w:rPr>
            </w:pPr>
            <w:r>
              <w:rPr>
                <w:rFonts w:hint="eastAsia"/>
                <w:color w:val="000000" w:themeColor="text1"/>
                <w:szCs w:val="21"/>
              </w:rPr>
              <w:t>9.64</w:t>
            </w:r>
          </w:p>
        </w:tc>
        <w:tc>
          <w:tcPr>
            <w:tcW w:w="997" w:type="pct"/>
            <w:shd w:val="clear" w:color="auto" w:fill="auto"/>
            <w:vAlign w:val="center"/>
          </w:tcPr>
          <w:p>
            <w:pPr>
              <w:adjustRightInd w:val="0"/>
              <w:snapToGrid w:val="0"/>
              <w:spacing w:line="240" w:lineRule="auto"/>
              <w:jc w:val="center"/>
              <w:rPr>
                <w:color w:val="000000" w:themeColor="text1"/>
                <w:szCs w:val="21"/>
              </w:rPr>
            </w:pPr>
            <w:r>
              <w:rPr>
                <w:rFonts w:hint="eastAsia"/>
                <w:color w:val="000000" w:themeColor="text1"/>
                <w:szCs w:val="21"/>
              </w:rPr>
              <w:t>0.004</w:t>
            </w:r>
          </w:p>
        </w:tc>
        <w:tc>
          <w:tcPr>
            <w:tcW w:w="1030" w:type="pct"/>
            <w:shd w:val="clear" w:color="auto" w:fill="auto"/>
            <w:vAlign w:val="center"/>
          </w:tcPr>
          <w:p>
            <w:pPr>
              <w:adjustRightInd w:val="0"/>
              <w:snapToGrid w:val="0"/>
              <w:spacing w:line="240" w:lineRule="auto"/>
              <w:jc w:val="center"/>
              <w:rPr>
                <w:color w:val="000000" w:themeColor="text1"/>
                <w:szCs w:val="21"/>
              </w:rPr>
            </w:pPr>
            <w:r>
              <w:rPr>
                <w:rFonts w:hint="eastAsia"/>
                <w:color w:val="000000" w:themeColor="text1"/>
                <w:szCs w:val="21"/>
              </w:rPr>
              <w:t>8.20</w:t>
            </w:r>
          </w:p>
        </w:tc>
      </w:tr>
    </w:tbl>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沼气发电机废气通过1根15m高排气筒放，能够满足《火电厂大气污染物排放标准》（GB13223-2011）表1相关标准，即SO</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≤35 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、NO</w:t>
      </w:r>
      <w:r>
        <w:rPr>
          <w:rFonts w:ascii="Times New Roman" w:hAnsi="Times New Roman" w:cs="Times New Roman"/>
          <w:color w:val="000000" w:themeColor="text1"/>
          <w:vertAlign w:val="subscript"/>
        </w:rPr>
        <w:t>X</w:t>
      </w:r>
      <w:r>
        <w:rPr>
          <w:rFonts w:ascii="Times New Roman" w:hAnsi="Times New Roman" w:cs="Times New Roman"/>
          <w:color w:val="000000" w:themeColor="text1"/>
        </w:rPr>
        <w:t>≤50mg/m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（3）</w:t>
      </w:r>
      <w:r>
        <w:rPr>
          <w:rFonts w:ascii="Times New Roman" w:hAnsi="Times New Roman" w:cs="Times New Roman"/>
          <w:color w:val="000000" w:themeColor="text1"/>
        </w:rPr>
        <w:t>食堂油烟</w:t>
      </w:r>
    </w:p>
    <w:p>
      <w:pPr>
        <w:ind w:firstLine="480" w:firstLineChars="200"/>
        <w:rPr>
          <w:color w:val="000000" w:themeColor="text1"/>
          <w:sz w:val="24"/>
        </w:rPr>
      </w:pPr>
      <w:r>
        <w:rPr>
          <w:color w:val="000000" w:themeColor="text1"/>
          <w:sz w:val="24"/>
        </w:rPr>
        <w:t>项目设置食堂，最大规模就餐人数</w:t>
      </w:r>
      <w:r>
        <w:rPr>
          <w:rFonts w:hint="eastAsia"/>
          <w:color w:val="000000" w:themeColor="text1"/>
          <w:sz w:val="24"/>
        </w:rPr>
        <w:t>15</w:t>
      </w:r>
      <w:r>
        <w:rPr>
          <w:color w:val="000000" w:themeColor="text1"/>
          <w:sz w:val="24"/>
        </w:rPr>
        <w:t>人/d。</w:t>
      </w:r>
    </w:p>
    <w:p>
      <w:pPr>
        <w:ind w:firstLine="480" w:firstLineChars="200"/>
        <w:rPr>
          <w:color w:val="000000" w:themeColor="text1"/>
          <w:sz w:val="24"/>
        </w:rPr>
      </w:pPr>
      <w:r>
        <w:rPr>
          <w:color w:val="000000" w:themeColor="text1"/>
          <w:sz w:val="24"/>
        </w:rPr>
        <w:t>根据有关资料和云南省环境监测中心站对昆明市部分餐饮企业安装油烟净化器的测试结果，餐厨油烟废气污染物排放情况见表3.4-</w:t>
      </w:r>
      <w:r>
        <w:rPr>
          <w:rFonts w:hint="eastAsia"/>
          <w:color w:val="000000" w:themeColor="text1"/>
          <w:sz w:val="24"/>
        </w:rPr>
        <w:t>7</w:t>
      </w:r>
      <w:r>
        <w:rPr>
          <w:color w:val="000000" w:themeColor="text1"/>
          <w:sz w:val="24"/>
        </w:rPr>
        <w:t>。</w:t>
      </w:r>
    </w:p>
    <w:p>
      <w:pPr>
        <w:adjustRightInd w:val="0"/>
        <w:snapToGrid w:val="0"/>
        <w:spacing w:line="440" w:lineRule="exact"/>
        <w:ind w:firstLine="422" w:firstLineChars="200"/>
        <w:jc w:val="center"/>
        <w:textAlignment w:val="baseline"/>
        <w:rPr>
          <w:b/>
          <w:color w:val="000000" w:themeColor="text1"/>
          <w:szCs w:val="21"/>
        </w:rPr>
      </w:pPr>
      <w:r>
        <w:rPr>
          <w:b/>
          <w:color w:val="000000" w:themeColor="text1"/>
          <w:szCs w:val="21"/>
        </w:rPr>
        <w:t>表3.4-</w:t>
      </w:r>
      <w:r>
        <w:rPr>
          <w:rFonts w:hint="eastAsia"/>
          <w:b/>
          <w:color w:val="000000" w:themeColor="text1"/>
          <w:szCs w:val="21"/>
        </w:rPr>
        <w:t>7</w:t>
      </w:r>
      <w:r>
        <w:rPr>
          <w:b/>
          <w:color w:val="000000" w:themeColor="text1"/>
          <w:szCs w:val="21"/>
        </w:rPr>
        <w:t xml:space="preserve">  餐饮炉灶油烟污染物排放情况单位：mg/Nm</w:t>
      </w:r>
      <w:r>
        <w:rPr>
          <w:b/>
          <w:color w:val="000000" w:themeColor="text1"/>
          <w:szCs w:val="21"/>
          <w:vertAlign w:val="superscript"/>
        </w:rPr>
        <w:t>3</w:t>
      </w:r>
    </w:p>
    <w:tbl>
      <w:tblPr>
        <w:tblStyle w:val="42"/>
        <w:tblW w:w="8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3120"/>
        <w:gridCol w:w="3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1" w:type="dxa"/>
            <w:shd w:val="clear" w:color="auto" w:fill="auto"/>
            <w:tcMar>
              <w:left w:w="142" w:type="dxa"/>
              <w:right w:w="142" w:type="dxa"/>
            </w:tcMar>
            <w:vAlign w:val="center"/>
          </w:tcPr>
          <w:p>
            <w:pPr>
              <w:spacing w:line="276" w:lineRule="auto"/>
              <w:jc w:val="center"/>
              <w:rPr>
                <w:b/>
                <w:color w:val="000000" w:themeColor="text1"/>
                <w:szCs w:val="21"/>
              </w:rPr>
            </w:pPr>
            <w:r>
              <w:rPr>
                <w:b/>
                <w:color w:val="000000" w:themeColor="text1"/>
                <w:szCs w:val="21"/>
              </w:rPr>
              <w:t>污染源</w:t>
            </w:r>
          </w:p>
        </w:tc>
        <w:tc>
          <w:tcPr>
            <w:tcW w:w="3120" w:type="dxa"/>
            <w:shd w:val="clear" w:color="auto" w:fill="auto"/>
            <w:tcMar>
              <w:left w:w="142" w:type="dxa"/>
              <w:right w:w="142" w:type="dxa"/>
            </w:tcMar>
            <w:vAlign w:val="center"/>
          </w:tcPr>
          <w:p>
            <w:pPr>
              <w:spacing w:line="276" w:lineRule="auto"/>
              <w:jc w:val="center"/>
              <w:rPr>
                <w:b/>
                <w:color w:val="000000" w:themeColor="text1"/>
                <w:szCs w:val="21"/>
              </w:rPr>
            </w:pPr>
            <w:r>
              <w:rPr>
                <w:b/>
                <w:color w:val="000000" w:themeColor="text1"/>
                <w:szCs w:val="21"/>
              </w:rPr>
              <w:t>治理情况</w:t>
            </w:r>
          </w:p>
        </w:tc>
        <w:tc>
          <w:tcPr>
            <w:tcW w:w="3205" w:type="dxa"/>
            <w:shd w:val="clear" w:color="auto" w:fill="auto"/>
            <w:tcMar>
              <w:left w:w="142" w:type="dxa"/>
              <w:right w:w="142" w:type="dxa"/>
            </w:tcMar>
            <w:vAlign w:val="center"/>
          </w:tcPr>
          <w:p>
            <w:pPr>
              <w:spacing w:line="276" w:lineRule="auto"/>
              <w:jc w:val="center"/>
              <w:rPr>
                <w:b/>
                <w:color w:val="000000" w:themeColor="text1"/>
                <w:szCs w:val="21"/>
              </w:rPr>
            </w:pPr>
            <w:r>
              <w:rPr>
                <w:b/>
                <w:color w:val="000000" w:themeColor="text1"/>
                <w:szCs w:val="21"/>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1" w:type="dxa"/>
            <w:vMerge w:val="restart"/>
            <w:shd w:val="clear" w:color="auto" w:fill="auto"/>
            <w:tcMar>
              <w:left w:w="142" w:type="dxa"/>
              <w:right w:w="142" w:type="dxa"/>
            </w:tcMar>
            <w:vAlign w:val="center"/>
          </w:tcPr>
          <w:p>
            <w:pPr>
              <w:spacing w:line="276" w:lineRule="auto"/>
              <w:jc w:val="center"/>
              <w:rPr>
                <w:color w:val="000000" w:themeColor="text1"/>
                <w:szCs w:val="21"/>
              </w:rPr>
            </w:pPr>
            <w:r>
              <w:rPr>
                <w:color w:val="000000" w:themeColor="text1"/>
                <w:szCs w:val="21"/>
              </w:rPr>
              <w:t>餐馆炉灶</w:t>
            </w:r>
          </w:p>
        </w:tc>
        <w:tc>
          <w:tcPr>
            <w:tcW w:w="3120" w:type="dxa"/>
            <w:shd w:val="clear" w:color="auto" w:fill="auto"/>
            <w:tcMar>
              <w:left w:w="142" w:type="dxa"/>
              <w:right w:w="142" w:type="dxa"/>
            </w:tcMar>
            <w:vAlign w:val="center"/>
          </w:tcPr>
          <w:p>
            <w:pPr>
              <w:spacing w:line="276" w:lineRule="auto"/>
              <w:jc w:val="center"/>
              <w:rPr>
                <w:color w:val="000000" w:themeColor="text1"/>
                <w:szCs w:val="21"/>
              </w:rPr>
            </w:pPr>
            <w:r>
              <w:rPr>
                <w:color w:val="000000" w:themeColor="text1"/>
                <w:szCs w:val="21"/>
              </w:rPr>
              <w:t>未安装油烟净化器</w:t>
            </w:r>
          </w:p>
        </w:tc>
        <w:tc>
          <w:tcPr>
            <w:tcW w:w="3205" w:type="dxa"/>
            <w:shd w:val="clear" w:color="auto" w:fill="auto"/>
            <w:tcMar>
              <w:left w:w="142" w:type="dxa"/>
              <w:right w:w="142" w:type="dxa"/>
            </w:tcMar>
            <w:vAlign w:val="center"/>
          </w:tcPr>
          <w:p>
            <w:pPr>
              <w:spacing w:line="276" w:lineRule="auto"/>
              <w:jc w:val="center"/>
              <w:rPr>
                <w:color w:val="000000" w:themeColor="text1"/>
                <w:szCs w:val="21"/>
              </w:rPr>
            </w:pPr>
            <w:r>
              <w:rPr>
                <w:color w:val="000000" w:themeColor="text1"/>
                <w:szCs w:val="21"/>
              </w:rPr>
              <w:t>3.815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1" w:type="dxa"/>
            <w:vMerge w:val="continue"/>
            <w:shd w:val="clear" w:color="auto" w:fill="auto"/>
            <w:tcMar>
              <w:left w:w="142" w:type="dxa"/>
              <w:right w:w="142" w:type="dxa"/>
            </w:tcMar>
            <w:vAlign w:val="center"/>
          </w:tcPr>
          <w:p>
            <w:pPr>
              <w:spacing w:line="276" w:lineRule="auto"/>
              <w:jc w:val="center"/>
              <w:rPr>
                <w:color w:val="000000" w:themeColor="text1"/>
                <w:szCs w:val="21"/>
              </w:rPr>
            </w:pPr>
          </w:p>
        </w:tc>
        <w:tc>
          <w:tcPr>
            <w:tcW w:w="3120" w:type="dxa"/>
            <w:shd w:val="clear" w:color="auto" w:fill="auto"/>
            <w:tcMar>
              <w:left w:w="142" w:type="dxa"/>
              <w:right w:w="142" w:type="dxa"/>
            </w:tcMar>
            <w:vAlign w:val="center"/>
          </w:tcPr>
          <w:p>
            <w:pPr>
              <w:spacing w:line="276" w:lineRule="auto"/>
              <w:jc w:val="center"/>
              <w:rPr>
                <w:color w:val="000000" w:themeColor="text1"/>
                <w:szCs w:val="21"/>
              </w:rPr>
            </w:pPr>
            <w:r>
              <w:rPr>
                <w:color w:val="000000" w:themeColor="text1"/>
                <w:szCs w:val="21"/>
              </w:rPr>
              <w:t>安装油烟净化器</w:t>
            </w:r>
          </w:p>
        </w:tc>
        <w:tc>
          <w:tcPr>
            <w:tcW w:w="3205" w:type="dxa"/>
            <w:shd w:val="clear" w:color="auto" w:fill="auto"/>
            <w:tcMar>
              <w:left w:w="142" w:type="dxa"/>
              <w:right w:w="142" w:type="dxa"/>
            </w:tcMar>
            <w:vAlign w:val="center"/>
          </w:tcPr>
          <w:p>
            <w:pPr>
              <w:spacing w:line="276" w:lineRule="auto"/>
              <w:jc w:val="center"/>
              <w:rPr>
                <w:color w:val="000000" w:themeColor="text1"/>
                <w:szCs w:val="21"/>
              </w:rPr>
            </w:pPr>
            <w:r>
              <w:rPr>
                <w:color w:val="000000" w:themeColor="text1"/>
                <w:szCs w:val="21"/>
              </w:rPr>
              <w:t>0.513</w:t>
            </w:r>
          </w:p>
        </w:tc>
      </w:tr>
    </w:tbl>
    <w:p>
      <w:pPr>
        <w:adjustRightInd w:val="0"/>
        <w:snapToGrid w:val="0"/>
        <w:ind w:firstLine="480" w:firstLineChars="200"/>
        <w:jc w:val="left"/>
        <w:rPr>
          <w:color w:val="000000" w:themeColor="text1"/>
          <w:sz w:val="24"/>
        </w:rPr>
      </w:pPr>
      <w:r>
        <w:rPr>
          <w:color w:val="000000" w:themeColor="text1"/>
          <w:sz w:val="24"/>
        </w:rPr>
        <w:t>根据表3.4-</w:t>
      </w:r>
      <w:r>
        <w:rPr>
          <w:rFonts w:hint="eastAsia"/>
          <w:color w:val="000000" w:themeColor="text1"/>
          <w:sz w:val="24"/>
        </w:rPr>
        <w:t>7</w:t>
      </w:r>
      <w:r>
        <w:rPr>
          <w:color w:val="000000" w:themeColor="text1"/>
          <w:sz w:val="24"/>
        </w:rPr>
        <w:t>，对食堂安装国家认证合格的油烟净化设备，餐厨油烟废气可达到《饮食业油烟排放标准（试行）》（GB18483-2001）标准。项目设置排烟管道，油烟通过油烟净化器处理后由</w:t>
      </w:r>
      <w:r>
        <w:rPr>
          <w:rFonts w:hint="eastAsia"/>
          <w:color w:val="000000" w:themeColor="text1"/>
          <w:sz w:val="24"/>
        </w:rPr>
        <w:t>生活楼</w:t>
      </w:r>
      <w:r>
        <w:rPr>
          <w:color w:val="000000" w:themeColor="text1"/>
          <w:sz w:val="24"/>
        </w:rPr>
        <w:t>楼顶排放，排口高于</w:t>
      </w:r>
      <w:r>
        <w:rPr>
          <w:rFonts w:hint="eastAsia"/>
          <w:color w:val="000000" w:themeColor="text1"/>
          <w:sz w:val="24"/>
        </w:rPr>
        <w:t>楼顶</w:t>
      </w:r>
      <w:r>
        <w:rPr>
          <w:color w:val="000000" w:themeColor="text1"/>
          <w:sz w:val="24"/>
        </w:rPr>
        <w:t>1.5米以上。</w:t>
      </w:r>
    </w:p>
    <w:p>
      <w:pPr>
        <w:pStyle w:val="4"/>
        <w:adjustRightInd w:val="0"/>
        <w:snapToGrid w:val="0"/>
        <w:spacing w:before="0" w:after="0" w:line="360" w:lineRule="auto"/>
        <w:rPr>
          <w:color w:val="000000" w:themeColor="text1"/>
          <w:szCs w:val="24"/>
        </w:rPr>
      </w:pPr>
      <w:bookmarkStart w:id="277" w:name="_Toc510547300"/>
      <w:bookmarkStart w:id="278" w:name="_Toc504403818"/>
      <w:bookmarkStart w:id="279" w:name="_Toc506218071"/>
      <w:r>
        <w:rPr>
          <w:color w:val="000000" w:themeColor="text1"/>
          <w:szCs w:val="24"/>
        </w:rPr>
        <w:t>3.4.2废水</w:t>
      </w:r>
      <w:bookmarkEnd w:id="277"/>
      <w:bookmarkEnd w:id="278"/>
      <w:bookmarkEnd w:id="279"/>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该项目用水环节主要包括生猪饮用水、猪舍冲洗水、食堂用水和生活用水、车辆清洗用水等。废水主要为猪尿、猪舍冲洗废水、生活污水和食堂废水等。</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（1）用水量</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①</w:t>
      </w:r>
      <w:r>
        <w:rPr>
          <w:rFonts w:ascii="Times New Roman" w:hAnsi="Times New Roman" w:cs="Times New Roman"/>
          <w:color w:val="000000" w:themeColor="text1"/>
        </w:rPr>
        <w:t>猪饮水</w:t>
      </w:r>
    </w:p>
    <w:p>
      <w:pPr>
        <w:ind w:firstLine="480" w:firstLineChars="200"/>
        <w:rPr>
          <w:color w:val="000000" w:themeColor="text1"/>
          <w:sz w:val="24"/>
        </w:rPr>
      </w:pPr>
      <w:r>
        <w:rPr>
          <w:color w:val="000000" w:themeColor="text1"/>
          <w:sz w:val="24"/>
        </w:rPr>
        <w:t>根据《中、小型集约化养猪场建设》（GB/T17824.1-1999）中表3每头猪平均饮水量参数，项目生猪饮水量见下表：</w:t>
      </w:r>
    </w:p>
    <w:p>
      <w:pPr>
        <w:adjustRightInd w:val="0"/>
        <w:snapToGrid w:val="0"/>
        <w:spacing w:line="240" w:lineRule="auto"/>
        <w:ind w:firstLine="422" w:firstLineChars="200"/>
        <w:jc w:val="center"/>
        <w:rPr>
          <w:b/>
          <w:color w:val="000000" w:themeColor="text1"/>
          <w:szCs w:val="21"/>
        </w:rPr>
      </w:pPr>
      <w:r>
        <w:rPr>
          <w:b/>
          <w:color w:val="000000" w:themeColor="text1"/>
          <w:szCs w:val="21"/>
        </w:rPr>
        <w:t>表3.4-</w:t>
      </w:r>
      <w:r>
        <w:rPr>
          <w:rFonts w:hint="eastAsia"/>
          <w:b/>
          <w:color w:val="000000" w:themeColor="text1"/>
          <w:szCs w:val="21"/>
        </w:rPr>
        <w:t>8</w:t>
      </w:r>
      <w:r>
        <w:rPr>
          <w:b/>
          <w:color w:val="000000" w:themeColor="text1"/>
          <w:szCs w:val="21"/>
        </w:rPr>
        <w:t xml:space="preserve">  项目生猪饮水量</w:t>
      </w:r>
    </w:p>
    <w:tbl>
      <w:tblPr>
        <w:tblStyle w:val="42"/>
        <w:tblW w:w="779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17"/>
        <w:gridCol w:w="1559"/>
        <w:gridCol w:w="1752"/>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gridSpan w:val="2"/>
            <w:vMerge w:val="restart"/>
            <w:vAlign w:val="center"/>
          </w:tcPr>
          <w:p>
            <w:pPr>
              <w:adjustRightInd w:val="0"/>
              <w:snapToGrid w:val="0"/>
              <w:spacing w:line="240" w:lineRule="auto"/>
              <w:jc w:val="center"/>
              <w:rPr>
                <w:b/>
                <w:color w:val="000000" w:themeColor="text1"/>
                <w:szCs w:val="21"/>
              </w:rPr>
            </w:pPr>
            <w:r>
              <w:rPr>
                <w:b/>
                <w:color w:val="000000" w:themeColor="text1"/>
                <w:szCs w:val="21"/>
              </w:rPr>
              <w:t>存栏量（头）</w:t>
            </w:r>
          </w:p>
        </w:tc>
        <w:tc>
          <w:tcPr>
            <w:tcW w:w="1559" w:type="dxa"/>
            <w:vMerge w:val="restart"/>
            <w:vAlign w:val="center"/>
          </w:tcPr>
          <w:p>
            <w:pPr>
              <w:adjustRightInd w:val="0"/>
              <w:snapToGrid w:val="0"/>
              <w:spacing w:line="240" w:lineRule="auto"/>
              <w:jc w:val="center"/>
              <w:rPr>
                <w:b/>
                <w:color w:val="000000" w:themeColor="text1"/>
                <w:szCs w:val="21"/>
              </w:rPr>
            </w:pPr>
            <w:r>
              <w:rPr>
                <w:b/>
                <w:color w:val="000000" w:themeColor="text1"/>
                <w:szCs w:val="21"/>
              </w:rPr>
              <w:t>标准</w:t>
            </w:r>
          </w:p>
          <w:p>
            <w:pPr>
              <w:adjustRightInd w:val="0"/>
              <w:snapToGrid w:val="0"/>
              <w:spacing w:line="240" w:lineRule="auto"/>
              <w:jc w:val="center"/>
              <w:rPr>
                <w:b/>
                <w:color w:val="000000" w:themeColor="text1"/>
                <w:szCs w:val="21"/>
              </w:rPr>
            </w:pPr>
            <w:r>
              <w:rPr>
                <w:b/>
                <w:color w:val="000000" w:themeColor="text1"/>
                <w:szCs w:val="21"/>
              </w:rPr>
              <w:t>L/（d·头）</w:t>
            </w:r>
          </w:p>
        </w:tc>
        <w:tc>
          <w:tcPr>
            <w:tcW w:w="3544" w:type="dxa"/>
            <w:gridSpan w:val="2"/>
            <w:vAlign w:val="center"/>
          </w:tcPr>
          <w:p>
            <w:pPr>
              <w:adjustRightInd w:val="0"/>
              <w:snapToGrid w:val="0"/>
              <w:spacing w:line="240" w:lineRule="auto"/>
              <w:jc w:val="center"/>
              <w:rPr>
                <w:b/>
                <w:color w:val="000000" w:themeColor="text1"/>
                <w:szCs w:val="21"/>
              </w:rPr>
            </w:pPr>
            <w:r>
              <w:rPr>
                <w:b/>
                <w:color w:val="000000" w:themeColor="text1"/>
                <w:szCs w:val="21"/>
              </w:rPr>
              <w:t>饮水量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gridSpan w:val="2"/>
            <w:vMerge w:val="continue"/>
            <w:vAlign w:val="center"/>
          </w:tcPr>
          <w:p>
            <w:pPr>
              <w:adjustRightInd w:val="0"/>
              <w:snapToGrid w:val="0"/>
              <w:spacing w:line="240" w:lineRule="auto"/>
              <w:jc w:val="center"/>
              <w:rPr>
                <w:b/>
                <w:color w:val="000000" w:themeColor="text1"/>
                <w:szCs w:val="21"/>
              </w:rPr>
            </w:pPr>
          </w:p>
        </w:tc>
        <w:tc>
          <w:tcPr>
            <w:tcW w:w="1559" w:type="dxa"/>
            <w:vMerge w:val="continue"/>
            <w:vAlign w:val="center"/>
          </w:tcPr>
          <w:p>
            <w:pPr>
              <w:adjustRightInd w:val="0"/>
              <w:snapToGrid w:val="0"/>
              <w:spacing w:line="240" w:lineRule="auto"/>
              <w:jc w:val="center"/>
              <w:rPr>
                <w:b/>
                <w:color w:val="000000" w:themeColor="text1"/>
                <w:szCs w:val="21"/>
              </w:rPr>
            </w:pPr>
          </w:p>
        </w:tc>
        <w:tc>
          <w:tcPr>
            <w:tcW w:w="1752" w:type="dxa"/>
            <w:vAlign w:val="center"/>
          </w:tcPr>
          <w:p>
            <w:pPr>
              <w:adjustRightInd w:val="0"/>
              <w:snapToGrid w:val="0"/>
              <w:spacing w:line="240" w:lineRule="auto"/>
              <w:jc w:val="center"/>
              <w:rPr>
                <w:b/>
                <w:color w:val="000000" w:themeColor="text1"/>
                <w:szCs w:val="21"/>
              </w:rPr>
            </w:pPr>
            <w:r>
              <w:rPr>
                <w:b/>
                <w:color w:val="000000" w:themeColor="text1"/>
                <w:szCs w:val="21"/>
              </w:rPr>
              <w:t>m</w:t>
            </w:r>
            <w:r>
              <w:rPr>
                <w:b/>
                <w:color w:val="000000" w:themeColor="text1"/>
                <w:szCs w:val="21"/>
                <w:vertAlign w:val="superscript"/>
              </w:rPr>
              <w:t>3</w:t>
            </w:r>
            <w:r>
              <w:rPr>
                <w:b/>
                <w:color w:val="000000" w:themeColor="text1"/>
                <w:szCs w:val="21"/>
              </w:rPr>
              <w:t>/d</w:t>
            </w:r>
          </w:p>
        </w:tc>
        <w:tc>
          <w:tcPr>
            <w:tcW w:w="1792" w:type="dxa"/>
            <w:vAlign w:val="center"/>
          </w:tcPr>
          <w:p>
            <w:pPr>
              <w:adjustRightInd w:val="0"/>
              <w:snapToGrid w:val="0"/>
              <w:spacing w:line="240" w:lineRule="auto"/>
              <w:jc w:val="center"/>
              <w:rPr>
                <w:b/>
                <w:color w:val="000000" w:themeColor="text1"/>
                <w:szCs w:val="21"/>
              </w:rPr>
            </w:pPr>
            <w:r>
              <w:rPr>
                <w:b/>
                <w:color w:val="000000" w:themeColor="text1"/>
                <w:szCs w:val="21"/>
              </w:rPr>
              <w:t>m</w:t>
            </w:r>
            <w:r>
              <w:rPr>
                <w:b/>
                <w:color w:val="000000" w:themeColor="text1"/>
                <w:szCs w:val="21"/>
                <w:vertAlign w:val="superscript"/>
              </w:rPr>
              <w:t>3</w:t>
            </w:r>
            <w:r>
              <w:rPr>
                <w:b/>
                <w:color w:val="000000" w:themeColor="text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adjustRightInd w:val="0"/>
              <w:snapToGrid w:val="0"/>
              <w:spacing w:line="240" w:lineRule="auto"/>
              <w:jc w:val="center"/>
              <w:rPr>
                <w:color w:val="000000" w:themeColor="text1"/>
                <w:szCs w:val="21"/>
              </w:rPr>
            </w:pPr>
            <w:r>
              <w:rPr>
                <w:rFonts w:hint="eastAsia"/>
                <w:color w:val="000000" w:themeColor="text1"/>
                <w:szCs w:val="21"/>
              </w:rPr>
              <w:t>育肥猪</w:t>
            </w:r>
          </w:p>
        </w:tc>
        <w:tc>
          <w:tcPr>
            <w:tcW w:w="1417" w:type="dxa"/>
            <w:vAlign w:val="center"/>
          </w:tcPr>
          <w:p>
            <w:pPr>
              <w:adjustRightInd w:val="0"/>
              <w:snapToGrid w:val="0"/>
              <w:spacing w:line="240" w:lineRule="auto"/>
              <w:jc w:val="center"/>
              <w:rPr>
                <w:color w:val="000000" w:themeColor="text1"/>
                <w:szCs w:val="21"/>
              </w:rPr>
            </w:pPr>
            <w:r>
              <w:rPr>
                <w:rFonts w:hint="eastAsia"/>
                <w:color w:val="000000" w:themeColor="text1"/>
                <w:szCs w:val="21"/>
              </w:rPr>
              <w:t>100</w:t>
            </w:r>
            <w:r>
              <w:rPr>
                <w:color w:val="000000" w:themeColor="text1"/>
                <w:szCs w:val="21"/>
              </w:rPr>
              <w:t>00</w:t>
            </w:r>
          </w:p>
        </w:tc>
        <w:tc>
          <w:tcPr>
            <w:tcW w:w="15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6</w:t>
            </w:r>
          </w:p>
        </w:tc>
        <w:tc>
          <w:tcPr>
            <w:tcW w:w="1752" w:type="dxa"/>
            <w:vAlign w:val="center"/>
          </w:tcPr>
          <w:p>
            <w:pPr>
              <w:adjustRightInd w:val="0"/>
              <w:snapToGrid w:val="0"/>
              <w:spacing w:line="240" w:lineRule="auto"/>
              <w:jc w:val="center"/>
              <w:rPr>
                <w:color w:val="000000" w:themeColor="text1"/>
                <w:szCs w:val="21"/>
              </w:rPr>
            </w:pPr>
            <w:r>
              <w:rPr>
                <w:rFonts w:hint="eastAsia"/>
                <w:color w:val="000000" w:themeColor="text1"/>
                <w:szCs w:val="21"/>
              </w:rPr>
              <w:t>60</w:t>
            </w:r>
          </w:p>
        </w:tc>
        <w:tc>
          <w:tcPr>
            <w:tcW w:w="17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21900</w:t>
            </w:r>
          </w:p>
        </w:tc>
      </w:tr>
    </w:tbl>
    <w:p>
      <w:pPr>
        <w:pStyle w:val="13"/>
        <w:adjustRightInd w:val="0"/>
        <w:snapToGrid w:val="0"/>
        <w:spacing w:after="0"/>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猪舍冲洗水</w:t>
      </w:r>
    </w:p>
    <w:p>
      <w:pPr>
        <w:ind w:firstLine="480" w:firstLineChars="200"/>
        <w:rPr>
          <w:color w:val="000000" w:themeColor="text1"/>
          <w:sz w:val="24"/>
        </w:rPr>
      </w:pPr>
      <w:r>
        <w:rPr>
          <w:color w:val="000000" w:themeColor="text1"/>
          <w:sz w:val="24"/>
        </w:rPr>
        <w:t>为避免猪传染病的发生，猪群需要一个良好的生长环境，猪舍需保持干燥、清洁，猪舍用具及环境需定期冲洗和消毒。</w:t>
      </w:r>
    </w:p>
    <w:p>
      <w:pPr>
        <w:ind w:firstLine="480" w:firstLineChars="200"/>
        <w:rPr>
          <w:color w:val="000000" w:themeColor="text1"/>
          <w:sz w:val="24"/>
        </w:rPr>
      </w:pPr>
      <w:r>
        <w:rPr>
          <w:color w:val="000000" w:themeColor="text1"/>
          <w:sz w:val="24"/>
        </w:rPr>
        <w:t>项目清粪工艺采用干法清粪工艺。猪舍</w:t>
      </w:r>
      <w:r>
        <w:rPr>
          <w:rFonts w:hint="eastAsia"/>
          <w:color w:val="000000" w:themeColor="text1"/>
          <w:sz w:val="24"/>
        </w:rPr>
        <w:t>在每次出栏后冲洗1次，每年出栏4次，则</w:t>
      </w:r>
      <w:r>
        <w:rPr>
          <w:color w:val="000000" w:themeColor="text1"/>
          <w:sz w:val="24"/>
        </w:rPr>
        <w:t>冲洗次数为</w:t>
      </w:r>
      <w:r>
        <w:rPr>
          <w:rFonts w:hint="eastAsia"/>
          <w:color w:val="000000" w:themeColor="text1"/>
          <w:sz w:val="24"/>
        </w:rPr>
        <w:t>4次/年</w:t>
      </w:r>
      <w:r>
        <w:rPr>
          <w:color w:val="000000" w:themeColor="text1"/>
          <w:sz w:val="24"/>
        </w:rPr>
        <w:t>，冲洗的猪舍面积为</w:t>
      </w:r>
      <w:r>
        <w:rPr>
          <w:rFonts w:hint="eastAsia"/>
          <w:color w:val="000000" w:themeColor="text1"/>
          <w:sz w:val="24"/>
        </w:rPr>
        <w:t>9420.8</w:t>
      </w:r>
      <w:r>
        <w:rPr>
          <w:color w:val="000000" w:themeColor="text1"/>
          <w:sz w:val="24"/>
        </w:rPr>
        <w:t>m</w:t>
      </w:r>
      <w:r>
        <w:rPr>
          <w:color w:val="000000" w:themeColor="text1"/>
          <w:sz w:val="24"/>
          <w:vertAlign w:val="superscript"/>
        </w:rPr>
        <w:t>2</w:t>
      </w:r>
      <w:r>
        <w:rPr>
          <w:color w:val="000000" w:themeColor="text1"/>
          <w:sz w:val="24"/>
        </w:rPr>
        <w:t>，冲洗用水按4L/（m</w:t>
      </w:r>
      <w:r>
        <w:rPr>
          <w:color w:val="000000" w:themeColor="text1"/>
          <w:sz w:val="24"/>
          <w:vertAlign w:val="superscript"/>
        </w:rPr>
        <w:t>2</w:t>
      </w:r>
      <w:r>
        <w:rPr>
          <w:color w:val="000000" w:themeColor="text1"/>
          <w:sz w:val="24"/>
        </w:rPr>
        <w:t>·次），则冲洗用水量为</w:t>
      </w:r>
      <w:r>
        <w:rPr>
          <w:rFonts w:hint="eastAsia"/>
          <w:color w:val="000000" w:themeColor="text1"/>
          <w:sz w:val="24"/>
        </w:rPr>
        <w:t>37.7</w:t>
      </w:r>
      <w:r>
        <w:rPr>
          <w:color w:val="000000" w:themeColor="text1"/>
          <w:sz w:val="24"/>
        </w:rPr>
        <w:t>m</w:t>
      </w:r>
      <w:r>
        <w:rPr>
          <w:color w:val="000000" w:themeColor="text1"/>
          <w:sz w:val="24"/>
          <w:vertAlign w:val="superscript"/>
        </w:rPr>
        <w:t>3</w:t>
      </w:r>
      <w:r>
        <w:rPr>
          <w:color w:val="000000" w:themeColor="text1"/>
          <w:sz w:val="24"/>
        </w:rPr>
        <w:t>/次</w:t>
      </w:r>
      <w:r>
        <w:rPr>
          <w:rFonts w:hint="eastAsia"/>
          <w:color w:val="000000" w:themeColor="text1"/>
          <w:sz w:val="24"/>
        </w:rPr>
        <w:t>，</w:t>
      </w:r>
      <w:r>
        <w:rPr>
          <w:color w:val="000000" w:themeColor="text1"/>
          <w:sz w:val="24"/>
        </w:rPr>
        <w:t>则年用水量为</w:t>
      </w:r>
      <w:r>
        <w:rPr>
          <w:rFonts w:hint="eastAsia"/>
          <w:color w:val="000000" w:themeColor="text1"/>
          <w:sz w:val="24"/>
        </w:rPr>
        <w:t>150.8</w:t>
      </w:r>
      <w:r>
        <w:rPr>
          <w:bCs/>
          <w:color w:val="000000" w:themeColor="text1"/>
          <w:sz w:val="24"/>
        </w:rPr>
        <w:t>m</w:t>
      </w:r>
      <w:r>
        <w:rPr>
          <w:bCs/>
          <w:color w:val="000000" w:themeColor="text1"/>
          <w:sz w:val="24"/>
          <w:vertAlign w:val="superscript"/>
        </w:rPr>
        <w:t>3</w:t>
      </w:r>
      <w:r>
        <w:rPr>
          <w:bCs/>
          <w:color w:val="000000" w:themeColor="text1"/>
          <w:sz w:val="24"/>
        </w:rPr>
        <w:t>/a</w:t>
      </w:r>
      <w:r>
        <w:rPr>
          <w:color w:val="000000" w:themeColor="text1"/>
          <w:sz w:val="24"/>
        </w:rPr>
        <w:t>。</w:t>
      </w:r>
    </w:p>
    <w:p>
      <w:pPr>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生活用水</w:t>
      </w:r>
    </w:p>
    <w:p>
      <w:pPr>
        <w:ind w:firstLine="480" w:firstLineChars="200"/>
        <w:rPr>
          <w:color w:val="000000" w:themeColor="text1"/>
          <w:sz w:val="24"/>
        </w:rPr>
      </w:pPr>
      <w:r>
        <w:rPr>
          <w:color w:val="000000" w:themeColor="text1"/>
          <w:sz w:val="24"/>
        </w:rPr>
        <w:t>本项目劳动定员</w:t>
      </w:r>
      <w:r>
        <w:rPr>
          <w:rFonts w:hint="eastAsia"/>
          <w:color w:val="000000" w:themeColor="text1"/>
          <w:sz w:val="24"/>
        </w:rPr>
        <w:t>15</w:t>
      </w:r>
      <w:r>
        <w:rPr>
          <w:color w:val="000000" w:themeColor="text1"/>
          <w:sz w:val="24"/>
        </w:rPr>
        <w:t>人，根据《云南省地方标准用水定额》（DB53/T168-2013），人均用水按100L/人•d计，则生活用水量为</w:t>
      </w:r>
      <w:r>
        <w:rPr>
          <w:rFonts w:hint="eastAsia"/>
          <w:color w:val="000000" w:themeColor="text1"/>
          <w:sz w:val="24"/>
        </w:rPr>
        <w:t>1.5</w:t>
      </w:r>
      <w:r>
        <w:rPr>
          <w:bCs/>
          <w:color w:val="000000" w:themeColor="text1"/>
          <w:sz w:val="24"/>
        </w:rPr>
        <w:t>m</w:t>
      </w:r>
      <w:r>
        <w:rPr>
          <w:bCs/>
          <w:color w:val="000000" w:themeColor="text1"/>
          <w:sz w:val="24"/>
          <w:vertAlign w:val="superscript"/>
        </w:rPr>
        <w:t>3</w:t>
      </w:r>
      <w:r>
        <w:rPr>
          <w:bCs/>
          <w:color w:val="000000" w:themeColor="text1"/>
          <w:sz w:val="24"/>
        </w:rPr>
        <w:t>/d、</w:t>
      </w:r>
      <w:r>
        <w:rPr>
          <w:rFonts w:hint="eastAsia"/>
          <w:bCs/>
          <w:color w:val="000000" w:themeColor="text1"/>
          <w:sz w:val="24"/>
        </w:rPr>
        <w:t>547.5</w:t>
      </w:r>
      <w:r>
        <w:rPr>
          <w:bCs/>
          <w:color w:val="000000" w:themeColor="text1"/>
          <w:sz w:val="24"/>
        </w:rPr>
        <w:t>m</w:t>
      </w:r>
      <w:r>
        <w:rPr>
          <w:bCs/>
          <w:color w:val="000000" w:themeColor="text1"/>
          <w:sz w:val="24"/>
          <w:vertAlign w:val="superscript"/>
        </w:rPr>
        <w:t>3</w:t>
      </w:r>
      <w:r>
        <w:rPr>
          <w:bCs/>
          <w:color w:val="000000" w:themeColor="text1"/>
          <w:sz w:val="24"/>
        </w:rPr>
        <w:t>/a。</w:t>
      </w:r>
      <w:r>
        <w:rPr>
          <w:color w:val="000000" w:themeColor="text1"/>
          <w:sz w:val="24"/>
        </w:rPr>
        <w:t>其中食堂用水量按20L/人·d计算，生活区食堂用水量为</w:t>
      </w:r>
      <w:r>
        <w:rPr>
          <w:rFonts w:hint="eastAsia"/>
          <w:color w:val="000000" w:themeColor="text1"/>
          <w:sz w:val="24"/>
        </w:rPr>
        <w:t>0.3</w:t>
      </w:r>
      <w:r>
        <w:rPr>
          <w:bCs/>
          <w:color w:val="000000" w:themeColor="text1"/>
          <w:sz w:val="24"/>
        </w:rPr>
        <w:t>m</w:t>
      </w:r>
      <w:r>
        <w:rPr>
          <w:bCs/>
          <w:color w:val="000000" w:themeColor="text1"/>
          <w:sz w:val="24"/>
          <w:vertAlign w:val="superscript"/>
        </w:rPr>
        <w:t>3</w:t>
      </w:r>
      <w:r>
        <w:rPr>
          <w:bCs/>
          <w:color w:val="000000" w:themeColor="text1"/>
          <w:sz w:val="24"/>
        </w:rPr>
        <w:t>/d、</w:t>
      </w:r>
      <w:r>
        <w:rPr>
          <w:rFonts w:hint="eastAsia"/>
          <w:bCs/>
          <w:color w:val="000000" w:themeColor="text1"/>
          <w:sz w:val="24"/>
        </w:rPr>
        <w:t>109.5</w:t>
      </w:r>
      <w:r>
        <w:rPr>
          <w:bCs/>
          <w:color w:val="000000" w:themeColor="text1"/>
          <w:sz w:val="24"/>
        </w:rPr>
        <w:t>m</w:t>
      </w:r>
      <w:r>
        <w:rPr>
          <w:bCs/>
          <w:color w:val="000000" w:themeColor="text1"/>
          <w:sz w:val="24"/>
          <w:vertAlign w:val="superscript"/>
        </w:rPr>
        <w:t>3</w:t>
      </w:r>
      <w:r>
        <w:rPr>
          <w:bCs/>
          <w:color w:val="000000" w:themeColor="text1"/>
          <w:sz w:val="24"/>
        </w:rPr>
        <w:t>/a。</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④</w:t>
      </w:r>
      <w:r>
        <w:rPr>
          <w:rFonts w:ascii="Times New Roman" w:hAnsi="Times New Roman" w:cs="Times New Roman"/>
          <w:color w:val="000000" w:themeColor="text1"/>
        </w:rPr>
        <w:t>车辆清洗用水</w:t>
      </w:r>
    </w:p>
    <w:p>
      <w:pPr>
        <w:pStyle w:val="132"/>
        <w:ind w:firstLine="480"/>
        <w:rPr>
          <w:rFonts w:ascii="Times New Roman" w:hAnsi="Times New Roman" w:cs="Times New Roman"/>
          <w:b/>
          <w:color w:val="000000" w:themeColor="text1"/>
        </w:rPr>
      </w:pPr>
      <w:r>
        <w:rPr>
          <w:rFonts w:ascii="Times New Roman" w:hAnsi="Times New Roman" w:cs="Times New Roman"/>
          <w:color w:val="000000" w:themeColor="text1"/>
        </w:rPr>
        <w:t>本项目设置一个车辆清洗池，对进行运输猪只的车辆轮胎进行清洗消毒。消毒池每周更换1次消毒水</w:t>
      </w:r>
      <w:r>
        <w:rPr>
          <w:rFonts w:ascii="Times New Roman" w:hAnsi="Times New Roman" w:cs="Times New Roman"/>
          <w:bCs/>
          <w:color w:val="000000" w:themeColor="text1"/>
        </w:rPr>
        <w:t>，用水量为2m</w:t>
      </w:r>
      <w:r>
        <w:rPr>
          <w:rFonts w:ascii="Times New Roman" w:hAnsi="Times New Roman" w:cs="Times New Roman"/>
          <w:bCs/>
          <w:color w:val="000000" w:themeColor="text1"/>
          <w:vertAlign w:val="superscript"/>
        </w:rPr>
        <w:t>3</w:t>
      </w:r>
      <w:r>
        <w:rPr>
          <w:rFonts w:ascii="Times New Roman" w:hAnsi="Times New Roman" w:cs="Times New Roman"/>
          <w:bCs/>
          <w:color w:val="000000" w:themeColor="text1"/>
        </w:rPr>
        <w:t>/次、104m</w:t>
      </w:r>
      <w:r>
        <w:rPr>
          <w:rFonts w:ascii="Times New Roman" w:hAnsi="Times New Roman" w:cs="Times New Roman"/>
          <w:bCs/>
          <w:color w:val="000000" w:themeColor="text1"/>
          <w:vertAlign w:val="superscript"/>
        </w:rPr>
        <w:t>3</w:t>
      </w:r>
      <w:r>
        <w:rPr>
          <w:rFonts w:ascii="Times New Roman" w:hAnsi="Times New Roman" w:cs="Times New Roman"/>
          <w:bCs/>
          <w:color w:val="000000" w:themeColor="text1"/>
        </w:rPr>
        <w:t>/a。</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⑤</w:t>
      </w:r>
      <w:r>
        <w:rPr>
          <w:rFonts w:ascii="Times New Roman" w:hAnsi="Times New Roman" w:cs="Times New Roman"/>
          <w:color w:val="000000" w:themeColor="text1"/>
        </w:rPr>
        <w:t>消毒用水</w:t>
      </w:r>
    </w:p>
    <w:p>
      <w:pPr>
        <w:pStyle w:val="132"/>
        <w:ind w:firstLine="480"/>
        <w:rPr>
          <w:rFonts w:ascii="Times New Roman" w:hAnsi="Times New Roman" w:cs="Times New Roman"/>
          <w:bCs/>
          <w:color w:val="000000" w:themeColor="text1"/>
        </w:rPr>
      </w:pPr>
      <w:r>
        <w:rPr>
          <w:rFonts w:ascii="Times New Roman" w:hAnsi="Times New Roman" w:cs="Times New Roman"/>
          <w:color w:val="000000" w:themeColor="text1"/>
        </w:rPr>
        <w:t>猪舍、猪只及进出车辆车身采用喷雾消毒，消毒用水约1.0m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/d、365m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/a</w:t>
      </w:r>
      <w:r>
        <w:rPr>
          <w:rFonts w:ascii="Times New Roman" w:hAnsi="Times New Roman" w:cs="Times New Roman"/>
          <w:bCs/>
          <w:color w:val="000000" w:themeColor="text1"/>
        </w:rPr>
        <w:t>。</w:t>
      </w:r>
    </w:p>
    <w:p>
      <w:pPr>
        <w:pStyle w:val="201"/>
        <w:ind w:firstLine="480"/>
        <w:rPr>
          <w:color w:val="000000" w:themeColor="text1"/>
          <w:sz w:val="24"/>
        </w:rPr>
      </w:pPr>
      <w:r>
        <w:rPr>
          <w:rFonts w:hint="eastAsia"/>
          <w:color w:val="000000" w:themeColor="text1"/>
          <w:sz w:val="24"/>
        </w:rPr>
        <w:t>⑥猪舍水帘降温用水</w:t>
      </w:r>
    </w:p>
    <w:p>
      <w:pPr>
        <w:pStyle w:val="201"/>
        <w:ind w:firstLine="480"/>
        <w:rPr>
          <w:color w:val="000000" w:themeColor="text1"/>
          <w:sz w:val="24"/>
        </w:rPr>
      </w:pPr>
      <w:r>
        <w:rPr>
          <w:rFonts w:hint="eastAsia"/>
          <w:color w:val="000000" w:themeColor="text1"/>
          <w:sz w:val="24"/>
        </w:rPr>
        <w:t>天气炎热时猪舍采用水帘降温，每年降温时间按照6个月计算（180d），水帘降温用水循环使用，仅补充损耗用水，无废水外排。水帘降温补充用水量为2m</w:t>
      </w:r>
      <w:r>
        <w:rPr>
          <w:rFonts w:hint="eastAsia"/>
          <w:color w:val="000000" w:themeColor="text1"/>
          <w:sz w:val="24"/>
          <w:vertAlign w:val="superscript"/>
        </w:rPr>
        <w:t>3</w:t>
      </w:r>
      <w:r>
        <w:rPr>
          <w:rFonts w:hint="eastAsia"/>
          <w:color w:val="000000" w:themeColor="text1"/>
          <w:sz w:val="24"/>
        </w:rPr>
        <w:t>/d。</w:t>
      </w:r>
    </w:p>
    <w:p>
      <w:pPr>
        <w:pStyle w:val="201"/>
        <w:ind w:firstLine="480"/>
        <w:rPr>
          <w:color w:val="000000" w:themeColor="text1"/>
          <w:sz w:val="24"/>
        </w:rPr>
      </w:pPr>
      <w:r>
        <w:rPr>
          <w:rFonts w:hint="eastAsia"/>
          <w:color w:val="000000" w:themeColor="text1"/>
          <w:sz w:val="24"/>
        </w:rPr>
        <w:t>⑦种植区灌溉用水</w:t>
      </w:r>
    </w:p>
    <w:p>
      <w:pPr>
        <w:pStyle w:val="201"/>
        <w:ind w:firstLine="480"/>
        <w:rPr>
          <w:color w:val="000000" w:themeColor="text1"/>
          <w:sz w:val="24"/>
        </w:rPr>
      </w:pPr>
      <w:r>
        <w:rPr>
          <w:rFonts w:hint="eastAsia"/>
          <w:color w:val="000000" w:themeColor="text1"/>
          <w:sz w:val="24"/>
        </w:rPr>
        <w:t>根据《云南省地方标准用水定额》(DB53/T168-2013)及《节水灌溉工程技术规范》（GB/T50363-2006），作物灌溉用水按照以下公式计算：</w:t>
      </w:r>
    </w:p>
    <w:p>
      <w:pPr>
        <w:pStyle w:val="201"/>
        <w:ind w:firstLine="480"/>
        <w:jc w:val="center"/>
        <w:rPr>
          <w:color w:val="000000" w:themeColor="text1"/>
          <w:sz w:val="24"/>
        </w:rPr>
      </w:pPr>
      <w:r>
        <w:rPr>
          <w:color w:val="000000" w:themeColor="text1"/>
          <w:sz w:val="24"/>
        </w:rPr>
        <w:t>M=M</w:t>
      </w:r>
      <w:r>
        <w:rPr>
          <w:color w:val="000000" w:themeColor="text1"/>
          <w:sz w:val="24"/>
          <w:vertAlign w:val="subscript"/>
        </w:rPr>
        <w:t>0</w:t>
      </w:r>
      <w:r>
        <w:rPr>
          <w:color w:val="000000" w:themeColor="text1"/>
          <w:sz w:val="24"/>
        </w:rPr>
        <w:t>×K</w:t>
      </w:r>
      <w:r>
        <w:rPr>
          <w:color w:val="000000" w:themeColor="text1"/>
          <w:sz w:val="24"/>
          <w:vertAlign w:val="subscript"/>
        </w:rPr>
        <w:t>1</w:t>
      </w:r>
      <w:r>
        <w:rPr>
          <w:color w:val="000000" w:themeColor="text1"/>
          <w:sz w:val="24"/>
        </w:rPr>
        <w:t>×S</w:t>
      </w:r>
      <w:r>
        <w:rPr>
          <w:color w:val="000000" w:themeColor="text1"/>
          <w:sz w:val="24"/>
          <w:vertAlign w:val="subscript"/>
        </w:rPr>
        <w:t>0</w:t>
      </w:r>
    </w:p>
    <w:p>
      <w:pPr>
        <w:pStyle w:val="201"/>
        <w:ind w:firstLine="480"/>
        <w:rPr>
          <w:color w:val="000000" w:themeColor="text1"/>
          <w:sz w:val="24"/>
        </w:rPr>
      </w:pPr>
      <w:r>
        <w:rPr>
          <w:rFonts w:hint="eastAsia"/>
          <w:color w:val="000000" w:themeColor="text1"/>
          <w:sz w:val="24"/>
        </w:rPr>
        <w:t>M—灌溉用水量，m</w:t>
      </w:r>
      <w:r>
        <w:rPr>
          <w:rFonts w:hint="eastAsia"/>
          <w:color w:val="000000" w:themeColor="text1"/>
          <w:sz w:val="24"/>
          <w:vertAlign w:val="superscript"/>
        </w:rPr>
        <w:t>3</w:t>
      </w:r>
      <w:r>
        <w:rPr>
          <w:rFonts w:hint="eastAsia"/>
          <w:color w:val="000000" w:themeColor="text1"/>
          <w:sz w:val="24"/>
        </w:rPr>
        <w:t>；</w:t>
      </w:r>
    </w:p>
    <w:p>
      <w:pPr>
        <w:pStyle w:val="201"/>
        <w:ind w:firstLine="480"/>
        <w:rPr>
          <w:color w:val="000000" w:themeColor="text1"/>
          <w:sz w:val="24"/>
        </w:rPr>
      </w:pPr>
      <w:r>
        <w:rPr>
          <w:rFonts w:hint="eastAsia"/>
          <w:color w:val="000000" w:themeColor="text1"/>
          <w:sz w:val="24"/>
        </w:rPr>
        <w:t>M</w:t>
      </w:r>
      <w:r>
        <w:rPr>
          <w:rFonts w:hint="eastAsia"/>
          <w:color w:val="000000" w:themeColor="text1"/>
          <w:sz w:val="24"/>
          <w:vertAlign w:val="subscript"/>
        </w:rPr>
        <w:t>0</w:t>
      </w:r>
      <w:r>
        <w:rPr>
          <w:rFonts w:hint="eastAsia"/>
          <w:color w:val="000000" w:themeColor="text1"/>
          <w:sz w:val="24"/>
        </w:rPr>
        <w:t>—灌溉用水定额，m</w:t>
      </w:r>
      <w:r>
        <w:rPr>
          <w:rFonts w:hint="eastAsia"/>
          <w:color w:val="000000" w:themeColor="text1"/>
          <w:sz w:val="24"/>
          <w:vertAlign w:val="superscript"/>
        </w:rPr>
        <w:t>3</w:t>
      </w:r>
      <w:r>
        <w:rPr>
          <w:rFonts w:hint="eastAsia"/>
          <w:color w:val="000000" w:themeColor="text1"/>
          <w:sz w:val="24"/>
        </w:rPr>
        <w:t>/hm</w:t>
      </w:r>
      <w:r>
        <w:rPr>
          <w:rFonts w:hint="eastAsia"/>
          <w:color w:val="000000" w:themeColor="text1"/>
          <w:sz w:val="24"/>
          <w:vertAlign w:val="superscript"/>
        </w:rPr>
        <w:t>2</w:t>
      </w:r>
      <w:r>
        <w:rPr>
          <w:rFonts w:hint="eastAsia"/>
          <w:color w:val="000000" w:themeColor="text1"/>
          <w:sz w:val="24"/>
        </w:rPr>
        <w:t>；</w:t>
      </w:r>
    </w:p>
    <w:p>
      <w:pPr>
        <w:pStyle w:val="201"/>
        <w:ind w:firstLine="480"/>
        <w:rPr>
          <w:color w:val="000000" w:themeColor="text1"/>
          <w:sz w:val="24"/>
        </w:rPr>
      </w:pPr>
      <w:r>
        <w:rPr>
          <w:rFonts w:hint="eastAsia"/>
          <w:color w:val="000000" w:themeColor="text1"/>
          <w:sz w:val="24"/>
        </w:rPr>
        <w:t>K</w:t>
      </w:r>
      <w:r>
        <w:rPr>
          <w:rFonts w:hint="eastAsia"/>
          <w:color w:val="000000" w:themeColor="text1"/>
          <w:sz w:val="24"/>
          <w:vertAlign w:val="subscript"/>
        </w:rPr>
        <w:t>1</w:t>
      </w:r>
      <w:r>
        <w:rPr>
          <w:rFonts w:hint="eastAsia"/>
          <w:color w:val="000000" w:themeColor="text1"/>
          <w:sz w:val="24"/>
        </w:rPr>
        <w:t>—灌溉水利用系数，小型灌区取0.7；</w:t>
      </w:r>
    </w:p>
    <w:p>
      <w:pPr>
        <w:pStyle w:val="201"/>
        <w:ind w:firstLine="480"/>
        <w:rPr>
          <w:color w:val="000000" w:themeColor="text1"/>
          <w:sz w:val="24"/>
        </w:rPr>
      </w:pPr>
      <w:r>
        <w:rPr>
          <w:rFonts w:hint="eastAsia"/>
          <w:color w:val="000000" w:themeColor="text1"/>
          <w:sz w:val="24"/>
        </w:rPr>
        <w:t>S</w:t>
      </w:r>
      <w:r>
        <w:rPr>
          <w:rFonts w:hint="eastAsia"/>
          <w:color w:val="000000" w:themeColor="text1"/>
          <w:sz w:val="24"/>
          <w:vertAlign w:val="subscript"/>
        </w:rPr>
        <w:t>0</w:t>
      </w:r>
      <w:r>
        <w:rPr>
          <w:rFonts w:hint="eastAsia"/>
          <w:color w:val="000000" w:themeColor="text1"/>
          <w:sz w:val="24"/>
        </w:rPr>
        <w:t>—灌溉面积，hm</w:t>
      </w:r>
      <w:r>
        <w:rPr>
          <w:rFonts w:hint="eastAsia"/>
          <w:color w:val="000000" w:themeColor="text1"/>
          <w:sz w:val="24"/>
          <w:vertAlign w:val="superscript"/>
        </w:rPr>
        <w:t>2</w:t>
      </w:r>
      <w:r>
        <w:rPr>
          <w:rFonts w:hint="eastAsia"/>
          <w:color w:val="000000" w:themeColor="text1"/>
          <w:sz w:val="24"/>
        </w:rPr>
        <w:t>。</w:t>
      </w:r>
    </w:p>
    <w:p>
      <w:pPr>
        <w:pStyle w:val="201"/>
        <w:ind w:firstLine="480"/>
        <w:rPr>
          <w:color w:val="000000" w:themeColor="text1"/>
          <w:sz w:val="24"/>
        </w:rPr>
      </w:pPr>
      <w:r>
        <w:rPr>
          <w:rFonts w:hint="eastAsia"/>
          <w:color w:val="000000" w:themeColor="text1"/>
          <w:sz w:val="24"/>
        </w:rPr>
        <w:t>种植区面积154000m</w:t>
      </w:r>
      <w:r>
        <w:rPr>
          <w:rFonts w:hint="eastAsia"/>
          <w:color w:val="000000" w:themeColor="text1"/>
          <w:sz w:val="24"/>
          <w:vertAlign w:val="superscript"/>
        </w:rPr>
        <w:t>2</w:t>
      </w:r>
      <w:r>
        <w:rPr>
          <w:rFonts w:hint="eastAsia"/>
          <w:color w:val="000000" w:themeColor="text1"/>
          <w:sz w:val="24"/>
        </w:rPr>
        <w:t>，常规地面灌溉，本次计算按照木本类果树计算。根据《云南省地方标准用水定额》（DB53/T168-2013）表3木本类果树滇西南区用水定额，木本类果树种植区用水定额为1125~1275m</w:t>
      </w:r>
      <w:r>
        <w:rPr>
          <w:rFonts w:hint="eastAsia"/>
          <w:color w:val="000000" w:themeColor="text1"/>
          <w:sz w:val="24"/>
          <w:vertAlign w:val="superscript"/>
        </w:rPr>
        <w:t>3</w:t>
      </w:r>
      <w:r>
        <w:rPr>
          <w:rFonts w:hint="eastAsia"/>
          <w:color w:val="000000" w:themeColor="text1"/>
          <w:sz w:val="24"/>
        </w:rPr>
        <w:t>/hm</w:t>
      </w:r>
      <w:r>
        <w:rPr>
          <w:rFonts w:hint="eastAsia"/>
          <w:color w:val="000000" w:themeColor="text1"/>
          <w:sz w:val="24"/>
          <w:vertAlign w:val="superscript"/>
        </w:rPr>
        <w:t>2</w:t>
      </w:r>
      <w:r>
        <w:rPr>
          <w:rFonts w:hint="eastAsia"/>
          <w:color w:val="000000" w:themeColor="text1"/>
          <w:sz w:val="24"/>
        </w:rPr>
        <w:t>（P=50%保证率），项目按1125m</w:t>
      </w:r>
      <w:r>
        <w:rPr>
          <w:rFonts w:hint="eastAsia"/>
          <w:color w:val="000000" w:themeColor="text1"/>
          <w:sz w:val="24"/>
          <w:vertAlign w:val="superscript"/>
        </w:rPr>
        <w:t>3</w:t>
      </w:r>
      <w:r>
        <w:rPr>
          <w:rFonts w:hint="eastAsia"/>
          <w:color w:val="000000" w:themeColor="text1"/>
          <w:sz w:val="24"/>
        </w:rPr>
        <w:t>/hm</w:t>
      </w:r>
      <w:r>
        <w:rPr>
          <w:rFonts w:hint="eastAsia"/>
          <w:color w:val="000000" w:themeColor="text1"/>
          <w:sz w:val="24"/>
          <w:vertAlign w:val="superscript"/>
        </w:rPr>
        <w:t>2</w:t>
      </w:r>
      <w:r>
        <w:rPr>
          <w:rFonts w:hint="eastAsia"/>
          <w:color w:val="000000" w:themeColor="text1"/>
          <w:sz w:val="24"/>
        </w:rPr>
        <w:t>计，经计算项目每年种植区需用水17325m</w:t>
      </w:r>
      <w:r>
        <w:rPr>
          <w:rFonts w:hint="eastAsia"/>
          <w:color w:val="000000" w:themeColor="text1"/>
          <w:sz w:val="24"/>
          <w:vertAlign w:val="superscript"/>
        </w:rPr>
        <w:t>3</w:t>
      </w:r>
      <w:r>
        <w:rPr>
          <w:rFonts w:hint="eastAsia"/>
          <w:color w:val="000000" w:themeColor="text1"/>
          <w:sz w:val="24"/>
        </w:rPr>
        <w:t>。</w:t>
      </w:r>
    </w:p>
    <w:p>
      <w:pPr>
        <w:pStyle w:val="201"/>
        <w:ind w:firstLine="480"/>
        <w:rPr>
          <w:color w:val="000000" w:themeColor="text1"/>
          <w:sz w:val="24"/>
        </w:rPr>
      </w:pPr>
      <w:r>
        <w:rPr>
          <w:color w:val="000000" w:themeColor="text1"/>
          <w:sz w:val="24"/>
        </w:rPr>
        <w:t>（2）污水产生量</w:t>
      </w:r>
    </w:p>
    <w:p>
      <w:pPr>
        <w:ind w:firstLine="480" w:firstLineChars="200"/>
        <w:rPr>
          <w:color w:val="000000" w:themeColor="text1"/>
          <w:sz w:val="24"/>
        </w:rPr>
      </w:pPr>
      <w:r>
        <w:rPr>
          <w:color w:val="000000" w:themeColor="text1"/>
          <w:sz w:val="24"/>
        </w:rPr>
        <w:t>项目污水主要为猪尿、猪舍冲洗水、食堂废水、生活污水等。</w:t>
      </w:r>
    </w:p>
    <w:p>
      <w:pPr>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猪尿</w:t>
      </w:r>
    </w:p>
    <w:p>
      <w:pPr>
        <w:ind w:firstLine="480" w:firstLineChars="200"/>
        <w:rPr>
          <w:color w:val="000000" w:themeColor="text1"/>
          <w:sz w:val="24"/>
        </w:rPr>
      </w:pPr>
      <w:r>
        <w:rPr>
          <w:color w:val="000000" w:themeColor="text1"/>
          <w:sz w:val="24"/>
        </w:rPr>
        <w:t>猪舍废水主要为生猪排出的尿水。</w:t>
      </w:r>
      <w:r>
        <w:rPr>
          <w:rFonts w:hint="eastAsia"/>
          <w:color w:val="000000" w:themeColor="text1"/>
          <w:sz w:val="24"/>
        </w:rPr>
        <w:t>根据</w:t>
      </w:r>
      <w:r>
        <w:rPr>
          <w:color w:val="000000" w:themeColor="text1"/>
          <w:sz w:val="24"/>
        </w:rPr>
        <w:t>《第一次全国污染源普查畜禽养殖业源产排污系数手册》，本项目猪尿产生量见下表：</w:t>
      </w:r>
    </w:p>
    <w:p>
      <w:pPr>
        <w:adjustRightInd w:val="0"/>
        <w:snapToGrid w:val="0"/>
        <w:spacing w:line="240" w:lineRule="auto"/>
        <w:ind w:firstLine="422" w:firstLineChars="200"/>
        <w:jc w:val="center"/>
        <w:rPr>
          <w:b/>
          <w:bCs/>
          <w:color w:val="000000" w:themeColor="text1"/>
          <w:szCs w:val="21"/>
        </w:rPr>
      </w:pPr>
      <w:r>
        <w:rPr>
          <w:b/>
          <w:bCs/>
          <w:color w:val="000000" w:themeColor="text1"/>
          <w:szCs w:val="21"/>
        </w:rPr>
        <w:t>表3.4-</w:t>
      </w:r>
      <w:r>
        <w:rPr>
          <w:rFonts w:hint="eastAsia"/>
          <w:b/>
          <w:bCs/>
          <w:color w:val="000000" w:themeColor="text1"/>
          <w:szCs w:val="21"/>
        </w:rPr>
        <w:t>9</w:t>
      </w:r>
      <w:r>
        <w:rPr>
          <w:b/>
          <w:bCs/>
          <w:color w:val="000000" w:themeColor="text1"/>
          <w:szCs w:val="21"/>
        </w:rPr>
        <w:t xml:space="preserve">  猪尿产生量</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392"/>
        <w:gridCol w:w="1603"/>
        <w:gridCol w:w="2122"/>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3" w:type="dxa"/>
            <w:gridSpan w:val="2"/>
            <w:vMerge w:val="restart"/>
            <w:vAlign w:val="center"/>
          </w:tcPr>
          <w:p>
            <w:pPr>
              <w:adjustRightInd w:val="0"/>
              <w:snapToGrid w:val="0"/>
              <w:spacing w:line="240" w:lineRule="auto"/>
              <w:jc w:val="center"/>
              <w:rPr>
                <w:b/>
                <w:color w:val="000000" w:themeColor="text1"/>
                <w:szCs w:val="21"/>
              </w:rPr>
            </w:pPr>
            <w:r>
              <w:rPr>
                <w:b/>
                <w:color w:val="000000" w:themeColor="text1"/>
                <w:szCs w:val="21"/>
              </w:rPr>
              <w:t>存栏量（头）</w:t>
            </w:r>
          </w:p>
        </w:tc>
        <w:tc>
          <w:tcPr>
            <w:tcW w:w="1603" w:type="dxa"/>
            <w:vMerge w:val="restart"/>
            <w:vAlign w:val="center"/>
          </w:tcPr>
          <w:p>
            <w:pPr>
              <w:adjustRightInd w:val="0"/>
              <w:snapToGrid w:val="0"/>
              <w:spacing w:line="240" w:lineRule="auto"/>
              <w:jc w:val="center"/>
              <w:rPr>
                <w:b/>
                <w:color w:val="000000" w:themeColor="text1"/>
                <w:szCs w:val="21"/>
              </w:rPr>
            </w:pPr>
            <w:r>
              <w:rPr>
                <w:b/>
                <w:color w:val="000000" w:themeColor="text1"/>
                <w:szCs w:val="21"/>
              </w:rPr>
              <w:t>标准</w:t>
            </w:r>
          </w:p>
          <w:p>
            <w:pPr>
              <w:adjustRightInd w:val="0"/>
              <w:snapToGrid w:val="0"/>
              <w:spacing w:line="240" w:lineRule="auto"/>
              <w:jc w:val="center"/>
              <w:rPr>
                <w:b/>
                <w:color w:val="000000" w:themeColor="text1"/>
                <w:szCs w:val="21"/>
              </w:rPr>
            </w:pPr>
            <w:r>
              <w:rPr>
                <w:b/>
                <w:color w:val="000000" w:themeColor="text1"/>
                <w:szCs w:val="21"/>
              </w:rPr>
              <w:t>L/（d·头）</w:t>
            </w:r>
          </w:p>
        </w:tc>
        <w:tc>
          <w:tcPr>
            <w:tcW w:w="4292" w:type="dxa"/>
            <w:gridSpan w:val="2"/>
            <w:vAlign w:val="center"/>
          </w:tcPr>
          <w:p>
            <w:pPr>
              <w:adjustRightInd w:val="0"/>
              <w:snapToGrid w:val="0"/>
              <w:spacing w:line="240" w:lineRule="auto"/>
              <w:jc w:val="center"/>
              <w:rPr>
                <w:b/>
                <w:color w:val="000000" w:themeColor="text1"/>
                <w:szCs w:val="21"/>
              </w:rPr>
            </w:pPr>
            <w:r>
              <w:rPr>
                <w:b/>
                <w:color w:val="000000" w:themeColor="text1"/>
                <w:szCs w:val="21"/>
              </w:rPr>
              <w:t>尿量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3" w:type="dxa"/>
            <w:gridSpan w:val="2"/>
            <w:vMerge w:val="continue"/>
            <w:vAlign w:val="center"/>
          </w:tcPr>
          <w:p>
            <w:pPr>
              <w:adjustRightInd w:val="0"/>
              <w:snapToGrid w:val="0"/>
              <w:spacing w:line="240" w:lineRule="auto"/>
              <w:jc w:val="center"/>
              <w:rPr>
                <w:b/>
                <w:color w:val="000000" w:themeColor="text1"/>
                <w:szCs w:val="21"/>
              </w:rPr>
            </w:pPr>
          </w:p>
        </w:tc>
        <w:tc>
          <w:tcPr>
            <w:tcW w:w="1603" w:type="dxa"/>
            <w:vMerge w:val="continue"/>
            <w:vAlign w:val="center"/>
          </w:tcPr>
          <w:p>
            <w:pPr>
              <w:adjustRightInd w:val="0"/>
              <w:snapToGrid w:val="0"/>
              <w:spacing w:line="240" w:lineRule="auto"/>
              <w:jc w:val="center"/>
              <w:rPr>
                <w:b/>
                <w:color w:val="000000" w:themeColor="text1"/>
                <w:szCs w:val="21"/>
              </w:rPr>
            </w:pPr>
          </w:p>
        </w:tc>
        <w:tc>
          <w:tcPr>
            <w:tcW w:w="2122" w:type="dxa"/>
            <w:vAlign w:val="center"/>
          </w:tcPr>
          <w:p>
            <w:pPr>
              <w:adjustRightInd w:val="0"/>
              <w:snapToGrid w:val="0"/>
              <w:spacing w:line="240" w:lineRule="auto"/>
              <w:jc w:val="center"/>
              <w:rPr>
                <w:b/>
                <w:color w:val="000000" w:themeColor="text1"/>
                <w:szCs w:val="21"/>
              </w:rPr>
            </w:pPr>
            <w:r>
              <w:rPr>
                <w:b/>
                <w:color w:val="000000" w:themeColor="text1"/>
                <w:szCs w:val="21"/>
              </w:rPr>
              <w:t>m</w:t>
            </w:r>
            <w:r>
              <w:rPr>
                <w:b/>
                <w:color w:val="000000" w:themeColor="text1"/>
                <w:szCs w:val="21"/>
                <w:vertAlign w:val="superscript"/>
              </w:rPr>
              <w:t>3</w:t>
            </w:r>
            <w:r>
              <w:rPr>
                <w:b/>
                <w:color w:val="000000" w:themeColor="text1"/>
                <w:szCs w:val="21"/>
              </w:rPr>
              <w:t>/d</w:t>
            </w:r>
          </w:p>
        </w:tc>
        <w:tc>
          <w:tcPr>
            <w:tcW w:w="2170" w:type="dxa"/>
            <w:vAlign w:val="center"/>
          </w:tcPr>
          <w:p>
            <w:pPr>
              <w:adjustRightInd w:val="0"/>
              <w:snapToGrid w:val="0"/>
              <w:spacing w:line="240" w:lineRule="auto"/>
              <w:jc w:val="center"/>
              <w:rPr>
                <w:b/>
                <w:color w:val="000000" w:themeColor="text1"/>
                <w:szCs w:val="21"/>
              </w:rPr>
            </w:pPr>
            <w:r>
              <w:rPr>
                <w:b/>
                <w:color w:val="000000" w:themeColor="text1"/>
                <w:szCs w:val="21"/>
              </w:rPr>
              <w:t>m</w:t>
            </w:r>
            <w:r>
              <w:rPr>
                <w:b/>
                <w:color w:val="000000" w:themeColor="text1"/>
                <w:szCs w:val="21"/>
                <w:vertAlign w:val="superscript"/>
              </w:rPr>
              <w:t>3</w:t>
            </w:r>
            <w:r>
              <w:rPr>
                <w:b/>
                <w:color w:val="000000" w:themeColor="text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vAlign w:val="center"/>
          </w:tcPr>
          <w:p>
            <w:pPr>
              <w:adjustRightInd w:val="0"/>
              <w:snapToGrid w:val="0"/>
              <w:spacing w:line="240" w:lineRule="auto"/>
              <w:jc w:val="center"/>
              <w:rPr>
                <w:color w:val="000000" w:themeColor="text1"/>
                <w:szCs w:val="21"/>
              </w:rPr>
            </w:pPr>
            <w:r>
              <w:rPr>
                <w:rFonts w:hint="eastAsia"/>
                <w:color w:val="000000" w:themeColor="text1"/>
                <w:kern w:val="0"/>
                <w:szCs w:val="21"/>
              </w:rPr>
              <w:t>育肥猪</w:t>
            </w:r>
          </w:p>
        </w:tc>
        <w:tc>
          <w:tcPr>
            <w:tcW w:w="13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10</w:t>
            </w:r>
            <w:r>
              <w:rPr>
                <w:color w:val="000000" w:themeColor="text1"/>
                <w:szCs w:val="21"/>
              </w:rPr>
              <w:t>00</w:t>
            </w:r>
            <w:r>
              <w:rPr>
                <w:rFonts w:hint="eastAsia"/>
                <w:color w:val="000000" w:themeColor="text1"/>
                <w:szCs w:val="21"/>
              </w:rPr>
              <w:t>0</w:t>
            </w:r>
          </w:p>
        </w:tc>
        <w:tc>
          <w:tcPr>
            <w:tcW w:w="1603" w:type="dxa"/>
            <w:vAlign w:val="center"/>
          </w:tcPr>
          <w:p>
            <w:pPr>
              <w:adjustRightInd w:val="0"/>
              <w:snapToGrid w:val="0"/>
              <w:spacing w:line="240" w:lineRule="auto"/>
              <w:jc w:val="center"/>
              <w:rPr>
                <w:color w:val="000000" w:themeColor="text1"/>
                <w:szCs w:val="21"/>
              </w:rPr>
            </w:pPr>
            <w:r>
              <w:rPr>
                <w:rFonts w:hint="eastAsia"/>
                <w:color w:val="000000" w:themeColor="text1"/>
                <w:szCs w:val="21"/>
              </w:rPr>
              <w:t>3.08</w:t>
            </w:r>
          </w:p>
        </w:tc>
        <w:tc>
          <w:tcPr>
            <w:tcW w:w="2122" w:type="dxa"/>
            <w:vAlign w:val="center"/>
          </w:tcPr>
          <w:p>
            <w:pPr>
              <w:adjustRightInd w:val="0"/>
              <w:snapToGrid w:val="0"/>
              <w:spacing w:line="240" w:lineRule="auto"/>
              <w:jc w:val="center"/>
              <w:rPr>
                <w:color w:val="000000" w:themeColor="text1"/>
                <w:szCs w:val="21"/>
              </w:rPr>
            </w:pPr>
            <w:r>
              <w:rPr>
                <w:rFonts w:hint="eastAsia"/>
                <w:color w:val="000000" w:themeColor="text1"/>
                <w:szCs w:val="21"/>
              </w:rPr>
              <w:t>30.8</w:t>
            </w:r>
          </w:p>
        </w:tc>
        <w:tc>
          <w:tcPr>
            <w:tcW w:w="2170" w:type="dxa"/>
            <w:vAlign w:val="center"/>
          </w:tcPr>
          <w:p>
            <w:pPr>
              <w:adjustRightInd w:val="0"/>
              <w:snapToGrid w:val="0"/>
              <w:spacing w:line="240" w:lineRule="auto"/>
              <w:jc w:val="center"/>
              <w:rPr>
                <w:color w:val="000000" w:themeColor="text1"/>
                <w:szCs w:val="21"/>
              </w:rPr>
            </w:pPr>
            <w:r>
              <w:rPr>
                <w:rFonts w:hint="eastAsia"/>
                <w:color w:val="000000" w:themeColor="text1"/>
                <w:szCs w:val="21"/>
              </w:rPr>
              <w:t>11242</w:t>
            </w:r>
          </w:p>
        </w:tc>
      </w:tr>
    </w:tbl>
    <w:p>
      <w:pPr>
        <w:pStyle w:val="13"/>
        <w:adjustRightInd w:val="0"/>
        <w:snapToGrid w:val="0"/>
        <w:spacing w:after="0"/>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猪舍冲洗废水</w:t>
      </w:r>
    </w:p>
    <w:p>
      <w:pPr>
        <w:ind w:firstLine="480" w:firstLineChars="200"/>
        <w:rPr>
          <w:color w:val="000000" w:themeColor="text1"/>
          <w:sz w:val="24"/>
        </w:rPr>
      </w:pPr>
      <w:r>
        <w:rPr>
          <w:color w:val="000000" w:themeColor="text1"/>
          <w:sz w:val="24"/>
        </w:rPr>
        <w:t>猪舍冲洗水用水量为</w:t>
      </w:r>
      <w:r>
        <w:rPr>
          <w:rFonts w:hint="eastAsia"/>
          <w:color w:val="000000" w:themeColor="text1"/>
          <w:sz w:val="24"/>
        </w:rPr>
        <w:t>37.7</w:t>
      </w:r>
      <w:r>
        <w:rPr>
          <w:color w:val="000000" w:themeColor="text1"/>
          <w:sz w:val="24"/>
        </w:rPr>
        <w:t>m</w:t>
      </w:r>
      <w:r>
        <w:rPr>
          <w:color w:val="000000" w:themeColor="text1"/>
          <w:sz w:val="24"/>
          <w:vertAlign w:val="superscript"/>
        </w:rPr>
        <w:t>3</w:t>
      </w:r>
      <w:r>
        <w:rPr>
          <w:color w:val="000000" w:themeColor="text1"/>
          <w:sz w:val="24"/>
        </w:rPr>
        <w:t>/次、</w:t>
      </w:r>
      <w:r>
        <w:rPr>
          <w:rFonts w:hint="eastAsia"/>
          <w:color w:val="000000" w:themeColor="text1"/>
          <w:sz w:val="24"/>
        </w:rPr>
        <w:t>150.8</w:t>
      </w:r>
      <w:r>
        <w:rPr>
          <w:bCs/>
          <w:color w:val="000000" w:themeColor="text1"/>
          <w:sz w:val="24"/>
        </w:rPr>
        <w:t>m</w:t>
      </w:r>
      <w:r>
        <w:rPr>
          <w:bCs/>
          <w:color w:val="000000" w:themeColor="text1"/>
          <w:sz w:val="24"/>
          <w:vertAlign w:val="superscript"/>
        </w:rPr>
        <w:t>3</w:t>
      </w:r>
      <w:r>
        <w:rPr>
          <w:bCs/>
          <w:color w:val="000000" w:themeColor="text1"/>
          <w:sz w:val="24"/>
        </w:rPr>
        <w:t>/a</w:t>
      </w:r>
      <w:r>
        <w:rPr>
          <w:color w:val="000000" w:themeColor="text1"/>
          <w:sz w:val="24"/>
        </w:rPr>
        <w:t>。污水量按用水量的80%计，则猪舍冲洗废水为</w:t>
      </w:r>
      <w:r>
        <w:rPr>
          <w:rFonts w:hint="eastAsia"/>
          <w:color w:val="000000" w:themeColor="text1"/>
          <w:sz w:val="24"/>
        </w:rPr>
        <w:t>30.2</w:t>
      </w:r>
      <w:r>
        <w:rPr>
          <w:color w:val="000000" w:themeColor="text1"/>
          <w:sz w:val="24"/>
        </w:rPr>
        <w:t>m</w:t>
      </w:r>
      <w:r>
        <w:rPr>
          <w:color w:val="000000" w:themeColor="text1"/>
          <w:sz w:val="24"/>
          <w:vertAlign w:val="superscript"/>
        </w:rPr>
        <w:t>3</w:t>
      </w:r>
      <w:r>
        <w:rPr>
          <w:color w:val="000000" w:themeColor="text1"/>
          <w:sz w:val="24"/>
        </w:rPr>
        <w:t>/次、</w:t>
      </w:r>
      <w:r>
        <w:rPr>
          <w:rFonts w:hint="eastAsia"/>
          <w:color w:val="000000" w:themeColor="text1"/>
          <w:sz w:val="24"/>
        </w:rPr>
        <w:t>120.6</w:t>
      </w:r>
      <w:r>
        <w:rPr>
          <w:bCs/>
          <w:color w:val="000000" w:themeColor="text1"/>
          <w:sz w:val="24"/>
        </w:rPr>
        <w:t>m</w:t>
      </w:r>
      <w:r>
        <w:rPr>
          <w:bCs/>
          <w:color w:val="000000" w:themeColor="text1"/>
          <w:sz w:val="24"/>
          <w:vertAlign w:val="superscript"/>
        </w:rPr>
        <w:t>3</w:t>
      </w:r>
      <w:r>
        <w:rPr>
          <w:bCs/>
          <w:color w:val="000000" w:themeColor="text1"/>
          <w:sz w:val="24"/>
        </w:rPr>
        <w:t>/a</w:t>
      </w:r>
      <w:r>
        <w:rPr>
          <w:color w:val="000000" w:themeColor="text1"/>
          <w:sz w:val="24"/>
        </w:rPr>
        <w:t>。</w:t>
      </w:r>
    </w:p>
    <w:p>
      <w:pPr>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生活污水</w:t>
      </w:r>
    </w:p>
    <w:p>
      <w:pPr>
        <w:ind w:firstLine="480" w:firstLineChars="200"/>
        <w:rPr>
          <w:color w:val="000000" w:themeColor="text1"/>
          <w:sz w:val="24"/>
        </w:rPr>
      </w:pPr>
      <w:r>
        <w:rPr>
          <w:color w:val="000000" w:themeColor="text1"/>
          <w:sz w:val="24"/>
        </w:rPr>
        <w:t>本项目生活用水量为</w:t>
      </w:r>
      <w:r>
        <w:rPr>
          <w:rFonts w:hint="eastAsia"/>
          <w:color w:val="000000" w:themeColor="text1"/>
          <w:sz w:val="24"/>
        </w:rPr>
        <w:t>1.5</w:t>
      </w:r>
      <w:r>
        <w:rPr>
          <w:bCs/>
          <w:color w:val="000000" w:themeColor="text1"/>
          <w:sz w:val="24"/>
        </w:rPr>
        <w:t>m</w:t>
      </w:r>
      <w:r>
        <w:rPr>
          <w:bCs/>
          <w:color w:val="000000" w:themeColor="text1"/>
          <w:sz w:val="24"/>
          <w:vertAlign w:val="superscript"/>
        </w:rPr>
        <w:t>3</w:t>
      </w:r>
      <w:r>
        <w:rPr>
          <w:bCs/>
          <w:color w:val="000000" w:themeColor="text1"/>
          <w:sz w:val="24"/>
        </w:rPr>
        <w:t>/d、</w:t>
      </w:r>
      <w:r>
        <w:rPr>
          <w:rFonts w:hint="eastAsia"/>
          <w:bCs/>
          <w:color w:val="000000" w:themeColor="text1"/>
          <w:sz w:val="24"/>
        </w:rPr>
        <w:t>547.5</w:t>
      </w:r>
      <w:r>
        <w:rPr>
          <w:bCs/>
          <w:color w:val="000000" w:themeColor="text1"/>
          <w:sz w:val="24"/>
        </w:rPr>
        <w:t>m</w:t>
      </w:r>
      <w:r>
        <w:rPr>
          <w:bCs/>
          <w:color w:val="000000" w:themeColor="text1"/>
          <w:sz w:val="24"/>
          <w:vertAlign w:val="superscript"/>
        </w:rPr>
        <w:t>3</w:t>
      </w:r>
      <w:r>
        <w:rPr>
          <w:bCs/>
          <w:color w:val="000000" w:themeColor="text1"/>
          <w:sz w:val="24"/>
        </w:rPr>
        <w:t>/a。</w:t>
      </w:r>
      <w:r>
        <w:rPr>
          <w:color w:val="000000" w:themeColor="text1"/>
          <w:sz w:val="24"/>
        </w:rPr>
        <w:t>污水排放量按用水量的80%计，则生活污水量为</w:t>
      </w:r>
      <w:r>
        <w:rPr>
          <w:rFonts w:hint="eastAsia"/>
          <w:color w:val="000000" w:themeColor="text1"/>
          <w:sz w:val="24"/>
        </w:rPr>
        <w:t>1.2</w:t>
      </w:r>
      <w:r>
        <w:rPr>
          <w:bCs/>
          <w:color w:val="000000" w:themeColor="text1"/>
          <w:sz w:val="24"/>
        </w:rPr>
        <w:t>m</w:t>
      </w:r>
      <w:r>
        <w:rPr>
          <w:bCs/>
          <w:color w:val="000000" w:themeColor="text1"/>
          <w:sz w:val="24"/>
          <w:vertAlign w:val="superscript"/>
        </w:rPr>
        <w:t>3</w:t>
      </w:r>
      <w:r>
        <w:rPr>
          <w:bCs/>
          <w:color w:val="000000" w:themeColor="text1"/>
          <w:sz w:val="24"/>
        </w:rPr>
        <w:t>/d、</w:t>
      </w:r>
      <w:r>
        <w:rPr>
          <w:rFonts w:hint="eastAsia"/>
          <w:bCs/>
          <w:color w:val="000000" w:themeColor="text1"/>
          <w:sz w:val="24"/>
        </w:rPr>
        <w:t>438</w:t>
      </w:r>
      <w:r>
        <w:rPr>
          <w:bCs/>
          <w:color w:val="000000" w:themeColor="text1"/>
          <w:sz w:val="24"/>
        </w:rPr>
        <w:t>m</w:t>
      </w:r>
      <w:r>
        <w:rPr>
          <w:bCs/>
          <w:color w:val="000000" w:themeColor="text1"/>
          <w:sz w:val="24"/>
          <w:vertAlign w:val="superscript"/>
        </w:rPr>
        <w:t>3</w:t>
      </w:r>
      <w:r>
        <w:rPr>
          <w:bCs/>
          <w:color w:val="000000" w:themeColor="text1"/>
          <w:sz w:val="24"/>
        </w:rPr>
        <w:t>/a。</w:t>
      </w:r>
      <w:r>
        <w:rPr>
          <w:color w:val="000000" w:themeColor="text1"/>
          <w:sz w:val="24"/>
        </w:rPr>
        <w:t>其中食堂污水量为0.</w:t>
      </w:r>
      <w:r>
        <w:rPr>
          <w:rFonts w:hint="eastAsia"/>
          <w:color w:val="000000" w:themeColor="text1"/>
          <w:sz w:val="24"/>
        </w:rPr>
        <w:t>24</w:t>
      </w:r>
      <w:r>
        <w:rPr>
          <w:bCs/>
          <w:color w:val="000000" w:themeColor="text1"/>
          <w:sz w:val="24"/>
        </w:rPr>
        <w:t>m</w:t>
      </w:r>
      <w:r>
        <w:rPr>
          <w:bCs/>
          <w:color w:val="000000" w:themeColor="text1"/>
          <w:sz w:val="24"/>
          <w:vertAlign w:val="superscript"/>
        </w:rPr>
        <w:t>3</w:t>
      </w:r>
      <w:r>
        <w:rPr>
          <w:bCs/>
          <w:color w:val="000000" w:themeColor="text1"/>
          <w:sz w:val="24"/>
        </w:rPr>
        <w:t>/d、</w:t>
      </w:r>
      <w:r>
        <w:rPr>
          <w:rFonts w:hint="eastAsia"/>
          <w:bCs/>
          <w:color w:val="000000" w:themeColor="text1"/>
          <w:sz w:val="24"/>
        </w:rPr>
        <w:t>87.5</w:t>
      </w:r>
      <w:r>
        <w:rPr>
          <w:bCs/>
          <w:color w:val="000000" w:themeColor="text1"/>
          <w:sz w:val="24"/>
        </w:rPr>
        <w:t>m</w:t>
      </w:r>
      <w:r>
        <w:rPr>
          <w:bCs/>
          <w:color w:val="000000" w:themeColor="text1"/>
          <w:sz w:val="24"/>
          <w:vertAlign w:val="superscript"/>
        </w:rPr>
        <w:t>3</w:t>
      </w:r>
      <w:r>
        <w:rPr>
          <w:bCs/>
          <w:color w:val="000000" w:themeColor="text1"/>
          <w:sz w:val="24"/>
        </w:rPr>
        <w:t>/a。</w:t>
      </w:r>
    </w:p>
    <w:p>
      <w:pPr>
        <w:pStyle w:val="132"/>
        <w:ind w:firstLine="480"/>
        <w:rPr>
          <w:rFonts w:ascii="Times New Roman" w:hAnsi="Times New Roman" w:cs="Times New Roman"/>
          <w:color w:val="000000" w:themeColor="text1"/>
        </w:rPr>
      </w:pPr>
      <w:r>
        <w:rPr>
          <w:rFonts w:hint="eastAsia" w:ascii="宋体" w:hAnsi="宋体" w:cs="宋体"/>
          <w:bCs/>
          <w:color w:val="000000" w:themeColor="text1"/>
        </w:rPr>
        <w:t>④</w:t>
      </w:r>
      <w:r>
        <w:rPr>
          <w:rFonts w:ascii="Times New Roman" w:hAnsi="Times New Roman" w:cs="Times New Roman"/>
          <w:color w:val="000000" w:themeColor="text1"/>
        </w:rPr>
        <w:t>车辆清洗污水</w:t>
      </w:r>
    </w:p>
    <w:p>
      <w:pPr>
        <w:ind w:firstLine="480" w:firstLineChars="200"/>
        <w:rPr>
          <w:bCs/>
          <w:color w:val="000000" w:themeColor="text1"/>
          <w:sz w:val="24"/>
        </w:rPr>
      </w:pPr>
      <w:r>
        <w:rPr>
          <w:color w:val="000000" w:themeColor="text1"/>
          <w:sz w:val="24"/>
        </w:rPr>
        <w:t>车辆清洗污水每周更换1次</w:t>
      </w:r>
      <w:r>
        <w:rPr>
          <w:bCs/>
          <w:color w:val="000000" w:themeColor="text1"/>
          <w:sz w:val="24"/>
        </w:rPr>
        <w:t>，</w:t>
      </w:r>
      <w:r>
        <w:rPr>
          <w:color w:val="000000" w:themeColor="text1"/>
          <w:sz w:val="24"/>
        </w:rPr>
        <w:t>污水排放量按用水量的50%计，则</w:t>
      </w:r>
      <w:r>
        <w:rPr>
          <w:bCs/>
          <w:color w:val="000000" w:themeColor="text1"/>
          <w:sz w:val="24"/>
        </w:rPr>
        <w:t>污水量为1.0m</w:t>
      </w:r>
      <w:r>
        <w:rPr>
          <w:bCs/>
          <w:color w:val="000000" w:themeColor="text1"/>
          <w:sz w:val="24"/>
          <w:vertAlign w:val="superscript"/>
        </w:rPr>
        <w:t>3</w:t>
      </w:r>
      <w:r>
        <w:rPr>
          <w:bCs/>
          <w:color w:val="000000" w:themeColor="text1"/>
          <w:sz w:val="24"/>
        </w:rPr>
        <w:t>、52m</w:t>
      </w:r>
      <w:r>
        <w:rPr>
          <w:bCs/>
          <w:color w:val="000000" w:themeColor="text1"/>
          <w:sz w:val="24"/>
          <w:vertAlign w:val="superscript"/>
        </w:rPr>
        <w:t>3</w:t>
      </w:r>
      <w:r>
        <w:rPr>
          <w:bCs/>
          <w:color w:val="000000" w:themeColor="text1"/>
          <w:sz w:val="24"/>
        </w:rPr>
        <w:t>/a。</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⑤</w:t>
      </w:r>
      <w:r>
        <w:rPr>
          <w:rFonts w:ascii="Times New Roman" w:hAnsi="Times New Roman" w:cs="Times New Roman"/>
          <w:color w:val="000000" w:themeColor="text1"/>
        </w:rPr>
        <w:t>消毒污水</w:t>
      </w:r>
    </w:p>
    <w:p>
      <w:pPr>
        <w:pStyle w:val="132"/>
        <w:ind w:firstLine="480"/>
        <w:rPr>
          <w:rFonts w:ascii="Times New Roman" w:hAnsi="Times New Roman" w:cs="Times New Roman"/>
          <w:bCs/>
          <w:color w:val="000000" w:themeColor="text1"/>
        </w:rPr>
      </w:pPr>
      <w:r>
        <w:rPr>
          <w:rFonts w:ascii="Times New Roman" w:hAnsi="Times New Roman" w:cs="Times New Roman"/>
          <w:color w:val="000000" w:themeColor="text1"/>
        </w:rPr>
        <w:t>项目采用喷洒和喷雾方式消毒，消毒水经自然蒸发消纳，无污水产生</w:t>
      </w:r>
      <w:r>
        <w:rPr>
          <w:rFonts w:ascii="Times New Roman" w:hAnsi="Times New Roman" w:cs="Times New Roman"/>
          <w:bCs/>
          <w:color w:val="000000" w:themeColor="text1"/>
        </w:rPr>
        <w:t>。</w:t>
      </w:r>
    </w:p>
    <w:p>
      <w:pPr>
        <w:pStyle w:val="201"/>
        <w:ind w:firstLine="480"/>
        <w:rPr>
          <w:color w:val="000000" w:themeColor="text1"/>
          <w:sz w:val="24"/>
        </w:rPr>
      </w:pPr>
      <w:r>
        <w:rPr>
          <w:rFonts w:hint="eastAsia"/>
          <w:color w:val="000000" w:themeColor="text1"/>
          <w:sz w:val="24"/>
        </w:rPr>
        <w:t>⑥猪舍水帘降温废水</w:t>
      </w:r>
    </w:p>
    <w:p>
      <w:pPr>
        <w:pStyle w:val="201"/>
        <w:ind w:firstLine="480"/>
        <w:rPr>
          <w:color w:val="000000" w:themeColor="text1"/>
          <w:sz w:val="24"/>
        </w:rPr>
      </w:pPr>
      <w:r>
        <w:rPr>
          <w:rFonts w:hint="eastAsia"/>
          <w:color w:val="000000" w:themeColor="text1"/>
          <w:sz w:val="24"/>
        </w:rPr>
        <w:t>水帘降温用水循环使用，仅补充损耗用水，无废水外排。</w:t>
      </w:r>
    </w:p>
    <w:p>
      <w:pPr>
        <w:pStyle w:val="201"/>
        <w:ind w:firstLine="480"/>
        <w:rPr>
          <w:color w:val="000000" w:themeColor="text1"/>
          <w:sz w:val="24"/>
        </w:rPr>
      </w:pPr>
      <w:r>
        <w:rPr>
          <w:rFonts w:hint="eastAsia"/>
          <w:color w:val="000000" w:themeColor="text1"/>
          <w:sz w:val="24"/>
        </w:rPr>
        <w:t>⑦种植区灌溉废水</w:t>
      </w:r>
    </w:p>
    <w:p>
      <w:pPr>
        <w:pStyle w:val="132"/>
        <w:ind w:firstLine="480"/>
        <w:rPr>
          <w:rFonts w:ascii="Times New Roman" w:hAnsi="Times New Roman" w:cs="Times New Roman"/>
          <w:bCs/>
          <w:color w:val="000000" w:themeColor="text1"/>
        </w:rPr>
      </w:pPr>
      <w:r>
        <w:rPr>
          <w:rFonts w:hint="eastAsia"/>
          <w:color w:val="000000" w:themeColor="text1"/>
        </w:rPr>
        <w:t>种植区灌溉采用常规地面灌溉，无废水产生。</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（3）初期雨水</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本项目在</w:t>
      </w:r>
      <w:r>
        <w:rPr>
          <w:rFonts w:hint="eastAsia" w:ascii="Times New Roman" w:hAnsi="Times New Roman" w:cs="Times New Roman"/>
          <w:color w:val="000000" w:themeColor="text1"/>
        </w:rPr>
        <w:t>东南</w:t>
      </w:r>
      <w:r>
        <w:rPr>
          <w:rFonts w:ascii="Times New Roman" w:hAnsi="Times New Roman" w:cs="Times New Roman"/>
          <w:color w:val="000000" w:themeColor="text1"/>
        </w:rPr>
        <w:t>部势较低处设800m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雨水收集池1座，收集后的雨水经过沉淀处理后用于猪舍冲洗。</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w:t>
      </w:r>
      <w:r>
        <w:rPr>
          <w:rFonts w:hint="eastAsia" w:ascii="Times New Roman" w:hAnsi="Times New Roman" w:cs="Times New Roman"/>
          <w:color w:val="000000" w:themeColor="text1"/>
        </w:rPr>
        <w:t>新平</w:t>
      </w:r>
      <w:r>
        <w:rPr>
          <w:rFonts w:ascii="Times New Roman" w:hAnsi="Times New Roman" w:cs="Times New Roman"/>
          <w:color w:val="000000" w:themeColor="text1"/>
        </w:rPr>
        <w:t>县气象站气象资料，</w:t>
      </w:r>
      <w:r>
        <w:rPr>
          <w:rFonts w:hint="eastAsia" w:ascii="Times New Roman" w:hAnsi="Times New Roman" w:cs="Times New Roman"/>
          <w:color w:val="000000" w:themeColor="text1"/>
        </w:rPr>
        <w:t>新平县</w:t>
      </w:r>
      <w:r>
        <w:rPr>
          <w:rFonts w:ascii="Times New Roman" w:hAnsi="Times New Roman" w:cs="Times New Roman"/>
          <w:color w:val="000000" w:themeColor="text1"/>
        </w:rPr>
        <w:t>多年平均降雨量为93</w:t>
      </w:r>
      <w:r>
        <w:rPr>
          <w:rFonts w:hint="eastAsia" w:ascii="Times New Roman" w:hAnsi="Times New Roman" w:cs="Times New Roman"/>
          <w:color w:val="000000" w:themeColor="text1"/>
        </w:rPr>
        <w:t>2.9</w:t>
      </w:r>
      <w:r>
        <w:rPr>
          <w:rFonts w:ascii="Times New Roman" w:hAnsi="Times New Roman" w:cs="Times New Roman"/>
          <w:color w:val="000000" w:themeColor="text1"/>
        </w:rPr>
        <w:t>mm，最大日降雨量</w:t>
      </w:r>
      <w:r>
        <w:rPr>
          <w:rFonts w:hint="eastAsia" w:ascii="Times New Roman" w:hAnsi="Times New Roman" w:cs="Times New Roman"/>
          <w:color w:val="000000" w:themeColor="text1"/>
        </w:rPr>
        <w:t>129</w:t>
      </w:r>
      <w:r>
        <w:rPr>
          <w:rFonts w:ascii="Times New Roman" w:hAnsi="Times New Roman" w:cs="Times New Roman"/>
          <w:color w:val="000000" w:themeColor="text1"/>
        </w:rPr>
        <w:t>mm，根据《建筑与小区雨水利用工程技术规范》（GB50400-2006）中的有关规范，场地初期雨水量的计算采用最大暴雨的前</w:t>
      </w:r>
      <w:r>
        <w:rPr>
          <w:rFonts w:hint="eastAsia" w:ascii="Times New Roman" w:hAnsi="Times New Roman" w:cs="Times New Roman"/>
          <w:color w:val="000000" w:themeColor="text1"/>
        </w:rPr>
        <w:t>30</w:t>
      </w:r>
      <w:r>
        <w:rPr>
          <w:rFonts w:ascii="Times New Roman" w:hAnsi="Times New Roman" w:cs="Times New Roman"/>
          <w:color w:val="000000" w:themeColor="text1"/>
        </w:rPr>
        <w:t>分钟，按下述经验公式估算：</w:t>
      </w:r>
    </w:p>
    <w:p>
      <w:pPr>
        <w:pStyle w:val="132"/>
        <w:ind w:firstLine="480"/>
        <w:jc w:val="center"/>
        <w:rPr>
          <w:rFonts w:ascii="Times New Roman" w:hAnsi="Times New Roman" w:cs="Times New Roman"/>
          <w:color w:val="000000" w:themeColor="text1"/>
        </w:rPr>
      </w:pPr>
      <w:r>
        <w:rPr>
          <w:rFonts w:ascii="Times New Roman" w:hAnsi="Times New Roman" w:cs="Times New Roman"/>
          <w:i/>
          <w:color w:val="000000" w:themeColor="text1"/>
        </w:rPr>
        <w:t>W</w:t>
      </w:r>
      <w:r>
        <w:rPr>
          <w:rFonts w:ascii="Times New Roman" w:hAnsi="Times New Roman" w:cs="Times New Roman"/>
          <w:i/>
          <w:color w:val="000000" w:themeColor="text1"/>
          <w:vertAlign w:val="subscript"/>
        </w:rPr>
        <w:t>i</w:t>
      </w:r>
      <w:r>
        <w:rPr>
          <w:rFonts w:ascii="Times New Roman" w:hAnsi="Times New Roman" w:cs="Times New Roman"/>
          <w:i/>
          <w:color w:val="000000" w:themeColor="text1"/>
        </w:rPr>
        <w:t>=S</w:t>
      </w:r>
      <w:r>
        <w:rPr>
          <w:rFonts w:ascii="Times New Roman" w:hAnsi="Times New Roman" w:cs="Times New Roman"/>
          <w:color w:val="000000" w:themeColor="text1"/>
        </w:rPr>
        <w:t>×</w:t>
      </w:r>
      <w:r>
        <w:rPr>
          <w:rFonts w:ascii="Times New Roman" w:hAnsi="Times New Roman" w:cs="Times New Roman"/>
          <w:i/>
          <w:color w:val="000000" w:themeColor="text1"/>
        </w:rPr>
        <w:t>Q</w:t>
      </w:r>
      <w:r>
        <w:rPr>
          <w:rFonts w:ascii="Times New Roman" w:hAnsi="Times New Roman" w:cs="Times New Roman"/>
          <w:color w:val="000000" w:themeColor="text1"/>
        </w:rPr>
        <w:t>×10</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×1/</w:t>
      </w:r>
      <w:r>
        <w:rPr>
          <w:rFonts w:hint="eastAsia" w:ascii="Times New Roman" w:hAnsi="Times New Roman" w:cs="Times New Roman"/>
          <w:color w:val="000000" w:themeColor="text1"/>
        </w:rPr>
        <w:t>2</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式中：</w:t>
      </w:r>
    </w:p>
    <w:p>
      <w:pPr>
        <w:pStyle w:val="132"/>
        <w:ind w:firstLine="1080" w:firstLineChars="450"/>
        <w:rPr>
          <w:rFonts w:ascii="Times New Roman" w:hAnsi="Times New Roman" w:cs="Times New Roman"/>
          <w:color w:val="000000" w:themeColor="text1"/>
        </w:rPr>
      </w:pPr>
      <w:r>
        <w:rPr>
          <w:rFonts w:ascii="Times New Roman" w:hAnsi="Times New Roman" w:cs="Times New Roman"/>
          <w:i/>
          <w:color w:val="000000" w:themeColor="text1"/>
        </w:rPr>
        <w:t>W</w:t>
      </w:r>
      <w:r>
        <w:rPr>
          <w:rFonts w:ascii="Times New Roman" w:hAnsi="Times New Roman" w:cs="Times New Roman"/>
          <w:i/>
          <w:color w:val="000000" w:themeColor="text1"/>
          <w:vertAlign w:val="subscript"/>
        </w:rPr>
        <w:t>i</w:t>
      </w:r>
      <w:r>
        <w:rPr>
          <w:rFonts w:ascii="Times New Roman" w:hAnsi="Times New Roman" w:cs="Times New Roman"/>
          <w:color w:val="000000" w:themeColor="text1"/>
        </w:rPr>
        <w:t>——初期雨水量（m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/次）；</w:t>
      </w:r>
    </w:p>
    <w:p>
      <w:pPr>
        <w:pStyle w:val="132"/>
        <w:ind w:firstLine="480"/>
        <w:rPr>
          <w:rFonts w:ascii="Times New Roman" w:hAnsi="Times New Roman" w:cs="Times New Roman"/>
          <w:color w:val="000000" w:themeColor="text1"/>
        </w:rPr>
      </w:pPr>
      <w:r>
        <w:rPr>
          <w:rFonts w:ascii="Times New Roman" w:hAnsi="Times New Roman" w:cs="Times New Roman"/>
          <w:i/>
          <w:color w:val="000000" w:themeColor="text1"/>
        </w:rPr>
        <w:t xml:space="preserve">     Q</w:t>
      </w:r>
      <w:r>
        <w:rPr>
          <w:rFonts w:ascii="Times New Roman" w:hAnsi="Times New Roman" w:cs="Times New Roman"/>
          <w:color w:val="000000" w:themeColor="text1"/>
        </w:rPr>
        <w:t>——降雨量×0.1（mm）；</w:t>
      </w:r>
    </w:p>
    <w:p>
      <w:pPr>
        <w:pStyle w:val="132"/>
        <w:ind w:firstLine="960" w:firstLineChars="400"/>
        <w:rPr>
          <w:rFonts w:ascii="Times New Roman" w:hAnsi="Times New Roman" w:cs="Times New Roman"/>
          <w:color w:val="000000" w:themeColor="text1"/>
        </w:rPr>
      </w:pPr>
      <w:r>
        <w:rPr>
          <w:rFonts w:ascii="Times New Roman" w:hAnsi="Times New Roman" w:cs="Times New Roman"/>
          <w:i/>
          <w:color w:val="000000" w:themeColor="text1"/>
        </w:rPr>
        <w:t xml:space="preserve"> S</w:t>
      </w:r>
      <w:r>
        <w:rPr>
          <w:rFonts w:ascii="Times New Roman" w:hAnsi="Times New Roman" w:cs="Times New Roman"/>
          <w:color w:val="000000" w:themeColor="text1"/>
        </w:rPr>
        <w:t>——汇水面积（m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w:t>
      </w:r>
      <w:r>
        <w:rPr>
          <w:rFonts w:hint="eastAsia" w:ascii="Times New Roman" w:hAnsi="Times New Roman" w:cs="Times New Roman"/>
          <w:color w:val="000000" w:themeColor="text1"/>
        </w:rPr>
        <w:t>构筑物（猪舍、办公区、生活区等）及</w:t>
      </w:r>
      <w:r>
        <w:rPr>
          <w:rFonts w:ascii="Times New Roman" w:hAnsi="Times New Roman" w:cs="Times New Roman"/>
          <w:color w:val="000000" w:themeColor="text1"/>
        </w:rPr>
        <w:t>场区</w:t>
      </w:r>
      <w:r>
        <w:rPr>
          <w:rFonts w:hint="eastAsia" w:ascii="Times New Roman" w:hAnsi="Times New Roman" w:cs="Times New Roman"/>
          <w:color w:val="000000" w:themeColor="text1"/>
        </w:rPr>
        <w:t>道路</w:t>
      </w:r>
      <w:r>
        <w:rPr>
          <w:rFonts w:ascii="Times New Roman" w:hAnsi="Times New Roman" w:cs="Times New Roman"/>
          <w:color w:val="000000" w:themeColor="text1"/>
        </w:rPr>
        <w:t>面积为</w:t>
      </w:r>
      <w:r>
        <w:rPr>
          <w:rFonts w:hint="eastAsia" w:ascii="Times New Roman" w:hAnsi="Times New Roman" w:cs="Times New Roman"/>
          <w:color w:val="000000" w:themeColor="text1"/>
          <w:szCs w:val="22"/>
        </w:rPr>
        <w:t>11751.8</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根据以上计算方法计算，项目厂区</w:t>
      </w:r>
      <w:r>
        <w:rPr>
          <w:rFonts w:hint="eastAsia" w:ascii="Times New Roman" w:hAnsi="Times New Roman" w:cs="Times New Roman"/>
          <w:color w:val="000000" w:themeColor="text1"/>
        </w:rPr>
        <w:t>30</w:t>
      </w:r>
      <w:r>
        <w:rPr>
          <w:rFonts w:ascii="Times New Roman" w:hAnsi="Times New Roman" w:cs="Times New Roman"/>
          <w:color w:val="000000" w:themeColor="text1"/>
        </w:rPr>
        <w:t>分钟雨水最大产生量为</w:t>
      </w:r>
      <w:r>
        <w:rPr>
          <w:rFonts w:hint="eastAsia" w:ascii="Times New Roman" w:hAnsi="Times New Roman" w:cs="Times New Roman"/>
          <w:color w:val="000000" w:themeColor="text1"/>
        </w:rPr>
        <w:t>75.8</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（4）水污染物产生情况</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本项目猪只尿液、猪舍冲洗废水及食堂生活污水产生的综合废水污染物浓度根据《畜禽养殖业污染治理工程技术规范（HJ497-2009）》的统计均值，详见表3.4-</w:t>
      </w:r>
      <w:r>
        <w:rPr>
          <w:rFonts w:hint="eastAsia" w:ascii="Times New Roman" w:hAnsi="Times New Roman" w:cs="Times New Roman"/>
          <w:color w:val="000000" w:themeColor="text1"/>
        </w:rPr>
        <w:t>10</w:t>
      </w:r>
      <w:r>
        <w:rPr>
          <w:rFonts w:ascii="Times New Roman" w:hAnsi="Times New Roman" w:cs="Times New Roman"/>
          <w:color w:val="000000" w:themeColor="text1"/>
        </w:rPr>
        <w:t>。</w:t>
      </w:r>
    </w:p>
    <w:p>
      <w:pPr>
        <w:autoSpaceDE w:val="0"/>
        <w:autoSpaceDN w:val="0"/>
        <w:adjustRightInd w:val="0"/>
        <w:snapToGrid w:val="0"/>
        <w:spacing w:line="240" w:lineRule="auto"/>
        <w:jc w:val="center"/>
        <w:rPr>
          <w:b/>
          <w:color w:val="000000" w:themeColor="text1"/>
          <w:kern w:val="0"/>
          <w:szCs w:val="21"/>
        </w:rPr>
      </w:pPr>
      <w:r>
        <w:rPr>
          <w:b/>
          <w:color w:val="000000" w:themeColor="text1"/>
          <w:kern w:val="0"/>
          <w:szCs w:val="21"/>
        </w:rPr>
        <w:t>表3.4-</w:t>
      </w:r>
      <w:r>
        <w:rPr>
          <w:rFonts w:hint="eastAsia"/>
          <w:b/>
          <w:color w:val="000000" w:themeColor="text1"/>
          <w:kern w:val="0"/>
          <w:szCs w:val="21"/>
        </w:rPr>
        <w:t xml:space="preserve">10  </w:t>
      </w:r>
      <w:r>
        <w:rPr>
          <w:b/>
          <w:color w:val="000000" w:themeColor="text1"/>
          <w:kern w:val="0"/>
          <w:szCs w:val="21"/>
        </w:rPr>
        <w:t>畜禽养殖主要水污染物及其来源</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453"/>
        <w:gridCol w:w="1453"/>
        <w:gridCol w:w="1451"/>
        <w:gridCol w:w="1059"/>
        <w:gridCol w:w="960"/>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pPr>
              <w:autoSpaceDE w:val="0"/>
              <w:autoSpaceDN w:val="0"/>
              <w:adjustRightInd w:val="0"/>
              <w:snapToGrid w:val="0"/>
              <w:spacing w:line="240" w:lineRule="auto"/>
              <w:jc w:val="center"/>
              <w:rPr>
                <w:b/>
                <w:color w:val="000000" w:themeColor="text1"/>
                <w:kern w:val="0"/>
                <w:szCs w:val="21"/>
              </w:rPr>
            </w:pPr>
            <w:r>
              <w:rPr>
                <w:b/>
                <w:color w:val="000000" w:themeColor="text1"/>
                <w:kern w:val="0"/>
                <w:szCs w:val="21"/>
              </w:rPr>
              <w:t>养殖种类</w:t>
            </w:r>
          </w:p>
        </w:tc>
        <w:tc>
          <w:tcPr>
            <w:tcW w:w="852" w:type="pct"/>
            <w:vAlign w:val="center"/>
          </w:tcPr>
          <w:p>
            <w:pPr>
              <w:autoSpaceDE w:val="0"/>
              <w:autoSpaceDN w:val="0"/>
              <w:adjustRightInd w:val="0"/>
              <w:snapToGrid w:val="0"/>
              <w:spacing w:line="240" w:lineRule="auto"/>
              <w:jc w:val="center"/>
              <w:rPr>
                <w:b/>
                <w:color w:val="000000" w:themeColor="text1"/>
                <w:kern w:val="0"/>
                <w:szCs w:val="21"/>
              </w:rPr>
            </w:pPr>
            <w:r>
              <w:rPr>
                <w:b/>
                <w:color w:val="000000" w:themeColor="text1"/>
                <w:kern w:val="0"/>
                <w:szCs w:val="21"/>
              </w:rPr>
              <w:t>清粪方式</w:t>
            </w:r>
          </w:p>
        </w:tc>
        <w:tc>
          <w:tcPr>
            <w:tcW w:w="852" w:type="pct"/>
            <w:vAlign w:val="center"/>
          </w:tcPr>
          <w:p>
            <w:pPr>
              <w:autoSpaceDE w:val="0"/>
              <w:autoSpaceDN w:val="0"/>
              <w:adjustRightInd w:val="0"/>
              <w:snapToGrid w:val="0"/>
              <w:spacing w:line="240" w:lineRule="auto"/>
              <w:jc w:val="center"/>
              <w:rPr>
                <w:b/>
                <w:bCs/>
                <w:color w:val="000000" w:themeColor="text1"/>
                <w:kern w:val="0"/>
                <w:szCs w:val="21"/>
              </w:rPr>
            </w:pPr>
            <w:r>
              <w:rPr>
                <w:b/>
                <w:bCs/>
                <w:color w:val="000000" w:themeColor="text1"/>
                <w:kern w:val="0"/>
                <w:szCs w:val="21"/>
              </w:rPr>
              <w:t>COD</w:t>
            </w:r>
          </w:p>
          <w:p>
            <w:pPr>
              <w:autoSpaceDE w:val="0"/>
              <w:autoSpaceDN w:val="0"/>
              <w:adjustRightInd w:val="0"/>
              <w:snapToGrid w:val="0"/>
              <w:spacing w:line="240" w:lineRule="auto"/>
              <w:jc w:val="center"/>
              <w:rPr>
                <w:b/>
                <w:color w:val="000000" w:themeColor="text1"/>
                <w:kern w:val="0"/>
                <w:szCs w:val="21"/>
              </w:rPr>
            </w:pPr>
            <w:r>
              <w:rPr>
                <w:b/>
                <w:bCs/>
                <w:color w:val="000000" w:themeColor="text1"/>
                <w:kern w:val="0"/>
                <w:szCs w:val="21"/>
              </w:rPr>
              <w:t>(mg/L)</w:t>
            </w:r>
          </w:p>
        </w:tc>
        <w:tc>
          <w:tcPr>
            <w:tcW w:w="851" w:type="pct"/>
            <w:vAlign w:val="center"/>
          </w:tcPr>
          <w:p>
            <w:pPr>
              <w:autoSpaceDE w:val="0"/>
              <w:autoSpaceDN w:val="0"/>
              <w:adjustRightInd w:val="0"/>
              <w:snapToGrid w:val="0"/>
              <w:spacing w:line="240" w:lineRule="auto"/>
              <w:jc w:val="center"/>
              <w:rPr>
                <w:b/>
                <w:bCs/>
                <w:color w:val="000000" w:themeColor="text1"/>
                <w:kern w:val="0"/>
                <w:szCs w:val="21"/>
              </w:rPr>
            </w:pPr>
            <w:r>
              <w:rPr>
                <w:b/>
                <w:bCs/>
                <w:color w:val="000000" w:themeColor="text1"/>
                <w:kern w:val="0"/>
                <w:szCs w:val="21"/>
              </w:rPr>
              <w:t>NH</w:t>
            </w:r>
            <w:r>
              <w:rPr>
                <w:b/>
                <w:bCs/>
                <w:color w:val="000000" w:themeColor="text1"/>
                <w:kern w:val="0"/>
                <w:szCs w:val="21"/>
                <w:vertAlign w:val="subscript"/>
              </w:rPr>
              <w:t>3</w:t>
            </w:r>
            <w:r>
              <w:rPr>
                <w:b/>
                <w:bCs/>
                <w:color w:val="000000" w:themeColor="text1"/>
                <w:kern w:val="0"/>
                <w:szCs w:val="21"/>
              </w:rPr>
              <w:t>-N</w:t>
            </w:r>
          </w:p>
          <w:p>
            <w:pPr>
              <w:autoSpaceDE w:val="0"/>
              <w:autoSpaceDN w:val="0"/>
              <w:adjustRightInd w:val="0"/>
              <w:snapToGrid w:val="0"/>
              <w:spacing w:line="240" w:lineRule="auto"/>
              <w:jc w:val="center"/>
              <w:rPr>
                <w:b/>
                <w:color w:val="000000" w:themeColor="text1"/>
                <w:kern w:val="0"/>
                <w:szCs w:val="21"/>
              </w:rPr>
            </w:pPr>
            <w:r>
              <w:rPr>
                <w:b/>
                <w:bCs/>
                <w:color w:val="000000" w:themeColor="text1"/>
                <w:kern w:val="0"/>
                <w:szCs w:val="21"/>
              </w:rPr>
              <w:t>(mg/L)</w:t>
            </w:r>
          </w:p>
        </w:tc>
        <w:tc>
          <w:tcPr>
            <w:tcW w:w="621" w:type="pct"/>
            <w:vAlign w:val="center"/>
          </w:tcPr>
          <w:p>
            <w:pPr>
              <w:autoSpaceDE w:val="0"/>
              <w:autoSpaceDN w:val="0"/>
              <w:adjustRightInd w:val="0"/>
              <w:snapToGrid w:val="0"/>
              <w:spacing w:line="240" w:lineRule="auto"/>
              <w:jc w:val="center"/>
              <w:rPr>
                <w:b/>
                <w:bCs/>
                <w:color w:val="000000" w:themeColor="text1"/>
                <w:kern w:val="0"/>
                <w:szCs w:val="21"/>
              </w:rPr>
            </w:pPr>
            <w:r>
              <w:rPr>
                <w:b/>
                <w:bCs/>
                <w:color w:val="000000" w:themeColor="text1"/>
                <w:kern w:val="0"/>
                <w:szCs w:val="21"/>
              </w:rPr>
              <w:t>TP</w:t>
            </w:r>
          </w:p>
          <w:p>
            <w:pPr>
              <w:autoSpaceDE w:val="0"/>
              <w:autoSpaceDN w:val="0"/>
              <w:adjustRightInd w:val="0"/>
              <w:snapToGrid w:val="0"/>
              <w:spacing w:line="240" w:lineRule="auto"/>
              <w:jc w:val="center"/>
              <w:rPr>
                <w:b/>
                <w:color w:val="000000" w:themeColor="text1"/>
                <w:kern w:val="0"/>
                <w:szCs w:val="21"/>
              </w:rPr>
            </w:pPr>
            <w:r>
              <w:rPr>
                <w:b/>
                <w:bCs/>
                <w:color w:val="000000" w:themeColor="text1"/>
                <w:kern w:val="0"/>
                <w:szCs w:val="21"/>
              </w:rPr>
              <w:t>(mg/L)</w:t>
            </w:r>
          </w:p>
        </w:tc>
        <w:tc>
          <w:tcPr>
            <w:tcW w:w="563" w:type="pct"/>
            <w:vAlign w:val="center"/>
          </w:tcPr>
          <w:p>
            <w:pPr>
              <w:widowControl/>
              <w:spacing w:line="240" w:lineRule="auto"/>
              <w:jc w:val="center"/>
              <w:rPr>
                <w:b/>
                <w:color w:val="000000" w:themeColor="text1"/>
                <w:kern w:val="0"/>
                <w:szCs w:val="21"/>
              </w:rPr>
            </w:pPr>
            <w:r>
              <w:rPr>
                <w:rFonts w:hint="eastAsia"/>
                <w:b/>
                <w:color w:val="000000" w:themeColor="text1"/>
                <w:kern w:val="0"/>
                <w:szCs w:val="21"/>
              </w:rPr>
              <w:t>TN</w:t>
            </w:r>
          </w:p>
          <w:p>
            <w:pPr>
              <w:autoSpaceDE w:val="0"/>
              <w:autoSpaceDN w:val="0"/>
              <w:adjustRightInd w:val="0"/>
              <w:snapToGrid w:val="0"/>
              <w:spacing w:line="240" w:lineRule="auto"/>
              <w:jc w:val="center"/>
              <w:rPr>
                <w:b/>
                <w:color w:val="000000" w:themeColor="text1"/>
                <w:kern w:val="0"/>
                <w:szCs w:val="21"/>
              </w:rPr>
            </w:pPr>
            <w:r>
              <w:rPr>
                <w:b/>
                <w:bCs/>
                <w:color w:val="000000" w:themeColor="text1"/>
                <w:kern w:val="0"/>
                <w:szCs w:val="21"/>
              </w:rPr>
              <w:t>(mg/L)</w:t>
            </w:r>
          </w:p>
        </w:tc>
        <w:tc>
          <w:tcPr>
            <w:tcW w:w="614" w:type="pct"/>
            <w:vAlign w:val="center"/>
          </w:tcPr>
          <w:p>
            <w:pPr>
              <w:autoSpaceDE w:val="0"/>
              <w:autoSpaceDN w:val="0"/>
              <w:adjustRightInd w:val="0"/>
              <w:snapToGrid w:val="0"/>
              <w:spacing w:line="240" w:lineRule="auto"/>
              <w:jc w:val="center"/>
              <w:rPr>
                <w:b/>
                <w:color w:val="000000" w:themeColor="text1"/>
                <w:kern w:val="0"/>
                <w:szCs w:val="21"/>
              </w:rPr>
            </w:pPr>
            <w:r>
              <w:rPr>
                <w:b/>
                <w:bCs/>
                <w:color w:val="000000" w:themeColor="text1"/>
                <w:kern w:val="0"/>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猪</w:t>
            </w:r>
          </w:p>
        </w:tc>
        <w:tc>
          <w:tcPr>
            <w:tcW w:w="852" w:type="pct"/>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干清粪</w:t>
            </w:r>
          </w:p>
        </w:tc>
        <w:tc>
          <w:tcPr>
            <w:tcW w:w="852" w:type="pct"/>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2500～2770</w:t>
            </w:r>
          </w:p>
        </w:tc>
        <w:tc>
          <w:tcPr>
            <w:tcW w:w="851" w:type="pct"/>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234～288</w:t>
            </w:r>
          </w:p>
        </w:tc>
        <w:tc>
          <w:tcPr>
            <w:tcW w:w="621" w:type="pct"/>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35～50</w:t>
            </w:r>
          </w:p>
        </w:tc>
        <w:tc>
          <w:tcPr>
            <w:tcW w:w="563" w:type="pct"/>
            <w:vAlign w:val="center"/>
          </w:tcPr>
          <w:p>
            <w:pPr>
              <w:autoSpaceDE w:val="0"/>
              <w:autoSpaceDN w:val="0"/>
              <w:adjustRightInd w:val="0"/>
              <w:snapToGrid w:val="0"/>
              <w:spacing w:line="240" w:lineRule="auto"/>
              <w:jc w:val="center"/>
              <w:rPr>
                <w:color w:val="000000" w:themeColor="text1"/>
                <w:kern w:val="0"/>
                <w:szCs w:val="21"/>
              </w:rPr>
            </w:pPr>
            <w:r>
              <w:rPr>
                <w:rFonts w:hint="eastAsia"/>
                <w:color w:val="000000" w:themeColor="text1"/>
                <w:kern w:val="0"/>
                <w:szCs w:val="21"/>
              </w:rPr>
              <w:t>317~423</w:t>
            </w:r>
          </w:p>
        </w:tc>
        <w:tc>
          <w:tcPr>
            <w:tcW w:w="614" w:type="pct"/>
            <w:vAlign w:val="center"/>
          </w:tcPr>
          <w:p>
            <w:pPr>
              <w:autoSpaceDE w:val="0"/>
              <w:autoSpaceDN w:val="0"/>
              <w:adjustRightInd w:val="0"/>
              <w:snapToGrid w:val="0"/>
              <w:spacing w:line="240" w:lineRule="auto"/>
              <w:jc w:val="center"/>
              <w:rPr>
                <w:color w:val="000000" w:themeColor="text1"/>
                <w:kern w:val="0"/>
                <w:szCs w:val="21"/>
              </w:rPr>
            </w:pPr>
            <w:r>
              <w:rPr>
                <w:color w:val="000000" w:themeColor="text1"/>
                <w:kern w:val="0"/>
                <w:szCs w:val="21"/>
              </w:rPr>
              <w:t>6.3～7.5</w:t>
            </w:r>
          </w:p>
        </w:tc>
      </w:tr>
    </w:tbl>
    <w:p>
      <w:pPr>
        <w:pStyle w:val="158"/>
        <w:jc w:val="left"/>
        <w:rPr>
          <w:b w:val="0"/>
          <w:color w:val="000000" w:themeColor="text1"/>
        </w:rPr>
      </w:pPr>
      <w:r>
        <w:rPr>
          <w:b w:val="0"/>
          <w:color w:val="000000" w:themeColor="text1"/>
          <w:kern w:val="0"/>
        </w:rPr>
        <w:t>项目根据标准化养殖要求，采用</w:t>
      </w:r>
      <w:r>
        <w:rPr>
          <w:b w:val="0"/>
          <w:color w:val="000000" w:themeColor="text1"/>
        </w:rPr>
        <w:t>干清粪技术，因此，污染物的产生量较水冲粪得以大幅削减。项目水污染物产生及排放情况见表3.4-1</w:t>
      </w:r>
      <w:r>
        <w:rPr>
          <w:rFonts w:hint="eastAsia"/>
          <w:b w:val="0"/>
          <w:color w:val="000000" w:themeColor="text1"/>
        </w:rPr>
        <w:t>1</w:t>
      </w:r>
      <w:r>
        <w:rPr>
          <w:b w:val="0"/>
          <w:color w:val="000000" w:themeColor="text1"/>
        </w:rPr>
        <w:t>。</w:t>
      </w:r>
    </w:p>
    <w:p>
      <w:pPr>
        <w:pStyle w:val="158"/>
        <w:spacing w:line="240" w:lineRule="auto"/>
        <w:rPr>
          <w:color w:val="000000" w:themeColor="text1"/>
          <w:sz w:val="21"/>
          <w:szCs w:val="21"/>
        </w:rPr>
      </w:pPr>
      <w:r>
        <w:rPr>
          <w:color w:val="000000" w:themeColor="text1"/>
          <w:sz w:val="21"/>
          <w:szCs w:val="21"/>
        </w:rPr>
        <w:t>表3.4-1</w:t>
      </w:r>
      <w:r>
        <w:rPr>
          <w:rFonts w:hint="eastAsia"/>
          <w:color w:val="000000" w:themeColor="text1"/>
          <w:sz w:val="21"/>
          <w:szCs w:val="21"/>
        </w:rPr>
        <w:t>1</w:t>
      </w:r>
      <w:r>
        <w:rPr>
          <w:color w:val="000000" w:themeColor="text1"/>
          <w:sz w:val="21"/>
          <w:szCs w:val="21"/>
        </w:rPr>
        <w:t xml:space="preserve">  废水污染物产生源强</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527"/>
        <w:gridCol w:w="2282"/>
        <w:gridCol w:w="1658"/>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restart"/>
            <w:vAlign w:val="center"/>
          </w:tcPr>
          <w:p>
            <w:pPr>
              <w:pStyle w:val="100"/>
              <w:rPr>
                <w:rFonts w:ascii="Times New Roman" w:hAnsi="Times New Roman" w:cs="Times New Roman"/>
                <w:b/>
                <w:color w:val="000000" w:themeColor="text1"/>
                <w:szCs w:val="21"/>
              </w:rPr>
            </w:pPr>
            <w:r>
              <w:rPr>
                <w:rFonts w:ascii="Times New Roman" w:hAnsi="Times New Roman" w:cs="Times New Roman"/>
                <w:b/>
                <w:color w:val="000000" w:themeColor="text1"/>
                <w:szCs w:val="21"/>
              </w:rPr>
              <w:t>种类</w:t>
            </w:r>
          </w:p>
        </w:tc>
        <w:tc>
          <w:tcPr>
            <w:tcW w:w="895" w:type="pct"/>
            <w:vMerge w:val="restart"/>
            <w:vAlign w:val="center"/>
          </w:tcPr>
          <w:p>
            <w:pPr>
              <w:pStyle w:val="100"/>
              <w:rPr>
                <w:rFonts w:ascii="Times New Roman" w:hAnsi="Times New Roman" w:cs="Times New Roman"/>
                <w:b/>
                <w:color w:val="000000" w:themeColor="text1"/>
                <w:szCs w:val="21"/>
              </w:rPr>
            </w:pPr>
            <w:r>
              <w:rPr>
                <w:rFonts w:ascii="Times New Roman" w:hAnsi="Times New Roman" w:cs="Times New Roman"/>
                <w:b/>
                <w:color w:val="000000" w:themeColor="text1"/>
                <w:szCs w:val="21"/>
              </w:rPr>
              <w:t>废水量</w:t>
            </w:r>
          </w:p>
        </w:tc>
        <w:tc>
          <w:tcPr>
            <w:tcW w:w="1338" w:type="pct"/>
            <w:vMerge w:val="restart"/>
            <w:vAlign w:val="center"/>
          </w:tcPr>
          <w:p>
            <w:pPr>
              <w:pStyle w:val="100"/>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污染因子</w:t>
            </w:r>
          </w:p>
        </w:tc>
        <w:tc>
          <w:tcPr>
            <w:tcW w:w="1844" w:type="pct"/>
            <w:gridSpan w:val="2"/>
            <w:vAlign w:val="center"/>
          </w:tcPr>
          <w:p>
            <w:pPr>
              <w:pStyle w:val="100"/>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Merge w:val="continue"/>
            <w:vAlign w:val="center"/>
          </w:tcPr>
          <w:p>
            <w:pPr>
              <w:pStyle w:val="100"/>
              <w:rPr>
                <w:rFonts w:ascii="Times New Roman" w:hAnsi="Times New Roman" w:cs="Times New Roman"/>
                <w:color w:val="000000" w:themeColor="text1"/>
                <w:szCs w:val="21"/>
              </w:rPr>
            </w:pPr>
          </w:p>
        </w:tc>
        <w:tc>
          <w:tcPr>
            <w:tcW w:w="972" w:type="pct"/>
            <w:vAlign w:val="center"/>
          </w:tcPr>
          <w:p>
            <w:pPr>
              <w:pStyle w:val="100"/>
              <w:rPr>
                <w:rFonts w:ascii="Times New Roman" w:hAnsi="Times New Roman" w:cs="Times New Roman"/>
                <w:b/>
                <w:color w:val="000000" w:themeColor="text1"/>
                <w:szCs w:val="21"/>
              </w:rPr>
            </w:pPr>
            <w:r>
              <w:rPr>
                <w:rFonts w:ascii="Times New Roman" w:hAnsi="Times New Roman" w:cs="Times New Roman"/>
                <w:b/>
                <w:color w:val="000000" w:themeColor="text1"/>
                <w:szCs w:val="21"/>
              </w:rPr>
              <w:t>mg/L</w:t>
            </w:r>
          </w:p>
        </w:tc>
        <w:tc>
          <w:tcPr>
            <w:tcW w:w="872" w:type="pct"/>
            <w:vAlign w:val="center"/>
          </w:tcPr>
          <w:p>
            <w:pPr>
              <w:pStyle w:val="100"/>
              <w:rPr>
                <w:rFonts w:ascii="Times New Roman" w:hAnsi="Times New Roman" w:cs="Times New Roman"/>
                <w:b/>
                <w:color w:val="000000" w:themeColor="text1"/>
                <w:szCs w:val="21"/>
              </w:rPr>
            </w:pPr>
            <w:r>
              <w:rPr>
                <w:rFonts w:ascii="Times New Roman" w:hAnsi="Times New Roman" w:cs="Times New Roman"/>
                <w:b/>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restar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猪尿、猪舍冲洗废水</w:t>
            </w:r>
          </w:p>
        </w:tc>
        <w:tc>
          <w:tcPr>
            <w:tcW w:w="895" w:type="pct"/>
            <w:vMerge w:val="restar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11362.6</w:t>
            </w:r>
          </w:p>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/a</w:t>
            </w:r>
          </w:p>
        </w:tc>
        <w:tc>
          <w:tcPr>
            <w:tcW w:w="1338"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COD</w:t>
            </w:r>
          </w:p>
        </w:tc>
        <w:tc>
          <w:tcPr>
            <w:tcW w:w="972"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2640</w:t>
            </w:r>
          </w:p>
        </w:tc>
        <w:tc>
          <w:tcPr>
            <w:tcW w:w="8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T-N</w:t>
            </w:r>
          </w:p>
        </w:tc>
        <w:tc>
          <w:tcPr>
            <w:tcW w:w="9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370</w:t>
            </w:r>
          </w:p>
        </w:tc>
        <w:tc>
          <w:tcPr>
            <w:tcW w:w="8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NH</w:t>
            </w:r>
            <w:r>
              <w:rPr>
                <w:rFonts w:ascii="Times New Roman" w:hAnsi="Times New Roman" w:cs="Times New Roman"/>
                <w:color w:val="000000" w:themeColor="text1"/>
                <w:szCs w:val="21"/>
                <w:vertAlign w:val="subscript"/>
              </w:rPr>
              <w:t>3</w:t>
            </w:r>
            <w:r>
              <w:rPr>
                <w:rFonts w:ascii="Times New Roman" w:hAnsi="Times New Roman" w:cs="Times New Roman"/>
                <w:color w:val="000000" w:themeColor="text1"/>
                <w:szCs w:val="21"/>
              </w:rPr>
              <w:t>-N</w:t>
            </w:r>
          </w:p>
        </w:tc>
        <w:tc>
          <w:tcPr>
            <w:tcW w:w="972"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261</w:t>
            </w:r>
          </w:p>
        </w:tc>
        <w:tc>
          <w:tcPr>
            <w:tcW w:w="8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T-P</w:t>
            </w:r>
          </w:p>
        </w:tc>
        <w:tc>
          <w:tcPr>
            <w:tcW w:w="972"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43.5</w:t>
            </w:r>
          </w:p>
        </w:tc>
        <w:tc>
          <w:tcPr>
            <w:tcW w:w="8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23" w:type="pct"/>
            <w:vMerge w:val="restar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生活</w:t>
            </w:r>
          </w:p>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污水（办公和食堂）及车辆清洗废水</w:t>
            </w:r>
          </w:p>
        </w:tc>
        <w:tc>
          <w:tcPr>
            <w:tcW w:w="895" w:type="pct"/>
            <w:vMerge w:val="restar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490</w:t>
            </w:r>
          </w:p>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/a</w:t>
            </w:r>
          </w:p>
        </w:tc>
        <w:tc>
          <w:tcPr>
            <w:tcW w:w="1338"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COD</w:t>
            </w:r>
          </w:p>
        </w:tc>
        <w:tc>
          <w:tcPr>
            <w:tcW w:w="972"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450</w:t>
            </w:r>
          </w:p>
        </w:tc>
        <w:tc>
          <w:tcPr>
            <w:tcW w:w="8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T-N</w:t>
            </w:r>
          </w:p>
        </w:tc>
        <w:tc>
          <w:tcPr>
            <w:tcW w:w="9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60</w:t>
            </w:r>
          </w:p>
        </w:tc>
        <w:tc>
          <w:tcPr>
            <w:tcW w:w="8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NH</w:t>
            </w:r>
            <w:r>
              <w:rPr>
                <w:rFonts w:ascii="Times New Roman" w:hAnsi="Times New Roman" w:cs="Times New Roman"/>
                <w:color w:val="000000" w:themeColor="text1"/>
                <w:szCs w:val="21"/>
                <w:vertAlign w:val="subscript"/>
              </w:rPr>
              <w:t>3</w:t>
            </w:r>
            <w:r>
              <w:rPr>
                <w:rFonts w:ascii="Times New Roman" w:hAnsi="Times New Roman" w:cs="Times New Roman"/>
                <w:color w:val="000000" w:themeColor="text1"/>
                <w:szCs w:val="21"/>
              </w:rPr>
              <w:t>-N</w:t>
            </w:r>
          </w:p>
        </w:tc>
        <w:tc>
          <w:tcPr>
            <w:tcW w:w="972"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35</w:t>
            </w:r>
          </w:p>
        </w:tc>
        <w:tc>
          <w:tcPr>
            <w:tcW w:w="8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T-P</w:t>
            </w:r>
          </w:p>
        </w:tc>
        <w:tc>
          <w:tcPr>
            <w:tcW w:w="972"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872"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restar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综合污水总计</w:t>
            </w:r>
          </w:p>
        </w:tc>
        <w:tc>
          <w:tcPr>
            <w:tcW w:w="895" w:type="pct"/>
            <w:vMerge w:val="restar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11852.6</w:t>
            </w:r>
          </w:p>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/a</w:t>
            </w:r>
          </w:p>
        </w:tc>
        <w:tc>
          <w:tcPr>
            <w:tcW w:w="1338"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COD</w:t>
            </w:r>
          </w:p>
        </w:tc>
        <w:tc>
          <w:tcPr>
            <w:tcW w:w="972" w:type="pct"/>
            <w:vAlign w:val="center"/>
          </w:tcPr>
          <w:p>
            <w:pPr>
              <w:spacing w:line="240" w:lineRule="auto"/>
              <w:jc w:val="center"/>
              <w:rPr>
                <w:color w:val="000000" w:themeColor="text1"/>
                <w:szCs w:val="21"/>
              </w:rPr>
            </w:pPr>
            <w:r>
              <w:rPr>
                <w:rFonts w:hint="eastAsia"/>
                <w:color w:val="000000" w:themeColor="text1"/>
                <w:szCs w:val="21"/>
              </w:rPr>
              <w:t>2554</w:t>
            </w:r>
          </w:p>
        </w:tc>
        <w:tc>
          <w:tcPr>
            <w:tcW w:w="872" w:type="pct"/>
            <w:vAlign w:val="center"/>
          </w:tcPr>
          <w:p>
            <w:pPr>
              <w:spacing w:line="240" w:lineRule="auto"/>
              <w:jc w:val="center"/>
              <w:rPr>
                <w:color w:val="000000" w:themeColor="text1"/>
                <w:szCs w:val="21"/>
              </w:rPr>
            </w:pPr>
            <w:r>
              <w:rPr>
                <w:rFonts w:hint="eastAsia"/>
                <w:color w:val="000000" w:themeColor="text1"/>
                <w:szCs w:val="21"/>
              </w:rPr>
              <w:t>30.22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Align w:val="center"/>
          </w:tcPr>
          <w:p>
            <w:pPr>
              <w:pStyle w:val="1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T-N</w:t>
            </w:r>
          </w:p>
        </w:tc>
        <w:tc>
          <w:tcPr>
            <w:tcW w:w="972" w:type="pct"/>
            <w:vAlign w:val="center"/>
          </w:tcPr>
          <w:p>
            <w:pPr>
              <w:spacing w:line="240" w:lineRule="auto"/>
              <w:jc w:val="center"/>
              <w:rPr>
                <w:color w:val="000000" w:themeColor="text1"/>
                <w:szCs w:val="21"/>
              </w:rPr>
            </w:pPr>
            <w:r>
              <w:rPr>
                <w:rFonts w:hint="eastAsia"/>
                <w:color w:val="000000" w:themeColor="text1"/>
                <w:szCs w:val="21"/>
              </w:rPr>
              <w:t>358</w:t>
            </w:r>
          </w:p>
        </w:tc>
        <w:tc>
          <w:tcPr>
            <w:tcW w:w="872" w:type="pct"/>
            <w:vAlign w:val="center"/>
          </w:tcPr>
          <w:p>
            <w:pPr>
              <w:spacing w:line="240" w:lineRule="auto"/>
              <w:jc w:val="center"/>
              <w:rPr>
                <w:color w:val="000000" w:themeColor="text1"/>
                <w:szCs w:val="21"/>
              </w:rPr>
            </w:pPr>
            <w:r>
              <w:rPr>
                <w:rFonts w:hint="eastAsia"/>
                <w:color w:val="000000" w:themeColor="text1"/>
                <w:szCs w:val="21"/>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NH</w:t>
            </w:r>
            <w:r>
              <w:rPr>
                <w:rFonts w:ascii="Times New Roman" w:hAnsi="Times New Roman" w:cs="Times New Roman"/>
                <w:color w:val="000000" w:themeColor="text1"/>
                <w:szCs w:val="21"/>
                <w:vertAlign w:val="subscript"/>
              </w:rPr>
              <w:t>3</w:t>
            </w:r>
            <w:r>
              <w:rPr>
                <w:rFonts w:ascii="Times New Roman" w:hAnsi="Times New Roman" w:cs="Times New Roman"/>
                <w:color w:val="000000" w:themeColor="text1"/>
                <w:szCs w:val="21"/>
              </w:rPr>
              <w:t>-N</w:t>
            </w:r>
          </w:p>
        </w:tc>
        <w:tc>
          <w:tcPr>
            <w:tcW w:w="972" w:type="pct"/>
            <w:vAlign w:val="center"/>
          </w:tcPr>
          <w:p>
            <w:pPr>
              <w:spacing w:line="240" w:lineRule="auto"/>
              <w:jc w:val="center"/>
              <w:rPr>
                <w:color w:val="000000" w:themeColor="text1"/>
                <w:szCs w:val="21"/>
              </w:rPr>
            </w:pPr>
            <w:r>
              <w:rPr>
                <w:rFonts w:hint="eastAsia"/>
                <w:color w:val="000000" w:themeColor="text1"/>
                <w:szCs w:val="21"/>
              </w:rPr>
              <w:t>252</w:t>
            </w:r>
          </w:p>
        </w:tc>
        <w:tc>
          <w:tcPr>
            <w:tcW w:w="872" w:type="pct"/>
            <w:vAlign w:val="center"/>
          </w:tcPr>
          <w:p>
            <w:pPr>
              <w:spacing w:line="240" w:lineRule="auto"/>
              <w:jc w:val="center"/>
              <w:rPr>
                <w:color w:val="000000" w:themeColor="text1"/>
                <w:szCs w:val="21"/>
              </w:rPr>
            </w:pPr>
            <w:r>
              <w:rPr>
                <w:rFonts w:hint="eastAsia"/>
                <w:color w:val="000000" w:themeColor="text1"/>
                <w:szCs w:val="21"/>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3" w:type="pct"/>
            <w:vMerge w:val="continue"/>
            <w:vAlign w:val="center"/>
          </w:tcPr>
          <w:p>
            <w:pPr>
              <w:pStyle w:val="100"/>
              <w:rPr>
                <w:rFonts w:ascii="Times New Roman" w:hAnsi="Times New Roman" w:cs="Times New Roman"/>
                <w:color w:val="000000" w:themeColor="text1"/>
                <w:szCs w:val="21"/>
              </w:rPr>
            </w:pPr>
          </w:p>
        </w:tc>
        <w:tc>
          <w:tcPr>
            <w:tcW w:w="895" w:type="pct"/>
            <w:vMerge w:val="continue"/>
            <w:vAlign w:val="center"/>
          </w:tcPr>
          <w:p>
            <w:pPr>
              <w:pStyle w:val="100"/>
              <w:rPr>
                <w:rFonts w:ascii="Times New Roman" w:hAnsi="Times New Roman" w:cs="Times New Roman"/>
                <w:color w:val="000000" w:themeColor="text1"/>
                <w:szCs w:val="21"/>
              </w:rPr>
            </w:pPr>
          </w:p>
        </w:tc>
        <w:tc>
          <w:tcPr>
            <w:tcW w:w="1338" w:type="pct"/>
            <w:vAlign w:val="center"/>
          </w:tcPr>
          <w:p>
            <w:pPr>
              <w:pStyle w:val="100"/>
              <w:rPr>
                <w:rFonts w:ascii="Times New Roman" w:hAnsi="Times New Roman" w:cs="Times New Roman"/>
                <w:color w:val="000000" w:themeColor="text1"/>
                <w:szCs w:val="21"/>
              </w:rPr>
            </w:pPr>
            <w:r>
              <w:rPr>
                <w:rFonts w:ascii="Times New Roman" w:hAnsi="Times New Roman" w:cs="Times New Roman"/>
                <w:color w:val="000000" w:themeColor="text1"/>
                <w:szCs w:val="21"/>
              </w:rPr>
              <w:t>T-P</w:t>
            </w:r>
          </w:p>
        </w:tc>
        <w:tc>
          <w:tcPr>
            <w:tcW w:w="972" w:type="pct"/>
            <w:vAlign w:val="center"/>
          </w:tcPr>
          <w:p>
            <w:pPr>
              <w:spacing w:line="240" w:lineRule="auto"/>
              <w:jc w:val="center"/>
              <w:rPr>
                <w:color w:val="000000" w:themeColor="text1"/>
                <w:szCs w:val="21"/>
              </w:rPr>
            </w:pPr>
            <w:r>
              <w:rPr>
                <w:rFonts w:hint="eastAsia"/>
                <w:color w:val="000000" w:themeColor="text1"/>
                <w:szCs w:val="21"/>
              </w:rPr>
              <w:t>42</w:t>
            </w:r>
          </w:p>
        </w:tc>
        <w:tc>
          <w:tcPr>
            <w:tcW w:w="872" w:type="pct"/>
            <w:vAlign w:val="center"/>
          </w:tcPr>
          <w:p>
            <w:pPr>
              <w:spacing w:line="240" w:lineRule="auto"/>
              <w:jc w:val="center"/>
              <w:rPr>
                <w:color w:val="000000" w:themeColor="text1"/>
                <w:szCs w:val="21"/>
              </w:rPr>
            </w:pPr>
            <w:r>
              <w:rPr>
                <w:rFonts w:hint="eastAsia"/>
                <w:color w:val="000000" w:themeColor="text1"/>
                <w:szCs w:val="21"/>
              </w:rPr>
              <w:t>0.495</w:t>
            </w:r>
          </w:p>
        </w:tc>
      </w:tr>
    </w:tbl>
    <w:p>
      <w:pPr>
        <w:pStyle w:val="158"/>
        <w:spacing w:line="240" w:lineRule="auto"/>
        <w:rPr>
          <w:color w:val="000000" w:themeColor="text1"/>
        </w:rPr>
      </w:pPr>
      <w:r>
        <w:rPr>
          <w:color w:val="000000" w:themeColor="text1"/>
          <w:sz w:val="21"/>
          <w:szCs w:val="21"/>
        </w:rPr>
        <w:t>表3.4-1</w:t>
      </w:r>
      <w:r>
        <w:rPr>
          <w:rFonts w:hint="eastAsia"/>
          <w:color w:val="000000" w:themeColor="text1"/>
          <w:sz w:val="21"/>
          <w:szCs w:val="21"/>
        </w:rPr>
        <w:t>2</w:t>
      </w:r>
      <w:r>
        <w:rPr>
          <w:color w:val="000000" w:themeColor="text1"/>
          <w:sz w:val="21"/>
          <w:szCs w:val="21"/>
        </w:rPr>
        <w:t xml:space="preserve">  项目用水及排水一览表</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1315"/>
        <w:gridCol w:w="2842"/>
        <w:gridCol w:w="28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1" w:type="dxa"/>
            <w:gridSpan w:val="2"/>
            <w:vAlign w:val="center"/>
          </w:tcPr>
          <w:p>
            <w:pPr>
              <w:pStyle w:val="132"/>
              <w:spacing w:line="240" w:lineRule="auto"/>
              <w:ind w:firstLine="0" w:firstLineChars="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项目</w:t>
            </w:r>
          </w:p>
        </w:tc>
        <w:tc>
          <w:tcPr>
            <w:tcW w:w="2842" w:type="dxa"/>
            <w:vAlign w:val="center"/>
          </w:tcPr>
          <w:p>
            <w:pPr>
              <w:pStyle w:val="132"/>
              <w:spacing w:line="240" w:lineRule="auto"/>
              <w:ind w:firstLine="0" w:firstLineChars="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新鲜用水量m</w:t>
            </w:r>
            <w:r>
              <w:rPr>
                <w:rFonts w:ascii="Times New Roman" w:hAnsi="Times New Roman" w:cs="Times New Roman"/>
                <w:b/>
                <w:color w:val="000000" w:themeColor="text1"/>
                <w:sz w:val="21"/>
                <w:szCs w:val="21"/>
                <w:vertAlign w:val="superscript"/>
              </w:rPr>
              <w:t>3</w:t>
            </w:r>
            <w:r>
              <w:rPr>
                <w:rFonts w:ascii="Times New Roman" w:hAnsi="Times New Roman" w:cs="Times New Roman"/>
                <w:b/>
                <w:color w:val="000000" w:themeColor="text1"/>
                <w:sz w:val="21"/>
                <w:szCs w:val="21"/>
              </w:rPr>
              <w:t>/a</w:t>
            </w:r>
          </w:p>
        </w:tc>
        <w:tc>
          <w:tcPr>
            <w:tcW w:w="2845" w:type="dxa"/>
            <w:vAlign w:val="center"/>
          </w:tcPr>
          <w:p>
            <w:pPr>
              <w:pStyle w:val="132"/>
              <w:spacing w:line="240" w:lineRule="auto"/>
              <w:ind w:firstLine="0" w:firstLineChars="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排水量m</w:t>
            </w:r>
            <w:r>
              <w:rPr>
                <w:rFonts w:ascii="Times New Roman" w:hAnsi="Times New Roman" w:cs="Times New Roman"/>
                <w:b/>
                <w:color w:val="000000" w:themeColor="text1"/>
                <w:sz w:val="21"/>
                <w:szCs w:val="21"/>
                <w:vertAlign w:val="superscript"/>
              </w:rPr>
              <w:t>3</w:t>
            </w:r>
            <w:r>
              <w:rPr>
                <w:rFonts w:ascii="Times New Roman" w:hAnsi="Times New Roman" w:cs="Times New Roman"/>
                <w:b/>
                <w:color w:val="000000" w:themeColor="text1"/>
                <w:sz w:val="21"/>
                <w:szCs w:val="21"/>
              </w:rPr>
              <w: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1" w:type="dxa"/>
            <w:gridSpan w:val="2"/>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猪饮水</w:t>
            </w:r>
          </w:p>
        </w:tc>
        <w:tc>
          <w:tcPr>
            <w:tcW w:w="2842"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21900</w:t>
            </w:r>
          </w:p>
        </w:tc>
        <w:tc>
          <w:tcPr>
            <w:tcW w:w="2845"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11242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1" w:type="dxa"/>
            <w:gridSpan w:val="2"/>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猪舍冲洗水</w:t>
            </w:r>
          </w:p>
        </w:tc>
        <w:tc>
          <w:tcPr>
            <w:tcW w:w="2842"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150.8</w:t>
            </w:r>
          </w:p>
        </w:tc>
        <w:tc>
          <w:tcPr>
            <w:tcW w:w="2845"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120.6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526" w:type="dxa"/>
            <w:vMerge w:val="restart"/>
            <w:tcBorders>
              <w:right w:val="single" w:color="auto" w:sz="4" w:space="0"/>
            </w:tcBorders>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生活用水</w:t>
            </w:r>
          </w:p>
        </w:tc>
        <w:tc>
          <w:tcPr>
            <w:tcW w:w="1315" w:type="dxa"/>
            <w:tcBorders>
              <w:left w:val="single" w:color="auto" w:sz="4" w:space="0"/>
            </w:tcBorders>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其他</w:t>
            </w:r>
          </w:p>
        </w:tc>
        <w:tc>
          <w:tcPr>
            <w:tcW w:w="2842"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438</w:t>
            </w:r>
          </w:p>
        </w:tc>
        <w:tc>
          <w:tcPr>
            <w:tcW w:w="2845"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350.5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526" w:type="dxa"/>
            <w:vMerge w:val="continue"/>
            <w:tcBorders>
              <w:right w:val="single" w:color="auto" w:sz="4" w:space="0"/>
            </w:tcBorders>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p>
        </w:tc>
        <w:tc>
          <w:tcPr>
            <w:tcW w:w="1315" w:type="dxa"/>
            <w:tcBorders>
              <w:left w:val="single" w:color="auto" w:sz="4" w:space="0"/>
            </w:tcBorders>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食堂用水</w:t>
            </w:r>
          </w:p>
        </w:tc>
        <w:tc>
          <w:tcPr>
            <w:tcW w:w="2842"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109.5</w:t>
            </w:r>
          </w:p>
        </w:tc>
        <w:tc>
          <w:tcPr>
            <w:tcW w:w="2845"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87.5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1" w:type="dxa"/>
            <w:gridSpan w:val="2"/>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车辆清洗用水</w:t>
            </w:r>
          </w:p>
        </w:tc>
        <w:tc>
          <w:tcPr>
            <w:tcW w:w="2842"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104</w:t>
            </w:r>
          </w:p>
        </w:tc>
        <w:tc>
          <w:tcPr>
            <w:tcW w:w="2845"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52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1" w:type="dxa"/>
            <w:gridSpan w:val="2"/>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消毒用水</w:t>
            </w:r>
          </w:p>
        </w:tc>
        <w:tc>
          <w:tcPr>
            <w:tcW w:w="2842"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365</w:t>
            </w:r>
          </w:p>
        </w:tc>
        <w:tc>
          <w:tcPr>
            <w:tcW w:w="2845"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1" w:type="dxa"/>
            <w:gridSpan w:val="2"/>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猪舍水帘降温用水</w:t>
            </w:r>
          </w:p>
        </w:tc>
        <w:tc>
          <w:tcPr>
            <w:tcW w:w="2842"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360</w:t>
            </w:r>
          </w:p>
        </w:tc>
        <w:tc>
          <w:tcPr>
            <w:tcW w:w="2845"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1" w:type="dxa"/>
            <w:gridSpan w:val="2"/>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种植区灌溉用水</w:t>
            </w:r>
          </w:p>
        </w:tc>
        <w:tc>
          <w:tcPr>
            <w:tcW w:w="2842"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17325</w:t>
            </w:r>
          </w:p>
        </w:tc>
        <w:tc>
          <w:tcPr>
            <w:tcW w:w="2845"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1" w:type="dxa"/>
            <w:gridSpan w:val="2"/>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合计</w:t>
            </w:r>
          </w:p>
        </w:tc>
        <w:tc>
          <w:tcPr>
            <w:tcW w:w="2842"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40752.3</w:t>
            </w:r>
          </w:p>
        </w:tc>
        <w:tc>
          <w:tcPr>
            <w:tcW w:w="2845" w:type="dxa"/>
            <w:vAlign w:val="center"/>
          </w:tcPr>
          <w:p>
            <w:pPr>
              <w:pStyle w:val="132"/>
              <w:spacing w:line="240" w:lineRule="auto"/>
              <w:ind w:firstLine="0" w:firstLineChars="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11852.6</w:t>
            </w:r>
          </w:p>
        </w:tc>
      </w:tr>
    </w:tbl>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（5）水平衡</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本项目水平衡图见下图。</w:t>
      </w:r>
    </w:p>
    <w:p>
      <w:pPr>
        <w:pStyle w:val="132"/>
        <w:ind w:firstLine="0" w:firstLineChars="0"/>
        <w:jc w:val="center"/>
        <w:rPr>
          <w:rFonts w:ascii="Times New Roman" w:hAnsi="Times New Roman" w:cs="Times New Roman"/>
          <w:color w:val="000000" w:themeColor="text1"/>
        </w:rPr>
      </w:pPr>
      <w:bookmarkStart w:id="280" w:name="OLE_LINK5"/>
      <w:r>
        <w:rPr>
          <w:color w:val="000000" w:themeColor="text1"/>
        </w:rPr>
        <w:object>
          <v:shape id="_x0000_i1028" o:spt="75" type="#_x0000_t75" style="height:412.55pt;width:415.45pt;" o:ole="t" filled="f" o:preferrelative="t" stroked="f" coordsize="21600,21600">
            <v:path/>
            <v:fill on="f" focussize="0,0"/>
            <v:stroke on="f" joinstyle="miter"/>
            <v:imagedata r:id="rId32" o:title=""/>
            <o:lock v:ext="edit" aspectratio="t"/>
            <w10:wrap type="none"/>
            <w10:anchorlock/>
          </v:shape>
          <o:OLEObject Type="Embed" ProgID="Visio.Drawing.11" ShapeID="_x0000_i1028" DrawAspect="Content" ObjectID="_1468075728" r:id="rId31">
            <o:LockedField>false</o:LockedField>
          </o:OLEObject>
        </w:object>
      </w:r>
      <w:bookmarkEnd w:id="280"/>
    </w:p>
    <w:p>
      <w:pPr>
        <w:pStyle w:val="132"/>
        <w:ind w:firstLine="0" w:firstLineChars="0"/>
        <w:jc w:val="center"/>
        <w:rPr>
          <w:rFonts w:ascii="Times New Roman" w:hAnsi="Times New Roman" w:cs="Times New Roman"/>
          <w:color w:val="000000" w:themeColor="text1"/>
        </w:rPr>
      </w:pPr>
      <w:r>
        <w:rPr>
          <w:rFonts w:ascii="Times New Roman" w:hAnsi="Times New Roman" w:cs="Times New Roman"/>
          <w:b/>
          <w:color w:val="000000" w:themeColor="text1"/>
          <w:sz w:val="21"/>
          <w:szCs w:val="21"/>
        </w:rPr>
        <w:t>图3.4-1  项目日水量平衡图（污水最大排放量）</w:t>
      </w:r>
    </w:p>
    <w:p>
      <w:pPr>
        <w:pStyle w:val="158"/>
        <w:ind w:firstLine="0"/>
        <w:jc w:val="both"/>
        <w:rPr>
          <w:color w:val="000000" w:themeColor="text1"/>
        </w:rPr>
      </w:pPr>
      <w:r>
        <w:rPr>
          <w:color w:val="000000" w:themeColor="text1"/>
        </w:rPr>
        <w:drawing>
          <wp:inline distT="0" distB="0" distL="0" distR="0">
            <wp:extent cx="5283200" cy="5283200"/>
            <wp:effectExtent l="0" t="0" r="0" b="0"/>
            <wp:docPr id="11" name="图片 11" descr="F:\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3.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83200" cy="5283200"/>
                    </a:xfrm>
                    <a:prstGeom prst="rect">
                      <a:avLst/>
                    </a:prstGeom>
                    <a:noFill/>
                    <a:ln>
                      <a:noFill/>
                    </a:ln>
                  </pic:spPr>
                </pic:pic>
              </a:graphicData>
            </a:graphic>
          </wp:inline>
        </w:drawing>
      </w:r>
    </w:p>
    <w:p>
      <w:pPr>
        <w:pStyle w:val="158"/>
        <w:rPr>
          <w:color w:val="000000" w:themeColor="text1"/>
          <w:sz w:val="21"/>
          <w:szCs w:val="21"/>
        </w:rPr>
      </w:pPr>
      <w:r>
        <w:rPr>
          <w:color w:val="000000" w:themeColor="text1"/>
          <w:sz w:val="21"/>
          <w:szCs w:val="21"/>
        </w:rPr>
        <w:t>图3.4-2  项目年水量平衡图</w:t>
      </w:r>
    </w:p>
    <w:p>
      <w:pPr>
        <w:pStyle w:val="4"/>
        <w:adjustRightInd w:val="0"/>
        <w:snapToGrid w:val="0"/>
        <w:spacing w:before="0" w:after="0" w:line="360" w:lineRule="auto"/>
        <w:rPr>
          <w:color w:val="000000" w:themeColor="text1"/>
        </w:rPr>
      </w:pPr>
      <w:bookmarkStart w:id="281" w:name="_Toc506218072"/>
      <w:bookmarkStart w:id="282" w:name="_Toc504403819"/>
      <w:bookmarkStart w:id="283" w:name="_Toc510547301"/>
      <w:r>
        <w:rPr>
          <w:color w:val="000000" w:themeColor="text1"/>
        </w:rPr>
        <w:t>3.4.3噪声</w:t>
      </w:r>
      <w:bookmarkEnd w:id="281"/>
      <w:bookmarkEnd w:id="282"/>
      <w:bookmarkEnd w:id="283"/>
    </w:p>
    <w:p>
      <w:pPr>
        <w:pStyle w:val="132"/>
        <w:adjustRightInd w:val="0"/>
        <w:snapToGrid w:val="0"/>
        <w:ind w:firstLine="480"/>
        <w:rPr>
          <w:rFonts w:ascii="Times New Roman" w:hAnsi="Times New Roman" w:cs="Times New Roman"/>
          <w:color w:val="000000" w:themeColor="text1"/>
        </w:rPr>
      </w:pPr>
      <w:r>
        <w:rPr>
          <w:rFonts w:ascii="Times New Roman" w:hAnsi="Times New Roman" w:cs="Times New Roman"/>
          <w:color w:val="000000" w:themeColor="text1"/>
        </w:rPr>
        <w:t>项目养殖区噪声除猪叫声外还有设备噪声，其主要产噪设备见下表。</w:t>
      </w:r>
    </w:p>
    <w:p>
      <w:pPr>
        <w:pStyle w:val="158"/>
        <w:spacing w:line="240" w:lineRule="auto"/>
        <w:rPr>
          <w:color w:val="000000" w:themeColor="text1"/>
          <w:sz w:val="21"/>
          <w:szCs w:val="21"/>
        </w:rPr>
      </w:pPr>
      <w:r>
        <w:rPr>
          <w:color w:val="000000" w:themeColor="text1"/>
          <w:sz w:val="21"/>
          <w:szCs w:val="21"/>
        </w:rPr>
        <w:t>表3.4-1</w:t>
      </w:r>
      <w:r>
        <w:rPr>
          <w:rFonts w:hint="eastAsia"/>
          <w:color w:val="000000" w:themeColor="text1"/>
          <w:sz w:val="21"/>
          <w:szCs w:val="21"/>
        </w:rPr>
        <w:t>3</w:t>
      </w:r>
      <w:r>
        <w:rPr>
          <w:color w:val="000000" w:themeColor="text1"/>
          <w:sz w:val="21"/>
          <w:szCs w:val="21"/>
        </w:rPr>
        <w:t xml:space="preserve">  主要设备噪声源强一览表单位：</w:t>
      </w:r>
      <w:r>
        <w:rPr>
          <w:color w:val="000000" w:themeColor="text1"/>
        </w:rPr>
        <w:t>dB(A)</w:t>
      </w:r>
    </w:p>
    <w:tbl>
      <w:tblPr>
        <w:tblStyle w:val="42"/>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472"/>
        <w:gridCol w:w="2126"/>
        <w:gridCol w:w="1182"/>
        <w:gridCol w:w="118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992" w:type="dxa"/>
            <w:vAlign w:val="center"/>
          </w:tcPr>
          <w:p>
            <w:pPr>
              <w:widowControl/>
              <w:adjustRightInd w:val="0"/>
              <w:snapToGrid w:val="0"/>
              <w:spacing w:line="240" w:lineRule="auto"/>
              <w:jc w:val="center"/>
              <w:rPr>
                <w:b/>
                <w:bCs/>
                <w:color w:val="000000" w:themeColor="text1"/>
                <w:kern w:val="0"/>
                <w:szCs w:val="21"/>
              </w:rPr>
            </w:pPr>
            <w:r>
              <w:rPr>
                <w:b/>
                <w:bCs/>
                <w:color w:val="000000" w:themeColor="text1"/>
                <w:kern w:val="0"/>
                <w:szCs w:val="21"/>
              </w:rPr>
              <w:t>序号</w:t>
            </w:r>
          </w:p>
        </w:tc>
        <w:tc>
          <w:tcPr>
            <w:tcW w:w="1472" w:type="dxa"/>
            <w:vAlign w:val="center"/>
          </w:tcPr>
          <w:p>
            <w:pPr>
              <w:widowControl/>
              <w:adjustRightInd w:val="0"/>
              <w:snapToGrid w:val="0"/>
              <w:spacing w:line="240" w:lineRule="auto"/>
              <w:jc w:val="center"/>
              <w:rPr>
                <w:b/>
                <w:bCs/>
                <w:color w:val="000000" w:themeColor="text1"/>
                <w:kern w:val="0"/>
                <w:szCs w:val="21"/>
              </w:rPr>
            </w:pPr>
            <w:r>
              <w:rPr>
                <w:rFonts w:hint="eastAsia"/>
                <w:b/>
                <w:bCs/>
                <w:color w:val="000000" w:themeColor="text1"/>
                <w:kern w:val="0"/>
                <w:szCs w:val="21"/>
              </w:rPr>
              <w:t>声源位置</w:t>
            </w:r>
          </w:p>
        </w:tc>
        <w:tc>
          <w:tcPr>
            <w:tcW w:w="2126" w:type="dxa"/>
            <w:vAlign w:val="center"/>
          </w:tcPr>
          <w:p>
            <w:pPr>
              <w:adjustRightInd w:val="0"/>
              <w:snapToGrid w:val="0"/>
              <w:spacing w:line="240" w:lineRule="auto"/>
              <w:jc w:val="center"/>
              <w:rPr>
                <w:b/>
                <w:bCs/>
                <w:color w:val="000000" w:themeColor="text1"/>
                <w:kern w:val="0"/>
                <w:szCs w:val="21"/>
              </w:rPr>
            </w:pPr>
            <w:r>
              <w:rPr>
                <w:b/>
                <w:bCs/>
                <w:color w:val="000000" w:themeColor="text1"/>
                <w:kern w:val="0"/>
                <w:szCs w:val="21"/>
              </w:rPr>
              <w:t>设备名称</w:t>
            </w:r>
          </w:p>
        </w:tc>
        <w:tc>
          <w:tcPr>
            <w:tcW w:w="1182" w:type="dxa"/>
            <w:vAlign w:val="center"/>
          </w:tcPr>
          <w:p>
            <w:pPr>
              <w:widowControl/>
              <w:adjustRightInd w:val="0"/>
              <w:snapToGrid w:val="0"/>
              <w:spacing w:line="240" w:lineRule="auto"/>
              <w:jc w:val="center"/>
              <w:rPr>
                <w:b/>
                <w:bCs/>
                <w:color w:val="000000" w:themeColor="text1"/>
                <w:kern w:val="0"/>
                <w:szCs w:val="21"/>
              </w:rPr>
            </w:pPr>
            <w:r>
              <w:rPr>
                <w:b/>
                <w:bCs/>
                <w:color w:val="000000" w:themeColor="text1"/>
                <w:kern w:val="0"/>
                <w:szCs w:val="21"/>
              </w:rPr>
              <w:t>单位</w:t>
            </w:r>
          </w:p>
        </w:tc>
        <w:tc>
          <w:tcPr>
            <w:tcW w:w="1182" w:type="dxa"/>
            <w:vAlign w:val="center"/>
          </w:tcPr>
          <w:p>
            <w:pPr>
              <w:widowControl/>
              <w:adjustRightInd w:val="0"/>
              <w:snapToGrid w:val="0"/>
              <w:spacing w:line="240" w:lineRule="auto"/>
              <w:jc w:val="center"/>
              <w:rPr>
                <w:b/>
                <w:bCs/>
                <w:color w:val="000000" w:themeColor="text1"/>
                <w:kern w:val="0"/>
                <w:szCs w:val="21"/>
              </w:rPr>
            </w:pPr>
            <w:r>
              <w:rPr>
                <w:b/>
                <w:bCs/>
                <w:color w:val="000000" w:themeColor="text1"/>
                <w:kern w:val="0"/>
                <w:szCs w:val="21"/>
              </w:rPr>
              <w:t>数量</w:t>
            </w:r>
          </w:p>
        </w:tc>
        <w:tc>
          <w:tcPr>
            <w:tcW w:w="1182" w:type="dxa"/>
            <w:vAlign w:val="center"/>
          </w:tcPr>
          <w:p>
            <w:pPr>
              <w:widowControl/>
              <w:adjustRightInd w:val="0"/>
              <w:snapToGrid w:val="0"/>
              <w:spacing w:line="240" w:lineRule="auto"/>
              <w:jc w:val="center"/>
              <w:rPr>
                <w:b/>
                <w:bCs/>
                <w:color w:val="000000" w:themeColor="text1"/>
                <w:kern w:val="0"/>
                <w:szCs w:val="21"/>
              </w:rPr>
            </w:pPr>
            <w:r>
              <w:rPr>
                <w:b/>
                <w:bCs/>
                <w:color w:val="000000" w:themeColor="text1"/>
                <w:kern w:val="0"/>
                <w:szCs w:val="21"/>
              </w:rPr>
              <w:t>声级值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92" w:type="dxa"/>
            <w:vAlign w:val="center"/>
          </w:tcPr>
          <w:p>
            <w:pPr>
              <w:adjustRightInd w:val="0"/>
              <w:snapToGrid w:val="0"/>
              <w:spacing w:line="240" w:lineRule="auto"/>
              <w:jc w:val="center"/>
              <w:rPr>
                <w:color w:val="000000" w:themeColor="text1"/>
                <w:szCs w:val="21"/>
              </w:rPr>
            </w:pPr>
            <w:r>
              <w:rPr>
                <w:color w:val="000000" w:themeColor="text1"/>
                <w:szCs w:val="21"/>
              </w:rPr>
              <w:t>1</w:t>
            </w:r>
          </w:p>
        </w:tc>
        <w:tc>
          <w:tcPr>
            <w:tcW w:w="1472"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猪舍</w:t>
            </w:r>
          </w:p>
        </w:tc>
        <w:tc>
          <w:tcPr>
            <w:tcW w:w="2126" w:type="dxa"/>
            <w:vAlign w:val="center"/>
          </w:tcPr>
          <w:p>
            <w:pPr>
              <w:adjustRightInd w:val="0"/>
              <w:snapToGrid w:val="0"/>
              <w:spacing w:line="240" w:lineRule="auto"/>
              <w:jc w:val="center"/>
              <w:rPr>
                <w:color w:val="000000" w:themeColor="text1"/>
                <w:szCs w:val="21"/>
              </w:rPr>
            </w:pPr>
            <w:r>
              <w:rPr>
                <w:color w:val="000000" w:themeColor="text1"/>
                <w:szCs w:val="21"/>
              </w:rPr>
              <w:t>自动供料系统</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套</w:t>
            </w:r>
          </w:p>
        </w:tc>
        <w:tc>
          <w:tcPr>
            <w:tcW w:w="1182" w:type="dxa"/>
            <w:vAlign w:val="center"/>
          </w:tcPr>
          <w:p>
            <w:pPr>
              <w:adjustRightInd w:val="0"/>
              <w:snapToGrid w:val="0"/>
              <w:spacing w:line="240" w:lineRule="auto"/>
              <w:jc w:val="center"/>
              <w:rPr>
                <w:color w:val="000000" w:themeColor="text1"/>
                <w:szCs w:val="21"/>
              </w:rPr>
            </w:pPr>
            <w:r>
              <w:rPr>
                <w:rFonts w:hint="eastAsia"/>
                <w:color w:val="000000" w:themeColor="text1"/>
                <w:szCs w:val="21"/>
              </w:rPr>
              <w:t>2</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92" w:type="dxa"/>
            <w:vAlign w:val="center"/>
          </w:tcPr>
          <w:p>
            <w:pPr>
              <w:adjustRightInd w:val="0"/>
              <w:snapToGrid w:val="0"/>
              <w:spacing w:line="240" w:lineRule="auto"/>
              <w:jc w:val="center"/>
              <w:rPr>
                <w:color w:val="000000" w:themeColor="text1"/>
                <w:szCs w:val="21"/>
              </w:rPr>
            </w:pPr>
            <w:r>
              <w:rPr>
                <w:color w:val="000000" w:themeColor="text1"/>
                <w:szCs w:val="21"/>
              </w:rPr>
              <w:t>2</w:t>
            </w:r>
          </w:p>
        </w:tc>
        <w:tc>
          <w:tcPr>
            <w:tcW w:w="1472" w:type="dxa"/>
            <w:vMerge w:val="continue"/>
            <w:vAlign w:val="center"/>
          </w:tcPr>
          <w:p>
            <w:pPr>
              <w:adjustRightInd w:val="0"/>
              <w:snapToGrid w:val="0"/>
              <w:spacing w:line="240" w:lineRule="auto"/>
              <w:jc w:val="center"/>
              <w:rPr>
                <w:color w:val="000000" w:themeColor="text1"/>
                <w:szCs w:val="21"/>
              </w:rPr>
            </w:pPr>
          </w:p>
        </w:tc>
        <w:tc>
          <w:tcPr>
            <w:tcW w:w="2126" w:type="dxa"/>
            <w:vAlign w:val="center"/>
          </w:tcPr>
          <w:p>
            <w:pPr>
              <w:adjustRightInd w:val="0"/>
              <w:snapToGrid w:val="0"/>
              <w:spacing w:line="240" w:lineRule="auto"/>
              <w:jc w:val="center"/>
              <w:rPr>
                <w:color w:val="000000" w:themeColor="text1"/>
                <w:szCs w:val="21"/>
              </w:rPr>
            </w:pPr>
            <w:r>
              <w:rPr>
                <w:color w:val="000000" w:themeColor="text1"/>
                <w:kern w:val="0"/>
                <w:szCs w:val="21"/>
              </w:rPr>
              <w:t>刮粪系统</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套</w:t>
            </w:r>
          </w:p>
        </w:tc>
        <w:tc>
          <w:tcPr>
            <w:tcW w:w="1182" w:type="dxa"/>
            <w:vAlign w:val="center"/>
          </w:tcPr>
          <w:p>
            <w:pPr>
              <w:adjustRightInd w:val="0"/>
              <w:snapToGrid w:val="0"/>
              <w:spacing w:line="240" w:lineRule="auto"/>
              <w:jc w:val="center"/>
              <w:rPr>
                <w:color w:val="000000" w:themeColor="text1"/>
                <w:szCs w:val="21"/>
              </w:rPr>
            </w:pPr>
            <w:r>
              <w:rPr>
                <w:rFonts w:hint="eastAsia"/>
                <w:color w:val="000000" w:themeColor="text1"/>
                <w:szCs w:val="21"/>
              </w:rPr>
              <w:t>8</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92" w:type="dxa"/>
            <w:vAlign w:val="center"/>
          </w:tcPr>
          <w:p>
            <w:pPr>
              <w:adjustRightInd w:val="0"/>
              <w:snapToGrid w:val="0"/>
              <w:spacing w:line="240" w:lineRule="auto"/>
              <w:jc w:val="center"/>
              <w:rPr>
                <w:color w:val="000000" w:themeColor="text1"/>
                <w:szCs w:val="21"/>
              </w:rPr>
            </w:pPr>
            <w:r>
              <w:rPr>
                <w:color w:val="000000" w:themeColor="text1"/>
                <w:szCs w:val="21"/>
              </w:rPr>
              <w:t>3</w:t>
            </w:r>
          </w:p>
        </w:tc>
        <w:tc>
          <w:tcPr>
            <w:tcW w:w="1472" w:type="dxa"/>
            <w:vMerge w:val="continue"/>
            <w:vAlign w:val="center"/>
          </w:tcPr>
          <w:p>
            <w:pPr>
              <w:adjustRightInd w:val="0"/>
              <w:snapToGrid w:val="0"/>
              <w:spacing w:line="240" w:lineRule="auto"/>
              <w:jc w:val="center"/>
              <w:rPr>
                <w:color w:val="000000" w:themeColor="text1"/>
                <w:szCs w:val="21"/>
              </w:rPr>
            </w:pPr>
          </w:p>
        </w:tc>
        <w:tc>
          <w:tcPr>
            <w:tcW w:w="2126" w:type="dxa"/>
            <w:vAlign w:val="center"/>
          </w:tcPr>
          <w:p>
            <w:pPr>
              <w:adjustRightInd w:val="0"/>
              <w:snapToGrid w:val="0"/>
              <w:spacing w:line="240" w:lineRule="auto"/>
              <w:jc w:val="center"/>
              <w:rPr>
                <w:color w:val="000000" w:themeColor="text1"/>
                <w:szCs w:val="21"/>
              </w:rPr>
            </w:pPr>
            <w:r>
              <w:rPr>
                <w:rFonts w:hint="eastAsia"/>
                <w:color w:val="000000" w:themeColor="text1"/>
                <w:szCs w:val="21"/>
              </w:rPr>
              <w:t>风机</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个</w:t>
            </w:r>
          </w:p>
        </w:tc>
        <w:tc>
          <w:tcPr>
            <w:tcW w:w="1182" w:type="dxa"/>
            <w:vAlign w:val="center"/>
          </w:tcPr>
          <w:p>
            <w:pPr>
              <w:adjustRightInd w:val="0"/>
              <w:snapToGrid w:val="0"/>
              <w:spacing w:line="240" w:lineRule="auto"/>
              <w:jc w:val="center"/>
              <w:rPr>
                <w:color w:val="000000" w:themeColor="text1"/>
                <w:szCs w:val="21"/>
              </w:rPr>
            </w:pPr>
            <w:r>
              <w:rPr>
                <w:rFonts w:hint="eastAsia"/>
                <w:color w:val="000000" w:themeColor="text1"/>
                <w:szCs w:val="21"/>
              </w:rPr>
              <w:t>16</w:t>
            </w:r>
          </w:p>
        </w:tc>
        <w:tc>
          <w:tcPr>
            <w:tcW w:w="1182" w:type="dxa"/>
            <w:vAlign w:val="center"/>
          </w:tcPr>
          <w:p>
            <w:pPr>
              <w:adjustRightInd w:val="0"/>
              <w:snapToGrid w:val="0"/>
              <w:spacing w:line="240" w:lineRule="auto"/>
              <w:jc w:val="center"/>
              <w:rPr>
                <w:color w:val="000000" w:themeColor="text1"/>
                <w:szCs w:val="21"/>
              </w:rPr>
            </w:pPr>
            <w:r>
              <w:rPr>
                <w:rFonts w:hint="eastAsia"/>
                <w:color w:val="000000" w:themeColor="text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92" w:type="dxa"/>
            <w:vAlign w:val="center"/>
          </w:tcPr>
          <w:p>
            <w:pPr>
              <w:adjustRightInd w:val="0"/>
              <w:snapToGrid w:val="0"/>
              <w:spacing w:line="240" w:lineRule="auto"/>
              <w:jc w:val="center"/>
              <w:rPr>
                <w:color w:val="000000" w:themeColor="text1"/>
                <w:szCs w:val="21"/>
              </w:rPr>
            </w:pPr>
            <w:r>
              <w:rPr>
                <w:color w:val="000000" w:themeColor="text1"/>
                <w:szCs w:val="21"/>
              </w:rPr>
              <w:t>4</w:t>
            </w:r>
          </w:p>
        </w:tc>
        <w:tc>
          <w:tcPr>
            <w:tcW w:w="1472" w:type="dxa"/>
            <w:vMerge w:val="continue"/>
            <w:vAlign w:val="center"/>
          </w:tcPr>
          <w:p>
            <w:pPr>
              <w:adjustRightInd w:val="0"/>
              <w:snapToGrid w:val="0"/>
              <w:spacing w:line="240" w:lineRule="auto"/>
              <w:jc w:val="center"/>
              <w:rPr>
                <w:color w:val="000000" w:themeColor="text1"/>
                <w:szCs w:val="21"/>
              </w:rPr>
            </w:pPr>
          </w:p>
        </w:tc>
        <w:tc>
          <w:tcPr>
            <w:tcW w:w="2126" w:type="dxa"/>
            <w:vAlign w:val="center"/>
          </w:tcPr>
          <w:p>
            <w:pPr>
              <w:adjustRightInd w:val="0"/>
              <w:snapToGrid w:val="0"/>
              <w:spacing w:line="240" w:lineRule="auto"/>
              <w:jc w:val="center"/>
              <w:rPr>
                <w:color w:val="000000" w:themeColor="text1"/>
                <w:szCs w:val="21"/>
              </w:rPr>
            </w:pPr>
            <w:r>
              <w:rPr>
                <w:rFonts w:hint="eastAsia"/>
                <w:color w:val="000000" w:themeColor="text1"/>
                <w:szCs w:val="21"/>
              </w:rPr>
              <w:t>水</w:t>
            </w:r>
            <w:r>
              <w:rPr>
                <w:color w:val="000000" w:themeColor="text1"/>
                <w:szCs w:val="21"/>
              </w:rPr>
              <w:t>泵</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台</w:t>
            </w:r>
          </w:p>
        </w:tc>
        <w:tc>
          <w:tcPr>
            <w:tcW w:w="1182" w:type="dxa"/>
            <w:vAlign w:val="center"/>
          </w:tcPr>
          <w:p>
            <w:pPr>
              <w:adjustRightInd w:val="0"/>
              <w:snapToGrid w:val="0"/>
              <w:spacing w:line="240" w:lineRule="auto"/>
              <w:jc w:val="center"/>
              <w:rPr>
                <w:color w:val="000000" w:themeColor="text1"/>
                <w:szCs w:val="21"/>
              </w:rPr>
            </w:pPr>
            <w:r>
              <w:rPr>
                <w:rFonts w:hint="eastAsia"/>
                <w:color w:val="000000" w:themeColor="text1"/>
                <w:szCs w:val="21"/>
              </w:rPr>
              <w:t>2</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92" w:type="dxa"/>
            <w:vAlign w:val="center"/>
          </w:tcPr>
          <w:p>
            <w:pPr>
              <w:adjustRightInd w:val="0"/>
              <w:snapToGrid w:val="0"/>
              <w:spacing w:line="240" w:lineRule="auto"/>
              <w:jc w:val="center"/>
              <w:rPr>
                <w:color w:val="000000" w:themeColor="text1"/>
                <w:szCs w:val="21"/>
              </w:rPr>
            </w:pPr>
            <w:r>
              <w:rPr>
                <w:color w:val="000000" w:themeColor="text1"/>
                <w:szCs w:val="21"/>
              </w:rPr>
              <w:t>5</w:t>
            </w:r>
          </w:p>
        </w:tc>
        <w:tc>
          <w:tcPr>
            <w:tcW w:w="1472"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沼气工程</w:t>
            </w:r>
          </w:p>
        </w:tc>
        <w:tc>
          <w:tcPr>
            <w:tcW w:w="2126" w:type="dxa"/>
            <w:vAlign w:val="center"/>
          </w:tcPr>
          <w:p>
            <w:pPr>
              <w:adjustRightInd w:val="0"/>
              <w:snapToGrid w:val="0"/>
              <w:spacing w:line="240" w:lineRule="auto"/>
              <w:jc w:val="center"/>
              <w:rPr>
                <w:color w:val="000000" w:themeColor="text1"/>
                <w:szCs w:val="21"/>
              </w:rPr>
            </w:pPr>
            <w:r>
              <w:rPr>
                <w:rFonts w:hint="eastAsia"/>
                <w:color w:val="000000" w:themeColor="text1"/>
                <w:szCs w:val="21"/>
              </w:rPr>
              <w:t>水泵</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台</w:t>
            </w:r>
          </w:p>
        </w:tc>
        <w:tc>
          <w:tcPr>
            <w:tcW w:w="1182" w:type="dxa"/>
            <w:vAlign w:val="center"/>
          </w:tcPr>
          <w:p>
            <w:pPr>
              <w:adjustRightInd w:val="0"/>
              <w:snapToGrid w:val="0"/>
              <w:spacing w:line="240" w:lineRule="auto"/>
              <w:jc w:val="center"/>
              <w:rPr>
                <w:color w:val="000000" w:themeColor="text1"/>
                <w:szCs w:val="21"/>
              </w:rPr>
            </w:pPr>
            <w:r>
              <w:rPr>
                <w:rFonts w:hint="eastAsia"/>
                <w:color w:val="000000" w:themeColor="text1"/>
                <w:szCs w:val="21"/>
              </w:rPr>
              <w:t>2</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6</w:t>
            </w:r>
          </w:p>
        </w:tc>
        <w:tc>
          <w:tcPr>
            <w:tcW w:w="1472" w:type="dxa"/>
            <w:vMerge w:val="continue"/>
            <w:vAlign w:val="center"/>
          </w:tcPr>
          <w:p>
            <w:pPr>
              <w:adjustRightInd w:val="0"/>
              <w:snapToGrid w:val="0"/>
              <w:spacing w:line="240" w:lineRule="auto"/>
              <w:jc w:val="center"/>
              <w:rPr>
                <w:color w:val="000000" w:themeColor="text1"/>
                <w:szCs w:val="21"/>
              </w:rPr>
            </w:pPr>
          </w:p>
        </w:tc>
        <w:tc>
          <w:tcPr>
            <w:tcW w:w="2126" w:type="dxa"/>
            <w:vAlign w:val="center"/>
          </w:tcPr>
          <w:p>
            <w:pPr>
              <w:adjustRightInd w:val="0"/>
              <w:snapToGrid w:val="0"/>
              <w:spacing w:line="240" w:lineRule="auto"/>
              <w:jc w:val="center"/>
              <w:rPr>
                <w:color w:val="000000" w:themeColor="text1"/>
                <w:szCs w:val="21"/>
              </w:rPr>
            </w:pPr>
            <w:r>
              <w:rPr>
                <w:rFonts w:hint="eastAsia"/>
                <w:color w:val="000000" w:themeColor="text1"/>
                <w:szCs w:val="21"/>
              </w:rPr>
              <w:t>搅拌机</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台</w:t>
            </w:r>
          </w:p>
        </w:tc>
        <w:tc>
          <w:tcPr>
            <w:tcW w:w="1182" w:type="dxa"/>
            <w:vAlign w:val="center"/>
          </w:tcPr>
          <w:p>
            <w:pPr>
              <w:adjustRightInd w:val="0"/>
              <w:snapToGrid w:val="0"/>
              <w:spacing w:line="240" w:lineRule="auto"/>
              <w:jc w:val="center"/>
              <w:rPr>
                <w:color w:val="000000" w:themeColor="text1"/>
                <w:szCs w:val="21"/>
              </w:rPr>
            </w:pPr>
            <w:r>
              <w:rPr>
                <w:rFonts w:hint="eastAsia"/>
                <w:color w:val="000000" w:themeColor="text1"/>
                <w:szCs w:val="21"/>
              </w:rPr>
              <w:t>2</w:t>
            </w:r>
          </w:p>
        </w:tc>
        <w:tc>
          <w:tcPr>
            <w:tcW w:w="1182" w:type="dxa"/>
            <w:vAlign w:val="center"/>
          </w:tcPr>
          <w:p>
            <w:pPr>
              <w:adjustRightInd w:val="0"/>
              <w:snapToGrid w:val="0"/>
              <w:spacing w:line="240" w:lineRule="auto"/>
              <w:jc w:val="center"/>
              <w:rPr>
                <w:color w:val="000000" w:themeColor="text1"/>
                <w:szCs w:val="21"/>
              </w:rPr>
            </w:pPr>
            <w:r>
              <w:rPr>
                <w:rFonts w:hint="eastAsia"/>
                <w:color w:val="000000" w:themeColor="text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92" w:type="dxa"/>
            <w:vAlign w:val="center"/>
          </w:tcPr>
          <w:p>
            <w:pPr>
              <w:adjustRightInd w:val="0"/>
              <w:snapToGrid w:val="0"/>
              <w:spacing w:line="240" w:lineRule="auto"/>
              <w:jc w:val="center"/>
              <w:rPr>
                <w:color w:val="000000" w:themeColor="text1"/>
                <w:szCs w:val="21"/>
              </w:rPr>
            </w:pPr>
            <w:r>
              <w:rPr>
                <w:rFonts w:hint="eastAsia"/>
                <w:color w:val="000000" w:themeColor="text1"/>
                <w:szCs w:val="21"/>
              </w:rPr>
              <w:t>7</w:t>
            </w:r>
          </w:p>
        </w:tc>
        <w:tc>
          <w:tcPr>
            <w:tcW w:w="1472" w:type="dxa"/>
            <w:vAlign w:val="center"/>
          </w:tcPr>
          <w:p>
            <w:pPr>
              <w:adjustRightInd w:val="0"/>
              <w:snapToGrid w:val="0"/>
              <w:spacing w:line="240" w:lineRule="auto"/>
              <w:jc w:val="center"/>
              <w:rPr>
                <w:color w:val="000000" w:themeColor="text1"/>
                <w:szCs w:val="21"/>
              </w:rPr>
            </w:pPr>
            <w:r>
              <w:rPr>
                <w:rFonts w:hint="eastAsia"/>
                <w:color w:val="000000" w:themeColor="text1"/>
                <w:szCs w:val="21"/>
              </w:rPr>
              <w:t>配电房</w:t>
            </w:r>
          </w:p>
        </w:tc>
        <w:tc>
          <w:tcPr>
            <w:tcW w:w="2126" w:type="dxa"/>
            <w:vAlign w:val="center"/>
          </w:tcPr>
          <w:p>
            <w:pPr>
              <w:adjustRightInd w:val="0"/>
              <w:snapToGrid w:val="0"/>
              <w:spacing w:line="240" w:lineRule="auto"/>
              <w:jc w:val="center"/>
              <w:rPr>
                <w:color w:val="000000" w:themeColor="text1"/>
                <w:szCs w:val="21"/>
              </w:rPr>
            </w:pPr>
            <w:r>
              <w:rPr>
                <w:rFonts w:hint="eastAsia"/>
                <w:color w:val="000000" w:themeColor="text1"/>
                <w:szCs w:val="21"/>
              </w:rPr>
              <w:t>沼气</w:t>
            </w:r>
            <w:r>
              <w:rPr>
                <w:color w:val="000000" w:themeColor="text1"/>
                <w:szCs w:val="21"/>
              </w:rPr>
              <w:t>发电机</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台</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1</w:t>
            </w:r>
          </w:p>
        </w:tc>
        <w:tc>
          <w:tcPr>
            <w:tcW w:w="1182" w:type="dxa"/>
            <w:vAlign w:val="center"/>
          </w:tcPr>
          <w:p>
            <w:pPr>
              <w:adjustRightInd w:val="0"/>
              <w:snapToGrid w:val="0"/>
              <w:spacing w:line="240" w:lineRule="auto"/>
              <w:jc w:val="center"/>
              <w:rPr>
                <w:color w:val="000000" w:themeColor="text1"/>
                <w:szCs w:val="21"/>
              </w:rPr>
            </w:pPr>
            <w:r>
              <w:rPr>
                <w:color w:val="000000" w:themeColor="text1"/>
                <w:szCs w:val="21"/>
              </w:rPr>
              <w:t>100</w:t>
            </w:r>
          </w:p>
        </w:tc>
      </w:tr>
    </w:tbl>
    <w:p>
      <w:pPr>
        <w:pStyle w:val="4"/>
        <w:adjustRightInd w:val="0"/>
        <w:snapToGrid w:val="0"/>
        <w:spacing w:before="0" w:after="0" w:line="360" w:lineRule="auto"/>
        <w:rPr>
          <w:color w:val="000000" w:themeColor="text1"/>
        </w:rPr>
      </w:pPr>
      <w:bookmarkStart w:id="284" w:name="_Toc506218073"/>
      <w:bookmarkStart w:id="285" w:name="_Toc504403820"/>
      <w:bookmarkStart w:id="286" w:name="_Toc510547302"/>
      <w:r>
        <w:rPr>
          <w:color w:val="000000" w:themeColor="text1"/>
        </w:rPr>
        <w:t>3.4.4固体废物</w:t>
      </w:r>
      <w:bookmarkEnd w:id="284"/>
      <w:bookmarkEnd w:id="285"/>
      <w:bookmarkEnd w:id="286"/>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项目固体废物主要为生猪粪便、病死猪、医疗废物和生活垃圾等。</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（1）猪粪</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项目产生的猪粪参照《第一次全国污染源普查畜禽养殖业源产排污系数手册》计算。工程猪粪产生量见下表。</w:t>
      </w:r>
    </w:p>
    <w:p>
      <w:pPr>
        <w:pStyle w:val="132"/>
        <w:adjustRightInd w:val="0"/>
        <w:snapToGrid w:val="0"/>
        <w:spacing w:line="240" w:lineRule="auto"/>
        <w:ind w:firstLine="422"/>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表3.4-1</w:t>
      </w:r>
      <w:r>
        <w:rPr>
          <w:rFonts w:hint="eastAsia" w:ascii="Times New Roman" w:hAnsi="Times New Roman" w:cs="Times New Roman"/>
          <w:b/>
          <w:color w:val="000000" w:themeColor="text1"/>
          <w:sz w:val="21"/>
          <w:szCs w:val="21"/>
        </w:rPr>
        <w:t>4</w:t>
      </w:r>
      <w:r>
        <w:rPr>
          <w:rFonts w:ascii="Times New Roman" w:hAnsi="Times New Roman" w:cs="Times New Roman"/>
          <w:b/>
          <w:color w:val="000000" w:themeColor="text1"/>
          <w:sz w:val="21"/>
          <w:szCs w:val="21"/>
        </w:rPr>
        <w:t xml:space="preserve">  猪粪产生量一览表</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13"/>
        <w:gridCol w:w="1583"/>
        <w:gridCol w:w="2100"/>
        <w:gridCol w:w="2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6" w:type="dxa"/>
            <w:gridSpan w:val="2"/>
            <w:vMerge w:val="restart"/>
            <w:vAlign w:val="center"/>
          </w:tcPr>
          <w:p>
            <w:pPr>
              <w:adjustRightInd w:val="0"/>
              <w:snapToGrid w:val="0"/>
              <w:spacing w:line="240" w:lineRule="auto"/>
              <w:jc w:val="center"/>
              <w:rPr>
                <w:b/>
                <w:color w:val="000000" w:themeColor="text1"/>
                <w:szCs w:val="21"/>
              </w:rPr>
            </w:pPr>
            <w:r>
              <w:rPr>
                <w:b/>
                <w:color w:val="000000" w:themeColor="text1"/>
                <w:szCs w:val="21"/>
              </w:rPr>
              <w:t>存栏量（头）</w:t>
            </w:r>
          </w:p>
        </w:tc>
        <w:tc>
          <w:tcPr>
            <w:tcW w:w="1583" w:type="dxa"/>
            <w:vMerge w:val="restart"/>
            <w:vAlign w:val="center"/>
          </w:tcPr>
          <w:p>
            <w:pPr>
              <w:adjustRightInd w:val="0"/>
              <w:snapToGrid w:val="0"/>
              <w:spacing w:line="240" w:lineRule="auto"/>
              <w:jc w:val="center"/>
              <w:rPr>
                <w:b/>
                <w:color w:val="000000" w:themeColor="text1"/>
                <w:szCs w:val="21"/>
              </w:rPr>
            </w:pPr>
            <w:r>
              <w:rPr>
                <w:b/>
                <w:color w:val="000000" w:themeColor="text1"/>
                <w:szCs w:val="21"/>
              </w:rPr>
              <w:t>标准</w:t>
            </w:r>
          </w:p>
          <w:p>
            <w:pPr>
              <w:adjustRightInd w:val="0"/>
              <w:snapToGrid w:val="0"/>
              <w:spacing w:line="240" w:lineRule="auto"/>
              <w:jc w:val="center"/>
              <w:rPr>
                <w:b/>
                <w:color w:val="000000" w:themeColor="text1"/>
                <w:szCs w:val="21"/>
              </w:rPr>
            </w:pPr>
            <w:r>
              <w:rPr>
                <w:b/>
                <w:color w:val="000000" w:themeColor="text1"/>
                <w:szCs w:val="21"/>
              </w:rPr>
              <w:t>kg/（d·头）</w:t>
            </w:r>
          </w:p>
        </w:tc>
        <w:tc>
          <w:tcPr>
            <w:tcW w:w="4249" w:type="dxa"/>
            <w:gridSpan w:val="2"/>
            <w:vAlign w:val="center"/>
          </w:tcPr>
          <w:p>
            <w:pPr>
              <w:adjustRightInd w:val="0"/>
              <w:snapToGrid w:val="0"/>
              <w:spacing w:line="240" w:lineRule="auto"/>
              <w:jc w:val="center"/>
              <w:rPr>
                <w:b/>
                <w:color w:val="000000" w:themeColor="text1"/>
                <w:szCs w:val="21"/>
              </w:rPr>
            </w:pPr>
            <w:r>
              <w:rPr>
                <w:rFonts w:hint="eastAsia"/>
                <w:b/>
                <w:color w:val="000000" w:themeColor="text1"/>
                <w:szCs w:val="21"/>
              </w:rPr>
              <w:t>猪粪量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6" w:type="dxa"/>
            <w:gridSpan w:val="2"/>
            <w:vMerge w:val="continue"/>
            <w:vAlign w:val="center"/>
          </w:tcPr>
          <w:p>
            <w:pPr>
              <w:adjustRightInd w:val="0"/>
              <w:snapToGrid w:val="0"/>
              <w:spacing w:line="240" w:lineRule="auto"/>
              <w:jc w:val="center"/>
              <w:rPr>
                <w:b/>
                <w:color w:val="000000" w:themeColor="text1"/>
                <w:szCs w:val="21"/>
              </w:rPr>
            </w:pPr>
          </w:p>
        </w:tc>
        <w:tc>
          <w:tcPr>
            <w:tcW w:w="1583" w:type="dxa"/>
            <w:vMerge w:val="continue"/>
            <w:vAlign w:val="center"/>
          </w:tcPr>
          <w:p>
            <w:pPr>
              <w:adjustRightInd w:val="0"/>
              <w:snapToGrid w:val="0"/>
              <w:spacing w:line="240" w:lineRule="auto"/>
              <w:jc w:val="center"/>
              <w:rPr>
                <w:b/>
                <w:color w:val="000000" w:themeColor="text1"/>
                <w:szCs w:val="21"/>
              </w:rPr>
            </w:pPr>
          </w:p>
        </w:tc>
        <w:tc>
          <w:tcPr>
            <w:tcW w:w="2100" w:type="dxa"/>
            <w:vAlign w:val="center"/>
          </w:tcPr>
          <w:p>
            <w:pPr>
              <w:adjustRightInd w:val="0"/>
              <w:snapToGrid w:val="0"/>
              <w:spacing w:line="240" w:lineRule="auto"/>
              <w:jc w:val="center"/>
              <w:rPr>
                <w:b/>
                <w:color w:val="000000" w:themeColor="text1"/>
                <w:szCs w:val="21"/>
              </w:rPr>
            </w:pPr>
            <w:r>
              <w:rPr>
                <w:b/>
                <w:color w:val="000000" w:themeColor="text1"/>
                <w:szCs w:val="21"/>
              </w:rPr>
              <w:t>kg/d</w:t>
            </w:r>
          </w:p>
        </w:tc>
        <w:tc>
          <w:tcPr>
            <w:tcW w:w="2149" w:type="dxa"/>
            <w:vAlign w:val="center"/>
          </w:tcPr>
          <w:p>
            <w:pPr>
              <w:adjustRightInd w:val="0"/>
              <w:snapToGrid w:val="0"/>
              <w:spacing w:line="240" w:lineRule="auto"/>
              <w:jc w:val="center"/>
              <w:rPr>
                <w:b/>
                <w:color w:val="000000" w:themeColor="text1"/>
                <w:szCs w:val="21"/>
              </w:rPr>
            </w:pPr>
            <w:r>
              <w:rPr>
                <w:b/>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Align w:val="center"/>
          </w:tcPr>
          <w:p>
            <w:pPr>
              <w:adjustRightInd w:val="0"/>
              <w:snapToGrid w:val="0"/>
              <w:spacing w:line="240" w:lineRule="auto"/>
              <w:jc w:val="center"/>
              <w:rPr>
                <w:color w:val="000000" w:themeColor="text1"/>
                <w:szCs w:val="21"/>
              </w:rPr>
            </w:pPr>
            <w:r>
              <w:rPr>
                <w:rFonts w:hint="eastAsia"/>
                <w:color w:val="000000" w:themeColor="text1"/>
                <w:kern w:val="0"/>
                <w:szCs w:val="21"/>
              </w:rPr>
              <w:t>育肥猪</w:t>
            </w:r>
          </w:p>
        </w:tc>
        <w:tc>
          <w:tcPr>
            <w:tcW w:w="1313" w:type="dxa"/>
            <w:vAlign w:val="center"/>
          </w:tcPr>
          <w:p>
            <w:pPr>
              <w:adjustRightInd w:val="0"/>
              <w:snapToGrid w:val="0"/>
              <w:spacing w:line="240" w:lineRule="auto"/>
              <w:jc w:val="center"/>
              <w:rPr>
                <w:color w:val="000000" w:themeColor="text1"/>
                <w:szCs w:val="21"/>
              </w:rPr>
            </w:pPr>
            <w:r>
              <w:rPr>
                <w:rFonts w:hint="eastAsia"/>
                <w:color w:val="000000" w:themeColor="text1"/>
                <w:szCs w:val="21"/>
              </w:rPr>
              <w:t>10</w:t>
            </w:r>
            <w:r>
              <w:rPr>
                <w:color w:val="000000" w:themeColor="text1"/>
                <w:szCs w:val="21"/>
              </w:rPr>
              <w:t>000</w:t>
            </w:r>
          </w:p>
        </w:tc>
        <w:tc>
          <w:tcPr>
            <w:tcW w:w="1583" w:type="dxa"/>
            <w:vAlign w:val="center"/>
          </w:tcPr>
          <w:p>
            <w:pPr>
              <w:adjustRightInd w:val="0"/>
              <w:snapToGrid w:val="0"/>
              <w:spacing w:line="240" w:lineRule="auto"/>
              <w:jc w:val="center"/>
              <w:rPr>
                <w:color w:val="000000" w:themeColor="text1"/>
                <w:szCs w:val="21"/>
              </w:rPr>
            </w:pPr>
            <w:r>
              <w:rPr>
                <w:color w:val="000000" w:themeColor="text1"/>
                <w:szCs w:val="21"/>
              </w:rPr>
              <w:t>1.34</w:t>
            </w:r>
          </w:p>
        </w:tc>
        <w:tc>
          <w:tcPr>
            <w:tcW w:w="2100" w:type="dxa"/>
            <w:vAlign w:val="center"/>
          </w:tcPr>
          <w:p>
            <w:pPr>
              <w:adjustRightInd w:val="0"/>
              <w:snapToGrid w:val="0"/>
              <w:spacing w:line="240" w:lineRule="auto"/>
              <w:jc w:val="center"/>
              <w:rPr>
                <w:color w:val="000000" w:themeColor="text1"/>
                <w:szCs w:val="21"/>
              </w:rPr>
            </w:pPr>
            <w:r>
              <w:rPr>
                <w:rFonts w:hint="eastAsia"/>
                <w:color w:val="000000" w:themeColor="text1"/>
                <w:szCs w:val="21"/>
              </w:rPr>
              <w:t>13400</w:t>
            </w:r>
          </w:p>
        </w:tc>
        <w:tc>
          <w:tcPr>
            <w:tcW w:w="2149" w:type="dxa"/>
            <w:vAlign w:val="center"/>
          </w:tcPr>
          <w:p>
            <w:pPr>
              <w:adjustRightInd w:val="0"/>
              <w:snapToGrid w:val="0"/>
              <w:spacing w:line="240" w:lineRule="auto"/>
              <w:jc w:val="center"/>
              <w:rPr>
                <w:color w:val="000000" w:themeColor="text1"/>
                <w:szCs w:val="21"/>
              </w:rPr>
            </w:pPr>
            <w:r>
              <w:rPr>
                <w:rFonts w:hint="eastAsia"/>
                <w:color w:val="000000" w:themeColor="text1"/>
                <w:szCs w:val="21"/>
              </w:rPr>
              <w:t>4891</w:t>
            </w:r>
          </w:p>
        </w:tc>
      </w:tr>
    </w:tbl>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根据计算，项目猪粪产生量约</w:t>
      </w:r>
      <w:r>
        <w:rPr>
          <w:rFonts w:hint="eastAsia" w:ascii="Times New Roman" w:hAnsi="Times New Roman" w:cs="Times New Roman"/>
          <w:color w:val="000000" w:themeColor="text1"/>
        </w:rPr>
        <w:t>13.4</w:t>
      </w:r>
      <w:r>
        <w:rPr>
          <w:rFonts w:ascii="Times New Roman" w:hAnsi="Times New Roman" w:cs="Times New Roman"/>
          <w:color w:val="000000" w:themeColor="text1"/>
        </w:rPr>
        <w:t>t/d，</w:t>
      </w:r>
      <w:r>
        <w:rPr>
          <w:rFonts w:hint="eastAsia" w:ascii="Times New Roman" w:hAnsi="Times New Roman" w:cs="Times New Roman"/>
          <w:color w:val="000000" w:themeColor="text1"/>
        </w:rPr>
        <w:t>4891</w:t>
      </w:r>
      <w:r>
        <w:rPr>
          <w:rFonts w:ascii="Times New Roman" w:hAnsi="Times New Roman" w:cs="Times New Roman"/>
          <w:color w:val="000000" w:themeColor="text1"/>
        </w:rPr>
        <w:t>t/a。清粪效率</w:t>
      </w:r>
      <w:r>
        <w:rPr>
          <w:rFonts w:hint="eastAsia" w:ascii="Times New Roman" w:hAnsi="Times New Roman" w:cs="Times New Roman"/>
          <w:color w:val="000000" w:themeColor="text1"/>
        </w:rPr>
        <w:t>8</w:t>
      </w:r>
      <w:r>
        <w:rPr>
          <w:rFonts w:ascii="Times New Roman" w:hAnsi="Times New Roman" w:cs="Times New Roman"/>
          <w:color w:val="000000" w:themeColor="text1"/>
        </w:rPr>
        <w:t>0%计，则猪粪排放量为</w:t>
      </w:r>
      <w:r>
        <w:rPr>
          <w:rFonts w:hint="eastAsia" w:ascii="Times New Roman" w:hAnsi="Times New Roman" w:cs="Times New Roman"/>
          <w:color w:val="000000" w:themeColor="text1"/>
        </w:rPr>
        <w:t>10.7</w:t>
      </w:r>
      <w:r>
        <w:rPr>
          <w:rFonts w:ascii="Times New Roman" w:hAnsi="Times New Roman" w:cs="Times New Roman"/>
          <w:color w:val="000000" w:themeColor="text1"/>
        </w:rPr>
        <w:t>t/d，</w:t>
      </w:r>
      <w:r>
        <w:rPr>
          <w:rFonts w:hint="eastAsia" w:ascii="Times New Roman" w:hAnsi="Times New Roman" w:cs="Times New Roman"/>
          <w:color w:val="000000" w:themeColor="text1"/>
        </w:rPr>
        <w:t>3912.8</w:t>
      </w:r>
      <w:r>
        <w:rPr>
          <w:rFonts w:ascii="Times New Roman" w:hAnsi="Times New Roman" w:cs="Times New Roman"/>
          <w:color w:val="000000" w:themeColor="text1"/>
        </w:rPr>
        <w:t>t/a。项目采取干清粪工艺，采用</w:t>
      </w:r>
      <w:r>
        <w:rPr>
          <w:rFonts w:hint="eastAsia" w:ascii="Times New Roman" w:hAnsi="Times New Roman" w:cs="Times New Roman"/>
          <w:color w:val="000000" w:themeColor="text1"/>
        </w:rPr>
        <w:t>平板刮粪机</w:t>
      </w:r>
      <w:r>
        <w:rPr>
          <w:rFonts w:ascii="Times New Roman" w:hAnsi="Times New Roman" w:cs="Times New Roman"/>
          <w:color w:val="000000" w:themeColor="text1"/>
        </w:rPr>
        <w:t>将猪粪及时、单独清除，不与尿、污水混合排出，并将产生的粪渣及时运至</w:t>
      </w:r>
      <w:r>
        <w:rPr>
          <w:rFonts w:hint="eastAsia" w:ascii="Times New Roman" w:hAnsi="Times New Roman" w:cs="Times New Roman"/>
          <w:color w:val="000000" w:themeColor="text1"/>
        </w:rPr>
        <w:t>异位发酵车间</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（2）饲料渣</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根据统计，猪舍饲料损耗一般为总饲料量的1%，则本项目饲料残渣产生量为0.</w:t>
      </w:r>
      <w:r>
        <w:rPr>
          <w:rFonts w:hint="eastAsia" w:ascii="Times New Roman" w:hAnsi="Times New Roman" w:cs="Times New Roman"/>
          <w:color w:val="000000" w:themeColor="text1"/>
        </w:rPr>
        <w:t>3</w:t>
      </w:r>
      <w:r>
        <w:rPr>
          <w:rFonts w:ascii="Times New Roman" w:hAnsi="Times New Roman" w:cs="Times New Roman"/>
          <w:color w:val="000000" w:themeColor="text1"/>
        </w:rPr>
        <w:t>t/d、</w:t>
      </w:r>
      <w:r>
        <w:rPr>
          <w:rFonts w:hint="eastAsia" w:ascii="Times New Roman" w:hAnsi="Times New Roman" w:cs="Times New Roman"/>
          <w:color w:val="000000" w:themeColor="text1"/>
        </w:rPr>
        <w:t>109.5</w:t>
      </w:r>
      <w:r>
        <w:rPr>
          <w:rFonts w:ascii="Times New Roman" w:hAnsi="Times New Roman" w:cs="Times New Roman"/>
          <w:color w:val="000000" w:themeColor="text1"/>
        </w:rPr>
        <w:t>t/a。</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szCs w:val="22"/>
        </w:rPr>
        <w:t>（3）</w:t>
      </w:r>
      <w:r>
        <w:rPr>
          <w:rFonts w:ascii="Times New Roman" w:hAnsi="Times New Roman" w:cs="Times New Roman"/>
          <w:color w:val="000000" w:themeColor="text1"/>
        </w:rPr>
        <w:t>病死猪</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育肥猪年死亡率为出栏量的2‰，则项目年死亡育肥猪50头，单头育肥猪体重按照120kg计算），则病死猪量为6t/a</w:t>
      </w:r>
      <w:r>
        <w:rPr>
          <w:rFonts w:ascii="Times New Roman" w:hAnsi="Times New Roman" w:cs="Times New Roman"/>
          <w:color w:val="000000" w:themeColor="text1"/>
        </w:rPr>
        <w:t>。</w:t>
      </w:r>
    </w:p>
    <w:p>
      <w:pPr>
        <w:pStyle w:val="132"/>
        <w:ind w:firstLine="482"/>
        <w:rPr>
          <w:rFonts w:ascii="Times New Roman" w:hAnsi="Times New Roman" w:cs="Times New Roman"/>
          <w:b/>
          <w:color w:val="000000" w:themeColor="text1"/>
        </w:rPr>
      </w:pPr>
      <w:r>
        <w:rPr>
          <w:rFonts w:hint="eastAsia" w:ascii="Times New Roman" w:hAnsi="Times New Roman" w:cs="Times New Roman"/>
          <w:b/>
          <w:color w:val="000000" w:themeColor="text1"/>
        </w:rPr>
        <w:t>病死猪处理工艺：</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本项目拟采用新型生物发酵处理病死猪，该处理方法的工艺是建1个七格的死猪处理房，在每一格中放入由锯末、稻壳、细米糠等组成的发酵原料，发酵原料中含有由细菌、丝状菌、酵母菌、放线菌等多种天然有益微生物组成的复合菌群，当有病死猪产生时，先采用烧碱溶液进行消毒，将病菌杀灭，然后把死猪尸体放入发酵原料中掩埋发酵，微生物在适宜的温度、湿度、pH值和良好的通气条件下，迅速生长繁殖，产生60～70℃高温，并对死猪尸体进行分解，由于发酵剂中的微生物属好氧微生物，故每周将发酵原料及死猪尸体翻至下一格中，依次循环直至第七周，尸体将被完全分解，剩余少量骨头，剩余猪骨翻出后，再用</w:t>
      </w:r>
    </w:p>
    <w:p>
      <w:pPr>
        <w:pStyle w:val="132"/>
        <w:ind w:firstLine="0" w:firstLineChars="0"/>
        <w:rPr>
          <w:rFonts w:ascii="Times New Roman" w:hAnsi="Times New Roman" w:cs="Times New Roman"/>
          <w:color w:val="000000" w:themeColor="text1"/>
        </w:rPr>
      </w:pPr>
      <w:r>
        <w:rPr>
          <w:rFonts w:hint="eastAsia" w:ascii="Times New Roman" w:hAnsi="Times New Roman" w:cs="Times New Roman"/>
          <w:color w:val="000000" w:themeColor="text1"/>
        </w:rPr>
        <w:t>烧碱溶液喷洒消毒后于项目内填埋井填埋处理。</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本项目安全填埋井容积设为2（个）×63m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，并采用防渗混凝土结构，混凝土抗渗标号大于S30，（防渗系数小于10</w:t>
      </w:r>
      <w:r>
        <w:rPr>
          <w:rFonts w:hint="eastAsia" w:ascii="Times New Roman" w:hAnsi="Times New Roman" w:cs="Times New Roman"/>
          <w:color w:val="000000" w:themeColor="text1"/>
          <w:vertAlign w:val="superscript"/>
        </w:rPr>
        <w:t>-7</w:t>
      </w:r>
      <w:r>
        <w:rPr>
          <w:rFonts w:hint="eastAsia" w:ascii="Times New Roman" w:hAnsi="Times New Roman" w:cs="Times New Roman"/>
          <w:color w:val="000000" w:themeColor="text1"/>
        </w:rPr>
        <w:t>cm/s），深度5m，入口直径1m，井口加盖密封；填埋井应有明显的标志牌，标志牌上写“危险”字样；进行填埋时，在每次投入化尸剩余猪骨后，应喷洒消毒剂并覆盖一层厚度大于10cm的粘土，井填满后，须用粘土填埋压实并封口。</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化尸废料主要为锯末、稻壳、细米糠以及化尸产物，产生量为6t/a，和猪粪一同送往有机肥发酵车间生产有机肥。化尸剩余骨头产量约为1.2t/a。</w:t>
      </w:r>
    </w:p>
    <w:p>
      <w:pPr>
        <w:pStyle w:val="132"/>
        <w:adjustRightInd w:val="0"/>
        <w:snapToGrid w:val="0"/>
        <w:ind w:firstLine="480"/>
        <w:rPr>
          <w:color w:val="000000" w:themeColor="text1"/>
        </w:rPr>
      </w:pPr>
      <w:r>
        <w:rPr>
          <w:rFonts w:ascii="Times New Roman" w:hAnsi="Times New Roman" w:cs="Times New Roman"/>
          <w:color w:val="000000" w:themeColor="text1"/>
        </w:rPr>
        <w:t>（4）医疗废物</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生猪在生长过程接种免疫或发病期接受治疗产生的少量医疗废物，每头猪防疫产生医疗量约为0.005kg/a，全场产生量约为0.13t/a</w:t>
      </w:r>
      <w:r>
        <w:rPr>
          <w:rFonts w:ascii="Times New Roman" w:hAnsi="Times New Roman" w:cs="Times New Roman"/>
          <w:color w:val="000000" w:themeColor="text1"/>
        </w:rPr>
        <w:t>。</w:t>
      </w:r>
      <w:r>
        <w:rPr>
          <w:rFonts w:hint="eastAsia" w:ascii="Times New Roman" w:hAnsi="Times New Roman" w:cs="Times New Roman"/>
          <w:color w:val="000000" w:themeColor="text1"/>
        </w:rPr>
        <w:t>根据《国家危险废物名录（2016）》，该类废物属于废物类别为HW01医疗废物-非特定行业 （900-001-01） 的危险废物，此类危险废物的处置需按照《危险废物贮存污染控制标准》 （GB18597-2001）和《危险废物转移联单管理办法》进行收集处置，禁止随意丢弃。养殖场设置医疗废物暂存于医疗废物暂存间，定期委托有资质的单位处置</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w:t>
      </w:r>
      <w:r>
        <w:rPr>
          <w:rFonts w:hint="eastAsia" w:ascii="Times New Roman" w:hAnsi="Times New Roman" w:cs="Times New Roman"/>
          <w:color w:val="000000" w:themeColor="text1"/>
        </w:rPr>
        <w:t>5</w:t>
      </w:r>
      <w:r>
        <w:rPr>
          <w:rFonts w:ascii="Times New Roman" w:hAnsi="Times New Roman" w:cs="Times New Roman"/>
          <w:color w:val="000000" w:themeColor="text1"/>
        </w:rPr>
        <w:t>）</w:t>
      </w:r>
      <w:r>
        <w:rPr>
          <w:color w:val="000000" w:themeColor="text1"/>
        </w:rPr>
        <w:t>废弃</w:t>
      </w:r>
      <w:r>
        <w:rPr>
          <w:rFonts w:hint="eastAsia"/>
          <w:color w:val="000000" w:themeColor="text1"/>
        </w:rPr>
        <w:t>包装材料</w:t>
      </w:r>
    </w:p>
    <w:p>
      <w:pPr>
        <w:widowControl/>
        <w:shd w:val="clear" w:color="auto" w:fill="FFFFFF"/>
        <w:wordWrap w:val="0"/>
        <w:ind w:firstLine="480" w:firstLineChars="200"/>
        <w:rPr>
          <w:color w:val="000000" w:themeColor="text1"/>
          <w:sz w:val="24"/>
        </w:rPr>
      </w:pPr>
      <w:r>
        <w:rPr>
          <w:rFonts w:hint="eastAsia"/>
          <w:color w:val="000000" w:themeColor="text1"/>
          <w:sz w:val="24"/>
        </w:rPr>
        <w:t>本项目废包装物主要包括废塑料袋、废纸箱、废蛇皮袋等各种原辅材料的包装物，产生量约4t/a，收集后外售处理</w:t>
      </w:r>
      <w:r>
        <w:rPr>
          <w:color w:val="000000" w:themeColor="text1"/>
          <w:sz w:val="24"/>
        </w:rPr>
        <w:t>。</w:t>
      </w:r>
    </w:p>
    <w:p>
      <w:pPr>
        <w:widowControl/>
        <w:shd w:val="clear" w:color="auto" w:fill="FFFFFF"/>
        <w:wordWrap w:val="0"/>
        <w:ind w:firstLine="480" w:firstLineChars="200"/>
        <w:rPr>
          <w:color w:val="000000" w:themeColor="text1"/>
          <w:sz w:val="24"/>
        </w:rPr>
      </w:pPr>
      <w:r>
        <w:rPr>
          <w:color w:val="000000" w:themeColor="text1"/>
          <w:sz w:val="24"/>
        </w:rPr>
        <w:t>（</w:t>
      </w:r>
      <w:r>
        <w:rPr>
          <w:rFonts w:hint="eastAsia"/>
          <w:color w:val="000000" w:themeColor="text1"/>
          <w:sz w:val="24"/>
        </w:rPr>
        <w:t>6</w:t>
      </w:r>
      <w:r>
        <w:rPr>
          <w:color w:val="000000" w:themeColor="text1"/>
          <w:sz w:val="24"/>
        </w:rPr>
        <w:t>）脱硫剂</w:t>
      </w:r>
    </w:p>
    <w:p>
      <w:pPr>
        <w:widowControl/>
        <w:shd w:val="clear" w:color="auto" w:fill="FFFFFF"/>
        <w:wordWrap w:val="0"/>
        <w:ind w:firstLine="480" w:firstLineChars="200"/>
        <w:rPr>
          <w:color w:val="000000" w:themeColor="text1"/>
          <w:sz w:val="24"/>
        </w:rPr>
      </w:pPr>
      <w:r>
        <w:rPr>
          <w:color w:val="000000" w:themeColor="text1"/>
          <w:sz w:val="24"/>
        </w:rPr>
        <w:t>沼气净化脱硫时氧化铁脱硫剂可以与空气进行再生，多次利用，当脱硫剂活性下降无法再生利用时，需进行换料。</w:t>
      </w:r>
    </w:p>
    <w:p>
      <w:pPr>
        <w:widowControl/>
        <w:shd w:val="clear" w:color="auto" w:fill="FFFFFF"/>
        <w:wordWrap w:val="0"/>
        <w:ind w:firstLine="480" w:firstLineChars="200"/>
        <w:rPr>
          <w:color w:val="000000" w:themeColor="text1"/>
          <w:sz w:val="24"/>
        </w:rPr>
      </w:pPr>
      <w:r>
        <w:rPr>
          <w:color w:val="000000" w:themeColor="text1"/>
          <w:sz w:val="24"/>
        </w:rPr>
        <w:t>根据相关资料，净化100m</w:t>
      </w:r>
      <w:r>
        <w:rPr>
          <w:color w:val="000000" w:themeColor="text1"/>
          <w:sz w:val="24"/>
          <w:vertAlign w:val="superscript"/>
        </w:rPr>
        <w:t>3</w:t>
      </w:r>
      <w:r>
        <w:rPr>
          <w:color w:val="000000" w:themeColor="text1"/>
          <w:sz w:val="24"/>
        </w:rPr>
        <w:t>的沼气产生废氧化铁脱硫剂产生量约3.03kg，本项目沼气量为</w:t>
      </w:r>
      <w:r>
        <w:rPr>
          <w:rFonts w:hint="eastAsia"/>
          <w:color w:val="000000" w:themeColor="text1"/>
          <w:sz w:val="24"/>
        </w:rPr>
        <w:t>7794.5</w:t>
      </w:r>
      <w:r>
        <w:rPr>
          <w:color w:val="000000" w:themeColor="text1"/>
          <w:sz w:val="24"/>
        </w:rPr>
        <w:t>m</w:t>
      </w:r>
      <w:r>
        <w:rPr>
          <w:color w:val="000000" w:themeColor="text1"/>
          <w:sz w:val="24"/>
          <w:vertAlign w:val="superscript"/>
        </w:rPr>
        <w:t>3</w:t>
      </w:r>
      <w:r>
        <w:rPr>
          <w:color w:val="000000" w:themeColor="text1"/>
          <w:sz w:val="24"/>
        </w:rPr>
        <w:t>/a，则废氧化铁脱硫剂产生量约</w:t>
      </w:r>
      <w:r>
        <w:rPr>
          <w:rFonts w:hint="eastAsia"/>
          <w:color w:val="000000" w:themeColor="text1"/>
          <w:sz w:val="24"/>
        </w:rPr>
        <w:t>0.24</w:t>
      </w:r>
      <w:r>
        <w:rPr>
          <w:color w:val="000000" w:themeColor="text1"/>
          <w:sz w:val="24"/>
        </w:rPr>
        <w:t>t/a，废氧化铁脱硫剂由换料的生产厂家带走回收利用。</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（7）沼渣</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项目猪粪产生量为4891t/a。项目产生新鲜粪便约计978.2t/a（20%）沼气系统进行发酵处理。进入厌氧反应猪粪湿重为2.68t/d，发酵过程中20%进入沼液中，剩余形成沼渣。故沼渣实际产生量湿重为2.14t/d、781.1t/a。</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（8）</w:t>
      </w:r>
      <w:r>
        <w:rPr>
          <w:rFonts w:ascii="Times New Roman" w:hAnsi="Times New Roman" w:cs="Times New Roman"/>
          <w:color w:val="000000" w:themeColor="text1"/>
        </w:rPr>
        <w:t>生活垃圾</w:t>
      </w:r>
    </w:p>
    <w:p>
      <w:pPr>
        <w:widowControl/>
        <w:shd w:val="clear" w:color="auto" w:fill="FFFFFF"/>
        <w:wordWrap w:val="0"/>
        <w:ind w:firstLine="480" w:firstLineChars="200"/>
        <w:rPr>
          <w:color w:val="000000" w:themeColor="text1"/>
          <w:sz w:val="24"/>
        </w:rPr>
      </w:pPr>
      <w:r>
        <w:rPr>
          <w:color w:val="000000" w:themeColor="text1"/>
          <w:sz w:val="24"/>
        </w:rPr>
        <w:t>项目职工人数为</w:t>
      </w:r>
      <w:r>
        <w:rPr>
          <w:rFonts w:hint="eastAsia"/>
          <w:color w:val="000000" w:themeColor="text1"/>
          <w:sz w:val="24"/>
        </w:rPr>
        <w:t>15</w:t>
      </w:r>
      <w:r>
        <w:rPr>
          <w:color w:val="000000" w:themeColor="text1"/>
          <w:sz w:val="24"/>
        </w:rPr>
        <w:t>人，生活垃圾产生量按1kg/d·人计，</w:t>
      </w:r>
      <w:r>
        <w:rPr>
          <w:rFonts w:hint="eastAsia"/>
          <w:color w:val="000000" w:themeColor="text1"/>
          <w:sz w:val="24"/>
        </w:rPr>
        <w:t>则产生量</w:t>
      </w:r>
      <w:r>
        <w:rPr>
          <w:color w:val="000000" w:themeColor="text1"/>
          <w:sz w:val="24"/>
        </w:rPr>
        <w:t>为</w:t>
      </w:r>
      <w:r>
        <w:rPr>
          <w:rFonts w:hint="eastAsia"/>
          <w:color w:val="000000" w:themeColor="text1"/>
          <w:sz w:val="24"/>
        </w:rPr>
        <w:t>15</w:t>
      </w:r>
      <w:r>
        <w:rPr>
          <w:color w:val="000000" w:themeColor="text1"/>
          <w:sz w:val="24"/>
        </w:rPr>
        <w:t>kg/d、</w:t>
      </w:r>
      <w:r>
        <w:rPr>
          <w:rFonts w:hint="eastAsia"/>
          <w:color w:val="000000" w:themeColor="text1"/>
          <w:sz w:val="24"/>
        </w:rPr>
        <w:t>5.48</w:t>
      </w:r>
      <w:r>
        <w:rPr>
          <w:color w:val="000000" w:themeColor="text1"/>
          <w:sz w:val="24"/>
        </w:rPr>
        <w:t>t/a。厂区设置垃圾房，统一收集后</w:t>
      </w:r>
      <w:r>
        <w:rPr>
          <w:rFonts w:hint="eastAsia"/>
          <w:color w:val="000000" w:themeColor="text1"/>
          <w:sz w:val="24"/>
        </w:rPr>
        <w:t>依托当地村镇垃圾收集系统处置</w:t>
      </w:r>
      <w:r>
        <w:rPr>
          <w:color w:val="000000" w:themeColor="text1"/>
          <w:sz w:val="24"/>
        </w:rPr>
        <w:t>。</w:t>
      </w:r>
    </w:p>
    <w:p>
      <w:pPr>
        <w:widowControl/>
        <w:shd w:val="clear" w:color="auto" w:fill="FFFFFF"/>
        <w:wordWrap w:val="0"/>
        <w:ind w:firstLine="480" w:firstLineChars="200"/>
        <w:rPr>
          <w:color w:val="000000" w:themeColor="text1"/>
          <w:sz w:val="24"/>
        </w:rPr>
      </w:pPr>
      <w:r>
        <w:rPr>
          <w:rFonts w:hint="eastAsia"/>
          <w:color w:val="000000" w:themeColor="text1"/>
          <w:sz w:val="24"/>
        </w:rPr>
        <w:t>（9）烂水果及废枝条</w:t>
      </w:r>
    </w:p>
    <w:p>
      <w:pPr>
        <w:widowControl/>
        <w:shd w:val="clear" w:color="auto" w:fill="FFFFFF"/>
        <w:wordWrap w:val="0"/>
        <w:ind w:firstLine="480" w:firstLineChars="200"/>
        <w:rPr>
          <w:color w:val="000000" w:themeColor="text1"/>
          <w:sz w:val="24"/>
        </w:rPr>
      </w:pPr>
      <w:r>
        <w:rPr>
          <w:rFonts w:hint="eastAsia"/>
          <w:color w:val="000000" w:themeColor="text1"/>
          <w:sz w:val="24"/>
        </w:rPr>
        <w:t>项目种植区果树修建及采摘过程会产生废枝条及采摘过程产生的烂水果。废枝条产生量约0.2t/亩·a，则废枝条产生量为46.2t/a，废枝条可委托相关厂家加工成异位发酵车间垫料。烂水果产生量约2t/a，可作为异位发酵车间原料。</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项目固废产生量及处置措施汇总见下表。</w:t>
      </w:r>
    </w:p>
    <w:p>
      <w:pPr>
        <w:pStyle w:val="132"/>
        <w:ind w:firstLine="480"/>
        <w:rPr>
          <w:rFonts w:ascii="Times New Roman" w:hAnsi="Times New Roman" w:cs="Times New Roman"/>
          <w:color w:val="000000" w:themeColor="text1"/>
        </w:rPr>
      </w:pPr>
    </w:p>
    <w:p>
      <w:pPr>
        <w:pStyle w:val="158"/>
        <w:spacing w:line="240" w:lineRule="auto"/>
        <w:rPr>
          <w:color w:val="000000" w:themeColor="text1"/>
          <w:sz w:val="21"/>
          <w:szCs w:val="21"/>
        </w:rPr>
      </w:pPr>
      <w:r>
        <w:rPr>
          <w:color w:val="000000" w:themeColor="text1"/>
          <w:sz w:val="21"/>
          <w:szCs w:val="21"/>
        </w:rPr>
        <w:t>表3.4-1</w:t>
      </w:r>
      <w:r>
        <w:rPr>
          <w:rFonts w:hint="eastAsia"/>
          <w:color w:val="000000" w:themeColor="text1"/>
          <w:sz w:val="21"/>
          <w:szCs w:val="21"/>
        </w:rPr>
        <w:t>4</w:t>
      </w:r>
      <w:r>
        <w:rPr>
          <w:color w:val="000000" w:themeColor="text1"/>
          <w:sz w:val="21"/>
          <w:szCs w:val="21"/>
        </w:rPr>
        <w:t xml:space="preserve">  固体废物产生量及处置措施一览表</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823"/>
        <w:gridCol w:w="1405"/>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序号</w:t>
            </w:r>
          </w:p>
        </w:tc>
        <w:tc>
          <w:tcPr>
            <w:tcW w:w="1823"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种类</w:t>
            </w:r>
          </w:p>
        </w:tc>
        <w:tc>
          <w:tcPr>
            <w:tcW w:w="1405"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产生量</w:t>
            </w:r>
          </w:p>
        </w:tc>
        <w:tc>
          <w:tcPr>
            <w:tcW w:w="4510"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拟采取的处置措施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823"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猪粪</w:t>
            </w:r>
          </w:p>
        </w:tc>
        <w:tc>
          <w:tcPr>
            <w:tcW w:w="1405" w:type="dxa"/>
            <w:vAlign w:val="center"/>
          </w:tcPr>
          <w:p>
            <w:pPr>
              <w:adjustRightInd w:val="0"/>
              <w:snapToGrid w:val="0"/>
              <w:spacing w:line="240" w:lineRule="auto"/>
              <w:jc w:val="center"/>
              <w:rPr>
                <w:color w:val="000000" w:themeColor="text1"/>
                <w:szCs w:val="21"/>
              </w:rPr>
            </w:pPr>
            <w:r>
              <w:rPr>
                <w:rFonts w:hint="eastAsia"/>
                <w:color w:val="000000" w:themeColor="text1"/>
                <w:szCs w:val="21"/>
              </w:rPr>
              <w:t>4891</w:t>
            </w:r>
            <w:r>
              <w:rPr>
                <w:color w:val="000000" w:themeColor="text1"/>
                <w:szCs w:val="21"/>
              </w:rPr>
              <w:t>t/a</w:t>
            </w:r>
          </w:p>
        </w:tc>
        <w:tc>
          <w:tcPr>
            <w:tcW w:w="4510" w:type="dxa"/>
            <w:vMerge w:val="restart"/>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发酵处理后袋装外售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1823"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饲料渣</w:t>
            </w:r>
          </w:p>
        </w:tc>
        <w:tc>
          <w:tcPr>
            <w:tcW w:w="1405" w:type="dxa"/>
            <w:vAlign w:val="center"/>
          </w:tcPr>
          <w:p>
            <w:pPr>
              <w:adjustRightInd w:val="0"/>
              <w:snapToGrid w:val="0"/>
              <w:spacing w:line="240" w:lineRule="auto"/>
              <w:jc w:val="center"/>
              <w:rPr>
                <w:color w:val="000000" w:themeColor="text1"/>
                <w:szCs w:val="21"/>
              </w:rPr>
            </w:pPr>
            <w:r>
              <w:rPr>
                <w:rFonts w:hint="eastAsia"/>
                <w:color w:val="000000" w:themeColor="text1"/>
                <w:szCs w:val="21"/>
              </w:rPr>
              <w:t>109.5</w:t>
            </w:r>
            <w:r>
              <w:rPr>
                <w:color w:val="000000" w:themeColor="text1"/>
                <w:szCs w:val="21"/>
              </w:rPr>
              <w:t>t/a</w:t>
            </w:r>
          </w:p>
        </w:tc>
        <w:tc>
          <w:tcPr>
            <w:tcW w:w="4510"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3</w:t>
            </w:r>
          </w:p>
        </w:tc>
        <w:tc>
          <w:tcPr>
            <w:tcW w:w="1823"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病死猪</w:t>
            </w:r>
          </w:p>
        </w:tc>
        <w:tc>
          <w:tcPr>
            <w:tcW w:w="1405" w:type="dxa"/>
            <w:vAlign w:val="center"/>
          </w:tcPr>
          <w:p>
            <w:pPr>
              <w:adjustRightInd w:val="0"/>
              <w:snapToGrid w:val="0"/>
              <w:spacing w:line="240" w:lineRule="auto"/>
              <w:jc w:val="center"/>
              <w:rPr>
                <w:color w:val="000000" w:themeColor="text1"/>
                <w:szCs w:val="21"/>
              </w:rPr>
            </w:pPr>
            <w:r>
              <w:rPr>
                <w:rFonts w:hint="eastAsia"/>
                <w:color w:val="000000" w:themeColor="text1"/>
                <w:szCs w:val="21"/>
              </w:rPr>
              <w:t>6</w:t>
            </w:r>
            <w:r>
              <w:rPr>
                <w:color w:val="000000" w:themeColor="text1"/>
                <w:szCs w:val="21"/>
              </w:rPr>
              <w:t>t/a</w:t>
            </w:r>
          </w:p>
        </w:tc>
        <w:tc>
          <w:tcPr>
            <w:tcW w:w="4510"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4</w:t>
            </w:r>
          </w:p>
        </w:tc>
        <w:tc>
          <w:tcPr>
            <w:tcW w:w="1823"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沼渣</w:t>
            </w:r>
          </w:p>
        </w:tc>
        <w:tc>
          <w:tcPr>
            <w:tcW w:w="1405" w:type="dxa"/>
            <w:vAlign w:val="center"/>
          </w:tcPr>
          <w:p>
            <w:pPr>
              <w:adjustRightInd w:val="0"/>
              <w:snapToGrid w:val="0"/>
              <w:spacing w:line="240" w:lineRule="auto"/>
              <w:jc w:val="center"/>
              <w:rPr>
                <w:color w:val="000000" w:themeColor="text1"/>
                <w:szCs w:val="21"/>
              </w:rPr>
            </w:pPr>
            <w:r>
              <w:rPr>
                <w:color w:val="000000" w:themeColor="text1"/>
                <w:szCs w:val="21"/>
              </w:rPr>
              <w:t>781.1t/a</w:t>
            </w:r>
          </w:p>
        </w:tc>
        <w:tc>
          <w:tcPr>
            <w:tcW w:w="4510"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p>
        </w:tc>
        <w:tc>
          <w:tcPr>
            <w:tcW w:w="1823"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化尸骨头</w:t>
            </w:r>
          </w:p>
        </w:tc>
        <w:tc>
          <w:tcPr>
            <w:tcW w:w="140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1.2</w:t>
            </w:r>
            <w:r>
              <w:rPr>
                <w:rFonts w:ascii="Times New Roman" w:hAnsi="Times New Roman" w:cs="Times New Roman"/>
                <w:color w:val="000000" w:themeColor="text1"/>
                <w:szCs w:val="21"/>
              </w:rPr>
              <w:t>t/a</w:t>
            </w:r>
          </w:p>
        </w:tc>
        <w:tc>
          <w:tcPr>
            <w:tcW w:w="45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安全填埋井填埋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6</w:t>
            </w:r>
          </w:p>
        </w:tc>
        <w:tc>
          <w:tcPr>
            <w:tcW w:w="1823"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医疗废物</w:t>
            </w:r>
          </w:p>
        </w:tc>
        <w:tc>
          <w:tcPr>
            <w:tcW w:w="140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0.13</w:t>
            </w:r>
            <w:r>
              <w:rPr>
                <w:rFonts w:ascii="Times New Roman" w:hAnsi="Times New Roman" w:cs="Times New Roman"/>
                <w:color w:val="000000" w:themeColor="text1"/>
                <w:szCs w:val="21"/>
              </w:rPr>
              <w:t>t/a</w:t>
            </w:r>
          </w:p>
        </w:tc>
        <w:tc>
          <w:tcPr>
            <w:tcW w:w="451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设置医疗废物暂存于医疗废物暂存间，定期委托有资质的单位处置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7</w:t>
            </w:r>
          </w:p>
        </w:tc>
        <w:tc>
          <w:tcPr>
            <w:tcW w:w="1823"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生活垃圾</w:t>
            </w:r>
          </w:p>
        </w:tc>
        <w:tc>
          <w:tcPr>
            <w:tcW w:w="140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5.48</w:t>
            </w:r>
            <w:r>
              <w:rPr>
                <w:rFonts w:ascii="Times New Roman" w:hAnsi="Times New Roman" w:cs="Times New Roman"/>
                <w:color w:val="000000" w:themeColor="text1"/>
                <w:szCs w:val="21"/>
              </w:rPr>
              <w:t>t/a</w:t>
            </w:r>
          </w:p>
        </w:tc>
        <w:tc>
          <w:tcPr>
            <w:tcW w:w="45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厂区设置生活垃圾房，</w:t>
            </w:r>
            <w:r>
              <w:rPr>
                <w:rFonts w:hint="eastAsia" w:ascii="Times New Roman" w:hAnsi="Times New Roman" w:cs="Times New Roman"/>
                <w:color w:val="000000" w:themeColor="text1"/>
                <w:szCs w:val="21"/>
              </w:rPr>
              <w:t>统一收集后依托当地村镇垃圾收集系统处置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8</w:t>
            </w:r>
          </w:p>
        </w:tc>
        <w:tc>
          <w:tcPr>
            <w:tcW w:w="1823"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废弃包装材料</w:t>
            </w:r>
          </w:p>
        </w:tc>
        <w:tc>
          <w:tcPr>
            <w:tcW w:w="140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w:t>
            </w:r>
            <w:r>
              <w:rPr>
                <w:rFonts w:ascii="Times New Roman" w:hAnsi="Times New Roman" w:cs="Times New Roman"/>
                <w:color w:val="000000" w:themeColor="text1"/>
                <w:szCs w:val="21"/>
              </w:rPr>
              <w:t>t/a</w:t>
            </w:r>
          </w:p>
        </w:tc>
        <w:tc>
          <w:tcPr>
            <w:tcW w:w="451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9</w:t>
            </w:r>
          </w:p>
        </w:tc>
        <w:tc>
          <w:tcPr>
            <w:tcW w:w="1823"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脱硫剂</w:t>
            </w:r>
          </w:p>
        </w:tc>
        <w:tc>
          <w:tcPr>
            <w:tcW w:w="140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0.24</w:t>
            </w:r>
            <w:r>
              <w:rPr>
                <w:rFonts w:ascii="Times New Roman" w:hAnsi="Times New Roman" w:cs="Times New Roman"/>
                <w:color w:val="000000" w:themeColor="text1"/>
                <w:szCs w:val="21"/>
              </w:rPr>
              <w:t>t/a</w:t>
            </w:r>
          </w:p>
        </w:tc>
        <w:tc>
          <w:tcPr>
            <w:tcW w:w="45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9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10</w:t>
            </w:r>
          </w:p>
        </w:tc>
        <w:tc>
          <w:tcPr>
            <w:tcW w:w="1823"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烂水果及废枝条</w:t>
            </w:r>
          </w:p>
        </w:tc>
        <w:tc>
          <w:tcPr>
            <w:tcW w:w="140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48.2t/a</w:t>
            </w:r>
          </w:p>
        </w:tc>
        <w:tc>
          <w:tcPr>
            <w:tcW w:w="451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废枝条可委托相关厂家加工成异位发酵车间垫料，烂水果可作为异位发酵车间原料</w:t>
            </w:r>
          </w:p>
        </w:tc>
      </w:tr>
    </w:tbl>
    <w:p>
      <w:pPr>
        <w:pStyle w:val="3"/>
        <w:spacing w:before="156" w:after="156"/>
        <w:rPr>
          <w:rFonts w:ascii="Times New Roman" w:hAnsi="Times New Roman"/>
          <w:color w:val="000000" w:themeColor="text1"/>
        </w:rPr>
      </w:pPr>
      <w:bookmarkStart w:id="287" w:name="_Toc187045929"/>
      <w:bookmarkStart w:id="288" w:name="_Toc402186374"/>
      <w:bookmarkStart w:id="289" w:name="_Toc4076488"/>
      <w:bookmarkStart w:id="290" w:name="_Toc510547303"/>
      <w:bookmarkStart w:id="291" w:name="_Toc98920116"/>
      <w:bookmarkStart w:id="292" w:name="_Toc83525106"/>
      <w:r>
        <w:rPr>
          <w:rFonts w:ascii="Times New Roman" w:hAnsi="Times New Roman"/>
          <w:color w:val="000000" w:themeColor="text1"/>
        </w:rPr>
        <w:t>3.5污染物排放量汇总</w:t>
      </w:r>
      <w:bookmarkEnd w:id="287"/>
      <w:bookmarkEnd w:id="288"/>
      <w:bookmarkEnd w:id="289"/>
      <w:bookmarkEnd w:id="290"/>
      <w:bookmarkEnd w:id="291"/>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本项目的污染物排放量汇总见表下表。</w:t>
      </w:r>
    </w:p>
    <w:p>
      <w:pPr>
        <w:pStyle w:val="158"/>
        <w:spacing w:line="240" w:lineRule="auto"/>
        <w:rPr>
          <w:color w:val="000000" w:themeColor="text1"/>
          <w:sz w:val="21"/>
          <w:szCs w:val="21"/>
        </w:rPr>
      </w:pPr>
      <w:r>
        <w:rPr>
          <w:color w:val="000000" w:themeColor="text1"/>
          <w:sz w:val="21"/>
          <w:szCs w:val="21"/>
        </w:rPr>
        <w:t>表3.5-1   项目污染物排放量汇总</w:t>
      </w:r>
      <w:bookmarkEnd w:id="292"/>
      <w:bookmarkStart w:id="293" w:name="_Toc402186375"/>
    </w:p>
    <w:tbl>
      <w:tblPr>
        <w:tblStyle w:val="42"/>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2039"/>
        <w:gridCol w:w="1635"/>
        <w:gridCol w:w="1702"/>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种类</w:t>
            </w:r>
          </w:p>
        </w:tc>
        <w:tc>
          <w:tcPr>
            <w:tcW w:w="2039"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污染物名称</w:t>
            </w:r>
          </w:p>
        </w:tc>
        <w:tc>
          <w:tcPr>
            <w:tcW w:w="1635"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产生量（t/a）</w:t>
            </w:r>
          </w:p>
        </w:tc>
        <w:tc>
          <w:tcPr>
            <w:tcW w:w="1702"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削减量（t/a）</w:t>
            </w:r>
          </w:p>
        </w:tc>
        <w:tc>
          <w:tcPr>
            <w:tcW w:w="1702"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restart"/>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b/>
                <w:color w:val="000000" w:themeColor="text1"/>
                <w:szCs w:val="21"/>
              </w:rPr>
              <w:t>综合废水产生量</w:t>
            </w:r>
            <w:r>
              <w:rPr>
                <w:rFonts w:hint="eastAsia" w:ascii="Times New Roman" w:hAnsi="Times New Roman" w:cs="Times New Roman"/>
                <w:color w:val="000000" w:themeColor="text1"/>
                <w:szCs w:val="21"/>
              </w:rPr>
              <w:t>11852.6</w:t>
            </w:r>
          </w:p>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m</w:t>
            </w:r>
            <w:r>
              <w:rPr>
                <w:rFonts w:ascii="Times New Roman" w:hAnsi="Times New Roman" w:cs="Times New Roman"/>
                <w:b/>
                <w:color w:val="000000" w:themeColor="text1"/>
                <w:szCs w:val="21"/>
                <w:vertAlign w:val="superscript"/>
              </w:rPr>
              <w:t>3</w:t>
            </w:r>
            <w:r>
              <w:rPr>
                <w:rFonts w:ascii="Times New Roman" w:hAnsi="Times New Roman" w:cs="Times New Roman"/>
                <w:b/>
                <w:color w:val="000000" w:themeColor="text1"/>
                <w:szCs w:val="21"/>
              </w:rPr>
              <w:t>/a</w:t>
            </w: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COD</w:t>
            </w:r>
          </w:p>
        </w:tc>
        <w:tc>
          <w:tcPr>
            <w:tcW w:w="1635" w:type="dxa"/>
            <w:vAlign w:val="center"/>
          </w:tcPr>
          <w:p>
            <w:pPr>
              <w:spacing w:line="240" w:lineRule="auto"/>
              <w:jc w:val="center"/>
              <w:rPr>
                <w:color w:val="000000" w:themeColor="text1"/>
                <w:szCs w:val="21"/>
              </w:rPr>
            </w:pPr>
            <w:r>
              <w:rPr>
                <w:rFonts w:hint="eastAsia"/>
                <w:color w:val="000000" w:themeColor="text1"/>
                <w:szCs w:val="21"/>
              </w:rPr>
              <w:t>30.22</w:t>
            </w:r>
          </w:p>
        </w:tc>
        <w:tc>
          <w:tcPr>
            <w:tcW w:w="1702" w:type="dxa"/>
            <w:vAlign w:val="center"/>
          </w:tcPr>
          <w:p>
            <w:pPr>
              <w:spacing w:line="240" w:lineRule="auto"/>
              <w:jc w:val="center"/>
              <w:rPr>
                <w:color w:val="000000" w:themeColor="text1"/>
                <w:szCs w:val="21"/>
              </w:rPr>
            </w:pPr>
            <w:r>
              <w:rPr>
                <w:rFonts w:hint="eastAsia"/>
                <w:color w:val="000000" w:themeColor="text1"/>
                <w:szCs w:val="21"/>
              </w:rPr>
              <w:t>30.22</w:t>
            </w:r>
          </w:p>
        </w:tc>
        <w:tc>
          <w:tcPr>
            <w:tcW w:w="1702" w:type="dxa"/>
            <w:vAlign w:val="center"/>
          </w:tcPr>
          <w:p>
            <w:pPr>
              <w:spacing w:line="240" w:lineRule="auto"/>
              <w:jc w:val="center"/>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b/>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TN</w:t>
            </w:r>
          </w:p>
        </w:tc>
        <w:tc>
          <w:tcPr>
            <w:tcW w:w="1635" w:type="dxa"/>
            <w:vAlign w:val="center"/>
          </w:tcPr>
          <w:p>
            <w:pPr>
              <w:spacing w:line="240" w:lineRule="auto"/>
              <w:jc w:val="center"/>
              <w:rPr>
                <w:color w:val="000000" w:themeColor="text1"/>
                <w:szCs w:val="21"/>
              </w:rPr>
            </w:pPr>
            <w:r>
              <w:rPr>
                <w:rFonts w:hint="eastAsia"/>
                <w:color w:val="000000" w:themeColor="text1"/>
                <w:szCs w:val="21"/>
              </w:rPr>
              <w:t>4.24</w:t>
            </w:r>
          </w:p>
        </w:tc>
        <w:tc>
          <w:tcPr>
            <w:tcW w:w="1702" w:type="dxa"/>
            <w:vAlign w:val="center"/>
          </w:tcPr>
          <w:p>
            <w:pPr>
              <w:spacing w:line="240" w:lineRule="auto"/>
              <w:jc w:val="center"/>
              <w:rPr>
                <w:color w:val="000000" w:themeColor="text1"/>
                <w:szCs w:val="21"/>
              </w:rPr>
            </w:pPr>
            <w:r>
              <w:rPr>
                <w:rFonts w:hint="eastAsia"/>
                <w:color w:val="000000" w:themeColor="text1"/>
                <w:szCs w:val="21"/>
              </w:rPr>
              <w:t>4.24</w:t>
            </w:r>
          </w:p>
        </w:tc>
        <w:tc>
          <w:tcPr>
            <w:tcW w:w="1702" w:type="dxa"/>
            <w:vAlign w:val="center"/>
          </w:tcPr>
          <w:p>
            <w:pPr>
              <w:spacing w:line="240" w:lineRule="auto"/>
              <w:jc w:val="center"/>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b/>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NH</w:t>
            </w:r>
            <w:r>
              <w:rPr>
                <w:rFonts w:ascii="Times New Roman" w:hAnsi="Times New Roman" w:cs="Times New Roman"/>
                <w:color w:val="000000" w:themeColor="text1"/>
                <w:szCs w:val="21"/>
                <w:vertAlign w:val="subscript"/>
              </w:rPr>
              <w:t>3</w:t>
            </w:r>
            <w:r>
              <w:rPr>
                <w:rFonts w:ascii="Times New Roman" w:hAnsi="Times New Roman" w:cs="Times New Roman"/>
                <w:color w:val="000000" w:themeColor="text1"/>
                <w:szCs w:val="21"/>
              </w:rPr>
              <w:t>-N</w:t>
            </w:r>
          </w:p>
        </w:tc>
        <w:tc>
          <w:tcPr>
            <w:tcW w:w="1635" w:type="dxa"/>
            <w:vAlign w:val="center"/>
          </w:tcPr>
          <w:p>
            <w:pPr>
              <w:spacing w:line="240" w:lineRule="auto"/>
              <w:jc w:val="center"/>
              <w:rPr>
                <w:color w:val="000000" w:themeColor="text1"/>
                <w:szCs w:val="21"/>
              </w:rPr>
            </w:pPr>
            <w:r>
              <w:rPr>
                <w:rFonts w:hint="eastAsia"/>
                <w:color w:val="000000" w:themeColor="text1"/>
                <w:szCs w:val="21"/>
              </w:rPr>
              <w:t>2.98</w:t>
            </w:r>
          </w:p>
        </w:tc>
        <w:tc>
          <w:tcPr>
            <w:tcW w:w="1702" w:type="dxa"/>
            <w:vAlign w:val="center"/>
          </w:tcPr>
          <w:p>
            <w:pPr>
              <w:spacing w:line="240" w:lineRule="auto"/>
              <w:jc w:val="center"/>
              <w:rPr>
                <w:color w:val="000000" w:themeColor="text1"/>
                <w:szCs w:val="21"/>
              </w:rPr>
            </w:pPr>
            <w:r>
              <w:rPr>
                <w:rFonts w:hint="eastAsia"/>
                <w:color w:val="000000" w:themeColor="text1"/>
                <w:szCs w:val="21"/>
              </w:rPr>
              <w:t>2.98</w:t>
            </w:r>
          </w:p>
        </w:tc>
        <w:tc>
          <w:tcPr>
            <w:tcW w:w="1702" w:type="dxa"/>
            <w:vAlign w:val="center"/>
          </w:tcPr>
          <w:p>
            <w:pPr>
              <w:spacing w:line="240" w:lineRule="auto"/>
              <w:jc w:val="center"/>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b/>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T-P</w:t>
            </w:r>
          </w:p>
        </w:tc>
        <w:tc>
          <w:tcPr>
            <w:tcW w:w="1635" w:type="dxa"/>
            <w:vAlign w:val="center"/>
          </w:tcPr>
          <w:p>
            <w:pPr>
              <w:spacing w:line="240" w:lineRule="auto"/>
              <w:jc w:val="center"/>
              <w:rPr>
                <w:color w:val="000000" w:themeColor="text1"/>
                <w:szCs w:val="21"/>
              </w:rPr>
            </w:pPr>
            <w:r>
              <w:rPr>
                <w:rFonts w:hint="eastAsia"/>
                <w:color w:val="000000" w:themeColor="text1"/>
                <w:szCs w:val="21"/>
              </w:rPr>
              <w:t>0.495</w:t>
            </w:r>
          </w:p>
        </w:tc>
        <w:tc>
          <w:tcPr>
            <w:tcW w:w="1702" w:type="dxa"/>
            <w:vAlign w:val="center"/>
          </w:tcPr>
          <w:p>
            <w:pPr>
              <w:spacing w:line="240" w:lineRule="auto"/>
              <w:jc w:val="center"/>
              <w:rPr>
                <w:color w:val="000000" w:themeColor="text1"/>
                <w:szCs w:val="21"/>
              </w:rPr>
            </w:pPr>
            <w:r>
              <w:rPr>
                <w:rFonts w:hint="eastAsia"/>
                <w:color w:val="000000" w:themeColor="text1"/>
                <w:szCs w:val="21"/>
              </w:rPr>
              <w:t>0.495</w:t>
            </w:r>
          </w:p>
        </w:tc>
        <w:tc>
          <w:tcPr>
            <w:tcW w:w="1702" w:type="dxa"/>
            <w:vAlign w:val="center"/>
          </w:tcPr>
          <w:p>
            <w:pPr>
              <w:spacing w:line="240" w:lineRule="auto"/>
              <w:jc w:val="center"/>
              <w:rPr>
                <w:color w:val="000000" w:themeColor="text1"/>
              </w:rPr>
            </w:pPr>
            <w:r>
              <w:rPr>
                <w:rFonts w:hint="eastAsia"/>
                <w:color w:val="000000" w:themeColor="text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restart"/>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废气</w:t>
            </w:r>
          </w:p>
        </w:tc>
        <w:tc>
          <w:tcPr>
            <w:tcW w:w="2039" w:type="dxa"/>
            <w:vAlign w:val="center"/>
          </w:tcPr>
          <w:p>
            <w:pPr>
              <w:adjustRightInd w:val="0"/>
              <w:snapToGrid w:val="0"/>
              <w:spacing w:line="240" w:lineRule="auto"/>
              <w:jc w:val="center"/>
              <w:rPr>
                <w:color w:val="000000" w:themeColor="text1"/>
                <w:szCs w:val="21"/>
              </w:rPr>
            </w:pPr>
            <w:r>
              <w:rPr>
                <w:color w:val="000000" w:themeColor="text1"/>
                <w:szCs w:val="21"/>
              </w:rPr>
              <w:t>NH</w:t>
            </w:r>
            <w:r>
              <w:rPr>
                <w:color w:val="000000" w:themeColor="text1"/>
                <w:szCs w:val="21"/>
                <w:vertAlign w:val="subscript"/>
              </w:rPr>
              <w:t>3</w:t>
            </w:r>
          </w:p>
        </w:tc>
        <w:tc>
          <w:tcPr>
            <w:tcW w:w="1635" w:type="dxa"/>
            <w:vAlign w:val="center"/>
          </w:tcPr>
          <w:p>
            <w:pPr>
              <w:adjustRightInd w:val="0"/>
              <w:snapToGrid w:val="0"/>
              <w:spacing w:line="240" w:lineRule="auto"/>
              <w:jc w:val="center"/>
              <w:rPr>
                <w:color w:val="000000" w:themeColor="text1"/>
                <w:szCs w:val="21"/>
              </w:rPr>
            </w:pPr>
            <w:r>
              <w:rPr>
                <w:rFonts w:hint="eastAsia"/>
                <w:color w:val="000000" w:themeColor="text1"/>
                <w:szCs w:val="21"/>
              </w:rPr>
              <w:t>7.84</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7.46</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b/>
                <w:color w:val="000000" w:themeColor="text1"/>
                <w:szCs w:val="21"/>
              </w:rPr>
            </w:pPr>
          </w:p>
        </w:tc>
        <w:tc>
          <w:tcPr>
            <w:tcW w:w="2039" w:type="dxa"/>
            <w:vAlign w:val="center"/>
          </w:tcPr>
          <w:p>
            <w:pPr>
              <w:adjustRightInd w:val="0"/>
              <w:snapToGrid w:val="0"/>
              <w:spacing w:line="240" w:lineRule="auto"/>
              <w:jc w:val="center"/>
              <w:rPr>
                <w:color w:val="000000" w:themeColor="text1"/>
                <w:szCs w:val="21"/>
              </w:rPr>
            </w:pPr>
            <w:r>
              <w:rPr>
                <w:color w:val="000000" w:themeColor="text1"/>
                <w:spacing w:val="20"/>
                <w:szCs w:val="21"/>
              </w:rPr>
              <w:t>H</w:t>
            </w:r>
            <w:r>
              <w:rPr>
                <w:color w:val="000000" w:themeColor="text1"/>
                <w:spacing w:val="20"/>
                <w:szCs w:val="21"/>
                <w:vertAlign w:val="subscript"/>
              </w:rPr>
              <w:t>2</w:t>
            </w:r>
            <w:r>
              <w:rPr>
                <w:color w:val="000000" w:themeColor="text1"/>
                <w:spacing w:val="20"/>
                <w:szCs w:val="21"/>
              </w:rPr>
              <w:t>S</w:t>
            </w:r>
          </w:p>
        </w:tc>
        <w:tc>
          <w:tcPr>
            <w:tcW w:w="1635" w:type="dxa"/>
            <w:vAlign w:val="center"/>
          </w:tcPr>
          <w:p>
            <w:pPr>
              <w:adjustRightInd w:val="0"/>
              <w:snapToGrid w:val="0"/>
              <w:spacing w:line="240" w:lineRule="auto"/>
              <w:jc w:val="center"/>
              <w:rPr>
                <w:color w:val="000000" w:themeColor="text1"/>
                <w:szCs w:val="21"/>
              </w:rPr>
            </w:pPr>
            <w:r>
              <w:rPr>
                <w:rFonts w:hint="eastAsia"/>
                <w:color w:val="000000" w:themeColor="text1"/>
                <w:szCs w:val="21"/>
              </w:rPr>
              <w:t>1.23</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1.14</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b/>
                <w:color w:val="000000" w:themeColor="text1"/>
                <w:szCs w:val="21"/>
              </w:rPr>
            </w:pPr>
          </w:p>
        </w:tc>
        <w:tc>
          <w:tcPr>
            <w:tcW w:w="2039" w:type="dxa"/>
            <w:vAlign w:val="center"/>
          </w:tcPr>
          <w:p>
            <w:pPr>
              <w:adjustRightInd w:val="0"/>
              <w:snapToGrid w:val="0"/>
              <w:spacing w:line="240" w:lineRule="auto"/>
              <w:jc w:val="center"/>
              <w:rPr>
                <w:color w:val="000000" w:themeColor="text1"/>
                <w:spacing w:val="20"/>
                <w:szCs w:val="21"/>
              </w:rPr>
            </w:pPr>
            <w:r>
              <w:rPr>
                <w:color w:val="000000" w:themeColor="text1"/>
              </w:rPr>
              <w:t>SO</w:t>
            </w:r>
            <w:r>
              <w:rPr>
                <w:color w:val="000000" w:themeColor="text1"/>
                <w:vertAlign w:val="subscript"/>
              </w:rPr>
              <w:t>2</w:t>
            </w:r>
          </w:p>
        </w:tc>
        <w:tc>
          <w:tcPr>
            <w:tcW w:w="1635"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0.003</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0</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b/>
                <w:color w:val="000000" w:themeColor="text1"/>
                <w:szCs w:val="21"/>
              </w:rPr>
            </w:pPr>
          </w:p>
        </w:tc>
        <w:tc>
          <w:tcPr>
            <w:tcW w:w="2039" w:type="dxa"/>
            <w:vAlign w:val="center"/>
          </w:tcPr>
          <w:p>
            <w:pPr>
              <w:adjustRightInd w:val="0"/>
              <w:snapToGrid w:val="0"/>
              <w:spacing w:line="240" w:lineRule="auto"/>
              <w:jc w:val="center"/>
              <w:rPr>
                <w:color w:val="000000" w:themeColor="text1"/>
                <w:spacing w:val="20"/>
                <w:szCs w:val="21"/>
              </w:rPr>
            </w:pPr>
            <w:r>
              <w:rPr>
                <w:color w:val="000000" w:themeColor="text1"/>
              </w:rPr>
              <w:t>NOx</w:t>
            </w:r>
          </w:p>
        </w:tc>
        <w:tc>
          <w:tcPr>
            <w:tcW w:w="1635"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0.008</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0</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restart"/>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固废</w:t>
            </w: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猪粪</w:t>
            </w:r>
          </w:p>
        </w:tc>
        <w:tc>
          <w:tcPr>
            <w:tcW w:w="1635" w:type="dxa"/>
            <w:vAlign w:val="center"/>
          </w:tcPr>
          <w:p>
            <w:pPr>
              <w:adjustRightInd w:val="0"/>
              <w:snapToGrid w:val="0"/>
              <w:spacing w:line="240" w:lineRule="auto"/>
              <w:jc w:val="center"/>
              <w:rPr>
                <w:color w:val="000000" w:themeColor="text1"/>
                <w:szCs w:val="21"/>
              </w:rPr>
            </w:pPr>
            <w:r>
              <w:rPr>
                <w:rFonts w:hint="eastAsia"/>
                <w:color w:val="000000" w:themeColor="text1"/>
                <w:szCs w:val="21"/>
              </w:rPr>
              <w:t>4891</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4891</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饲料渣</w:t>
            </w:r>
          </w:p>
        </w:tc>
        <w:tc>
          <w:tcPr>
            <w:tcW w:w="1635" w:type="dxa"/>
            <w:vAlign w:val="center"/>
          </w:tcPr>
          <w:p>
            <w:pPr>
              <w:adjustRightInd w:val="0"/>
              <w:snapToGrid w:val="0"/>
              <w:spacing w:line="240" w:lineRule="auto"/>
              <w:jc w:val="center"/>
              <w:rPr>
                <w:color w:val="000000" w:themeColor="text1"/>
                <w:szCs w:val="21"/>
              </w:rPr>
            </w:pPr>
            <w:r>
              <w:rPr>
                <w:rFonts w:hint="eastAsia"/>
                <w:color w:val="000000" w:themeColor="text1"/>
                <w:szCs w:val="21"/>
              </w:rPr>
              <w:t>109.5</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109.5</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病死猪</w:t>
            </w:r>
          </w:p>
        </w:tc>
        <w:tc>
          <w:tcPr>
            <w:tcW w:w="1635" w:type="dxa"/>
            <w:vAlign w:val="center"/>
          </w:tcPr>
          <w:p>
            <w:pPr>
              <w:adjustRightInd w:val="0"/>
              <w:snapToGrid w:val="0"/>
              <w:spacing w:line="240" w:lineRule="auto"/>
              <w:jc w:val="center"/>
              <w:rPr>
                <w:color w:val="000000" w:themeColor="text1"/>
                <w:szCs w:val="21"/>
              </w:rPr>
            </w:pPr>
            <w:r>
              <w:rPr>
                <w:rFonts w:hint="eastAsia"/>
                <w:color w:val="000000" w:themeColor="text1"/>
                <w:szCs w:val="21"/>
              </w:rPr>
              <w:t>6</w:t>
            </w:r>
          </w:p>
        </w:tc>
        <w:tc>
          <w:tcPr>
            <w:tcW w:w="1702" w:type="dxa"/>
            <w:vAlign w:val="center"/>
          </w:tcPr>
          <w:p>
            <w:pPr>
              <w:adjustRightInd w:val="0"/>
              <w:snapToGrid w:val="0"/>
              <w:spacing w:line="240" w:lineRule="auto"/>
              <w:jc w:val="center"/>
              <w:rPr>
                <w:color w:val="000000" w:themeColor="text1"/>
                <w:szCs w:val="21"/>
              </w:rPr>
            </w:pPr>
            <w:r>
              <w:rPr>
                <w:rFonts w:hint="eastAsia"/>
                <w:color w:val="000000" w:themeColor="text1"/>
                <w:szCs w:val="21"/>
              </w:rPr>
              <w:t>6</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沼渣</w:t>
            </w:r>
          </w:p>
        </w:tc>
        <w:tc>
          <w:tcPr>
            <w:tcW w:w="163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781.1</w:t>
            </w:r>
          </w:p>
        </w:tc>
        <w:tc>
          <w:tcPr>
            <w:tcW w:w="1702"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781.1</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Merge w:val="continue"/>
            <w:vAlign w:val="center"/>
          </w:tcPr>
          <w:p>
            <w:pPr>
              <w:pStyle w:val="100"/>
              <w:spacing w:line="240" w:lineRule="auto"/>
              <w:rPr>
                <w:rFonts w:ascii="Times New Roman" w:hAnsi="Times New Roman" w:cs="Times New Roman"/>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化尸骨头</w:t>
            </w:r>
          </w:p>
        </w:tc>
        <w:tc>
          <w:tcPr>
            <w:tcW w:w="163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1.2</w:t>
            </w:r>
          </w:p>
        </w:tc>
        <w:tc>
          <w:tcPr>
            <w:tcW w:w="1702"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1.2</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81" w:type="dxa"/>
            <w:vMerge w:val="continue"/>
            <w:vAlign w:val="center"/>
          </w:tcPr>
          <w:p>
            <w:pPr>
              <w:pStyle w:val="100"/>
              <w:spacing w:line="240" w:lineRule="auto"/>
              <w:rPr>
                <w:rFonts w:ascii="Times New Roman" w:hAnsi="Times New Roman" w:cs="Times New Roman"/>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医疗废物</w:t>
            </w:r>
          </w:p>
        </w:tc>
        <w:tc>
          <w:tcPr>
            <w:tcW w:w="163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0.13</w:t>
            </w:r>
          </w:p>
        </w:tc>
        <w:tc>
          <w:tcPr>
            <w:tcW w:w="1702"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0.13</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81" w:type="dxa"/>
            <w:vMerge w:val="continue"/>
            <w:vAlign w:val="center"/>
          </w:tcPr>
          <w:p>
            <w:pPr>
              <w:pStyle w:val="100"/>
              <w:spacing w:line="240" w:lineRule="auto"/>
              <w:rPr>
                <w:rFonts w:ascii="Times New Roman" w:hAnsi="Times New Roman" w:cs="Times New Roman"/>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生活垃圾</w:t>
            </w:r>
          </w:p>
        </w:tc>
        <w:tc>
          <w:tcPr>
            <w:tcW w:w="163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5.48</w:t>
            </w:r>
          </w:p>
        </w:tc>
        <w:tc>
          <w:tcPr>
            <w:tcW w:w="1702"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5.48</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81" w:type="dxa"/>
            <w:vMerge w:val="continue"/>
            <w:vAlign w:val="center"/>
          </w:tcPr>
          <w:p>
            <w:pPr>
              <w:pStyle w:val="100"/>
              <w:spacing w:line="240" w:lineRule="auto"/>
              <w:rPr>
                <w:rFonts w:ascii="Times New Roman" w:hAnsi="Times New Roman" w:cs="Times New Roman"/>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废弃包装材料</w:t>
            </w:r>
          </w:p>
        </w:tc>
        <w:tc>
          <w:tcPr>
            <w:tcW w:w="163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w:t>
            </w:r>
          </w:p>
        </w:tc>
        <w:tc>
          <w:tcPr>
            <w:tcW w:w="1702"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81" w:type="dxa"/>
            <w:vMerge w:val="continue"/>
            <w:vAlign w:val="center"/>
          </w:tcPr>
          <w:p>
            <w:pPr>
              <w:pStyle w:val="100"/>
              <w:spacing w:line="240" w:lineRule="auto"/>
              <w:rPr>
                <w:rFonts w:ascii="Times New Roman" w:hAnsi="Times New Roman" w:cs="Times New Roman"/>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脱硫剂</w:t>
            </w:r>
          </w:p>
        </w:tc>
        <w:tc>
          <w:tcPr>
            <w:tcW w:w="163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0.24</w:t>
            </w:r>
          </w:p>
        </w:tc>
        <w:tc>
          <w:tcPr>
            <w:tcW w:w="1702"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0.24</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81" w:type="dxa"/>
            <w:vMerge w:val="continue"/>
            <w:vAlign w:val="center"/>
          </w:tcPr>
          <w:p>
            <w:pPr>
              <w:pStyle w:val="100"/>
              <w:spacing w:line="240" w:lineRule="auto"/>
              <w:rPr>
                <w:rFonts w:ascii="Times New Roman" w:hAnsi="Times New Roman" w:cs="Times New Roman"/>
                <w:color w:val="000000" w:themeColor="text1"/>
                <w:szCs w:val="21"/>
              </w:rPr>
            </w:pPr>
          </w:p>
        </w:tc>
        <w:tc>
          <w:tcPr>
            <w:tcW w:w="2039"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烂水果及废枝条</w:t>
            </w:r>
          </w:p>
        </w:tc>
        <w:tc>
          <w:tcPr>
            <w:tcW w:w="1635"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48.2</w:t>
            </w:r>
          </w:p>
        </w:tc>
        <w:tc>
          <w:tcPr>
            <w:tcW w:w="1702"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48.2</w:t>
            </w:r>
          </w:p>
        </w:tc>
        <w:tc>
          <w:tcPr>
            <w:tcW w:w="1702"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81"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噪声</w:t>
            </w:r>
          </w:p>
        </w:tc>
        <w:tc>
          <w:tcPr>
            <w:tcW w:w="2039"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设备噪声</w:t>
            </w:r>
          </w:p>
        </w:tc>
        <w:tc>
          <w:tcPr>
            <w:tcW w:w="1635"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70~100</w:t>
            </w:r>
            <w:r>
              <w:rPr>
                <w:rFonts w:ascii="Times New Roman" w:hAnsi="Times New Roman" w:cs="Times New Roman"/>
                <w:color w:val="000000" w:themeColor="text1"/>
              </w:rPr>
              <w:t>dB(A)</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70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昼间≤60</w:t>
            </w:r>
            <w:r>
              <w:rPr>
                <w:rFonts w:ascii="Times New Roman" w:hAnsi="Times New Roman" w:cs="Times New Roman"/>
                <w:color w:val="000000" w:themeColor="text1"/>
              </w:rPr>
              <w:t>dB(A)</w:t>
            </w:r>
          </w:p>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夜间≤50</w:t>
            </w:r>
            <w:r>
              <w:rPr>
                <w:rFonts w:ascii="Times New Roman" w:hAnsi="Times New Roman" w:cs="Times New Roman"/>
                <w:color w:val="000000" w:themeColor="text1"/>
              </w:rPr>
              <w:t>dB(A)</w:t>
            </w:r>
          </w:p>
        </w:tc>
      </w:tr>
    </w:tbl>
    <w:p>
      <w:pPr>
        <w:rPr>
          <w:color w:val="000000" w:themeColor="text1"/>
        </w:rPr>
      </w:pPr>
    </w:p>
    <w:p>
      <w:pPr>
        <w:pStyle w:val="158"/>
        <w:spacing w:line="240" w:lineRule="auto"/>
        <w:rPr>
          <w:color w:val="000000" w:themeColor="text1"/>
        </w:rPr>
      </w:pPr>
    </w:p>
    <w:p>
      <w:pPr>
        <w:rPr>
          <w:color w:val="000000" w:themeColor="text1"/>
        </w:rPr>
      </w:pPr>
    </w:p>
    <w:p>
      <w:pPr>
        <w:rPr>
          <w:color w:val="000000" w:themeColor="text1"/>
        </w:rPr>
        <w:sectPr>
          <w:pgSz w:w="11906" w:h="16838"/>
          <w:pgMar w:top="1440" w:right="1797" w:bottom="1440" w:left="1797" w:header="851" w:footer="992" w:gutter="0"/>
          <w:cols w:space="720" w:num="1"/>
          <w:docGrid w:linePitch="312" w:charSpace="0"/>
        </w:sectPr>
      </w:pPr>
    </w:p>
    <w:p>
      <w:pPr>
        <w:pStyle w:val="2"/>
        <w:rPr>
          <w:rFonts w:hAnsi="Times New Roman"/>
          <w:color w:val="000000" w:themeColor="text1"/>
        </w:rPr>
      </w:pPr>
      <w:bookmarkStart w:id="294" w:name="_Toc4076489"/>
      <w:bookmarkStart w:id="295" w:name="_Toc510547304"/>
      <w:r>
        <w:rPr>
          <w:rFonts w:hAnsi="Times New Roman"/>
          <w:color w:val="000000" w:themeColor="text1"/>
        </w:rPr>
        <w:t>4</w:t>
      </w:r>
      <w:bookmarkEnd w:id="293"/>
      <w:r>
        <w:rPr>
          <w:rFonts w:hAnsi="Times New Roman"/>
          <w:color w:val="000000" w:themeColor="text1"/>
        </w:rPr>
        <w:t>环境现状调查与评价</w:t>
      </w:r>
      <w:bookmarkEnd w:id="294"/>
      <w:bookmarkEnd w:id="295"/>
    </w:p>
    <w:p>
      <w:pPr>
        <w:pStyle w:val="3"/>
        <w:adjustRightInd w:val="0"/>
        <w:snapToGrid w:val="0"/>
        <w:spacing w:before="0" w:after="0"/>
        <w:rPr>
          <w:rFonts w:ascii="Times New Roman" w:hAnsi="Times New Roman"/>
          <w:color w:val="000000" w:themeColor="text1"/>
        </w:rPr>
      </w:pPr>
      <w:bookmarkStart w:id="296" w:name="_Toc510547305"/>
      <w:bookmarkStart w:id="297" w:name="_Toc4076490"/>
      <w:bookmarkStart w:id="298" w:name="_Toc402186376"/>
      <w:r>
        <w:rPr>
          <w:rFonts w:ascii="Times New Roman" w:hAnsi="Times New Roman"/>
          <w:color w:val="000000" w:themeColor="text1"/>
        </w:rPr>
        <w:t>4.1自然环境概况</w:t>
      </w:r>
      <w:bookmarkEnd w:id="296"/>
      <w:bookmarkEnd w:id="297"/>
      <w:bookmarkEnd w:id="298"/>
    </w:p>
    <w:p>
      <w:pPr>
        <w:pStyle w:val="4"/>
        <w:adjustRightInd w:val="0"/>
        <w:snapToGrid w:val="0"/>
        <w:spacing w:before="0" w:after="0" w:line="360" w:lineRule="auto"/>
        <w:rPr>
          <w:color w:val="000000" w:themeColor="text1"/>
        </w:rPr>
      </w:pPr>
      <w:bookmarkStart w:id="299" w:name="_Toc510547306"/>
      <w:bookmarkStart w:id="300" w:name="_Toc504403824"/>
      <w:r>
        <w:rPr>
          <w:color w:val="000000" w:themeColor="text1"/>
        </w:rPr>
        <w:t>4.1.1地理位置</w:t>
      </w:r>
      <w:bookmarkEnd w:id="299"/>
      <w:bookmarkEnd w:id="300"/>
    </w:p>
    <w:p>
      <w:pPr>
        <w:ind w:firstLine="480" w:firstLineChars="200"/>
        <w:rPr>
          <w:color w:val="000000" w:themeColor="text1"/>
          <w:sz w:val="24"/>
        </w:rPr>
      </w:pPr>
      <w:r>
        <w:rPr>
          <w:color w:val="000000" w:themeColor="text1"/>
          <w:sz w:val="24"/>
        </w:rPr>
        <w:t>新平县位于云南省中部，在北纬23°38′15″-24°26′05″、东经101°16′30″-102°16′50″之间，东与峨山彝族自治县毗邻，东南与石屏县接壤，南连元江哈尼族彝族傣族自治县，西南接墨江哈尼族自治县，西与镇沅彝族哈尼族拉祜族自治县相接，北隔绿汁江与双柏县相望。</w:t>
      </w:r>
    </w:p>
    <w:p>
      <w:pPr>
        <w:ind w:firstLine="468" w:firstLineChars="195"/>
        <w:rPr>
          <w:color w:val="000000" w:themeColor="text1"/>
          <w:sz w:val="24"/>
        </w:rPr>
      </w:pPr>
      <w:r>
        <w:rPr>
          <w:color w:val="000000" w:themeColor="text1"/>
          <w:sz w:val="24"/>
        </w:rPr>
        <w:t>本项目所在地为</w:t>
      </w:r>
      <w:r>
        <w:rPr>
          <w:rFonts w:hint="eastAsia"/>
          <w:color w:val="000000" w:themeColor="text1"/>
          <w:sz w:val="24"/>
        </w:rPr>
        <w:t>新平县平甸乡白鹤</w:t>
      </w:r>
      <w:r>
        <w:rPr>
          <w:color w:val="000000" w:themeColor="text1"/>
          <w:sz w:val="24"/>
        </w:rPr>
        <w:t>村委会，属于山区</w:t>
      </w:r>
      <w:r>
        <w:rPr>
          <w:rFonts w:hint="eastAsia"/>
          <w:color w:val="000000" w:themeColor="text1"/>
          <w:sz w:val="24"/>
        </w:rPr>
        <w:t>，</w:t>
      </w:r>
      <w:r>
        <w:rPr>
          <w:color w:val="000000" w:themeColor="text1"/>
          <w:sz w:val="24"/>
        </w:rPr>
        <w:t>距离县城</w:t>
      </w:r>
      <w:r>
        <w:rPr>
          <w:rFonts w:hint="eastAsia"/>
          <w:color w:val="000000" w:themeColor="text1"/>
          <w:sz w:val="24"/>
        </w:rPr>
        <w:t>7</w:t>
      </w:r>
      <w:r>
        <w:rPr>
          <w:color w:val="000000" w:themeColor="text1"/>
          <w:sz w:val="24"/>
        </w:rPr>
        <w:t>km。</w:t>
      </w:r>
      <w:r>
        <w:rPr>
          <w:rFonts w:hint="eastAsia"/>
          <w:color w:val="000000" w:themeColor="text1"/>
          <w:sz w:val="24"/>
        </w:rPr>
        <w:t>白鹤村委会是新平县平甸乡的一个行政村，地处平甸乡东北面，距平甸乡政府所在地30公里。白鹤村委会东与者甸村毗邻，南与者甸、桃孔相接，西与桃孔相连，北与新化乡的者渣和峨山的大西接壤。辖上清水河、下清水河、坡立、石头村、石头村小寨、汉科甲共6个村民小组。</w:t>
      </w:r>
      <w:r>
        <w:rPr>
          <w:color w:val="000000" w:themeColor="text1"/>
          <w:sz w:val="24"/>
        </w:rPr>
        <w:t>项目场址位于</w:t>
      </w:r>
      <w:r>
        <w:rPr>
          <w:rFonts w:hint="eastAsia"/>
          <w:color w:val="000000" w:themeColor="text1"/>
          <w:sz w:val="24"/>
        </w:rPr>
        <w:t>白鹤</w:t>
      </w:r>
      <w:r>
        <w:rPr>
          <w:color w:val="000000" w:themeColor="text1"/>
          <w:sz w:val="24"/>
        </w:rPr>
        <w:t>村委会</w:t>
      </w:r>
      <w:r>
        <w:rPr>
          <w:rFonts w:hint="eastAsia"/>
          <w:color w:val="000000" w:themeColor="text1"/>
          <w:sz w:val="24"/>
        </w:rPr>
        <w:t>石头村</w:t>
      </w:r>
      <w:r>
        <w:rPr>
          <w:color w:val="000000" w:themeColor="text1"/>
          <w:sz w:val="24"/>
        </w:rPr>
        <w:t>东南面</w:t>
      </w:r>
      <w:r>
        <w:rPr>
          <w:rFonts w:hint="eastAsia"/>
          <w:color w:val="000000" w:themeColor="text1"/>
          <w:sz w:val="24"/>
        </w:rPr>
        <w:t>543</w:t>
      </w:r>
      <w:r>
        <w:rPr>
          <w:color w:val="000000" w:themeColor="text1"/>
          <w:sz w:val="24"/>
        </w:rPr>
        <w:t>m处。详见项目地理位置图。</w:t>
      </w:r>
    </w:p>
    <w:p>
      <w:pPr>
        <w:pStyle w:val="4"/>
        <w:adjustRightInd w:val="0"/>
        <w:snapToGrid w:val="0"/>
        <w:spacing w:before="0" w:after="0" w:line="360" w:lineRule="auto"/>
        <w:rPr>
          <w:color w:val="000000" w:themeColor="text1"/>
          <w:szCs w:val="24"/>
        </w:rPr>
      </w:pPr>
      <w:bookmarkStart w:id="301" w:name="_Toc510547307"/>
      <w:bookmarkStart w:id="302" w:name="_Toc504403825"/>
      <w:r>
        <w:rPr>
          <w:color w:val="000000" w:themeColor="text1"/>
          <w:szCs w:val="24"/>
        </w:rPr>
        <w:t>4.1.2 地形地貌</w:t>
      </w:r>
      <w:bookmarkEnd w:id="301"/>
      <w:bookmarkEnd w:id="302"/>
    </w:p>
    <w:p>
      <w:pPr>
        <w:ind w:firstLine="480" w:firstLineChars="200"/>
        <w:rPr>
          <w:color w:val="000000" w:themeColor="text1"/>
          <w:sz w:val="24"/>
        </w:rPr>
      </w:pPr>
      <w:r>
        <w:rPr>
          <w:rFonts w:hint="eastAsia"/>
          <w:color w:val="000000" w:themeColor="text1"/>
          <w:sz w:val="24"/>
        </w:rPr>
        <w:t>新平县属山区县，地质构造复杂，地势陡峻，切割破碎。全县大于25°的自然坡度面积占总土地面积的41.1%，大于25°的坡耕地占总耕地面积的7.9%。境内岭高坡陡，沟壑纵横，许多山谷间相对高度达2000m以上。县境内地质构造复杂，漠沙镇西部哀牢山脉有欧亚大陆地质剖面，元江西面的漠沙镇、戛洒镇、水塘镇为典型的高山斜坝。</w:t>
      </w:r>
    </w:p>
    <w:p>
      <w:pPr>
        <w:ind w:firstLine="480" w:firstLineChars="200"/>
        <w:rPr>
          <w:color w:val="000000" w:themeColor="text1"/>
          <w:sz w:val="24"/>
        </w:rPr>
      </w:pPr>
      <w:r>
        <w:rPr>
          <w:rFonts w:hint="eastAsia"/>
          <w:color w:val="000000" w:themeColor="text1"/>
          <w:sz w:val="24"/>
        </w:rPr>
        <w:t>县城为新生第四系地质，地基承载力150KPa，属于普通甲类工程地基基础。根据昆明地震大队资料记载：新平县境内自1696年以来，有地震18次，其中破坏性5次，最大地震烈度7.3度。新平县抗震设防烈度为7度，设计基本地震加速度值为0.15g，抗震分组为第一组。</w:t>
      </w:r>
    </w:p>
    <w:p>
      <w:pPr>
        <w:ind w:firstLine="480" w:firstLineChars="200"/>
        <w:rPr>
          <w:color w:val="000000" w:themeColor="text1"/>
          <w:sz w:val="24"/>
        </w:rPr>
      </w:pPr>
      <w:r>
        <w:rPr>
          <w:rFonts w:hint="eastAsia"/>
          <w:color w:val="000000" w:themeColor="text1"/>
          <w:sz w:val="24"/>
        </w:rPr>
        <w:t>根据现场勘查，项目区北高南低，标高1775~1819m</w:t>
      </w:r>
      <w:r>
        <w:rPr>
          <w:color w:val="000000" w:themeColor="text1"/>
          <w:sz w:val="24"/>
        </w:rPr>
        <w:t>。</w:t>
      </w:r>
    </w:p>
    <w:p>
      <w:pPr>
        <w:pStyle w:val="4"/>
        <w:adjustRightInd w:val="0"/>
        <w:snapToGrid w:val="0"/>
        <w:spacing w:before="0" w:after="0" w:line="360" w:lineRule="auto"/>
        <w:rPr>
          <w:color w:val="000000" w:themeColor="text1"/>
          <w:szCs w:val="24"/>
        </w:rPr>
      </w:pPr>
      <w:bookmarkStart w:id="303" w:name="_Toc504403826"/>
      <w:bookmarkStart w:id="304" w:name="_Toc510547308"/>
      <w:r>
        <w:rPr>
          <w:color w:val="000000" w:themeColor="text1"/>
          <w:szCs w:val="24"/>
        </w:rPr>
        <w:t>4.1.3气候气象</w:t>
      </w:r>
      <w:bookmarkEnd w:id="303"/>
      <w:bookmarkEnd w:id="304"/>
    </w:p>
    <w:p>
      <w:pPr>
        <w:ind w:left="113" w:leftChars="54" w:right="113" w:firstLine="480" w:firstLineChars="200"/>
        <w:rPr>
          <w:color w:val="000000" w:themeColor="text1"/>
          <w:sz w:val="24"/>
        </w:rPr>
      </w:pPr>
      <w:r>
        <w:rPr>
          <w:rFonts w:hint="eastAsia"/>
          <w:snapToGrid w:val="0"/>
          <w:color w:val="000000" w:themeColor="text1"/>
          <w:kern w:val="0"/>
          <w:sz w:val="24"/>
        </w:rPr>
        <w:t>新平县处于低纬度高原，属于亚热带气候，地形北高南低，呈起伏式升高，相对高差悬殊较大，形成了从低海拔的亚热带生物气候区至寒温带生物气候区明显的立体气候结构。据新平县气象站统计资料：多年平均气温21.8℃，最冷月为1月，多年平均气温10.6℃，年温差较小。极端最高气温42.6℃，极端最低气温-2.7℃。雨水丰富，多年平均降雨量932.9mm，年最多降雨量1364.1mm，年最少降雨量614.5mm，雨季主要集中在5月下旬至10月下旬，旱季在11月至次年5月中旬。年均相对湿度为76%，全年有霜期2～28d，年日照时数2229.8h，日照百分率25.5%。县城历年平均风速为2.3m/s，其中2月至4月大于3m/s，1.7m/s以上的大风平均有20d，3月至4月大风日数量多，分别为4.6d和6.6d，风向多为西南风，其频率为19%，其次为西风，占10.7％，静风频率为30％，多发生于6月至次年1月间</w:t>
      </w:r>
      <w:r>
        <w:rPr>
          <w:snapToGrid w:val="0"/>
          <w:color w:val="000000" w:themeColor="text1"/>
          <w:kern w:val="0"/>
          <w:sz w:val="24"/>
        </w:rPr>
        <w:t>。</w:t>
      </w:r>
    </w:p>
    <w:p>
      <w:pPr>
        <w:pStyle w:val="4"/>
        <w:adjustRightInd w:val="0"/>
        <w:snapToGrid w:val="0"/>
        <w:spacing w:before="0" w:after="0" w:line="360" w:lineRule="auto"/>
        <w:rPr>
          <w:color w:val="000000" w:themeColor="text1"/>
          <w:szCs w:val="24"/>
        </w:rPr>
      </w:pPr>
      <w:bookmarkStart w:id="305" w:name="_Toc504403827"/>
      <w:bookmarkStart w:id="306" w:name="_Toc510547309"/>
      <w:r>
        <w:rPr>
          <w:color w:val="000000" w:themeColor="text1"/>
          <w:szCs w:val="24"/>
        </w:rPr>
        <w:t>4.1.4 水文水系</w:t>
      </w:r>
      <w:bookmarkEnd w:id="305"/>
      <w:bookmarkEnd w:id="306"/>
    </w:p>
    <w:p>
      <w:pPr>
        <w:ind w:firstLine="480" w:firstLineChars="200"/>
        <w:rPr>
          <w:color w:val="000000" w:themeColor="text1"/>
          <w:sz w:val="24"/>
        </w:rPr>
      </w:pPr>
      <w:r>
        <w:rPr>
          <w:color w:val="000000" w:themeColor="text1"/>
          <w:sz w:val="24"/>
        </w:rPr>
        <w:t>（1）地表水</w:t>
      </w:r>
    </w:p>
    <w:p>
      <w:pPr>
        <w:ind w:firstLine="470" w:firstLineChars="196"/>
        <w:rPr>
          <w:snapToGrid w:val="0"/>
          <w:color w:val="000000" w:themeColor="text1"/>
          <w:kern w:val="0"/>
          <w:sz w:val="24"/>
        </w:rPr>
      </w:pPr>
      <w:r>
        <w:rPr>
          <w:color w:val="000000" w:themeColor="text1"/>
          <w:sz w:val="24"/>
        </w:rPr>
        <w:t>项目区地表水体为</w:t>
      </w:r>
      <w:r>
        <w:rPr>
          <w:rFonts w:hint="eastAsia"/>
          <w:color w:val="000000" w:themeColor="text1"/>
          <w:sz w:val="24"/>
        </w:rPr>
        <w:t>康之康</w:t>
      </w:r>
      <w:r>
        <w:rPr>
          <w:color w:val="000000" w:themeColor="text1"/>
          <w:sz w:val="24"/>
        </w:rPr>
        <w:t>河</w:t>
      </w:r>
      <w:r>
        <w:rPr>
          <w:rFonts w:hint="eastAsia"/>
          <w:color w:val="000000" w:themeColor="text1"/>
          <w:sz w:val="24"/>
        </w:rPr>
        <w:t>及水塘</w:t>
      </w:r>
      <w:r>
        <w:rPr>
          <w:color w:val="000000" w:themeColor="text1"/>
          <w:sz w:val="24"/>
        </w:rPr>
        <w:t>，</w:t>
      </w:r>
      <w:r>
        <w:rPr>
          <w:rFonts w:hint="eastAsia"/>
          <w:color w:val="000000" w:themeColor="text1"/>
          <w:sz w:val="24"/>
        </w:rPr>
        <w:t>康之康</w:t>
      </w:r>
      <w:r>
        <w:rPr>
          <w:color w:val="000000" w:themeColor="text1"/>
          <w:sz w:val="24"/>
        </w:rPr>
        <w:t>河</w:t>
      </w:r>
      <w:r>
        <w:rPr>
          <w:rFonts w:hint="eastAsia"/>
          <w:color w:val="000000" w:themeColor="text1"/>
          <w:sz w:val="24"/>
        </w:rPr>
        <w:t>属于小河底河支流。</w:t>
      </w:r>
      <w:r>
        <w:rPr>
          <w:rFonts w:hint="eastAsia"/>
          <w:snapToGrid w:val="0"/>
          <w:color w:val="000000" w:themeColor="text1"/>
          <w:kern w:val="0"/>
          <w:sz w:val="24"/>
        </w:rPr>
        <w:t>小河底河是红河的上游元江的一条支流河流，最大流量1400m</w:t>
      </w:r>
      <w:r>
        <w:rPr>
          <w:rFonts w:hint="eastAsia"/>
          <w:snapToGrid w:val="0"/>
          <w:color w:val="000000" w:themeColor="text1"/>
          <w:kern w:val="0"/>
          <w:sz w:val="24"/>
          <w:vertAlign w:val="superscript"/>
        </w:rPr>
        <w:t>3</w:t>
      </w:r>
      <w:r>
        <w:rPr>
          <w:rFonts w:hint="eastAsia"/>
          <w:snapToGrid w:val="0"/>
          <w:color w:val="000000" w:themeColor="text1"/>
          <w:kern w:val="0"/>
          <w:sz w:val="24"/>
        </w:rPr>
        <w:t>/s，最小流量1.67m</w:t>
      </w:r>
      <w:r>
        <w:rPr>
          <w:rFonts w:hint="eastAsia"/>
          <w:snapToGrid w:val="0"/>
          <w:color w:val="000000" w:themeColor="text1"/>
          <w:kern w:val="0"/>
          <w:sz w:val="24"/>
          <w:vertAlign w:val="superscript"/>
        </w:rPr>
        <w:t>3</w:t>
      </w:r>
      <w:r>
        <w:rPr>
          <w:rFonts w:hint="eastAsia"/>
          <w:snapToGrid w:val="0"/>
          <w:color w:val="000000" w:themeColor="text1"/>
          <w:kern w:val="0"/>
          <w:sz w:val="24"/>
        </w:rPr>
        <w:t>/s</w:t>
      </w:r>
      <w:r>
        <w:rPr>
          <w:snapToGrid w:val="0"/>
          <w:color w:val="000000" w:themeColor="text1"/>
          <w:kern w:val="0"/>
          <w:sz w:val="24"/>
        </w:rPr>
        <w:t>。</w:t>
      </w:r>
      <w:r>
        <w:rPr>
          <w:rFonts w:hint="eastAsia"/>
          <w:snapToGrid w:val="0"/>
          <w:color w:val="000000" w:themeColor="text1"/>
          <w:kern w:val="0"/>
          <w:sz w:val="24"/>
        </w:rPr>
        <w:t>水塘位于项目区西北侧，主要功能为灌溉及养鱼，无饮用功能，水塘面积5.12hm</w:t>
      </w:r>
      <w:r>
        <w:rPr>
          <w:rFonts w:hint="eastAsia"/>
          <w:snapToGrid w:val="0"/>
          <w:color w:val="000000" w:themeColor="text1"/>
          <w:kern w:val="0"/>
          <w:sz w:val="24"/>
          <w:vertAlign w:val="superscript"/>
        </w:rPr>
        <w:t>2</w:t>
      </w:r>
      <w:r>
        <w:rPr>
          <w:rFonts w:hint="eastAsia"/>
          <w:snapToGrid w:val="0"/>
          <w:color w:val="000000" w:themeColor="text1"/>
          <w:kern w:val="0"/>
          <w:sz w:val="24"/>
        </w:rPr>
        <w:t>，库容14万m</w:t>
      </w:r>
      <w:r>
        <w:rPr>
          <w:rFonts w:hint="eastAsia"/>
          <w:snapToGrid w:val="0"/>
          <w:color w:val="000000" w:themeColor="text1"/>
          <w:kern w:val="0"/>
          <w:sz w:val="24"/>
          <w:vertAlign w:val="superscript"/>
        </w:rPr>
        <w:t>3</w:t>
      </w:r>
      <w:r>
        <w:rPr>
          <w:rFonts w:hint="eastAsia"/>
          <w:snapToGrid w:val="0"/>
          <w:color w:val="000000" w:themeColor="text1"/>
          <w:kern w:val="0"/>
          <w:sz w:val="24"/>
        </w:rPr>
        <w:t>，水塘高程1836m，项目区位于水塘下游，项目不在水塘汇水区范围。</w:t>
      </w:r>
    </w:p>
    <w:p>
      <w:pPr>
        <w:ind w:firstLine="470" w:firstLineChars="196"/>
        <w:rPr>
          <w:snapToGrid w:val="0"/>
          <w:color w:val="000000" w:themeColor="text1"/>
          <w:kern w:val="0"/>
          <w:sz w:val="24"/>
        </w:rPr>
      </w:pPr>
      <w:r>
        <w:rPr>
          <w:color w:val="000000" w:themeColor="text1"/>
          <w:sz w:val="24"/>
        </w:rPr>
        <w:t>根据《云南省地表水水环境功能区划（2010-2020）》，</w:t>
      </w:r>
      <w:r>
        <w:rPr>
          <w:rFonts w:hint="eastAsia"/>
          <w:color w:val="000000" w:themeColor="text1"/>
          <w:sz w:val="24"/>
        </w:rPr>
        <w:t>小河底河</w:t>
      </w:r>
      <w:r>
        <w:rPr>
          <w:color w:val="000000" w:themeColor="text1"/>
          <w:sz w:val="24"/>
        </w:rPr>
        <w:t>水环境功能为工业用水、农业用水，水质类别执行《地表水环境质量标准》（GB3838-2002）</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，康之康河参照执行</w:t>
      </w:r>
      <w:r>
        <w:rPr>
          <w:color w:val="000000" w:themeColor="text1"/>
          <w:sz w:val="24"/>
        </w:rPr>
        <w:t>《地表水环境质量标准》（GB3838-2002）</w:t>
      </w:r>
      <w:r>
        <w:rPr>
          <w:rFonts w:hint="eastAsia" w:ascii="宋体" w:hAnsi="宋体" w:cs="宋体"/>
          <w:color w:val="000000" w:themeColor="text1"/>
          <w:sz w:val="24"/>
        </w:rPr>
        <w:t>Ⅳ</w:t>
      </w:r>
      <w:r>
        <w:rPr>
          <w:color w:val="000000" w:themeColor="text1"/>
          <w:sz w:val="24"/>
        </w:rPr>
        <w:t>类标准</w:t>
      </w:r>
      <w:r>
        <w:rPr>
          <w:snapToGrid w:val="0"/>
          <w:color w:val="000000" w:themeColor="text1"/>
          <w:kern w:val="0"/>
          <w:sz w:val="24"/>
        </w:rPr>
        <w:t>。</w:t>
      </w:r>
      <w:r>
        <w:rPr>
          <w:rFonts w:hint="eastAsia"/>
          <w:color w:val="000000" w:themeColor="text1"/>
          <w:sz w:val="24"/>
        </w:rPr>
        <w:t>水塘主要功能为</w:t>
      </w:r>
      <w:r>
        <w:rPr>
          <w:rFonts w:hint="eastAsia"/>
          <w:snapToGrid w:val="0"/>
          <w:color w:val="000000" w:themeColor="text1"/>
          <w:kern w:val="0"/>
          <w:sz w:val="24"/>
        </w:rPr>
        <w:t>灌溉及养鱼，无饮用功能，执行</w:t>
      </w:r>
      <w:r>
        <w:rPr>
          <w:color w:val="000000" w:themeColor="text1"/>
          <w:sz w:val="24"/>
        </w:rPr>
        <w:t>《地表水环境质量标准》（GB3838-2002）</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w:t>
      </w:r>
    </w:p>
    <w:p>
      <w:pPr>
        <w:ind w:firstLine="480" w:firstLineChars="200"/>
        <w:rPr>
          <w:color w:val="000000" w:themeColor="text1"/>
          <w:sz w:val="24"/>
        </w:rPr>
      </w:pPr>
      <w:r>
        <w:rPr>
          <w:color w:val="000000" w:themeColor="text1"/>
          <w:sz w:val="24"/>
        </w:rPr>
        <w:t>（2）地下水</w:t>
      </w:r>
    </w:p>
    <w:p>
      <w:pPr>
        <w:autoSpaceDE w:val="0"/>
        <w:autoSpaceDN w:val="0"/>
        <w:adjustRightInd w:val="0"/>
        <w:ind w:firstLine="480" w:firstLineChars="200"/>
        <w:jc w:val="left"/>
        <w:rPr>
          <w:color w:val="000000" w:themeColor="text1"/>
          <w:sz w:val="24"/>
        </w:rPr>
      </w:pPr>
      <w:r>
        <w:rPr>
          <w:rFonts w:hint="eastAsia"/>
          <w:color w:val="000000" w:themeColor="text1"/>
          <w:sz w:val="24"/>
        </w:rPr>
        <w:t>项目厂区地下水类型为基岩裂隙水。含水层组主要由P1q、P1m等组组成。岩性主要为凝灰质砂岩，气孔、杏仁状玄武岩。这些岩层岩溶发育，富水性强。</w:t>
      </w:r>
    </w:p>
    <w:p>
      <w:pPr>
        <w:autoSpaceDE w:val="0"/>
        <w:autoSpaceDN w:val="0"/>
        <w:adjustRightInd w:val="0"/>
        <w:ind w:firstLine="480" w:firstLineChars="200"/>
        <w:jc w:val="left"/>
        <w:rPr>
          <w:color w:val="000000" w:themeColor="text1"/>
          <w:sz w:val="24"/>
        </w:rPr>
      </w:pPr>
      <w:r>
        <w:rPr>
          <w:rFonts w:hint="eastAsia"/>
          <w:color w:val="000000" w:themeColor="text1"/>
          <w:sz w:val="24"/>
        </w:rPr>
        <w:t>项目区域地下水类型表现为潜水，地下水主要靠大气降雨入渗补给。项目区内无断裂构造通过，降水补给主要依靠降水形成地表径流，地表径流主要通过沟壑、断裂带或山箐等地质构造逐渐下渗，以及靠塘、坝、水坑等人工建筑积存长时间下渗来补充地下水。</w:t>
      </w:r>
    </w:p>
    <w:p>
      <w:pPr>
        <w:autoSpaceDE w:val="0"/>
        <w:autoSpaceDN w:val="0"/>
        <w:adjustRightInd w:val="0"/>
        <w:ind w:firstLine="480" w:firstLineChars="200"/>
        <w:jc w:val="left"/>
        <w:rPr>
          <w:color w:val="000000" w:themeColor="text1"/>
          <w:sz w:val="24"/>
        </w:rPr>
      </w:pPr>
      <w:r>
        <w:rPr>
          <w:rFonts w:hint="eastAsia"/>
          <w:color w:val="000000" w:themeColor="text1"/>
          <w:sz w:val="24"/>
        </w:rPr>
        <w:t>项目区域地下水排泄方式以地下迳流为主，评价区域总体地势北高南低，地下水由北向南排泄至康之康河。</w:t>
      </w:r>
    </w:p>
    <w:p>
      <w:pPr>
        <w:autoSpaceDE w:val="0"/>
        <w:autoSpaceDN w:val="0"/>
        <w:adjustRightInd w:val="0"/>
        <w:ind w:firstLine="480" w:firstLineChars="200"/>
        <w:jc w:val="left"/>
        <w:rPr>
          <w:color w:val="000000" w:themeColor="text1"/>
          <w:sz w:val="24"/>
        </w:rPr>
      </w:pPr>
      <w:r>
        <w:rPr>
          <w:rFonts w:hint="eastAsia"/>
          <w:color w:val="000000" w:themeColor="text1"/>
          <w:sz w:val="24"/>
        </w:rPr>
        <w:t>本项目不涉及地下水源保护区，地下水排泄径流上无出露泉点。</w:t>
      </w:r>
    </w:p>
    <w:p>
      <w:pPr>
        <w:pStyle w:val="4"/>
        <w:adjustRightInd w:val="0"/>
        <w:snapToGrid w:val="0"/>
        <w:spacing w:before="0" w:after="0" w:line="360" w:lineRule="auto"/>
        <w:rPr>
          <w:color w:val="000000" w:themeColor="text1"/>
        </w:rPr>
      </w:pPr>
      <w:bookmarkStart w:id="307" w:name="_Toc510547310"/>
      <w:bookmarkStart w:id="308" w:name="_Toc504403828"/>
      <w:r>
        <w:rPr>
          <w:color w:val="000000" w:themeColor="text1"/>
        </w:rPr>
        <w:t>4.1.5土壤植被</w:t>
      </w:r>
      <w:bookmarkEnd w:id="307"/>
      <w:bookmarkEnd w:id="308"/>
    </w:p>
    <w:p>
      <w:pPr>
        <w:ind w:firstLine="468" w:firstLineChars="195"/>
        <w:jc w:val="left"/>
        <w:rPr>
          <w:color w:val="000000" w:themeColor="text1"/>
          <w:sz w:val="24"/>
        </w:rPr>
      </w:pPr>
      <w:r>
        <w:rPr>
          <w:rFonts w:hint="eastAsia"/>
          <w:color w:val="000000" w:themeColor="text1"/>
          <w:sz w:val="24"/>
        </w:rPr>
        <w:t>根据成土条件、成土过程和土壤的属性，按岩类母质、剖面性态、理化性状、肥力水平因素等条件区分，全县土壤共划分为4个土类、10个亚类、19个土属、41个土种。由于境内地势高低起伏，山峦重叠，相对高差大，土壤垂直变化明显，自下而上依次为赤红壤、红壤、黄棕壤。受成土母质的影响，境内发育有紫色土，石灰土两种非地带性土壤，在赤红壤和红壤带内呈区域性零星分布。根据相关资料，并结合实地调查，项目区周边土壤以赤红壤为主</w:t>
      </w:r>
      <w:r>
        <w:rPr>
          <w:color w:val="000000" w:themeColor="text1"/>
          <w:sz w:val="24"/>
        </w:rPr>
        <w:t>。</w:t>
      </w:r>
    </w:p>
    <w:p>
      <w:pPr>
        <w:ind w:firstLine="480" w:firstLineChars="200"/>
        <w:rPr>
          <w:color w:val="000000" w:themeColor="text1"/>
          <w:sz w:val="24"/>
        </w:rPr>
      </w:pPr>
      <w:r>
        <w:rPr>
          <w:rFonts w:hint="eastAsia"/>
          <w:color w:val="000000" w:themeColor="text1"/>
          <w:sz w:val="24"/>
        </w:rPr>
        <w:t>根据现场调查，用地中部土地荒废时间长，地表次生植被为云南松及其它灌木，用地东部为核桃林，西部现状为耕地。</w:t>
      </w:r>
      <w:r>
        <w:rPr>
          <w:color w:val="000000" w:themeColor="text1"/>
          <w:sz w:val="24"/>
        </w:rPr>
        <w:t>项目破坏植被均为常见种类，占地范围内没有发现需要特殊保护的珍稀、濒危植物种类。</w:t>
      </w:r>
    </w:p>
    <w:p>
      <w:pPr>
        <w:ind w:firstLine="468" w:firstLineChars="195"/>
        <w:jc w:val="left"/>
        <w:rPr>
          <w:color w:val="000000" w:themeColor="text1"/>
          <w:sz w:val="24"/>
        </w:rPr>
      </w:pPr>
      <w:r>
        <w:rPr>
          <w:rFonts w:hint="eastAsia"/>
          <w:color w:val="000000" w:themeColor="text1"/>
          <w:sz w:val="24"/>
        </w:rPr>
        <w:t>项目区内的野生动物种类和数量均不丰富，多是常见种，主要为啮齿类等常见的动物，调查中未发现评价区有国家级和省级保护物种，也无珍稀濒危动物分布。</w:t>
      </w:r>
    </w:p>
    <w:p>
      <w:pPr>
        <w:pStyle w:val="4"/>
        <w:adjustRightInd w:val="0"/>
        <w:snapToGrid w:val="0"/>
        <w:spacing w:before="0" w:after="0" w:line="360" w:lineRule="auto"/>
        <w:rPr>
          <w:color w:val="000000" w:themeColor="text1"/>
        </w:rPr>
      </w:pPr>
      <w:bookmarkStart w:id="309" w:name="_Toc510547311"/>
      <w:r>
        <w:rPr>
          <w:color w:val="000000" w:themeColor="text1"/>
        </w:rPr>
        <w:t>4.1.6环境敏感区</w:t>
      </w:r>
      <w:bookmarkEnd w:id="309"/>
    </w:p>
    <w:p>
      <w:pPr>
        <w:ind w:firstLine="468" w:firstLineChars="195"/>
        <w:jc w:val="left"/>
        <w:rPr>
          <w:color w:val="000000" w:themeColor="text1"/>
          <w:sz w:val="24"/>
        </w:rPr>
      </w:pPr>
      <w:r>
        <w:rPr>
          <w:color w:val="000000" w:themeColor="text1"/>
          <w:sz w:val="24"/>
        </w:rPr>
        <w:t>项目所在地无自然遗产、文化遗产、自然保护区、风景名胜区、水源保护地等特殊及重要生态敏感区。</w:t>
      </w:r>
    </w:p>
    <w:p>
      <w:pPr>
        <w:pStyle w:val="3"/>
        <w:adjustRightInd w:val="0"/>
        <w:snapToGrid w:val="0"/>
        <w:spacing w:before="0" w:after="0"/>
        <w:rPr>
          <w:rFonts w:ascii="Times New Roman" w:hAnsi="Times New Roman"/>
          <w:color w:val="000000" w:themeColor="text1"/>
        </w:rPr>
      </w:pPr>
      <w:bookmarkStart w:id="310" w:name="_Toc402186377"/>
      <w:bookmarkStart w:id="311" w:name="_Toc510547312"/>
      <w:bookmarkStart w:id="312" w:name="_Toc4076491"/>
      <w:r>
        <w:rPr>
          <w:rFonts w:ascii="Times New Roman" w:hAnsi="Times New Roman"/>
          <w:color w:val="000000" w:themeColor="text1"/>
        </w:rPr>
        <w:t>4.2</w:t>
      </w:r>
      <w:bookmarkEnd w:id="310"/>
      <w:bookmarkStart w:id="313" w:name="_Toc291776017"/>
      <w:bookmarkStart w:id="314" w:name="_Toc303261018"/>
      <w:bookmarkStart w:id="315" w:name="_Toc24157"/>
      <w:bookmarkStart w:id="316" w:name="_Toc402186378"/>
      <w:bookmarkStart w:id="317" w:name="_Toc8052"/>
      <w:bookmarkStart w:id="318" w:name="_Toc32201"/>
      <w:r>
        <w:rPr>
          <w:rFonts w:ascii="Times New Roman" w:hAnsi="Times New Roman"/>
          <w:color w:val="000000" w:themeColor="text1"/>
        </w:rPr>
        <w:t>环境现状</w:t>
      </w:r>
      <w:bookmarkEnd w:id="313"/>
      <w:bookmarkEnd w:id="314"/>
      <w:bookmarkEnd w:id="315"/>
      <w:bookmarkEnd w:id="316"/>
      <w:bookmarkEnd w:id="317"/>
      <w:bookmarkEnd w:id="318"/>
      <w:r>
        <w:rPr>
          <w:rFonts w:ascii="Times New Roman" w:hAnsi="Times New Roman"/>
          <w:color w:val="000000" w:themeColor="text1"/>
        </w:rPr>
        <w:t>及评价</w:t>
      </w:r>
      <w:bookmarkEnd w:id="311"/>
      <w:bookmarkEnd w:id="312"/>
    </w:p>
    <w:p>
      <w:pPr>
        <w:pStyle w:val="4"/>
        <w:adjustRightInd w:val="0"/>
        <w:snapToGrid w:val="0"/>
        <w:spacing w:before="0" w:after="0" w:line="360" w:lineRule="auto"/>
        <w:rPr>
          <w:color w:val="000000" w:themeColor="text1"/>
        </w:rPr>
      </w:pPr>
      <w:bookmarkStart w:id="319" w:name="_Toc402186379"/>
      <w:bookmarkStart w:id="320" w:name="_Toc510547313"/>
      <w:bookmarkStart w:id="321" w:name="_Toc504403831"/>
      <w:r>
        <w:rPr>
          <w:color w:val="000000" w:themeColor="text1"/>
        </w:rPr>
        <w:t>4.2.1环境空气质量现状</w:t>
      </w:r>
      <w:bookmarkEnd w:id="319"/>
      <w:bookmarkEnd w:id="320"/>
      <w:bookmarkEnd w:id="321"/>
    </w:p>
    <w:p>
      <w:pPr>
        <w:adjustRightInd w:val="0"/>
        <w:snapToGrid w:val="0"/>
        <w:ind w:firstLine="480" w:firstLineChars="200"/>
        <w:rPr>
          <w:color w:val="000000" w:themeColor="text1"/>
          <w:sz w:val="24"/>
        </w:rPr>
      </w:pPr>
      <w:bookmarkStart w:id="322" w:name="_Toc131435612"/>
      <w:bookmarkStart w:id="323" w:name="_Toc113951699"/>
      <w:bookmarkStart w:id="324" w:name="_Toc114403465"/>
      <w:bookmarkStart w:id="325" w:name="_Toc132184668"/>
      <w:bookmarkStart w:id="326" w:name="_Toc402186383"/>
      <w:bookmarkStart w:id="327" w:name="_Toc308594640"/>
      <w:bookmarkStart w:id="328" w:name="_Toc272138864"/>
      <w:bookmarkStart w:id="329" w:name="_Toc316388734"/>
      <w:bookmarkStart w:id="330" w:name="_Toc201133796"/>
      <w:bookmarkStart w:id="331" w:name="_Toc317199707"/>
      <w:r>
        <w:rPr>
          <w:color w:val="000000" w:themeColor="text1"/>
          <w:sz w:val="24"/>
        </w:rPr>
        <w:t>评价期间，建设单位委托玉溪华恒科技有限公司于2018年</w:t>
      </w:r>
      <w:r>
        <w:rPr>
          <w:rFonts w:hint="eastAsia"/>
          <w:color w:val="000000" w:themeColor="text1"/>
          <w:sz w:val="24"/>
        </w:rPr>
        <w:t>9</w:t>
      </w:r>
      <w:r>
        <w:rPr>
          <w:color w:val="000000" w:themeColor="text1"/>
          <w:sz w:val="24"/>
        </w:rPr>
        <w:t>月</w:t>
      </w:r>
      <w:r>
        <w:rPr>
          <w:rFonts w:hint="eastAsia"/>
          <w:color w:val="000000" w:themeColor="text1"/>
          <w:sz w:val="24"/>
        </w:rPr>
        <w:t>5</w:t>
      </w:r>
      <w:r>
        <w:rPr>
          <w:color w:val="000000" w:themeColor="text1"/>
          <w:sz w:val="24"/>
        </w:rPr>
        <w:t>日~2018年</w:t>
      </w:r>
      <w:r>
        <w:rPr>
          <w:rFonts w:hint="eastAsia"/>
          <w:color w:val="000000" w:themeColor="text1"/>
          <w:sz w:val="24"/>
        </w:rPr>
        <w:t>9</w:t>
      </w:r>
      <w:r>
        <w:rPr>
          <w:color w:val="000000" w:themeColor="text1"/>
          <w:sz w:val="24"/>
        </w:rPr>
        <w:t>月</w:t>
      </w:r>
      <w:r>
        <w:rPr>
          <w:rFonts w:hint="eastAsia"/>
          <w:color w:val="000000" w:themeColor="text1"/>
          <w:sz w:val="24"/>
        </w:rPr>
        <w:t>11</w:t>
      </w:r>
      <w:r>
        <w:rPr>
          <w:color w:val="000000" w:themeColor="text1"/>
          <w:sz w:val="24"/>
        </w:rPr>
        <w:t>日对项目所在地的环境空气进行监测，具体监测内容如下：</w:t>
      </w:r>
    </w:p>
    <w:p>
      <w:pPr>
        <w:adjustRightInd w:val="0"/>
        <w:snapToGrid w:val="0"/>
        <w:ind w:firstLine="480" w:firstLineChars="200"/>
        <w:rPr>
          <w:color w:val="000000" w:themeColor="text1"/>
          <w:sz w:val="24"/>
        </w:rPr>
      </w:pPr>
      <w:r>
        <w:rPr>
          <w:color w:val="000000" w:themeColor="text1"/>
          <w:sz w:val="24"/>
        </w:rPr>
        <w:t>（1）监测点位</w:t>
      </w:r>
    </w:p>
    <w:p>
      <w:pPr>
        <w:adjustRightInd w:val="0"/>
        <w:snapToGrid w:val="0"/>
        <w:ind w:firstLine="480" w:firstLineChars="200"/>
        <w:rPr>
          <w:color w:val="000000" w:themeColor="text1"/>
          <w:sz w:val="24"/>
        </w:rPr>
      </w:pPr>
      <w:r>
        <w:rPr>
          <w:color w:val="000000" w:themeColor="text1"/>
          <w:sz w:val="24"/>
        </w:rPr>
        <w:t>在项目地场内上风向和下风向各设一个监测点，具体监测点位见监测布点图。</w:t>
      </w:r>
    </w:p>
    <w:p>
      <w:pPr>
        <w:adjustRightInd w:val="0"/>
        <w:snapToGrid w:val="0"/>
        <w:ind w:firstLine="480" w:firstLineChars="200"/>
        <w:rPr>
          <w:color w:val="000000" w:themeColor="text1"/>
          <w:sz w:val="24"/>
        </w:rPr>
      </w:pPr>
      <w:r>
        <w:rPr>
          <w:color w:val="000000" w:themeColor="text1"/>
          <w:sz w:val="24"/>
        </w:rPr>
        <w:t>（2）监测项目</w:t>
      </w:r>
      <w:r>
        <w:rPr>
          <w:rFonts w:hint="eastAsia"/>
          <w:color w:val="000000" w:themeColor="text1"/>
          <w:sz w:val="24"/>
        </w:rPr>
        <w:t>及要求</w:t>
      </w:r>
    </w:p>
    <w:p>
      <w:pPr>
        <w:adjustRightInd w:val="0"/>
        <w:snapToGrid w:val="0"/>
        <w:ind w:firstLine="480" w:firstLineChars="200"/>
        <w:rPr>
          <w:color w:val="000000" w:themeColor="text1"/>
          <w:sz w:val="24"/>
        </w:rPr>
      </w:pPr>
      <w:r>
        <w:rPr>
          <w:rFonts w:hint="eastAsia"/>
          <w:color w:val="000000" w:themeColor="text1"/>
          <w:sz w:val="24"/>
        </w:rPr>
        <w:t>监测项目：</w:t>
      </w:r>
      <w:r>
        <w:rPr>
          <w:color w:val="000000" w:themeColor="text1"/>
          <w:sz w:val="24"/>
        </w:rPr>
        <w:t>TSP、PM</w:t>
      </w:r>
      <w:r>
        <w:rPr>
          <w:color w:val="000000" w:themeColor="text1"/>
          <w:sz w:val="24"/>
          <w:vertAlign w:val="subscript"/>
        </w:rPr>
        <w:t>10</w:t>
      </w:r>
      <w:r>
        <w:rPr>
          <w:color w:val="000000" w:themeColor="text1"/>
          <w:sz w:val="24"/>
        </w:rPr>
        <w:t>、H</w:t>
      </w:r>
      <w:r>
        <w:rPr>
          <w:color w:val="000000" w:themeColor="text1"/>
          <w:sz w:val="24"/>
          <w:vertAlign w:val="subscript"/>
        </w:rPr>
        <w:t>2</w:t>
      </w:r>
      <w:r>
        <w:rPr>
          <w:color w:val="000000" w:themeColor="text1"/>
          <w:sz w:val="24"/>
        </w:rPr>
        <w:t>S、NH</w:t>
      </w:r>
      <w:r>
        <w:rPr>
          <w:color w:val="000000" w:themeColor="text1"/>
          <w:sz w:val="24"/>
          <w:vertAlign w:val="subscript"/>
        </w:rPr>
        <w:t>3</w:t>
      </w:r>
      <w:r>
        <w:rPr>
          <w:color w:val="000000" w:themeColor="text1"/>
          <w:sz w:val="24"/>
        </w:rPr>
        <w:t>、NO</w:t>
      </w:r>
      <w:r>
        <w:rPr>
          <w:color w:val="000000" w:themeColor="text1"/>
          <w:sz w:val="24"/>
          <w:vertAlign w:val="subscript"/>
        </w:rPr>
        <w:t>2</w:t>
      </w:r>
      <w:r>
        <w:rPr>
          <w:color w:val="000000" w:themeColor="text1"/>
          <w:sz w:val="24"/>
        </w:rPr>
        <w:t>、SO</w:t>
      </w:r>
      <w:r>
        <w:rPr>
          <w:color w:val="000000" w:themeColor="text1"/>
          <w:sz w:val="24"/>
          <w:vertAlign w:val="subscript"/>
        </w:rPr>
        <w:t>2</w:t>
      </w:r>
      <w:r>
        <w:rPr>
          <w:color w:val="000000" w:themeColor="text1"/>
          <w:spacing w:val="4"/>
          <w:sz w:val="24"/>
        </w:rPr>
        <w:t>共6项</w:t>
      </w:r>
      <w:r>
        <w:rPr>
          <w:rFonts w:hint="eastAsia"/>
          <w:color w:val="000000" w:themeColor="text1"/>
          <w:sz w:val="24"/>
        </w:rPr>
        <w:t>。</w:t>
      </w:r>
    </w:p>
    <w:p>
      <w:pPr>
        <w:ind w:firstLine="480" w:firstLineChars="200"/>
        <w:rPr>
          <w:color w:val="000000" w:themeColor="text1"/>
          <w:sz w:val="24"/>
        </w:rPr>
      </w:pPr>
      <w:r>
        <w:rPr>
          <w:rFonts w:hint="eastAsia"/>
          <w:color w:val="000000" w:themeColor="text1"/>
          <w:sz w:val="24"/>
        </w:rPr>
        <w:t>监测项目及要求见表4.2-1。</w:t>
      </w:r>
    </w:p>
    <w:p>
      <w:pPr>
        <w:pStyle w:val="10"/>
        <w:jc w:val="center"/>
        <w:rPr>
          <w:rFonts w:ascii="Times New Roman" w:hAnsi="Times New Roman" w:eastAsia="宋体"/>
          <w:b/>
          <w:color w:val="000000" w:themeColor="text1"/>
          <w:sz w:val="21"/>
        </w:rPr>
      </w:pPr>
      <w:r>
        <w:rPr>
          <w:rFonts w:ascii="Times New Roman" w:hAnsi="Times New Roman" w:eastAsia="宋体"/>
          <w:b/>
          <w:color w:val="000000" w:themeColor="text1"/>
          <w:sz w:val="21"/>
        </w:rPr>
        <w:t>表</w:t>
      </w:r>
      <w:r>
        <w:rPr>
          <w:rFonts w:hint="eastAsia" w:ascii="Times New Roman" w:hAnsi="Times New Roman" w:eastAsia="宋体"/>
          <w:b/>
          <w:color w:val="000000" w:themeColor="text1"/>
          <w:sz w:val="21"/>
        </w:rPr>
        <w:t>4.2</w:t>
      </w:r>
      <w:r>
        <w:rPr>
          <w:rFonts w:ascii="Times New Roman" w:hAnsi="Times New Roman" w:eastAsia="宋体"/>
          <w:b/>
          <w:color w:val="000000" w:themeColor="text1"/>
          <w:sz w:val="21"/>
        </w:rPr>
        <w:t>-</w:t>
      </w:r>
      <w:r>
        <w:rPr>
          <w:rFonts w:hint="eastAsia" w:ascii="Times New Roman" w:hAnsi="Times New Roman" w:eastAsia="宋体"/>
          <w:b/>
          <w:color w:val="000000" w:themeColor="text1"/>
          <w:sz w:val="21"/>
        </w:rPr>
        <w:t>1</w:t>
      </w:r>
      <w:r>
        <w:rPr>
          <w:rFonts w:ascii="Times New Roman" w:hAnsi="Times New Roman" w:eastAsia="宋体"/>
          <w:b/>
          <w:color w:val="000000" w:themeColor="text1"/>
          <w:sz w:val="21"/>
        </w:rPr>
        <w:t xml:space="preserve">  监测内容及要求</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402"/>
        <w:gridCol w:w="1266"/>
        <w:gridCol w:w="1436"/>
        <w:gridCol w:w="3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3" w:type="pct"/>
            <w:vAlign w:val="center"/>
          </w:tcPr>
          <w:p>
            <w:pPr>
              <w:spacing w:line="240" w:lineRule="auto"/>
              <w:jc w:val="center"/>
              <w:rPr>
                <w:b/>
                <w:color w:val="000000" w:themeColor="text1"/>
                <w:szCs w:val="18"/>
              </w:rPr>
            </w:pPr>
            <w:r>
              <w:rPr>
                <w:b/>
                <w:color w:val="000000" w:themeColor="text1"/>
                <w:szCs w:val="18"/>
              </w:rPr>
              <w:t>类别</w:t>
            </w:r>
          </w:p>
        </w:tc>
        <w:tc>
          <w:tcPr>
            <w:tcW w:w="822" w:type="pct"/>
            <w:vAlign w:val="center"/>
          </w:tcPr>
          <w:p>
            <w:pPr>
              <w:spacing w:line="240" w:lineRule="auto"/>
              <w:jc w:val="center"/>
              <w:rPr>
                <w:b/>
                <w:color w:val="000000" w:themeColor="text1"/>
                <w:szCs w:val="18"/>
              </w:rPr>
            </w:pPr>
            <w:r>
              <w:rPr>
                <w:b/>
                <w:color w:val="000000" w:themeColor="text1"/>
                <w:szCs w:val="18"/>
              </w:rPr>
              <w:t>监测因子</w:t>
            </w:r>
          </w:p>
        </w:tc>
        <w:tc>
          <w:tcPr>
            <w:tcW w:w="742" w:type="pct"/>
            <w:vAlign w:val="center"/>
          </w:tcPr>
          <w:p>
            <w:pPr>
              <w:spacing w:line="240" w:lineRule="auto"/>
              <w:jc w:val="center"/>
              <w:rPr>
                <w:b/>
                <w:color w:val="000000" w:themeColor="text1"/>
                <w:szCs w:val="18"/>
              </w:rPr>
            </w:pPr>
            <w:r>
              <w:rPr>
                <w:b/>
                <w:color w:val="000000" w:themeColor="text1"/>
                <w:szCs w:val="18"/>
              </w:rPr>
              <w:t>监测时段</w:t>
            </w:r>
          </w:p>
        </w:tc>
        <w:tc>
          <w:tcPr>
            <w:tcW w:w="842" w:type="pct"/>
            <w:vAlign w:val="center"/>
          </w:tcPr>
          <w:p>
            <w:pPr>
              <w:spacing w:line="240" w:lineRule="auto"/>
              <w:jc w:val="center"/>
              <w:rPr>
                <w:b/>
                <w:color w:val="000000" w:themeColor="text1"/>
                <w:szCs w:val="18"/>
              </w:rPr>
            </w:pPr>
            <w:r>
              <w:rPr>
                <w:b/>
                <w:color w:val="000000" w:themeColor="text1"/>
                <w:szCs w:val="18"/>
              </w:rPr>
              <w:t>监测内容</w:t>
            </w:r>
          </w:p>
        </w:tc>
        <w:tc>
          <w:tcPr>
            <w:tcW w:w="1971" w:type="pct"/>
            <w:vAlign w:val="center"/>
          </w:tcPr>
          <w:p>
            <w:pPr>
              <w:spacing w:line="240" w:lineRule="auto"/>
              <w:jc w:val="center"/>
              <w:rPr>
                <w:b/>
                <w:color w:val="000000" w:themeColor="text1"/>
                <w:szCs w:val="18"/>
              </w:rPr>
            </w:pPr>
            <w:r>
              <w:rPr>
                <w:b/>
                <w:color w:val="000000" w:themeColor="text1"/>
                <w:szCs w:val="18"/>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3" w:type="pct"/>
            <w:vMerge w:val="restart"/>
            <w:vAlign w:val="center"/>
          </w:tcPr>
          <w:p>
            <w:pPr>
              <w:spacing w:line="240" w:lineRule="auto"/>
              <w:jc w:val="center"/>
              <w:rPr>
                <w:color w:val="000000" w:themeColor="text1"/>
                <w:szCs w:val="18"/>
              </w:rPr>
            </w:pPr>
            <w:r>
              <w:rPr>
                <w:color w:val="000000" w:themeColor="text1"/>
                <w:szCs w:val="18"/>
              </w:rPr>
              <w:t>常规因子</w:t>
            </w:r>
          </w:p>
        </w:tc>
        <w:tc>
          <w:tcPr>
            <w:tcW w:w="822" w:type="pct"/>
            <w:vAlign w:val="center"/>
          </w:tcPr>
          <w:p>
            <w:pPr>
              <w:spacing w:line="240" w:lineRule="auto"/>
              <w:jc w:val="center"/>
              <w:rPr>
                <w:color w:val="000000" w:themeColor="text1"/>
                <w:szCs w:val="18"/>
              </w:rPr>
            </w:pPr>
            <w:r>
              <w:rPr>
                <w:color w:val="000000" w:themeColor="text1"/>
                <w:szCs w:val="18"/>
              </w:rPr>
              <w:t>TSP</w:t>
            </w:r>
          </w:p>
        </w:tc>
        <w:tc>
          <w:tcPr>
            <w:tcW w:w="742" w:type="pct"/>
            <w:vMerge w:val="restart"/>
            <w:vAlign w:val="center"/>
          </w:tcPr>
          <w:p>
            <w:pPr>
              <w:spacing w:line="240" w:lineRule="auto"/>
              <w:jc w:val="center"/>
              <w:rPr>
                <w:color w:val="000000" w:themeColor="text1"/>
                <w:szCs w:val="18"/>
              </w:rPr>
            </w:pPr>
            <w:r>
              <w:rPr>
                <w:color w:val="000000" w:themeColor="text1"/>
                <w:szCs w:val="18"/>
              </w:rPr>
              <w:t>连续7天</w:t>
            </w:r>
          </w:p>
        </w:tc>
        <w:tc>
          <w:tcPr>
            <w:tcW w:w="842" w:type="pct"/>
            <w:vMerge w:val="restart"/>
            <w:vAlign w:val="center"/>
          </w:tcPr>
          <w:p>
            <w:pPr>
              <w:spacing w:line="240" w:lineRule="auto"/>
              <w:jc w:val="center"/>
              <w:rPr>
                <w:color w:val="000000" w:themeColor="text1"/>
                <w:szCs w:val="18"/>
              </w:rPr>
            </w:pPr>
            <w:r>
              <w:rPr>
                <w:color w:val="000000" w:themeColor="text1"/>
                <w:szCs w:val="18"/>
              </w:rPr>
              <w:t>24小时平均</w:t>
            </w:r>
          </w:p>
        </w:tc>
        <w:tc>
          <w:tcPr>
            <w:tcW w:w="1971" w:type="pct"/>
            <w:vAlign w:val="center"/>
          </w:tcPr>
          <w:p>
            <w:pPr>
              <w:spacing w:line="240" w:lineRule="auto"/>
              <w:jc w:val="center"/>
              <w:rPr>
                <w:color w:val="000000" w:themeColor="text1"/>
                <w:szCs w:val="18"/>
              </w:rPr>
            </w:pPr>
            <w:r>
              <w:rPr>
                <w:color w:val="000000" w:themeColor="text1"/>
                <w:szCs w:val="18"/>
              </w:rPr>
              <w:t>每日应有24小时的采样时间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3" w:type="pct"/>
            <w:vMerge w:val="continue"/>
            <w:vAlign w:val="center"/>
          </w:tcPr>
          <w:p>
            <w:pPr>
              <w:spacing w:line="240" w:lineRule="auto"/>
              <w:jc w:val="center"/>
              <w:rPr>
                <w:color w:val="000000" w:themeColor="text1"/>
                <w:szCs w:val="18"/>
              </w:rPr>
            </w:pPr>
          </w:p>
        </w:tc>
        <w:tc>
          <w:tcPr>
            <w:tcW w:w="822" w:type="pct"/>
            <w:vAlign w:val="center"/>
          </w:tcPr>
          <w:p>
            <w:pPr>
              <w:spacing w:line="240" w:lineRule="auto"/>
              <w:jc w:val="center"/>
              <w:rPr>
                <w:color w:val="000000" w:themeColor="text1"/>
                <w:szCs w:val="18"/>
              </w:rPr>
            </w:pPr>
            <w:r>
              <w:rPr>
                <w:color w:val="000000" w:themeColor="text1"/>
                <w:szCs w:val="18"/>
              </w:rPr>
              <w:t>PM</w:t>
            </w:r>
            <w:r>
              <w:rPr>
                <w:color w:val="000000" w:themeColor="text1"/>
                <w:szCs w:val="18"/>
                <w:vertAlign w:val="subscript"/>
              </w:rPr>
              <w:t>10</w:t>
            </w:r>
          </w:p>
        </w:tc>
        <w:tc>
          <w:tcPr>
            <w:tcW w:w="742" w:type="pct"/>
            <w:vMerge w:val="continue"/>
            <w:vAlign w:val="center"/>
          </w:tcPr>
          <w:p>
            <w:pPr>
              <w:spacing w:line="240" w:lineRule="auto"/>
              <w:jc w:val="center"/>
              <w:rPr>
                <w:color w:val="000000" w:themeColor="text1"/>
                <w:szCs w:val="18"/>
              </w:rPr>
            </w:pPr>
          </w:p>
        </w:tc>
        <w:tc>
          <w:tcPr>
            <w:tcW w:w="842" w:type="pct"/>
            <w:vMerge w:val="continue"/>
            <w:vAlign w:val="center"/>
          </w:tcPr>
          <w:p>
            <w:pPr>
              <w:spacing w:line="240" w:lineRule="auto"/>
              <w:jc w:val="center"/>
              <w:rPr>
                <w:color w:val="000000" w:themeColor="text1"/>
                <w:szCs w:val="18"/>
              </w:rPr>
            </w:pPr>
          </w:p>
        </w:tc>
        <w:tc>
          <w:tcPr>
            <w:tcW w:w="1971" w:type="pct"/>
            <w:vMerge w:val="restart"/>
            <w:vAlign w:val="center"/>
          </w:tcPr>
          <w:p>
            <w:pPr>
              <w:spacing w:line="240" w:lineRule="auto"/>
              <w:jc w:val="center"/>
              <w:rPr>
                <w:color w:val="000000" w:themeColor="text1"/>
                <w:szCs w:val="18"/>
              </w:rPr>
            </w:pPr>
            <w:r>
              <w:rPr>
                <w:color w:val="000000" w:themeColor="text1"/>
                <w:szCs w:val="18"/>
              </w:rPr>
              <w:t>每日至少有20个小时平均浓度值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3" w:type="pct"/>
            <w:vMerge w:val="continue"/>
            <w:vAlign w:val="center"/>
          </w:tcPr>
          <w:p>
            <w:pPr>
              <w:spacing w:line="240" w:lineRule="auto"/>
              <w:jc w:val="center"/>
              <w:rPr>
                <w:color w:val="000000" w:themeColor="text1"/>
                <w:szCs w:val="18"/>
              </w:rPr>
            </w:pPr>
          </w:p>
        </w:tc>
        <w:tc>
          <w:tcPr>
            <w:tcW w:w="822" w:type="pct"/>
            <w:vAlign w:val="center"/>
          </w:tcPr>
          <w:p>
            <w:pPr>
              <w:spacing w:line="240" w:lineRule="auto"/>
              <w:jc w:val="center"/>
              <w:rPr>
                <w:color w:val="000000" w:themeColor="text1"/>
                <w:szCs w:val="18"/>
              </w:rPr>
            </w:pPr>
            <w:r>
              <w:rPr>
                <w:color w:val="000000" w:themeColor="text1"/>
                <w:szCs w:val="18"/>
              </w:rPr>
              <w:t>SO</w:t>
            </w:r>
            <w:r>
              <w:rPr>
                <w:color w:val="000000" w:themeColor="text1"/>
                <w:szCs w:val="18"/>
                <w:vertAlign w:val="subscript"/>
              </w:rPr>
              <w:t>2</w:t>
            </w:r>
          </w:p>
        </w:tc>
        <w:tc>
          <w:tcPr>
            <w:tcW w:w="742" w:type="pct"/>
            <w:vMerge w:val="continue"/>
            <w:vAlign w:val="center"/>
          </w:tcPr>
          <w:p>
            <w:pPr>
              <w:spacing w:line="240" w:lineRule="auto"/>
              <w:jc w:val="center"/>
              <w:rPr>
                <w:color w:val="000000" w:themeColor="text1"/>
                <w:szCs w:val="18"/>
              </w:rPr>
            </w:pPr>
          </w:p>
        </w:tc>
        <w:tc>
          <w:tcPr>
            <w:tcW w:w="842" w:type="pct"/>
            <w:vMerge w:val="continue"/>
            <w:vAlign w:val="center"/>
          </w:tcPr>
          <w:p>
            <w:pPr>
              <w:spacing w:line="240" w:lineRule="auto"/>
              <w:jc w:val="center"/>
              <w:rPr>
                <w:color w:val="000000" w:themeColor="text1"/>
                <w:szCs w:val="18"/>
              </w:rPr>
            </w:pPr>
          </w:p>
        </w:tc>
        <w:tc>
          <w:tcPr>
            <w:tcW w:w="1971" w:type="pct"/>
            <w:vMerge w:val="continue"/>
            <w:vAlign w:val="center"/>
          </w:tcPr>
          <w:p>
            <w:pPr>
              <w:spacing w:line="240" w:lineRule="auto"/>
              <w:jc w:val="center"/>
              <w:rPr>
                <w:color w:val="000000" w:themeColor="text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3" w:type="pct"/>
            <w:vMerge w:val="continue"/>
            <w:vAlign w:val="center"/>
          </w:tcPr>
          <w:p>
            <w:pPr>
              <w:spacing w:line="240" w:lineRule="auto"/>
              <w:jc w:val="center"/>
              <w:rPr>
                <w:color w:val="000000" w:themeColor="text1"/>
                <w:szCs w:val="18"/>
              </w:rPr>
            </w:pPr>
          </w:p>
        </w:tc>
        <w:tc>
          <w:tcPr>
            <w:tcW w:w="822" w:type="pct"/>
            <w:vAlign w:val="center"/>
          </w:tcPr>
          <w:p>
            <w:pPr>
              <w:spacing w:line="240" w:lineRule="auto"/>
              <w:jc w:val="center"/>
              <w:rPr>
                <w:color w:val="000000" w:themeColor="text1"/>
                <w:szCs w:val="18"/>
              </w:rPr>
            </w:pPr>
            <w:r>
              <w:rPr>
                <w:color w:val="000000" w:themeColor="text1"/>
                <w:szCs w:val="18"/>
              </w:rPr>
              <w:t>NO</w:t>
            </w:r>
            <w:r>
              <w:rPr>
                <w:color w:val="000000" w:themeColor="text1"/>
                <w:szCs w:val="18"/>
                <w:vertAlign w:val="subscript"/>
              </w:rPr>
              <w:t>2</w:t>
            </w:r>
          </w:p>
        </w:tc>
        <w:tc>
          <w:tcPr>
            <w:tcW w:w="742" w:type="pct"/>
            <w:vMerge w:val="continue"/>
            <w:vAlign w:val="center"/>
          </w:tcPr>
          <w:p>
            <w:pPr>
              <w:spacing w:line="240" w:lineRule="auto"/>
              <w:jc w:val="center"/>
              <w:rPr>
                <w:color w:val="000000" w:themeColor="text1"/>
                <w:szCs w:val="18"/>
              </w:rPr>
            </w:pPr>
          </w:p>
        </w:tc>
        <w:tc>
          <w:tcPr>
            <w:tcW w:w="842" w:type="pct"/>
            <w:vMerge w:val="continue"/>
            <w:vAlign w:val="center"/>
          </w:tcPr>
          <w:p>
            <w:pPr>
              <w:spacing w:line="240" w:lineRule="auto"/>
              <w:jc w:val="center"/>
              <w:rPr>
                <w:color w:val="000000" w:themeColor="text1"/>
                <w:szCs w:val="18"/>
              </w:rPr>
            </w:pPr>
          </w:p>
        </w:tc>
        <w:tc>
          <w:tcPr>
            <w:tcW w:w="1971" w:type="pct"/>
            <w:vMerge w:val="continue"/>
            <w:vAlign w:val="center"/>
          </w:tcPr>
          <w:p>
            <w:pPr>
              <w:spacing w:line="240" w:lineRule="auto"/>
              <w:jc w:val="center"/>
              <w:rPr>
                <w:color w:val="000000" w:themeColor="text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3" w:type="pct"/>
            <w:vMerge w:val="continue"/>
            <w:vAlign w:val="center"/>
          </w:tcPr>
          <w:p>
            <w:pPr>
              <w:spacing w:line="240" w:lineRule="auto"/>
              <w:jc w:val="center"/>
              <w:rPr>
                <w:color w:val="000000" w:themeColor="text1"/>
                <w:szCs w:val="18"/>
              </w:rPr>
            </w:pPr>
          </w:p>
        </w:tc>
        <w:tc>
          <w:tcPr>
            <w:tcW w:w="822" w:type="pct"/>
            <w:vAlign w:val="center"/>
          </w:tcPr>
          <w:p>
            <w:pPr>
              <w:spacing w:line="240" w:lineRule="auto"/>
              <w:jc w:val="center"/>
              <w:rPr>
                <w:color w:val="000000" w:themeColor="text1"/>
                <w:szCs w:val="18"/>
              </w:rPr>
            </w:pPr>
            <w:r>
              <w:rPr>
                <w:color w:val="000000" w:themeColor="text1"/>
                <w:szCs w:val="18"/>
              </w:rPr>
              <w:t>NO</w:t>
            </w:r>
            <w:r>
              <w:rPr>
                <w:color w:val="000000" w:themeColor="text1"/>
                <w:szCs w:val="18"/>
                <w:vertAlign w:val="subscript"/>
              </w:rPr>
              <w:t>2</w:t>
            </w:r>
          </w:p>
        </w:tc>
        <w:tc>
          <w:tcPr>
            <w:tcW w:w="742" w:type="pct"/>
            <w:vMerge w:val="continue"/>
            <w:vAlign w:val="center"/>
          </w:tcPr>
          <w:p>
            <w:pPr>
              <w:spacing w:line="240" w:lineRule="auto"/>
              <w:jc w:val="center"/>
              <w:rPr>
                <w:color w:val="000000" w:themeColor="text1"/>
                <w:szCs w:val="18"/>
              </w:rPr>
            </w:pPr>
          </w:p>
        </w:tc>
        <w:tc>
          <w:tcPr>
            <w:tcW w:w="842" w:type="pct"/>
            <w:vMerge w:val="continue"/>
            <w:vAlign w:val="center"/>
          </w:tcPr>
          <w:p>
            <w:pPr>
              <w:spacing w:line="240" w:lineRule="auto"/>
              <w:jc w:val="center"/>
              <w:rPr>
                <w:color w:val="000000" w:themeColor="text1"/>
                <w:szCs w:val="18"/>
              </w:rPr>
            </w:pPr>
          </w:p>
        </w:tc>
        <w:tc>
          <w:tcPr>
            <w:tcW w:w="1971" w:type="pct"/>
            <w:vMerge w:val="continue"/>
            <w:vAlign w:val="center"/>
          </w:tcPr>
          <w:p>
            <w:pPr>
              <w:spacing w:line="240" w:lineRule="auto"/>
              <w:jc w:val="center"/>
              <w:rPr>
                <w:color w:val="000000" w:themeColor="text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3" w:type="pct"/>
            <w:vMerge w:val="restart"/>
            <w:vAlign w:val="center"/>
          </w:tcPr>
          <w:p>
            <w:pPr>
              <w:spacing w:line="240" w:lineRule="auto"/>
              <w:jc w:val="center"/>
              <w:rPr>
                <w:color w:val="000000" w:themeColor="text1"/>
                <w:szCs w:val="18"/>
              </w:rPr>
            </w:pPr>
            <w:r>
              <w:rPr>
                <w:color w:val="000000" w:themeColor="text1"/>
                <w:szCs w:val="18"/>
              </w:rPr>
              <w:t>特征因子</w:t>
            </w:r>
          </w:p>
        </w:tc>
        <w:tc>
          <w:tcPr>
            <w:tcW w:w="822" w:type="pct"/>
            <w:vAlign w:val="center"/>
          </w:tcPr>
          <w:p>
            <w:pPr>
              <w:spacing w:line="240" w:lineRule="auto"/>
              <w:jc w:val="center"/>
              <w:rPr>
                <w:color w:val="000000" w:themeColor="text1"/>
                <w:szCs w:val="18"/>
              </w:rPr>
            </w:pPr>
            <w:r>
              <w:rPr>
                <w:color w:val="000000" w:themeColor="text1"/>
                <w:szCs w:val="18"/>
              </w:rPr>
              <w:t>NH</w:t>
            </w:r>
            <w:r>
              <w:rPr>
                <w:color w:val="000000" w:themeColor="text1"/>
                <w:szCs w:val="18"/>
                <w:vertAlign w:val="subscript"/>
              </w:rPr>
              <w:t>3</w:t>
            </w:r>
          </w:p>
        </w:tc>
        <w:tc>
          <w:tcPr>
            <w:tcW w:w="742" w:type="pct"/>
            <w:vMerge w:val="continue"/>
            <w:vAlign w:val="center"/>
          </w:tcPr>
          <w:p>
            <w:pPr>
              <w:spacing w:line="240" w:lineRule="auto"/>
              <w:jc w:val="center"/>
              <w:rPr>
                <w:color w:val="000000" w:themeColor="text1"/>
                <w:szCs w:val="18"/>
              </w:rPr>
            </w:pPr>
          </w:p>
        </w:tc>
        <w:tc>
          <w:tcPr>
            <w:tcW w:w="842" w:type="pct"/>
            <w:vAlign w:val="center"/>
          </w:tcPr>
          <w:p>
            <w:pPr>
              <w:spacing w:line="240" w:lineRule="auto"/>
              <w:jc w:val="center"/>
              <w:rPr>
                <w:color w:val="000000" w:themeColor="text1"/>
                <w:szCs w:val="18"/>
              </w:rPr>
            </w:pPr>
            <w:r>
              <w:rPr>
                <w:color w:val="000000" w:themeColor="text1"/>
                <w:szCs w:val="18"/>
              </w:rPr>
              <w:t>一次浓度</w:t>
            </w:r>
          </w:p>
        </w:tc>
        <w:tc>
          <w:tcPr>
            <w:tcW w:w="1971" w:type="pct"/>
            <w:vAlign w:val="center"/>
          </w:tcPr>
          <w:p>
            <w:pPr>
              <w:spacing w:line="240" w:lineRule="auto"/>
              <w:jc w:val="center"/>
              <w:rPr>
                <w:color w:val="000000" w:themeColor="text1"/>
                <w:szCs w:val="18"/>
              </w:rPr>
            </w:pPr>
            <w:r>
              <w:rPr>
                <w:color w:val="000000" w:themeColor="text1"/>
                <w:szCs w:val="18"/>
              </w:rPr>
              <w:t>采集2、8、14、20时四个小时浓度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3" w:type="pct"/>
            <w:vMerge w:val="continue"/>
            <w:vAlign w:val="center"/>
          </w:tcPr>
          <w:p>
            <w:pPr>
              <w:spacing w:line="240" w:lineRule="auto"/>
              <w:jc w:val="center"/>
              <w:rPr>
                <w:color w:val="000000" w:themeColor="text1"/>
                <w:szCs w:val="18"/>
              </w:rPr>
            </w:pPr>
          </w:p>
        </w:tc>
        <w:tc>
          <w:tcPr>
            <w:tcW w:w="822" w:type="pct"/>
            <w:vAlign w:val="center"/>
          </w:tcPr>
          <w:p>
            <w:pPr>
              <w:spacing w:line="240" w:lineRule="auto"/>
              <w:jc w:val="center"/>
              <w:rPr>
                <w:color w:val="000000" w:themeColor="text1"/>
                <w:szCs w:val="18"/>
              </w:rPr>
            </w:pPr>
            <w:r>
              <w:rPr>
                <w:color w:val="000000" w:themeColor="text1"/>
                <w:szCs w:val="18"/>
              </w:rPr>
              <w:t>H</w:t>
            </w:r>
            <w:r>
              <w:rPr>
                <w:color w:val="000000" w:themeColor="text1"/>
                <w:szCs w:val="18"/>
                <w:vertAlign w:val="subscript"/>
              </w:rPr>
              <w:t>2</w:t>
            </w:r>
            <w:r>
              <w:rPr>
                <w:color w:val="000000" w:themeColor="text1"/>
                <w:szCs w:val="18"/>
              </w:rPr>
              <w:t>S</w:t>
            </w:r>
          </w:p>
        </w:tc>
        <w:tc>
          <w:tcPr>
            <w:tcW w:w="742" w:type="pct"/>
            <w:vMerge w:val="continue"/>
            <w:vAlign w:val="center"/>
          </w:tcPr>
          <w:p>
            <w:pPr>
              <w:spacing w:line="240" w:lineRule="auto"/>
              <w:jc w:val="center"/>
              <w:rPr>
                <w:color w:val="000000" w:themeColor="text1"/>
                <w:szCs w:val="18"/>
              </w:rPr>
            </w:pPr>
          </w:p>
        </w:tc>
        <w:tc>
          <w:tcPr>
            <w:tcW w:w="842" w:type="pct"/>
            <w:vAlign w:val="center"/>
          </w:tcPr>
          <w:p>
            <w:pPr>
              <w:spacing w:line="240" w:lineRule="auto"/>
              <w:jc w:val="center"/>
              <w:rPr>
                <w:color w:val="000000" w:themeColor="text1"/>
                <w:szCs w:val="18"/>
              </w:rPr>
            </w:pPr>
            <w:r>
              <w:rPr>
                <w:color w:val="000000" w:themeColor="text1"/>
                <w:szCs w:val="18"/>
              </w:rPr>
              <w:t>一次浓度</w:t>
            </w:r>
          </w:p>
        </w:tc>
        <w:tc>
          <w:tcPr>
            <w:tcW w:w="1971" w:type="pct"/>
            <w:vAlign w:val="center"/>
          </w:tcPr>
          <w:p>
            <w:pPr>
              <w:spacing w:line="240" w:lineRule="auto"/>
              <w:jc w:val="center"/>
              <w:rPr>
                <w:color w:val="000000" w:themeColor="text1"/>
                <w:szCs w:val="18"/>
              </w:rPr>
            </w:pPr>
            <w:r>
              <w:rPr>
                <w:color w:val="000000" w:themeColor="text1"/>
                <w:szCs w:val="18"/>
              </w:rPr>
              <w:t>采集2、8、14、20时四个小时浓度</w:t>
            </w:r>
          </w:p>
        </w:tc>
      </w:tr>
    </w:tbl>
    <w:p>
      <w:pPr>
        <w:adjustRightInd w:val="0"/>
        <w:snapToGrid w:val="0"/>
        <w:ind w:firstLine="480" w:firstLineChars="200"/>
        <w:rPr>
          <w:color w:val="000000" w:themeColor="text1"/>
          <w:sz w:val="24"/>
        </w:rPr>
      </w:pPr>
      <w:r>
        <w:rPr>
          <w:color w:val="000000" w:themeColor="text1"/>
          <w:sz w:val="24"/>
        </w:rPr>
        <w:t>（</w:t>
      </w:r>
      <w:r>
        <w:rPr>
          <w:rFonts w:hint="eastAsia"/>
          <w:color w:val="000000" w:themeColor="text1"/>
          <w:sz w:val="24"/>
        </w:rPr>
        <w:t>3</w:t>
      </w:r>
      <w:r>
        <w:rPr>
          <w:color w:val="000000" w:themeColor="text1"/>
          <w:sz w:val="24"/>
        </w:rPr>
        <w:t>）</w:t>
      </w:r>
      <w:r>
        <w:rPr>
          <w:rFonts w:hint="eastAsia"/>
          <w:color w:val="000000" w:themeColor="text1"/>
          <w:sz w:val="24"/>
        </w:rPr>
        <w:t>监测方法</w:t>
      </w:r>
    </w:p>
    <w:p>
      <w:pPr>
        <w:adjustRightInd w:val="0"/>
        <w:snapToGrid w:val="0"/>
        <w:ind w:firstLine="480" w:firstLineChars="200"/>
        <w:rPr>
          <w:color w:val="000000" w:themeColor="text1"/>
          <w:sz w:val="24"/>
        </w:rPr>
      </w:pPr>
      <w:r>
        <w:rPr>
          <w:color w:val="000000" w:themeColor="text1"/>
          <w:sz w:val="24"/>
        </w:rPr>
        <w:t>TSP、PM</w:t>
      </w:r>
      <w:r>
        <w:rPr>
          <w:color w:val="000000" w:themeColor="text1"/>
          <w:sz w:val="24"/>
          <w:vertAlign w:val="subscript"/>
        </w:rPr>
        <w:t>10</w:t>
      </w:r>
      <w:r>
        <w:rPr>
          <w:color w:val="000000" w:themeColor="text1"/>
          <w:sz w:val="24"/>
        </w:rPr>
        <w:t>、NO</w:t>
      </w:r>
      <w:r>
        <w:rPr>
          <w:color w:val="000000" w:themeColor="text1"/>
          <w:sz w:val="24"/>
          <w:vertAlign w:val="subscript"/>
        </w:rPr>
        <w:t>2</w:t>
      </w:r>
      <w:r>
        <w:rPr>
          <w:color w:val="000000" w:themeColor="text1"/>
          <w:sz w:val="24"/>
        </w:rPr>
        <w:t>、SO</w:t>
      </w:r>
      <w:r>
        <w:rPr>
          <w:color w:val="000000" w:themeColor="text1"/>
          <w:sz w:val="24"/>
          <w:vertAlign w:val="subscript"/>
        </w:rPr>
        <w:t>2</w:t>
      </w:r>
      <w:r>
        <w:rPr>
          <w:rFonts w:hint="eastAsia"/>
          <w:color w:val="000000" w:themeColor="text1"/>
          <w:spacing w:val="4"/>
          <w:sz w:val="24"/>
        </w:rPr>
        <w:t>监测分析方法采用</w:t>
      </w:r>
      <w:r>
        <w:rPr>
          <w:color w:val="000000" w:themeColor="text1"/>
          <w:sz w:val="24"/>
        </w:rPr>
        <w:t>《环境空气质量标准》（GB3095-2012）</w:t>
      </w:r>
      <w:r>
        <w:rPr>
          <w:rFonts w:hint="eastAsia"/>
          <w:color w:val="000000" w:themeColor="text1"/>
          <w:sz w:val="24"/>
        </w:rPr>
        <w:t>所推荐的监测方法。</w:t>
      </w:r>
      <w:r>
        <w:rPr>
          <w:color w:val="000000" w:themeColor="text1"/>
          <w:sz w:val="24"/>
        </w:rPr>
        <w:t>H</w:t>
      </w:r>
      <w:r>
        <w:rPr>
          <w:color w:val="000000" w:themeColor="text1"/>
          <w:sz w:val="24"/>
          <w:vertAlign w:val="subscript"/>
        </w:rPr>
        <w:t>2</w:t>
      </w:r>
      <w:r>
        <w:rPr>
          <w:color w:val="000000" w:themeColor="text1"/>
          <w:sz w:val="24"/>
        </w:rPr>
        <w:t>S</w:t>
      </w:r>
      <w:r>
        <w:rPr>
          <w:rFonts w:hint="eastAsia"/>
          <w:color w:val="000000" w:themeColor="text1"/>
          <w:sz w:val="24"/>
        </w:rPr>
        <w:t>监测分析方法采用《空气和废气监测分析方法》（第四版）推荐方法，</w:t>
      </w:r>
      <w:r>
        <w:rPr>
          <w:color w:val="000000" w:themeColor="text1"/>
          <w:sz w:val="24"/>
        </w:rPr>
        <w:t>NH</w:t>
      </w:r>
      <w:r>
        <w:rPr>
          <w:color w:val="000000" w:themeColor="text1"/>
          <w:sz w:val="24"/>
          <w:vertAlign w:val="subscript"/>
        </w:rPr>
        <w:t>3</w:t>
      </w:r>
      <w:r>
        <w:rPr>
          <w:rFonts w:hint="eastAsia"/>
          <w:color w:val="000000" w:themeColor="text1"/>
          <w:sz w:val="24"/>
        </w:rPr>
        <w:t>监测分析方法采用《环境空气和废气 氨的测定 纳氏试剂分光光度法》（HJ533-2009）推荐方法。</w:t>
      </w:r>
    </w:p>
    <w:p>
      <w:pPr>
        <w:adjustRightInd w:val="0"/>
        <w:snapToGrid w:val="0"/>
        <w:ind w:firstLine="480" w:firstLineChars="200"/>
        <w:rPr>
          <w:color w:val="000000" w:themeColor="text1"/>
          <w:sz w:val="24"/>
        </w:rPr>
      </w:pPr>
      <w:r>
        <w:rPr>
          <w:rFonts w:hint="eastAsia"/>
          <w:color w:val="000000" w:themeColor="text1"/>
          <w:sz w:val="24"/>
        </w:rPr>
        <w:t>（4）</w:t>
      </w:r>
      <w:r>
        <w:rPr>
          <w:color w:val="000000" w:themeColor="text1"/>
          <w:sz w:val="24"/>
        </w:rPr>
        <w:t>监测结果</w:t>
      </w:r>
    </w:p>
    <w:p>
      <w:pPr>
        <w:adjustRightInd w:val="0"/>
        <w:snapToGrid w:val="0"/>
        <w:ind w:firstLine="480" w:firstLineChars="200"/>
        <w:rPr>
          <w:color w:val="000000" w:themeColor="text1"/>
          <w:sz w:val="24"/>
        </w:rPr>
      </w:pPr>
      <w:r>
        <w:rPr>
          <w:color w:val="000000" w:themeColor="text1"/>
          <w:sz w:val="24"/>
        </w:rPr>
        <w:t>监测结果统计及评价见表4.2-</w:t>
      </w:r>
      <w:r>
        <w:rPr>
          <w:rFonts w:hint="eastAsia"/>
          <w:color w:val="000000" w:themeColor="text1"/>
          <w:sz w:val="24"/>
        </w:rPr>
        <w:t>2</w:t>
      </w:r>
      <w:r>
        <w:rPr>
          <w:color w:val="000000" w:themeColor="text1"/>
          <w:sz w:val="24"/>
        </w:rPr>
        <w:t>~4.2-</w:t>
      </w:r>
      <w:r>
        <w:rPr>
          <w:rFonts w:hint="eastAsia"/>
          <w:color w:val="000000" w:themeColor="text1"/>
          <w:sz w:val="24"/>
        </w:rPr>
        <w:t>3</w:t>
      </w:r>
      <w:r>
        <w:rPr>
          <w:color w:val="000000" w:themeColor="text1"/>
          <w:sz w:val="24"/>
        </w:rPr>
        <w:t>。</w:t>
      </w:r>
    </w:p>
    <w:p>
      <w:pPr>
        <w:adjustRightInd w:val="0"/>
        <w:snapToGrid w:val="0"/>
        <w:ind w:firstLine="420" w:firstLineChars="200"/>
        <w:rPr>
          <w:color w:val="000000" w:themeColor="text1"/>
        </w:rPr>
      </w:pPr>
    </w:p>
    <w:p>
      <w:pPr>
        <w:adjustRightInd w:val="0"/>
        <w:snapToGrid w:val="0"/>
        <w:ind w:firstLine="420" w:firstLineChars="200"/>
        <w:rPr>
          <w:color w:val="000000" w:themeColor="text1"/>
        </w:rPr>
      </w:pPr>
    </w:p>
    <w:p>
      <w:pPr>
        <w:adjustRightInd w:val="0"/>
        <w:snapToGrid w:val="0"/>
        <w:ind w:firstLine="420" w:firstLineChars="200"/>
        <w:rPr>
          <w:color w:val="000000" w:themeColor="text1"/>
        </w:rPr>
      </w:pPr>
    </w:p>
    <w:p>
      <w:pPr>
        <w:adjustRightInd w:val="0"/>
        <w:snapToGrid w:val="0"/>
        <w:ind w:firstLine="420" w:firstLineChars="200"/>
        <w:rPr>
          <w:color w:val="000000" w:themeColor="text1"/>
        </w:rPr>
        <w:sectPr>
          <w:pgSz w:w="11906" w:h="16838"/>
          <w:pgMar w:top="1440" w:right="1797" w:bottom="1440" w:left="1797" w:header="851" w:footer="992" w:gutter="0"/>
          <w:cols w:space="720" w:num="1"/>
          <w:docGrid w:linePitch="312" w:charSpace="0"/>
        </w:sectPr>
      </w:pPr>
    </w:p>
    <w:p>
      <w:pPr>
        <w:adjustRightInd w:val="0"/>
        <w:snapToGrid w:val="0"/>
        <w:spacing w:line="240" w:lineRule="auto"/>
        <w:jc w:val="center"/>
        <w:rPr>
          <w:color w:val="000000" w:themeColor="text1"/>
          <w:szCs w:val="21"/>
        </w:rPr>
      </w:pPr>
      <w:r>
        <w:rPr>
          <w:b/>
          <w:color w:val="000000" w:themeColor="text1"/>
          <w:szCs w:val="21"/>
        </w:rPr>
        <w:t>表4.2-</w:t>
      </w:r>
      <w:r>
        <w:rPr>
          <w:rFonts w:hint="eastAsia"/>
          <w:b/>
          <w:color w:val="000000" w:themeColor="text1"/>
          <w:szCs w:val="21"/>
        </w:rPr>
        <w:t>2</w:t>
      </w:r>
      <w:r>
        <w:rPr>
          <w:b/>
          <w:color w:val="000000" w:themeColor="text1"/>
          <w:szCs w:val="21"/>
        </w:rPr>
        <w:t xml:space="preserve">  </w:t>
      </w:r>
      <w:r>
        <w:rPr>
          <w:rFonts w:hint="eastAsia"/>
          <w:b/>
          <w:color w:val="000000" w:themeColor="text1"/>
          <w:szCs w:val="21"/>
        </w:rPr>
        <w:t>补充监测点位基本信息</w:t>
      </w:r>
    </w:p>
    <w:tbl>
      <w:tblPr>
        <w:tblStyle w:val="42"/>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551"/>
        <w:gridCol w:w="1608"/>
        <w:gridCol w:w="1466"/>
        <w:gridCol w:w="2788"/>
        <w:gridCol w:w="2800"/>
        <w:gridCol w:w="2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restart"/>
            <w:vAlign w:val="center"/>
          </w:tcPr>
          <w:p>
            <w:pPr>
              <w:spacing w:line="240" w:lineRule="auto"/>
              <w:jc w:val="center"/>
              <w:rPr>
                <w:b/>
                <w:color w:val="000000" w:themeColor="text1"/>
                <w:szCs w:val="21"/>
              </w:rPr>
            </w:pPr>
            <w:r>
              <w:rPr>
                <w:rFonts w:hint="eastAsia"/>
                <w:b/>
                <w:color w:val="000000" w:themeColor="text1"/>
                <w:szCs w:val="21"/>
              </w:rPr>
              <w:t>点位名称</w:t>
            </w:r>
          </w:p>
        </w:tc>
        <w:tc>
          <w:tcPr>
            <w:tcW w:w="1116" w:type="pct"/>
            <w:gridSpan w:val="2"/>
            <w:vAlign w:val="center"/>
          </w:tcPr>
          <w:p>
            <w:pPr>
              <w:spacing w:line="240" w:lineRule="auto"/>
              <w:jc w:val="center"/>
              <w:rPr>
                <w:b/>
                <w:color w:val="000000" w:themeColor="text1"/>
                <w:szCs w:val="21"/>
              </w:rPr>
            </w:pPr>
            <w:r>
              <w:rPr>
                <w:rFonts w:hint="eastAsia"/>
                <w:b/>
                <w:color w:val="000000" w:themeColor="text1"/>
                <w:szCs w:val="21"/>
              </w:rPr>
              <w:t>监测点坐标</w:t>
            </w:r>
          </w:p>
        </w:tc>
        <w:tc>
          <w:tcPr>
            <w:tcW w:w="518" w:type="pct"/>
            <w:vMerge w:val="restart"/>
            <w:vAlign w:val="center"/>
          </w:tcPr>
          <w:p>
            <w:pPr>
              <w:spacing w:line="240" w:lineRule="auto"/>
              <w:jc w:val="center"/>
              <w:rPr>
                <w:b/>
                <w:color w:val="000000" w:themeColor="text1"/>
                <w:szCs w:val="21"/>
              </w:rPr>
            </w:pPr>
            <w:r>
              <w:rPr>
                <w:rFonts w:hint="eastAsia"/>
                <w:b/>
                <w:color w:val="000000" w:themeColor="text1"/>
                <w:szCs w:val="21"/>
              </w:rPr>
              <w:t>监测因子</w:t>
            </w:r>
          </w:p>
        </w:tc>
        <w:tc>
          <w:tcPr>
            <w:tcW w:w="985" w:type="pct"/>
            <w:vMerge w:val="restart"/>
            <w:vAlign w:val="center"/>
          </w:tcPr>
          <w:p>
            <w:pPr>
              <w:spacing w:line="240" w:lineRule="auto"/>
              <w:jc w:val="center"/>
              <w:rPr>
                <w:b/>
                <w:color w:val="000000" w:themeColor="text1"/>
                <w:szCs w:val="21"/>
              </w:rPr>
            </w:pPr>
            <w:r>
              <w:rPr>
                <w:rFonts w:hint="eastAsia"/>
                <w:b/>
                <w:color w:val="000000" w:themeColor="text1"/>
                <w:szCs w:val="21"/>
              </w:rPr>
              <w:t>监测时段</w:t>
            </w:r>
          </w:p>
        </w:tc>
        <w:tc>
          <w:tcPr>
            <w:tcW w:w="989" w:type="pct"/>
            <w:vMerge w:val="restart"/>
            <w:vAlign w:val="center"/>
          </w:tcPr>
          <w:p>
            <w:pPr>
              <w:spacing w:line="240" w:lineRule="auto"/>
              <w:jc w:val="center"/>
              <w:rPr>
                <w:b/>
                <w:color w:val="000000" w:themeColor="text1"/>
                <w:szCs w:val="21"/>
              </w:rPr>
            </w:pPr>
            <w:r>
              <w:rPr>
                <w:rFonts w:hint="eastAsia"/>
                <w:b/>
                <w:color w:val="000000" w:themeColor="text1"/>
                <w:szCs w:val="21"/>
              </w:rPr>
              <w:t>相对厂址方位</w:t>
            </w:r>
          </w:p>
        </w:tc>
        <w:tc>
          <w:tcPr>
            <w:tcW w:w="967" w:type="pct"/>
            <w:vMerge w:val="restart"/>
            <w:vAlign w:val="center"/>
          </w:tcPr>
          <w:p>
            <w:pPr>
              <w:spacing w:line="240" w:lineRule="auto"/>
              <w:jc w:val="center"/>
              <w:rPr>
                <w:b/>
                <w:color w:val="000000" w:themeColor="text1"/>
                <w:szCs w:val="21"/>
              </w:rPr>
            </w:pPr>
            <w:r>
              <w:rPr>
                <w:rFonts w:hint="eastAsia"/>
                <w:b/>
                <w:color w:val="000000" w:themeColor="text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b/>
                <w:color w:val="000000" w:themeColor="text1"/>
                <w:szCs w:val="21"/>
              </w:rPr>
            </w:pPr>
          </w:p>
        </w:tc>
        <w:tc>
          <w:tcPr>
            <w:tcW w:w="548" w:type="pct"/>
            <w:vAlign w:val="center"/>
          </w:tcPr>
          <w:p>
            <w:pPr>
              <w:spacing w:line="240" w:lineRule="auto"/>
              <w:jc w:val="center"/>
              <w:rPr>
                <w:b/>
                <w:color w:val="000000" w:themeColor="text1"/>
                <w:szCs w:val="21"/>
              </w:rPr>
            </w:pPr>
            <w:r>
              <w:rPr>
                <w:rFonts w:hint="eastAsia"/>
                <w:b/>
                <w:color w:val="000000" w:themeColor="text1"/>
                <w:szCs w:val="21"/>
              </w:rPr>
              <w:t>经度</w:t>
            </w:r>
          </w:p>
        </w:tc>
        <w:tc>
          <w:tcPr>
            <w:tcW w:w="568" w:type="pct"/>
            <w:vAlign w:val="center"/>
          </w:tcPr>
          <w:p>
            <w:pPr>
              <w:spacing w:line="240" w:lineRule="auto"/>
              <w:jc w:val="center"/>
              <w:rPr>
                <w:b/>
                <w:color w:val="000000" w:themeColor="text1"/>
                <w:szCs w:val="21"/>
              </w:rPr>
            </w:pPr>
            <w:r>
              <w:rPr>
                <w:rFonts w:hint="eastAsia"/>
                <w:b/>
                <w:color w:val="000000" w:themeColor="text1"/>
                <w:szCs w:val="21"/>
              </w:rPr>
              <w:t>纬度</w:t>
            </w:r>
          </w:p>
        </w:tc>
        <w:tc>
          <w:tcPr>
            <w:tcW w:w="518" w:type="pct"/>
            <w:vMerge w:val="continue"/>
            <w:vAlign w:val="center"/>
          </w:tcPr>
          <w:p>
            <w:pPr>
              <w:spacing w:line="240" w:lineRule="auto"/>
              <w:jc w:val="center"/>
              <w:rPr>
                <w:b/>
                <w:color w:val="000000" w:themeColor="text1"/>
                <w:szCs w:val="21"/>
              </w:rPr>
            </w:pPr>
          </w:p>
        </w:tc>
        <w:tc>
          <w:tcPr>
            <w:tcW w:w="985" w:type="pct"/>
            <w:vMerge w:val="continue"/>
            <w:vAlign w:val="center"/>
          </w:tcPr>
          <w:p>
            <w:pPr>
              <w:spacing w:line="240" w:lineRule="auto"/>
              <w:jc w:val="center"/>
              <w:rPr>
                <w:b/>
                <w:color w:val="000000" w:themeColor="text1"/>
                <w:szCs w:val="21"/>
              </w:rPr>
            </w:pPr>
          </w:p>
        </w:tc>
        <w:tc>
          <w:tcPr>
            <w:tcW w:w="989" w:type="pct"/>
            <w:vMerge w:val="continue"/>
            <w:vAlign w:val="center"/>
          </w:tcPr>
          <w:p>
            <w:pPr>
              <w:spacing w:line="240" w:lineRule="auto"/>
              <w:jc w:val="center"/>
              <w:rPr>
                <w:b/>
                <w:color w:val="000000" w:themeColor="text1"/>
                <w:szCs w:val="21"/>
              </w:rPr>
            </w:pPr>
          </w:p>
        </w:tc>
        <w:tc>
          <w:tcPr>
            <w:tcW w:w="967" w:type="pct"/>
            <w:vMerge w:val="continue"/>
            <w:vAlign w:val="center"/>
          </w:tcPr>
          <w:p>
            <w:pPr>
              <w:spacing w:line="240" w:lineRule="auto"/>
              <w:jc w:val="center"/>
              <w:rPr>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425" w:type="pct"/>
            <w:vAlign w:val="center"/>
          </w:tcPr>
          <w:p>
            <w:pPr>
              <w:pStyle w:val="219"/>
              <w:spacing w:line="240" w:lineRule="auto"/>
              <w:ind w:firstLine="0" w:firstLineChars="0"/>
              <w:rPr>
                <w:rFonts w:ascii="Times New Roman" w:hAnsi="Times New Roman"/>
                <w:color w:val="000000" w:themeColor="text1"/>
                <w:sz w:val="21"/>
                <w:szCs w:val="21"/>
              </w:rPr>
            </w:pPr>
            <w:r>
              <w:rPr>
                <w:rFonts w:ascii="Times New Roman" w:hAnsi="Times New Roman"/>
                <w:color w:val="000000" w:themeColor="text1"/>
                <w:sz w:val="21"/>
                <w:szCs w:val="21"/>
              </w:rPr>
              <w:t>1#</w:t>
            </w:r>
            <w:r>
              <w:rPr>
                <w:rFonts w:hint="eastAsia" w:ascii="Times New Roman" w:hAnsi="Times New Roman"/>
                <w:color w:val="000000" w:themeColor="text1"/>
                <w:sz w:val="21"/>
                <w:szCs w:val="21"/>
              </w:rPr>
              <w:t>上风向</w:t>
            </w:r>
          </w:p>
          <w:p>
            <w:pPr>
              <w:pStyle w:val="219"/>
              <w:spacing w:line="240" w:lineRule="auto"/>
              <w:ind w:firstLine="0" w:firstLineChars="0"/>
              <w:rPr>
                <w:rFonts w:ascii="Times New Roman" w:hAnsi="Times New Roman"/>
                <w:color w:val="000000" w:themeColor="text1"/>
                <w:sz w:val="21"/>
                <w:szCs w:val="21"/>
              </w:rPr>
            </w:pPr>
            <w:r>
              <w:rPr>
                <w:rFonts w:hint="eastAsia" w:ascii="Times New Roman" w:hAnsi="Times New Roman"/>
                <w:color w:val="000000" w:themeColor="text1"/>
                <w:sz w:val="21"/>
                <w:szCs w:val="21"/>
              </w:rPr>
              <w:t>(白鹤村)</w:t>
            </w:r>
          </w:p>
        </w:tc>
        <w:tc>
          <w:tcPr>
            <w:tcW w:w="548" w:type="pct"/>
            <w:vAlign w:val="center"/>
          </w:tcPr>
          <w:p>
            <w:pPr>
              <w:pStyle w:val="219"/>
              <w:spacing w:line="240" w:lineRule="auto"/>
              <w:ind w:firstLine="0" w:firstLineChars="0"/>
              <w:rPr>
                <w:rFonts w:ascii="Times New Roman" w:hAnsi="Times New Roman"/>
                <w:color w:val="000000" w:themeColor="text1"/>
                <w:sz w:val="21"/>
                <w:szCs w:val="21"/>
              </w:rPr>
            </w:pPr>
            <w:r>
              <w:rPr>
                <w:rFonts w:hint="eastAsia" w:ascii="Times New Roman" w:hAnsi="Times New Roman"/>
                <w:color w:val="000000" w:themeColor="text1"/>
                <w:sz w:val="21"/>
                <w:szCs w:val="21"/>
              </w:rPr>
              <w:t>E</w:t>
            </w:r>
            <w:r>
              <w:rPr>
                <w:rFonts w:ascii="Times New Roman" w:hAnsi="Times New Roman"/>
                <w:color w:val="000000" w:themeColor="text1"/>
                <w:sz w:val="21"/>
                <w:szCs w:val="21"/>
              </w:rPr>
              <w:t>102° 0'5.10"</w:t>
            </w:r>
          </w:p>
        </w:tc>
        <w:tc>
          <w:tcPr>
            <w:tcW w:w="568" w:type="pct"/>
            <w:vAlign w:val="center"/>
          </w:tcPr>
          <w:p>
            <w:pPr>
              <w:pStyle w:val="219"/>
              <w:spacing w:line="240" w:lineRule="auto"/>
              <w:ind w:firstLine="0" w:firstLineChars="0"/>
              <w:rPr>
                <w:rFonts w:ascii="Times New Roman" w:hAnsi="Times New Roman"/>
                <w:color w:val="000000" w:themeColor="text1"/>
                <w:sz w:val="21"/>
                <w:szCs w:val="21"/>
              </w:rPr>
            </w:pPr>
            <w:r>
              <w:rPr>
                <w:rFonts w:hint="eastAsia" w:ascii="Times New Roman" w:hAnsi="Times New Roman"/>
                <w:color w:val="000000" w:themeColor="text1"/>
                <w:sz w:val="21"/>
                <w:szCs w:val="21"/>
              </w:rPr>
              <w:t>N</w:t>
            </w:r>
            <w:r>
              <w:rPr>
                <w:rFonts w:ascii="Times New Roman" w:hAnsi="Times New Roman"/>
                <w:color w:val="000000" w:themeColor="text1"/>
                <w:sz w:val="21"/>
                <w:szCs w:val="21"/>
              </w:rPr>
              <w:t>24° 8'49.24"</w:t>
            </w:r>
          </w:p>
        </w:tc>
        <w:tc>
          <w:tcPr>
            <w:tcW w:w="518" w:type="pct"/>
            <w:vMerge w:val="restart"/>
            <w:vAlign w:val="center"/>
          </w:tcPr>
          <w:p>
            <w:pPr>
              <w:spacing w:line="240" w:lineRule="auto"/>
              <w:jc w:val="center"/>
              <w:rPr>
                <w:color w:val="000000" w:themeColor="text1"/>
              </w:rPr>
            </w:pPr>
            <w:r>
              <w:rPr>
                <w:rFonts w:hint="eastAsia"/>
                <w:color w:val="000000" w:themeColor="text1"/>
              </w:rPr>
              <w:t>TSP、</w:t>
            </w:r>
            <w:r>
              <w:rPr>
                <w:color w:val="000000" w:themeColor="text1"/>
              </w:rPr>
              <w:t>PM</w:t>
            </w:r>
            <w:r>
              <w:rPr>
                <w:color w:val="000000" w:themeColor="text1"/>
                <w:vertAlign w:val="subscript"/>
              </w:rPr>
              <w:t>10</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2</w:t>
            </w:r>
            <w:r>
              <w:rPr>
                <w:rFonts w:hint="eastAsia"/>
                <w:color w:val="000000" w:themeColor="text1"/>
              </w:rPr>
              <w:t>、H</w:t>
            </w:r>
            <w:r>
              <w:rPr>
                <w:rFonts w:hint="eastAsia"/>
                <w:color w:val="000000" w:themeColor="text1"/>
                <w:vertAlign w:val="subscript"/>
              </w:rPr>
              <w:t>2</w:t>
            </w:r>
            <w:r>
              <w:rPr>
                <w:rFonts w:hint="eastAsia"/>
                <w:color w:val="000000" w:themeColor="text1"/>
              </w:rPr>
              <w:t>S、NH</w:t>
            </w:r>
            <w:r>
              <w:rPr>
                <w:rFonts w:hint="eastAsia"/>
                <w:color w:val="000000" w:themeColor="text1"/>
                <w:vertAlign w:val="subscript"/>
              </w:rPr>
              <w:t>3</w:t>
            </w:r>
          </w:p>
        </w:tc>
        <w:tc>
          <w:tcPr>
            <w:tcW w:w="985" w:type="pct"/>
            <w:vMerge w:val="restart"/>
            <w:vAlign w:val="center"/>
          </w:tcPr>
          <w:p>
            <w:pPr>
              <w:spacing w:line="240" w:lineRule="auto"/>
              <w:jc w:val="center"/>
              <w:rPr>
                <w:color w:val="000000" w:themeColor="text1"/>
              </w:rPr>
            </w:pPr>
            <w:r>
              <w:rPr>
                <w:rFonts w:hint="eastAsia"/>
                <w:color w:val="000000" w:themeColor="text1"/>
              </w:rPr>
              <w:t>2018年9月5日~2018年9月11日</w:t>
            </w:r>
          </w:p>
        </w:tc>
        <w:tc>
          <w:tcPr>
            <w:tcW w:w="989" w:type="pct"/>
            <w:vAlign w:val="center"/>
          </w:tcPr>
          <w:p>
            <w:pPr>
              <w:spacing w:line="240" w:lineRule="auto"/>
              <w:jc w:val="center"/>
              <w:rPr>
                <w:color w:val="000000" w:themeColor="text1"/>
              </w:rPr>
            </w:pPr>
            <w:r>
              <w:rPr>
                <w:rFonts w:hint="eastAsia"/>
                <w:color w:val="000000" w:themeColor="text1"/>
              </w:rPr>
              <w:t>厂址西南侧</w:t>
            </w:r>
          </w:p>
        </w:tc>
        <w:tc>
          <w:tcPr>
            <w:tcW w:w="967" w:type="pct"/>
            <w:vAlign w:val="center"/>
          </w:tcPr>
          <w:p>
            <w:pPr>
              <w:spacing w:line="240" w:lineRule="auto"/>
              <w:jc w:val="center"/>
              <w:rPr>
                <w:color w:val="000000" w:themeColor="text1"/>
                <w:szCs w:val="21"/>
              </w:rPr>
            </w:pPr>
            <w:r>
              <w:rPr>
                <w:rFonts w:hint="eastAsia"/>
                <w:color w:val="000000" w:themeColor="text1"/>
                <w:szCs w:val="21"/>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425" w:type="pct"/>
            <w:vAlign w:val="center"/>
          </w:tcPr>
          <w:p>
            <w:pPr>
              <w:spacing w:line="240" w:lineRule="auto"/>
              <w:jc w:val="center"/>
              <w:rPr>
                <w:color w:val="000000" w:themeColor="text1"/>
                <w:szCs w:val="21"/>
              </w:rPr>
            </w:pPr>
            <w:r>
              <w:rPr>
                <w:color w:val="000000" w:themeColor="text1"/>
                <w:szCs w:val="21"/>
              </w:rPr>
              <w:t>2#</w:t>
            </w:r>
          </w:p>
          <w:p>
            <w:pPr>
              <w:spacing w:line="240" w:lineRule="auto"/>
              <w:jc w:val="center"/>
              <w:rPr>
                <w:color w:val="000000" w:themeColor="text1"/>
                <w:szCs w:val="21"/>
              </w:rPr>
            </w:pPr>
            <w:r>
              <w:rPr>
                <w:rFonts w:hint="eastAsia"/>
                <w:color w:val="000000" w:themeColor="text1"/>
                <w:szCs w:val="21"/>
              </w:rPr>
              <w:t>下风向</w:t>
            </w:r>
          </w:p>
        </w:tc>
        <w:tc>
          <w:tcPr>
            <w:tcW w:w="548" w:type="pct"/>
            <w:vAlign w:val="center"/>
          </w:tcPr>
          <w:p>
            <w:pPr>
              <w:spacing w:line="240" w:lineRule="auto"/>
              <w:jc w:val="center"/>
              <w:rPr>
                <w:color w:val="000000" w:themeColor="text1"/>
                <w:szCs w:val="21"/>
              </w:rPr>
            </w:pPr>
            <w:r>
              <w:rPr>
                <w:rFonts w:hint="eastAsia"/>
                <w:color w:val="000000" w:themeColor="text1"/>
                <w:szCs w:val="21"/>
              </w:rPr>
              <w:t>E</w:t>
            </w:r>
            <w:r>
              <w:rPr>
                <w:color w:val="000000" w:themeColor="text1"/>
                <w:szCs w:val="21"/>
              </w:rPr>
              <w:t>101°59'37.92"</w:t>
            </w:r>
          </w:p>
        </w:tc>
        <w:tc>
          <w:tcPr>
            <w:tcW w:w="568" w:type="pct"/>
            <w:vAlign w:val="center"/>
          </w:tcPr>
          <w:p>
            <w:pPr>
              <w:spacing w:line="240" w:lineRule="auto"/>
              <w:jc w:val="center"/>
              <w:rPr>
                <w:color w:val="000000" w:themeColor="text1"/>
                <w:szCs w:val="21"/>
              </w:rPr>
            </w:pPr>
            <w:r>
              <w:rPr>
                <w:rFonts w:hint="eastAsia"/>
                <w:color w:val="000000" w:themeColor="text1"/>
                <w:szCs w:val="21"/>
              </w:rPr>
              <w:t>N</w:t>
            </w:r>
            <w:r>
              <w:rPr>
                <w:color w:val="000000" w:themeColor="text1"/>
                <w:szCs w:val="21"/>
              </w:rPr>
              <w:t>24° 8'17.02"</w:t>
            </w:r>
          </w:p>
        </w:tc>
        <w:tc>
          <w:tcPr>
            <w:tcW w:w="518" w:type="pct"/>
            <w:vMerge w:val="continue"/>
            <w:vAlign w:val="center"/>
          </w:tcPr>
          <w:p>
            <w:pPr>
              <w:spacing w:line="240" w:lineRule="auto"/>
              <w:jc w:val="center"/>
              <w:rPr>
                <w:color w:val="000000" w:themeColor="text1"/>
              </w:rPr>
            </w:pPr>
          </w:p>
        </w:tc>
        <w:tc>
          <w:tcPr>
            <w:tcW w:w="985" w:type="pct"/>
            <w:vMerge w:val="continue"/>
            <w:vAlign w:val="center"/>
          </w:tcPr>
          <w:p>
            <w:pPr>
              <w:spacing w:line="240" w:lineRule="auto"/>
              <w:jc w:val="center"/>
              <w:rPr>
                <w:color w:val="000000" w:themeColor="text1"/>
              </w:rPr>
            </w:pPr>
          </w:p>
        </w:tc>
        <w:tc>
          <w:tcPr>
            <w:tcW w:w="989" w:type="pct"/>
            <w:vAlign w:val="center"/>
          </w:tcPr>
          <w:p>
            <w:pPr>
              <w:spacing w:line="240" w:lineRule="auto"/>
              <w:jc w:val="center"/>
              <w:rPr>
                <w:color w:val="000000" w:themeColor="text1"/>
              </w:rPr>
            </w:pPr>
            <w:r>
              <w:rPr>
                <w:rFonts w:hint="eastAsia"/>
                <w:color w:val="000000" w:themeColor="text1"/>
              </w:rPr>
              <w:t>厂址东北侧</w:t>
            </w:r>
          </w:p>
        </w:tc>
        <w:tc>
          <w:tcPr>
            <w:tcW w:w="967" w:type="pct"/>
            <w:vAlign w:val="center"/>
          </w:tcPr>
          <w:p>
            <w:pPr>
              <w:spacing w:line="240" w:lineRule="auto"/>
              <w:jc w:val="center"/>
              <w:rPr>
                <w:color w:val="000000" w:themeColor="text1"/>
                <w:szCs w:val="21"/>
              </w:rPr>
            </w:pPr>
            <w:r>
              <w:rPr>
                <w:rFonts w:hint="eastAsia"/>
                <w:color w:val="000000" w:themeColor="text1"/>
                <w:szCs w:val="21"/>
              </w:rPr>
              <w:t>400</w:t>
            </w:r>
          </w:p>
        </w:tc>
      </w:tr>
    </w:tbl>
    <w:p>
      <w:pPr>
        <w:adjustRightInd w:val="0"/>
        <w:snapToGrid w:val="0"/>
        <w:ind w:firstLine="420" w:firstLineChars="200"/>
        <w:rPr>
          <w:color w:val="000000" w:themeColor="text1"/>
        </w:rPr>
      </w:pPr>
    </w:p>
    <w:p>
      <w:pPr>
        <w:adjustRightInd w:val="0"/>
        <w:snapToGrid w:val="0"/>
        <w:spacing w:line="240" w:lineRule="auto"/>
        <w:jc w:val="center"/>
        <w:rPr>
          <w:color w:val="000000" w:themeColor="text1"/>
          <w:szCs w:val="21"/>
        </w:rPr>
      </w:pPr>
      <w:r>
        <w:rPr>
          <w:b/>
          <w:color w:val="000000" w:themeColor="text1"/>
          <w:szCs w:val="21"/>
        </w:rPr>
        <w:t>表4.2-</w:t>
      </w:r>
      <w:r>
        <w:rPr>
          <w:rFonts w:hint="eastAsia"/>
          <w:b/>
          <w:color w:val="000000" w:themeColor="text1"/>
          <w:szCs w:val="21"/>
        </w:rPr>
        <w:t>3</w:t>
      </w:r>
      <w:r>
        <w:rPr>
          <w:b/>
          <w:color w:val="000000" w:themeColor="text1"/>
          <w:szCs w:val="21"/>
        </w:rPr>
        <w:t xml:space="preserve">  </w:t>
      </w:r>
      <w:r>
        <w:rPr>
          <w:rFonts w:hint="eastAsia"/>
          <w:b/>
          <w:color w:val="000000" w:themeColor="text1"/>
          <w:szCs w:val="21"/>
        </w:rPr>
        <w:t>环境质量现状监测结果表    单位：</w:t>
      </w:r>
      <w:r>
        <w:rPr>
          <w:b/>
          <w:bCs/>
          <w:color w:val="000000" w:themeColor="text1"/>
          <w:szCs w:val="21"/>
        </w:rPr>
        <w:t>µg/m</w:t>
      </w:r>
      <w:r>
        <w:rPr>
          <w:b/>
          <w:bCs/>
          <w:color w:val="000000" w:themeColor="text1"/>
          <w:szCs w:val="21"/>
          <w:vertAlign w:val="superscript"/>
        </w:rPr>
        <w:t>3</w:t>
      </w:r>
    </w:p>
    <w:tbl>
      <w:tblPr>
        <w:tblStyle w:val="42"/>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551"/>
        <w:gridCol w:w="1466"/>
        <w:gridCol w:w="991"/>
        <w:gridCol w:w="1701"/>
        <w:gridCol w:w="1274"/>
        <w:gridCol w:w="1987"/>
        <w:gridCol w:w="1418"/>
        <w:gridCol w:w="113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5" w:type="pct"/>
            <w:vMerge w:val="restart"/>
            <w:vAlign w:val="center"/>
          </w:tcPr>
          <w:p>
            <w:pPr>
              <w:spacing w:line="240" w:lineRule="auto"/>
              <w:jc w:val="center"/>
              <w:rPr>
                <w:b/>
                <w:color w:val="000000" w:themeColor="text1"/>
                <w:szCs w:val="21"/>
              </w:rPr>
            </w:pPr>
            <w:r>
              <w:rPr>
                <w:rFonts w:hint="eastAsia"/>
                <w:b/>
                <w:color w:val="000000" w:themeColor="text1"/>
                <w:szCs w:val="21"/>
              </w:rPr>
              <w:t>点位名称</w:t>
            </w:r>
          </w:p>
        </w:tc>
        <w:tc>
          <w:tcPr>
            <w:tcW w:w="1066" w:type="pct"/>
            <w:gridSpan w:val="2"/>
            <w:vAlign w:val="center"/>
          </w:tcPr>
          <w:p>
            <w:pPr>
              <w:spacing w:line="240" w:lineRule="auto"/>
              <w:jc w:val="center"/>
              <w:rPr>
                <w:b/>
                <w:color w:val="000000" w:themeColor="text1"/>
                <w:szCs w:val="21"/>
              </w:rPr>
            </w:pPr>
            <w:r>
              <w:rPr>
                <w:rFonts w:hint="eastAsia"/>
                <w:b/>
                <w:color w:val="000000" w:themeColor="text1"/>
                <w:szCs w:val="21"/>
              </w:rPr>
              <w:t>监测点坐标</w:t>
            </w:r>
          </w:p>
        </w:tc>
        <w:tc>
          <w:tcPr>
            <w:tcW w:w="350" w:type="pct"/>
            <w:vMerge w:val="restart"/>
            <w:vAlign w:val="center"/>
          </w:tcPr>
          <w:p>
            <w:pPr>
              <w:spacing w:line="240" w:lineRule="auto"/>
              <w:jc w:val="center"/>
              <w:rPr>
                <w:b/>
                <w:color w:val="000000" w:themeColor="text1"/>
                <w:szCs w:val="21"/>
              </w:rPr>
            </w:pPr>
            <w:r>
              <w:rPr>
                <w:rFonts w:hint="eastAsia"/>
                <w:b/>
                <w:color w:val="000000" w:themeColor="text1"/>
                <w:szCs w:val="21"/>
              </w:rPr>
              <w:t>污染物</w:t>
            </w:r>
          </w:p>
        </w:tc>
        <w:tc>
          <w:tcPr>
            <w:tcW w:w="601" w:type="pct"/>
            <w:vMerge w:val="restart"/>
            <w:vAlign w:val="center"/>
          </w:tcPr>
          <w:p>
            <w:pPr>
              <w:spacing w:line="240" w:lineRule="auto"/>
              <w:jc w:val="center"/>
              <w:rPr>
                <w:b/>
                <w:color w:val="000000" w:themeColor="text1"/>
                <w:szCs w:val="21"/>
              </w:rPr>
            </w:pPr>
            <w:r>
              <w:rPr>
                <w:rFonts w:hint="eastAsia"/>
                <w:b/>
                <w:color w:val="000000" w:themeColor="text1"/>
                <w:szCs w:val="21"/>
              </w:rPr>
              <w:t>平均时间</w:t>
            </w:r>
            <w:r>
              <w:rPr>
                <w:b/>
                <w:color w:val="000000" w:themeColor="text1"/>
                <w:szCs w:val="21"/>
              </w:rPr>
              <w:t xml:space="preserve"> </w:t>
            </w:r>
          </w:p>
        </w:tc>
        <w:tc>
          <w:tcPr>
            <w:tcW w:w="450" w:type="pct"/>
            <w:vMerge w:val="restart"/>
            <w:vAlign w:val="center"/>
          </w:tcPr>
          <w:p>
            <w:pPr>
              <w:spacing w:line="240" w:lineRule="auto"/>
              <w:jc w:val="center"/>
              <w:rPr>
                <w:b/>
                <w:color w:val="000000" w:themeColor="text1"/>
                <w:szCs w:val="21"/>
              </w:rPr>
            </w:pPr>
            <w:r>
              <w:rPr>
                <w:b/>
                <w:color w:val="000000" w:themeColor="text1"/>
                <w:szCs w:val="21"/>
              </w:rPr>
              <w:t>评价标准</w:t>
            </w:r>
          </w:p>
        </w:tc>
        <w:tc>
          <w:tcPr>
            <w:tcW w:w="702" w:type="pct"/>
            <w:vMerge w:val="restart"/>
            <w:vAlign w:val="center"/>
          </w:tcPr>
          <w:p>
            <w:pPr>
              <w:spacing w:line="240" w:lineRule="auto"/>
              <w:jc w:val="center"/>
              <w:rPr>
                <w:b/>
                <w:color w:val="000000" w:themeColor="text1"/>
                <w:szCs w:val="21"/>
              </w:rPr>
            </w:pPr>
            <w:r>
              <w:rPr>
                <w:rFonts w:hint="eastAsia"/>
                <w:b/>
                <w:color w:val="000000" w:themeColor="text1"/>
                <w:szCs w:val="21"/>
              </w:rPr>
              <w:t>监测浓度范围</w:t>
            </w:r>
          </w:p>
        </w:tc>
        <w:tc>
          <w:tcPr>
            <w:tcW w:w="501" w:type="pct"/>
            <w:vMerge w:val="restart"/>
            <w:vAlign w:val="center"/>
          </w:tcPr>
          <w:p>
            <w:pPr>
              <w:spacing w:line="240" w:lineRule="auto"/>
              <w:jc w:val="center"/>
              <w:rPr>
                <w:b/>
                <w:color w:val="000000" w:themeColor="text1"/>
                <w:szCs w:val="21"/>
              </w:rPr>
            </w:pPr>
            <w:r>
              <w:rPr>
                <w:rFonts w:hint="eastAsia"/>
                <w:b/>
                <w:color w:val="000000" w:themeColor="text1"/>
                <w:szCs w:val="21"/>
              </w:rPr>
              <w:t>最大浓度占标率/%</w:t>
            </w:r>
          </w:p>
        </w:tc>
        <w:tc>
          <w:tcPr>
            <w:tcW w:w="401" w:type="pct"/>
            <w:vMerge w:val="restart"/>
            <w:vAlign w:val="center"/>
          </w:tcPr>
          <w:p>
            <w:pPr>
              <w:spacing w:line="240" w:lineRule="auto"/>
              <w:jc w:val="center"/>
              <w:rPr>
                <w:b/>
                <w:color w:val="000000" w:themeColor="text1"/>
                <w:szCs w:val="21"/>
              </w:rPr>
            </w:pPr>
            <w:r>
              <w:rPr>
                <w:rFonts w:hint="eastAsia"/>
                <w:b/>
                <w:color w:val="000000" w:themeColor="text1"/>
                <w:szCs w:val="21"/>
              </w:rPr>
              <w:t>超标率/%</w:t>
            </w:r>
          </w:p>
        </w:tc>
        <w:tc>
          <w:tcPr>
            <w:tcW w:w="504" w:type="pct"/>
            <w:vMerge w:val="restart"/>
            <w:vAlign w:val="center"/>
          </w:tcPr>
          <w:p>
            <w:pPr>
              <w:spacing w:line="240" w:lineRule="auto"/>
              <w:jc w:val="center"/>
              <w:rPr>
                <w:b/>
                <w:color w:val="000000" w:themeColor="text1"/>
                <w:szCs w:val="21"/>
              </w:rPr>
            </w:pPr>
            <w:r>
              <w:rPr>
                <w:rFonts w:hint="eastAsia"/>
                <w:b/>
                <w:color w:val="000000" w:themeColor="text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5" w:type="pct"/>
            <w:vMerge w:val="continue"/>
            <w:vAlign w:val="center"/>
          </w:tcPr>
          <w:p>
            <w:pPr>
              <w:spacing w:line="240" w:lineRule="auto"/>
              <w:jc w:val="center"/>
              <w:rPr>
                <w:b/>
                <w:color w:val="000000" w:themeColor="text1"/>
                <w:szCs w:val="21"/>
              </w:rPr>
            </w:pPr>
          </w:p>
        </w:tc>
        <w:tc>
          <w:tcPr>
            <w:tcW w:w="548" w:type="pct"/>
            <w:vAlign w:val="center"/>
          </w:tcPr>
          <w:p>
            <w:pPr>
              <w:spacing w:line="240" w:lineRule="auto"/>
              <w:jc w:val="center"/>
              <w:rPr>
                <w:b/>
                <w:color w:val="000000" w:themeColor="text1"/>
                <w:szCs w:val="21"/>
              </w:rPr>
            </w:pPr>
            <w:r>
              <w:rPr>
                <w:rFonts w:hint="eastAsia"/>
                <w:b/>
                <w:color w:val="000000" w:themeColor="text1"/>
                <w:szCs w:val="21"/>
              </w:rPr>
              <w:t>经度</w:t>
            </w:r>
          </w:p>
        </w:tc>
        <w:tc>
          <w:tcPr>
            <w:tcW w:w="518" w:type="pct"/>
            <w:vAlign w:val="center"/>
          </w:tcPr>
          <w:p>
            <w:pPr>
              <w:spacing w:line="240" w:lineRule="auto"/>
              <w:jc w:val="center"/>
              <w:rPr>
                <w:b/>
                <w:color w:val="000000" w:themeColor="text1"/>
                <w:szCs w:val="21"/>
              </w:rPr>
            </w:pPr>
            <w:r>
              <w:rPr>
                <w:rFonts w:hint="eastAsia"/>
                <w:b/>
                <w:color w:val="000000" w:themeColor="text1"/>
                <w:szCs w:val="21"/>
              </w:rPr>
              <w:t>纬度</w:t>
            </w:r>
          </w:p>
        </w:tc>
        <w:tc>
          <w:tcPr>
            <w:tcW w:w="350" w:type="pct"/>
            <w:vMerge w:val="continue"/>
            <w:vAlign w:val="center"/>
          </w:tcPr>
          <w:p>
            <w:pPr>
              <w:spacing w:line="240" w:lineRule="auto"/>
              <w:jc w:val="center"/>
              <w:rPr>
                <w:b/>
                <w:color w:val="000000" w:themeColor="text1"/>
                <w:szCs w:val="21"/>
              </w:rPr>
            </w:pPr>
          </w:p>
        </w:tc>
        <w:tc>
          <w:tcPr>
            <w:tcW w:w="601" w:type="pct"/>
            <w:vMerge w:val="continue"/>
            <w:vAlign w:val="center"/>
          </w:tcPr>
          <w:p>
            <w:pPr>
              <w:spacing w:line="240" w:lineRule="auto"/>
              <w:jc w:val="center"/>
              <w:rPr>
                <w:b/>
                <w:color w:val="000000" w:themeColor="text1"/>
                <w:szCs w:val="21"/>
              </w:rPr>
            </w:pPr>
          </w:p>
        </w:tc>
        <w:tc>
          <w:tcPr>
            <w:tcW w:w="450" w:type="pct"/>
            <w:vMerge w:val="continue"/>
            <w:vAlign w:val="center"/>
          </w:tcPr>
          <w:p>
            <w:pPr>
              <w:spacing w:line="240" w:lineRule="auto"/>
              <w:jc w:val="center"/>
              <w:rPr>
                <w:b/>
                <w:color w:val="000000" w:themeColor="text1"/>
                <w:szCs w:val="21"/>
              </w:rPr>
            </w:pPr>
          </w:p>
        </w:tc>
        <w:tc>
          <w:tcPr>
            <w:tcW w:w="702" w:type="pct"/>
            <w:vMerge w:val="continue"/>
            <w:vAlign w:val="center"/>
          </w:tcPr>
          <w:p>
            <w:pPr>
              <w:spacing w:line="240" w:lineRule="auto"/>
              <w:jc w:val="center"/>
              <w:rPr>
                <w:b/>
                <w:color w:val="000000" w:themeColor="text1"/>
                <w:szCs w:val="21"/>
              </w:rPr>
            </w:pPr>
          </w:p>
        </w:tc>
        <w:tc>
          <w:tcPr>
            <w:tcW w:w="501" w:type="pct"/>
            <w:vMerge w:val="continue"/>
            <w:vAlign w:val="center"/>
          </w:tcPr>
          <w:p>
            <w:pPr>
              <w:spacing w:line="240" w:lineRule="auto"/>
              <w:jc w:val="center"/>
              <w:rPr>
                <w:b/>
                <w:color w:val="000000" w:themeColor="text1"/>
                <w:szCs w:val="21"/>
              </w:rPr>
            </w:pPr>
          </w:p>
        </w:tc>
        <w:tc>
          <w:tcPr>
            <w:tcW w:w="401" w:type="pct"/>
            <w:vMerge w:val="continue"/>
            <w:vAlign w:val="center"/>
          </w:tcPr>
          <w:p>
            <w:pPr>
              <w:spacing w:line="240" w:lineRule="auto"/>
              <w:jc w:val="center"/>
              <w:rPr>
                <w:b/>
                <w:color w:val="000000" w:themeColor="text1"/>
                <w:szCs w:val="21"/>
              </w:rPr>
            </w:pPr>
          </w:p>
        </w:tc>
        <w:tc>
          <w:tcPr>
            <w:tcW w:w="504" w:type="pct"/>
            <w:vMerge w:val="continue"/>
            <w:vAlign w:val="center"/>
          </w:tcPr>
          <w:p>
            <w:pPr>
              <w:spacing w:line="240" w:lineRule="auto"/>
              <w:jc w:val="center"/>
              <w:rPr>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restart"/>
            <w:vAlign w:val="center"/>
          </w:tcPr>
          <w:p>
            <w:pPr>
              <w:pStyle w:val="219"/>
              <w:spacing w:line="240" w:lineRule="auto"/>
              <w:ind w:firstLine="0" w:firstLineChars="0"/>
              <w:rPr>
                <w:rFonts w:ascii="Times New Roman" w:hAnsi="Times New Roman"/>
                <w:color w:val="000000" w:themeColor="text1"/>
                <w:sz w:val="21"/>
                <w:szCs w:val="21"/>
              </w:rPr>
            </w:pPr>
            <w:r>
              <w:rPr>
                <w:rFonts w:ascii="Times New Roman" w:hAnsi="Times New Roman"/>
                <w:color w:val="000000" w:themeColor="text1"/>
                <w:sz w:val="21"/>
                <w:szCs w:val="21"/>
              </w:rPr>
              <w:t>1#</w:t>
            </w:r>
            <w:r>
              <w:rPr>
                <w:rFonts w:hint="eastAsia" w:ascii="Times New Roman" w:hAnsi="Times New Roman"/>
                <w:color w:val="000000" w:themeColor="text1"/>
                <w:sz w:val="21"/>
                <w:szCs w:val="21"/>
              </w:rPr>
              <w:t>上风向</w:t>
            </w:r>
          </w:p>
          <w:p>
            <w:pPr>
              <w:pStyle w:val="219"/>
              <w:spacing w:line="240" w:lineRule="auto"/>
              <w:ind w:firstLine="0" w:firstLineChars="0"/>
              <w:rPr>
                <w:rFonts w:ascii="Times New Roman" w:hAnsi="Times New Roman"/>
                <w:color w:val="000000" w:themeColor="text1"/>
                <w:sz w:val="21"/>
                <w:szCs w:val="21"/>
              </w:rPr>
            </w:pPr>
            <w:r>
              <w:rPr>
                <w:rFonts w:hint="eastAsia" w:ascii="Times New Roman" w:hAnsi="Times New Roman"/>
                <w:color w:val="000000" w:themeColor="text1"/>
                <w:sz w:val="21"/>
                <w:szCs w:val="21"/>
              </w:rPr>
              <w:t>(白鹤村)</w:t>
            </w:r>
          </w:p>
        </w:tc>
        <w:tc>
          <w:tcPr>
            <w:tcW w:w="548" w:type="pct"/>
            <w:vMerge w:val="restart"/>
            <w:vAlign w:val="center"/>
          </w:tcPr>
          <w:p>
            <w:pPr>
              <w:pStyle w:val="219"/>
              <w:spacing w:line="240" w:lineRule="auto"/>
              <w:ind w:firstLine="0" w:firstLineChars="0"/>
              <w:rPr>
                <w:rFonts w:ascii="Times New Roman" w:hAnsi="Times New Roman"/>
                <w:color w:val="000000" w:themeColor="text1"/>
                <w:sz w:val="21"/>
                <w:szCs w:val="21"/>
              </w:rPr>
            </w:pPr>
            <w:r>
              <w:rPr>
                <w:rFonts w:hint="eastAsia" w:ascii="Times New Roman" w:hAnsi="Times New Roman"/>
                <w:color w:val="000000" w:themeColor="text1"/>
                <w:sz w:val="21"/>
                <w:szCs w:val="21"/>
              </w:rPr>
              <w:t>E</w:t>
            </w:r>
            <w:r>
              <w:rPr>
                <w:rFonts w:ascii="Times New Roman" w:hAnsi="Times New Roman"/>
                <w:color w:val="000000" w:themeColor="text1"/>
                <w:sz w:val="21"/>
                <w:szCs w:val="21"/>
              </w:rPr>
              <w:t>102° 0'5.10"</w:t>
            </w:r>
          </w:p>
        </w:tc>
        <w:tc>
          <w:tcPr>
            <w:tcW w:w="518" w:type="pct"/>
            <w:vMerge w:val="restart"/>
            <w:vAlign w:val="center"/>
          </w:tcPr>
          <w:p>
            <w:pPr>
              <w:pStyle w:val="219"/>
              <w:spacing w:line="240" w:lineRule="auto"/>
              <w:ind w:firstLine="0" w:firstLineChars="0"/>
              <w:rPr>
                <w:rFonts w:ascii="Times New Roman" w:hAnsi="Times New Roman"/>
                <w:color w:val="000000" w:themeColor="text1"/>
                <w:sz w:val="21"/>
                <w:szCs w:val="21"/>
              </w:rPr>
            </w:pPr>
            <w:r>
              <w:rPr>
                <w:rFonts w:hint="eastAsia" w:ascii="Times New Roman" w:hAnsi="Times New Roman"/>
                <w:color w:val="000000" w:themeColor="text1"/>
                <w:sz w:val="21"/>
                <w:szCs w:val="21"/>
              </w:rPr>
              <w:t>N</w:t>
            </w:r>
            <w:r>
              <w:rPr>
                <w:rFonts w:ascii="Times New Roman" w:hAnsi="Times New Roman"/>
                <w:color w:val="000000" w:themeColor="text1"/>
                <w:sz w:val="21"/>
                <w:szCs w:val="21"/>
              </w:rPr>
              <w:t>24° 8'49.24"</w:t>
            </w:r>
          </w:p>
        </w:tc>
        <w:tc>
          <w:tcPr>
            <w:tcW w:w="350" w:type="pct"/>
            <w:vAlign w:val="center"/>
          </w:tcPr>
          <w:p>
            <w:pPr>
              <w:spacing w:line="240" w:lineRule="auto"/>
              <w:jc w:val="center"/>
              <w:rPr>
                <w:color w:val="000000" w:themeColor="text1"/>
              </w:rPr>
            </w:pPr>
            <w:r>
              <w:rPr>
                <w:rFonts w:hint="eastAsia"/>
                <w:color w:val="000000" w:themeColor="text1"/>
              </w:rPr>
              <w:t>TSP</w:t>
            </w:r>
          </w:p>
        </w:tc>
        <w:tc>
          <w:tcPr>
            <w:tcW w:w="601" w:type="pct"/>
            <w:vMerge w:val="restart"/>
            <w:vAlign w:val="center"/>
          </w:tcPr>
          <w:p>
            <w:pPr>
              <w:spacing w:line="240" w:lineRule="auto"/>
              <w:jc w:val="center"/>
              <w:rPr>
                <w:color w:val="000000" w:themeColor="text1"/>
              </w:rPr>
            </w:pPr>
            <w:r>
              <w:rPr>
                <w:rFonts w:hint="eastAsia"/>
                <w:color w:val="000000" w:themeColor="text1"/>
              </w:rPr>
              <w:t>24小时平均</w:t>
            </w:r>
          </w:p>
        </w:tc>
        <w:tc>
          <w:tcPr>
            <w:tcW w:w="450" w:type="pct"/>
            <w:vAlign w:val="center"/>
          </w:tcPr>
          <w:p>
            <w:pPr>
              <w:spacing w:line="240" w:lineRule="auto"/>
              <w:jc w:val="center"/>
              <w:rPr>
                <w:color w:val="000000" w:themeColor="text1"/>
                <w:szCs w:val="21"/>
              </w:rPr>
            </w:pPr>
            <w:r>
              <w:rPr>
                <w:color w:val="000000" w:themeColor="text1"/>
                <w:szCs w:val="21"/>
              </w:rPr>
              <w:t>300</w:t>
            </w:r>
          </w:p>
        </w:tc>
        <w:tc>
          <w:tcPr>
            <w:tcW w:w="702" w:type="pct"/>
            <w:vAlign w:val="center"/>
          </w:tcPr>
          <w:p>
            <w:pPr>
              <w:spacing w:line="240" w:lineRule="auto"/>
              <w:jc w:val="center"/>
              <w:rPr>
                <w:color w:val="000000" w:themeColor="text1"/>
                <w:szCs w:val="21"/>
              </w:rPr>
            </w:pPr>
            <w:r>
              <w:rPr>
                <w:rFonts w:hint="eastAsia"/>
                <w:color w:val="000000" w:themeColor="text1"/>
                <w:szCs w:val="21"/>
              </w:rPr>
              <w:t>78~87</w:t>
            </w:r>
          </w:p>
        </w:tc>
        <w:tc>
          <w:tcPr>
            <w:tcW w:w="501" w:type="pct"/>
            <w:vAlign w:val="center"/>
          </w:tcPr>
          <w:p>
            <w:pPr>
              <w:spacing w:line="240" w:lineRule="auto"/>
              <w:jc w:val="center"/>
              <w:rPr>
                <w:color w:val="000000" w:themeColor="text1"/>
                <w:szCs w:val="21"/>
              </w:rPr>
            </w:pPr>
            <w:r>
              <w:rPr>
                <w:rFonts w:hint="eastAsia"/>
                <w:color w:val="000000" w:themeColor="text1"/>
                <w:szCs w:val="21"/>
              </w:rPr>
              <w:t>29</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pStyle w:val="219"/>
              <w:spacing w:line="240" w:lineRule="auto"/>
              <w:ind w:firstLine="0" w:firstLineChars="0"/>
              <w:rPr>
                <w:rFonts w:ascii="Times New Roman" w:hAnsi="Times New Roman"/>
                <w:color w:val="000000" w:themeColor="text1"/>
                <w:sz w:val="21"/>
                <w:szCs w:val="21"/>
              </w:rPr>
            </w:pPr>
          </w:p>
        </w:tc>
        <w:tc>
          <w:tcPr>
            <w:tcW w:w="548" w:type="pct"/>
            <w:vMerge w:val="continue"/>
            <w:vAlign w:val="center"/>
          </w:tcPr>
          <w:p>
            <w:pPr>
              <w:pStyle w:val="219"/>
              <w:spacing w:line="240" w:lineRule="auto"/>
              <w:ind w:firstLine="0" w:firstLineChars="0"/>
              <w:rPr>
                <w:rFonts w:ascii="Times New Roman" w:hAnsi="Times New Roman"/>
                <w:color w:val="000000" w:themeColor="text1"/>
                <w:sz w:val="21"/>
                <w:szCs w:val="21"/>
              </w:rPr>
            </w:pPr>
          </w:p>
        </w:tc>
        <w:tc>
          <w:tcPr>
            <w:tcW w:w="518" w:type="pct"/>
            <w:vMerge w:val="continue"/>
            <w:vAlign w:val="center"/>
          </w:tcPr>
          <w:p>
            <w:pPr>
              <w:pStyle w:val="219"/>
              <w:spacing w:line="240" w:lineRule="auto"/>
              <w:ind w:firstLine="0" w:firstLineChars="0"/>
              <w:rPr>
                <w:rFonts w:ascii="Times New Roman" w:hAnsi="Times New Roman"/>
                <w:color w:val="000000" w:themeColor="text1"/>
                <w:sz w:val="21"/>
                <w:szCs w:val="21"/>
              </w:rPr>
            </w:pPr>
          </w:p>
        </w:tc>
        <w:tc>
          <w:tcPr>
            <w:tcW w:w="350" w:type="pct"/>
            <w:vAlign w:val="center"/>
          </w:tcPr>
          <w:p>
            <w:pPr>
              <w:spacing w:line="240" w:lineRule="auto"/>
              <w:jc w:val="center"/>
              <w:rPr>
                <w:color w:val="000000" w:themeColor="text1"/>
              </w:rPr>
            </w:pPr>
            <w:r>
              <w:rPr>
                <w:color w:val="000000" w:themeColor="text1"/>
              </w:rPr>
              <w:t>PM</w:t>
            </w:r>
            <w:r>
              <w:rPr>
                <w:color w:val="000000" w:themeColor="text1"/>
                <w:vertAlign w:val="subscript"/>
              </w:rPr>
              <w:t>10</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color w:val="000000" w:themeColor="text1"/>
                <w:szCs w:val="21"/>
              </w:rPr>
              <w:t>150</w:t>
            </w:r>
          </w:p>
        </w:tc>
        <w:tc>
          <w:tcPr>
            <w:tcW w:w="702" w:type="pct"/>
            <w:vAlign w:val="center"/>
          </w:tcPr>
          <w:p>
            <w:pPr>
              <w:spacing w:line="240" w:lineRule="auto"/>
              <w:jc w:val="center"/>
              <w:rPr>
                <w:color w:val="000000" w:themeColor="text1"/>
                <w:szCs w:val="21"/>
              </w:rPr>
            </w:pPr>
            <w:r>
              <w:rPr>
                <w:rFonts w:hint="eastAsia"/>
                <w:color w:val="000000" w:themeColor="text1"/>
                <w:szCs w:val="21"/>
              </w:rPr>
              <w:t>53~61</w:t>
            </w:r>
          </w:p>
        </w:tc>
        <w:tc>
          <w:tcPr>
            <w:tcW w:w="501" w:type="pct"/>
            <w:vAlign w:val="center"/>
          </w:tcPr>
          <w:p>
            <w:pPr>
              <w:spacing w:line="240" w:lineRule="auto"/>
              <w:jc w:val="center"/>
              <w:rPr>
                <w:color w:val="000000" w:themeColor="text1"/>
                <w:szCs w:val="21"/>
              </w:rPr>
            </w:pPr>
            <w:r>
              <w:rPr>
                <w:rFonts w:hint="eastAsia"/>
                <w:color w:val="000000" w:themeColor="text1"/>
                <w:szCs w:val="21"/>
              </w:rPr>
              <w:t>40.7</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pStyle w:val="219"/>
              <w:spacing w:line="240" w:lineRule="auto"/>
              <w:ind w:firstLine="420"/>
              <w:rPr>
                <w:rFonts w:ascii="Times New Roman" w:hAnsi="Times New Roman"/>
                <w:color w:val="000000" w:themeColor="text1"/>
                <w:sz w:val="21"/>
                <w:szCs w:val="21"/>
              </w:rPr>
            </w:pPr>
          </w:p>
        </w:tc>
        <w:tc>
          <w:tcPr>
            <w:tcW w:w="548" w:type="pct"/>
            <w:vMerge w:val="continue"/>
            <w:vAlign w:val="center"/>
          </w:tcPr>
          <w:p>
            <w:pPr>
              <w:pStyle w:val="219"/>
              <w:spacing w:line="240" w:lineRule="auto"/>
              <w:ind w:firstLine="420"/>
              <w:rPr>
                <w:rFonts w:ascii="Times New Roman" w:hAnsi="Times New Roman"/>
                <w:color w:val="000000" w:themeColor="text1"/>
                <w:sz w:val="21"/>
                <w:szCs w:val="21"/>
              </w:rPr>
            </w:pPr>
          </w:p>
        </w:tc>
        <w:tc>
          <w:tcPr>
            <w:tcW w:w="518" w:type="pct"/>
            <w:vMerge w:val="continue"/>
            <w:vAlign w:val="center"/>
          </w:tcPr>
          <w:p>
            <w:pPr>
              <w:pStyle w:val="219"/>
              <w:spacing w:line="240" w:lineRule="auto"/>
              <w:ind w:firstLine="420"/>
              <w:rPr>
                <w:rFonts w:ascii="Times New Roman" w:hAnsi="Times New Roman"/>
                <w:color w:val="000000" w:themeColor="text1"/>
                <w:sz w:val="21"/>
                <w:szCs w:val="21"/>
              </w:rPr>
            </w:pPr>
          </w:p>
        </w:tc>
        <w:tc>
          <w:tcPr>
            <w:tcW w:w="350" w:type="pct"/>
            <w:vAlign w:val="center"/>
          </w:tcPr>
          <w:p>
            <w:pPr>
              <w:spacing w:line="240" w:lineRule="auto"/>
              <w:jc w:val="center"/>
              <w:rPr>
                <w:color w:val="000000" w:themeColor="text1"/>
              </w:rPr>
            </w:pPr>
            <w:r>
              <w:rPr>
                <w:color w:val="000000" w:themeColor="text1"/>
              </w:rPr>
              <w:t>SO</w:t>
            </w:r>
            <w:r>
              <w:rPr>
                <w:color w:val="000000" w:themeColor="text1"/>
                <w:vertAlign w:val="subscript"/>
              </w:rPr>
              <w:t>2</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color w:val="000000" w:themeColor="text1"/>
                <w:szCs w:val="21"/>
              </w:rPr>
              <w:t>150</w:t>
            </w:r>
          </w:p>
        </w:tc>
        <w:tc>
          <w:tcPr>
            <w:tcW w:w="702" w:type="pct"/>
            <w:vAlign w:val="center"/>
          </w:tcPr>
          <w:p>
            <w:pPr>
              <w:spacing w:line="240" w:lineRule="auto"/>
              <w:jc w:val="center"/>
              <w:rPr>
                <w:color w:val="000000" w:themeColor="text1"/>
                <w:szCs w:val="21"/>
              </w:rPr>
            </w:pPr>
            <w:r>
              <w:rPr>
                <w:rFonts w:hint="eastAsia"/>
                <w:color w:val="000000" w:themeColor="text1"/>
                <w:szCs w:val="21"/>
              </w:rPr>
              <w:t>7~12</w:t>
            </w:r>
          </w:p>
        </w:tc>
        <w:tc>
          <w:tcPr>
            <w:tcW w:w="501" w:type="pct"/>
            <w:vAlign w:val="center"/>
          </w:tcPr>
          <w:p>
            <w:pPr>
              <w:spacing w:line="240" w:lineRule="auto"/>
              <w:jc w:val="center"/>
              <w:rPr>
                <w:color w:val="000000" w:themeColor="text1"/>
                <w:szCs w:val="21"/>
              </w:rPr>
            </w:pPr>
            <w:r>
              <w:rPr>
                <w:rFonts w:hint="eastAsia"/>
                <w:color w:val="000000" w:themeColor="text1"/>
                <w:szCs w:val="21"/>
              </w:rPr>
              <w:t>8</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color w:val="000000" w:themeColor="text1"/>
              </w:rPr>
              <w:t>NO</w:t>
            </w:r>
            <w:r>
              <w:rPr>
                <w:color w:val="000000" w:themeColor="text1"/>
                <w:vertAlign w:val="subscript"/>
              </w:rPr>
              <w:t>2</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color w:val="000000" w:themeColor="text1"/>
                <w:szCs w:val="21"/>
              </w:rPr>
              <w:t>80</w:t>
            </w:r>
          </w:p>
        </w:tc>
        <w:tc>
          <w:tcPr>
            <w:tcW w:w="702" w:type="pct"/>
            <w:vAlign w:val="center"/>
          </w:tcPr>
          <w:p>
            <w:pPr>
              <w:spacing w:line="240" w:lineRule="auto"/>
              <w:jc w:val="center"/>
              <w:rPr>
                <w:color w:val="000000" w:themeColor="text1"/>
                <w:szCs w:val="21"/>
              </w:rPr>
            </w:pPr>
            <w:r>
              <w:rPr>
                <w:rFonts w:hint="eastAsia"/>
                <w:color w:val="000000" w:themeColor="text1"/>
                <w:szCs w:val="21"/>
              </w:rPr>
              <w:t>12~17</w:t>
            </w:r>
          </w:p>
        </w:tc>
        <w:tc>
          <w:tcPr>
            <w:tcW w:w="501" w:type="pct"/>
            <w:vAlign w:val="center"/>
          </w:tcPr>
          <w:p>
            <w:pPr>
              <w:spacing w:line="240" w:lineRule="auto"/>
              <w:jc w:val="center"/>
              <w:rPr>
                <w:color w:val="000000" w:themeColor="text1"/>
                <w:szCs w:val="21"/>
              </w:rPr>
            </w:pPr>
            <w:r>
              <w:rPr>
                <w:rFonts w:hint="eastAsia"/>
                <w:color w:val="000000" w:themeColor="text1"/>
                <w:szCs w:val="21"/>
              </w:rPr>
              <w:t>21.3</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color w:val="000000" w:themeColor="text1"/>
              </w:rPr>
              <w:t>SO</w:t>
            </w:r>
            <w:r>
              <w:rPr>
                <w:color w:val="000000" w:themeColor="text1"/>
                <w:vertAlign w:val="subscript"/>
              </w:rPr>
              <w:t>2</w:t>
            </w:r>
          </w:p>
        </w:tc>
        <w:tc>
          <w:tcPr>
            <w:tcW w:w="601" w:type="pct"/>
            <w:vMerge w:val="restart"/>
            <w:vAlign w:val="center"/>
          </w:tcPr>
          <w:p>
            <w:pPr>
              <w:spacing w:line="240" w:lineRule="auto"/>
              <w:jc w:val="center"/>
              <w:rPr>
                <w:color w:val="000000" w:themeColor="text1"/>
              </w:rPr>
            </w:pPr>
            <w:r>
              <w:rPr>
                <w:rFonts w:hint="eastAsia"/>
                <w:color w:val="000000" w:themeColor="text1"/>
              </w:rPr>
              <w:t>1小时平均</w:t>
            </w:r>
          </w:p>
        </w:tc>
        <w:tc>
          <w:tcPr>
            <w:tcW w:w="450" w:type="pct"/>
            <w:vAlign w:val="center"/>
          </w:tcPr>
          <w:p>
            <w:pPr>
              <w:spacing w:line="240" w:lineRule="auto"/>
              <w:jc w:val="center"/>
              <w:rPr>
                <w:color w:val="000000" w:themeColor="text1"/>
                <w:szCs w:val="21"/>
              </w:rPr>
            </w:pPr>
            <w:r>
              <w:rPr>
                <w:rFonts w:hint="eastAsia"/>
                <w:color w:val="000000" w:themeColor="text1"/>
                <w:szCs w:val="21"/>
              </w:rPr>
              <w:t>500</w:t>
            </w:r>
          </w:p>
        </w:tc>
        <w:tc>
          <w:tcPr>
            <w:tcW w:w="702" w:type="pct"/>
            <w:vAlign w:val="center"/>
          </w:tcPr>
          <w:p>
            <w:pPr>
              <w:spacing w:line="240" w:lineRule="auto"/>
              <w:jc w:val="center"/>
              <w:rPr>
                <w:color w:val="000000" w:themeColor="text1"/>
                <w:szCs w:val="21"/>
              </w:rPr>
            </w:pPr>
            <w:r>
              <w:rPr>
                <w:rFonts w:hint="eastAsia"/>
                <w:color w:val="000000" w:themeColor="text1"/>
                <w:szCs w:val="21"/>
              </w:rPr>
              <w:t>8~24</w:t>
            </w:r>
          </w:p>
        </w:tc>
        <w:tc>
          <w:tcPr>
            <w:tcW w:w="501" w:type="pct"/>
            <w:vAlign w:val="center"/>
          </w:tcPr>
          <w:p>
            <w:pPr>
              <w:spacing w:line="240" w:lineRule="auto"/>
              <w:jc w:val="center"/>
              <w:rPr>
                <w:color w:val="000000" w:themeColor="text1"/>
                <w:szCs w:val="21"/>
              </w:rPr>
            </w:pPr>
            <w:r>
              <w:rPr>
                <w:rFonts w:hint="eastAsia"/>
                <w:color w:val="000000" w:themeColor="text1"/>
                <w:szCs w:val="21"/>
              </w:rPr>
              <w:t>4.8</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color w:val="000000" w:themeColor="text1"/>
              </w:rPr>
              <w:t>NO</w:t>
            </w:r>
            <w:r>
              <w:rPr>
                <w:color w:val="000000" w:themeColor="text1"/>
                <w:vertAlign w:val="subscript"/>
              </w:rPr>
              <w:t>2</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rFonts w:hint="eastAsia"/>
                <w:color w:val="000000" w:themeColor="text1"/>
                <w:szCs w:val="21"/>
              </w:rPr>
              <w:t>200</w:t>
            </w:r>
          </w:p>
        </w:tc>
        <w:tc>
          <w:tcPr>
            <w:tcW w:w="702" w:type="pct"/>
            <w:vAlign w:val="center"/>
          </w:tcPr>
          <w:p>
            <w:pPr>
              <w:spacing w:line="240" w:lineRule="auto"/>
              <w:jc w:val="center"/>
              <w:rPr>
                <w:color w:val="000000" w:themeColor="text1"/>
                <w:szCs w:val="21"/>
              </w:rPr>
            </w:pPr>
            <w:r>
              <w:rPr>
                <w:rFonts w:hint="eastAsia"/>
                <w:color w:val="000000" w:themeColor="text1"/>
                <w:szCs w:val="21"/>
              </w:rPr>
              <w:t>6~23</w:t>
            </w:r>
          </w:p>
        </w:tc>
        <w:tc>
          <w:tcPr>
            <w:tcW w:w="501" w:type="pct"/>
            <w:vAlign w:val="center"/>
          </w:tcPr>
          <w:p>
            <w:pPr>
              <w:spacing w:line="240" w:lineRule="auto"/>
              <w:jc w:val="center"/>
              <w:rPr>
                <w:color w:val="000000" w:themeColor="text1"/>
                <w:szCs w:val="21"/>
              </w:rPr>
            </w:pPr>
            <w:r>
              <w:rPr>
                <w:rFonts w:hint="eastAsia"/>
                <w:color w:val="000000" w:themeColor="text1"/>
                <w:szCs w:val="21"/>
              </w:rPr>
              <w:t>11.5</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601" w:type="pct"/>
            <w:vMerge w:val="restart"/>
            <w:vAlign w:val="center"/>
          </w:tcPr>
          <w:p>
            <w:pPr>
              <w:spacing w:line="240" w:lineRule="auto"/>
              <w:jc w:val="center"/>
              <w:rPr>
                <w:color w:val="000000" w:themeColor="text1"/>
              </w:rPr>
            </w:pPr>
            <w:r>
              <w:rPr>
                <w:rFonts w:hint="eastAsia"/>
                <w:color w:val="000000" w:themeColor="text1"/>
              </w:rPr>
              <w:t>一次浓度</w:t>
            </w:r>
          </w:p>
        </w:tc>
        <w:tc>
          <w:tcPr>
            <w:tcW w:w="450" w:type="pct"/>
            <w:vAlign w:val="center"/>
          </w:tcPr>
          <w:p>
            <w:pPr>
              <w:spacing w:line="240" w:lineRule="auto"/>
              <w:jc w:val="center"/>
              <w:rPr>
                <w:color w:val="000000" w:themeColor="text1"/>
                <w:szCs w:val="21"/>
              </w:rPr>
            </w:pPr>
            <w:r>
              <w:rPr>
                <w:rFonts w:hint="eastAsia"/>
                <w:color w:val="000000" w:themeColor="text1"/>
                <w:szCs w:val="21"/>
              </w:rPr>
              <w:t>10</w:t>
            </w:r>
          </w:p>
        </w:tc>
        <w:tc>
          <w:tcPr>
            <w:tcW w:w="702" w:type="pct"/>
            <w:vAlign w:val="center"/>
          </w:tcPr>
          <w:p>
            <w:pPr>
              <w:spacing w:line="240" w:lineRule="auto"/>
              <w:jc w:val="center"/>
              <w:rPr>
                <w:color w:val="000000" w:themeColor="text1"/>
                <w:szCs w:val="21"/>
              </w:rPr>
            </w:pPr>
            <w:r>
              <w:rPr>
                <w:rFonts w:hint="eastAsia"/>
                <w:color w:val="000000" w:themeColor="text1"/>
                <w:szCs w:val="21"/>
              </w:rPr>
              <w:t>1~9</w:t>
            </w:r>
          </w:p>
        </w:tc>
        <w:tc>
          <w:tcPr>
            <w:tcW w:w="501" w:type="pct"/>
            <w:vAlign w:val="center"/>
          </w:tcPr>
          <w:p>
            <w:pPr>
              <w:spacing w:line="240" w:lineRule="auto"/>
              <w:jc w:val="center"/>
              <w:rPr>
                <w:color w:val="000000" w:themeColor="text1"/>
                <w:szCs w:val="21"/>
              </w:rPr>
            </w:pPr>
            <w:r>
              <w:rPr>
                <w:rFonts w:hint="eastAsia"/>
                <w:color w:val="000000" w:themeColor="text1"/>
                <w:szCs w:val="21"/>
              </w:rPr>
              <w:t>90</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rFonts w:hint="eastAsia"/>
                <w:color w:val="000000" w:themeColor="text1"/>
              </w:rPr>
              <w:t>NH</w:t>
            </w:r>
            <w:r>
              <w:rPr>
                <w:rFonts w:hint="eastAsia"/>
                <w:color w:val="000000" w:themeColor="text1"/>
                <w:vertAlign w:val="subscript"/>
              </w:rPr>
              <w:t>3</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rFonts w:hint="eastAsia"/>
                <w:color w:val="000000" w:themeColor="text1"/>
                <w:szCs w:val="21"/>
              </w:rPr>
              <w:t>200</w:t>
            </w:r>
          </w:p>
        </w:tc>
        <w:tc>
          <w:tcPr>
            <w:tcW w:w="702" w:type="pct"/>
            <w:vAlign w:val="center"/>
          </w:tcPr>
          <w:p>
            <w:pPr>
              <w:spacing w:line="240" w:lineRule="auto"/>
              <w:jc w:val="center"/>
              <w:rPr>
                <w:color w:val="000000" w:themeColor="text1"/>
                <w:szCs w:val="21"/>
              </w:rPr>
            </w:pPr>
            <w:r>
              <w:rPr>
                <w:rFonts w:hint="eastAsia"/>
                <w:color w:val="000000" w:themeColor="text1"/>
                <w:szCs w:val="21"/>
              </w:rPr>
              <w:t>10~140</w:t>
            </w:r>
          </w:p>
        </w:tc>
        <w:tc>
          <w:tcPr>
            <w:tcW w:w="501" w:type="pct"/>
            <w:vAlign w:val="center"/>
          </w:tcPr>
          <w:p>
            <w:pPr>
              <w:spacing w:line="240" w:lineRule="auto"/>
              <w:jc w:val="center"/>
              <w:rPr>
                <w:color w:val="000000" w:themeColor="text1"/>
                <w:szCs w:val="21"/>
              </w:rPr>
            </w:pPr>
            <w:r>
              <w:rPr>
                <w:rFonts w:hint="eastAsia"/>
                <w:color w:val="000000" w:themeColor="text1"/>
                <w:szCs w:val="21"/>
              </w:rPr>
              <w:t>70</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restart"/>
            <w:vAlign w:val="center"/>
          </w:tcPr>
          <w:p>
            <w:pPr>
              <w:spacing w:line="240" w:lineRule="auto"/>
              <w:jc w:val="center"/>
              <w:rPr>
                <w:color w:val="000000" w:themeColor="text1"/>
                <w:szCs w:val="21"/>
              </w:rPr>
            </w:pPr>
            <w:r>
              <w:rPr>
                <w:color w:val="000000" w:themeColor="text1"/>
                <w:szCs w:val="21"/>
              </w:rPr>
              <w:t>2#</w:t>
            </w:r>
          </w:p>
          <w:p>
            <w:pPr>
              <w:spacing w:line="240" w:lineRule="auto"/>
              <w:jc w:val="center"/>
              <w:rPr>
                <w:color w:val="000000" w:themeColor="text1"/>
                <w:szCs w:val="21"/>
              </w:rPr>
            </w:pPr>
            <w:r>
              <w:rPr>
                <w:rFonts w:hint="eastAsia"/>
                <w:color w:val="000000" w:themeColor="text1"/>
                <w:szCs w:val="21"/>
              </w:rPr>
              <w:t>下风向</w:t>
            </w:r>
          </w:p>
        </w:tc>
        <w:tc>
          <w:tcPr>
            <w:tcW w:w="548" w:type="pct"/>
            <w:vMerge w:val="restart"/>
            <w:vAlign w:val="center"/>
          </w:tcPr>
          <w:p>
            <w:pPr>
              <w:spacing w:line="240" w:lineRule="auto"/>
              <w:jc w:val="center"/>
              <w:rPr>
                <w:color w:val="000000" w:themeColor="text1"/>
                <w:szCs w:val="21"/>
              </w:rPr>
            </w:pPr>
            <w:r>
              <w:rPr>
                <w:rFonts w:hint="eastAsia"/>
                <w:color w:val="000000" w:themeColor="text1"/>
                <w:szCs w:val="21"/>
              </w:rPr>
              <w:t>E</w:t>
            </w:r>
            <w:r>
              <w:rPr>
                <w:color w:val="000000" w:themeColor="text1"/>
                <w:szCs w:val="21"/>
              </w:rPr>
              <w:t>101°59'37.92"</w:t>
            </w:r>
          </w:p>
        </w:tc>
        <w:tc>
          <w:tcPr>
            <w:tcW w:w="518" w:type="pct"/>
            <w:vMerge w:val="restart"/>
            <w:vAlign w:val="center"/>
          </w:tcPr>
          <w:p>
            <w:pPr>
              <w:spacing w:line="240" w:lineRule="auto"/>
              <w:jc w:val="center"/>
              <w:rPr>
                <w:color w:val="000000" w:themeColor="text1"/>
                <w:szCs w:val="21"/>
              </w:rPr>
            </w:pPr>
            <w:r>
              <w:rPr>
                <w:rFonts w:hint="eastAsia"/>
                <w:color w:val="000000" w:themeColor="text1"/>
                <w:szCs w:val="21"/>
              </w:rPr>
              <w:t>N</w:t>
            </w:r>
            <w:r>
              <w:rPr>
                <w:color w:val="000000" w:themeColor="text1"/>
                <w:szCs w:val="21"/>
              </w:rPr>
              <w:t>24° 8'17.02"</w:t>
            </w:r>
          </w:p>
        </w:tc>
        <w:tc>
          <w:tcPr>
            <w:tcW w:w="350" w:type="pct"/>
            <w:vAlign w:val="center"/>
          </w:tcPr>
          <w:p>
            <w:pPr>
              <w:spacing w:line="240" w:lineRule="auto"/>
              <w:jc w:val="center"/>
              <w:rPr>
                <w:color w:val="000000" w:themeColor="text1"/>
              </w:rPr>
            </w:pPr>
            <w:r>
              <w:rPr>
                <w:rFonts w:hint="eastAsia"/>
                <w:color w:val="000000" w:themeColor="text1"/>
              </w:rPr>
              <w:t>TSP</w:t>
            </w:r>
          </w:p>
        </w:tc>
        <w:tc>
          <w:tcPr>
            <w:tcW w:w="601" w:type="pct"/>
            <w:vMerge w:val="restart"/>
            <w:vAlign w:val="center"/>
          </w:tcPr>
          <w:p>
            <w:pPr>
              <w:spacing w:line="240" w:lineRule="auto"/>
              <w:jc w:val="center"/>
              <w:rPr>
                <w:color w:val="000000" w:themeColor="text1"/>
              </w:rPr>
            </w:pPr>
            <w:r>
              <w:rPr>
                <w:rFonts w:hint="eastAsia"/>
                <w:color w:val="000000" w:themeColor="text1"/>
              </w:rPr>
              <w:t>24小时平均</w:t>
            </w:r>
          </w:p>
        </w:tc>
        <w:tc>
          <w:tcPr>
            <w:tcW w:w="450" w:type="pct"/>
            <w:vAlign w:val="center"/>
          </w:tcPr>
          <w:p>
            <w:pPr>
              <w:spacing w:line="240" w:lineRule="auto"/>
              <w:jc w:val="center"/>
              <w:rPr>
                <w:color w:val="000000" w:themeColor="text1"/>
                <w:szCs w:val="21"/>
              </w:rPr>
            </w:pPr>
            <w:r>
              <w:rPr>
                <w:color w:val="000000" w:themeColor="text1"/>
                <w:szCs w:val="21"/>
              </w:rPr>
              <w:t>300</w:t>
            </w:r>
          </w:p>
        </w:tc>
        <w:tc>
          <w:tcPr>
            <w:tcW w:w="702" w:type="pct"/>
            <w:vAlign w:val="center"/>
          </w:tcPr>
          <w:p>
            <w:pPr>
              <w:spacing w:line="240" w:lineRule="auto"/>
              <w:jc w:val="center"/>
              <w:rPr>
                <w:color w:val="000000" w:themeColor="text1"/>
                <w:szCs w:val="21"/>
              </w:rPr>
            </w:pPr>
            <w:r>
              <w:rPr>
                <w:rFonts w:hint="eastAsia"/>
                <w:color w:val="000000" w:themeColor="text1"/>
                <w:szCs w:val="21"/>
              </w:rPr>
              <w:t>70~78</w:t>
            </w:r>
          </w:p>
        </w:tc>
        <w:tc>
          <w:tcPr>
            <w:tcW w:w="501" w:type="pct"/>
            <w:vAlign w:val="center"/>
          </w:tcPr>
          <w:p>
            <w:pPr>
              <w:spacing w:line="240" w:lineRule="auto"/>
              <w:jc w:val="center"/>
              <w:rPr>
                <w:color w:val="000000" w:themeColor="text1"/>
                <w:szCs w:val="21"/>
              </w:rPr>
            </w:pPr>
            <w:r>
              <w:rPr>
                <w:rFonts w:hint="eastAsia"/>
                <w:color w:val="000000" w:themeColor="text1"/>
                <w:szCs w:val="21"/>
              </w:rPr>
              <w:t>26</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color w:val="000000" w:themeColor="text1"/>
              </w:rPr>
              <w:t>PM</w:t>
            </w:r>
            <w:r>
              <w:rPr>
                <w:color w:val="000000" w:themeColor="text1"/>
                <w:vertAlign w:val="subscript"/>
              </w:rPr>
              <w:t>10</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color w:val="000000" w:themeColor="text1"/>
                <w:szCs w:val="21"/>
              </w:rPr>
              <w:t>150</w:t>
            </w:r>
          </w:p>
        </w:tc>
        <w:tc>
          <w:tcPr>
            <w:tcW w:w="702" w:type="pct"/>
            <w:vAlign w:val="center"/>
          </w:tcPr>
          <w:p>
            <w:pPr>
              <w:spacing w:line="240" w:lineRule="auto"/>
              <w:jc w:val="center"/>
              <w:rPr>
                <w:color w:val="000000" w:themeColor="text1"/>
                <w:szCs w:val="21"/>
              </w:rPr>
            </w:pPr>
            <w:r>
              <w:rPr>
                <w:rFonts w:hint="eastAsia"/>
                <w:color w:val="000000" w:themeColor="text1"/>
                <w:szCs w:val="21"/>
              </w:rPr>
              <w:t>47~57</w:t>
            </w:r>
          </w:p>
        </w:tc>
        <w:tc>
          <w:tcPr>
            <w:tcW w:w="501" w:type="pct"/>
            <w:vAlign w:val="center"/>
          </w:tcPr>
          <w:p>
            <w:pPr>
              <w:spacing w:line="240" w:lineRule="auto"/>
              <w:jc w:val="center"/>
              <w:rPr>
                <w:color w:val="000000" w:themeColor="text1"/>
                <w:szCs w:val="21"/>
              </w:rPr>
            </w:pPr>
            <w:r>
              <w:rPr>
                <w:rFonts w:hint="eastAsia"/>
                <w:color w:val="000000" w:themeColor="text1"/>
                <w:szCs w:val="21"/>
              </w:rPr>
              <w:t>38</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color w:val="000000" w:themeColor="text1"/>
              </w:rPr>
              <w:t>SO</w:t>
            </w:r>
            <w:r>
              <w:rPr>
                <w:color w:val="000000" w:themeColor="text1"/>
                <w:vertAlign w:val="subscript"/>
              </w:rPr>
              <w:t>2</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color w:val="000000" w:themeColor="text1"/>
                <w:szCs w:val="21"/>
              </w:rPr>
              <w:t>150</w:t>
            </w:r>
          </w:p>
        </w:tc>
        <w:tc>
          <w:tcPr>
            <w:tcW w:w="702" w:type="pct"/>
            <w:vAlign w:val="center"/>
          </w:tcPr>
          <w:p>
            <w:pPr>
              <w:spacing w:line="240" w:lineRule="auto"/>
              <w:jc w:val="center"/>
              <w:rPr>
                <w:color w:val="000000" w:themeColor="text1"/>
                <w:szCs w:val="21"/>
              </w:rPr>
            </w:pPr>
            <w:r>
              <w:rPr>
                <w:rFonts w:hint="eastAsia"/>
                <w:color w:val="000000" w:themeColor="text1"/>
                <w:szCs w:val="21"/>
              </w:rPr>
              <w:t>9~14</w:t>
            </w:r>
          </w:p>
        </w:tc>
        <w:tc>
          <w:tcPr>
            <w:tcW w:w="501" w:type="pct"/>
            <w:vAlign w:val="center"/>
          </w:tcPr>
          <w:p>
            <w:pPr>
              <w:spacing w:line="240" w:lineRule="auto"/>
              <w:jc w:val="center"/>
              <w:rPr>
                <w:color w:val="000000" w:themeColor="text1"/>
                <w:szCs w:val="21"/>
              </w:rPr>
            </w:pPr>
            <w:r>
              <w:rPr>
                <w:rFonts w:hint="eastAsia"/>
                <w:color w:val="000000" w:themeColor="text1"/>
                <w:szCs w:val="21"/>
              </w:rPr>
              <w:t>9.3</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color w:val="000000" w:themeColor="text1"/>
              </w:rPr>
              <w:t>NO</w:t>
            </w:r>
            <w:r>
              <w:rPr>
                <w:color w:val="000000" w:themeColor="text1"/>
                <w:vertAlign w:val="subscript"/>
              </w:rPr>
              <w:t>2</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color w:val="000000" w:themeColor="text1"/>
                <w:szCs w:val="21"/>
              </w:rPr>
              <w:t>80</w:t>
            </w:r>
          </w:p>
        </w:tc>
        <w:tc>
          <w:tcPr>
            <w:tcW w:w="702" w:type="pct"/>
            <w:vAlign w:val="center"/>
          </w:tcPr>
          <w:p>
            <w:pPr>
              <w:spacing w:line="240" w:lineRule="auto"/>
              <w:jc w:val="center"/>
              <w:rPr>
                <w:color w:val="000000" w:themeColor="text1"/>
                <w:szCs w:val="21"/>
              </w:rPr>
            </w:pPr>
            <w:r>
              <w:rPr>
                <w:rFonts w:hint="eastAsia"/>
                <w:color w:val="000000" w:themeColor="text1"/>
                <w:szCs w:val="21"/>
              </w:rPr>
              <w:t>14~18</w:t>
            </w:r>
          </w:p>
        </w:tc>
        <w:tc>
          <w:tcPr>
            <w:tcW w:w="501" w:type="pct"/>
            <w:vAlign w:val="center"/>
          </w:tcPr>
          <w:p>
            <w:pPr>
              <w:spacing w:line="240" w:lineRule="auto"/>
              <w:jc w:val="center"/>
              <w:rPr>
                <w:color w:val="000000" w:themeColor="text1"/>
                <w:szCs w:val="21"/>
              </w:rPr>
            </w:pPr>
            <w:r>
              <w:rPr>
                <w:rFonts w:hint="eastAsia"/>
                <w:color w:val="000000" w:themeColor="text1"/>
                <w:szCs w:val="21"/>
              </w:rPr>
              <w:t>22.5</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color w:val="000000" w:themeColor="text1"/>
              </w:rPr>
              <w:t>SO</w:t>
            </w:r>
            <w:r>
              <w:rPr>
                <w:color w:val="000000" w:themeColor="text1"/>
                <w:vertAlign w:val="subscript"/>
              </w:rPr>
              <w:t>2</w:t>
            </w:r>
          </w:p>
        </w:tc>
        <w:tc>
          <w:tcPr>
            <w:tcW w:w="601" w:type="pct"/>
            <w:vMerge w:val="restart"/>
            <w:vAlign w:val="center"/>
          </w:tcPr>
          <w:p>
            <w:pPr>
              <w:spacing w:line="240" w:lineRule="auto"/>
              <w:jc w:val="center"/>
              <w:rPr>
                <w:color w:val="000000" w:themeColor="text1"/>
              </w:rPr>
            </w:pPr>
            <w:r>
              <w:rPr>
                <w:rFonts w:hint="eastAsia"/>
                <w:color w:val="000000" w:themeColor="text1"/>
              </w:rPr>
              <w:t>1小时平均</w:t>
            </w:r>
          </w:p>
        </w:tc>
        <w:tc>
          <w:tcPr>
            <w:tcW w:w="450" w:type="pct"/>
            <w:vAlign w:val="center"/>
          </w:tcPr>
          <w:p>
            <w:pPr>
              <w:spacing w:line="240" w:lineRule="auto"/>
              <w:jc w:val="center"/>
              <w:rPr>
                <w:color w:val="000000" w:themeColor="text1"/>
                <w:szCs w:val="21"/>
              </w:rPr>
            </w:pPr>
            <w:r>
              <w:rPr>
                <w:rFonts w:hint="eastAsia"/>
                <w:color w:val="000000" w:themeColor="text1"/>
                <w:szCs w:val="21"/>
              </w:rPr>
              <w:t>500</w:t>
            </w:r>
          </w:p>
        </w:tc>
        <w:tc>
          <w:tcPr>
            <w:tcW w:w="702" w:type="pct"/>
            <w:vAlign w:val="center"/>
          </w:tcPr>
          <w:p>
            <w:pPr>
              <w:spacing w:line="240" w:lineRule="auto"/>
              <w:jc w:val="center"/>
              <w:rPr>
                <w:color w:val="000000" w:themeColor="text1"/>
                <w:szCs w:val="21"/>
              </w:rPr>
            </w:pPr>
            <w:r>
              <w:rPr>
                <w:rFonts w:hint="eastAsia"/>
                <w:color w:val="000000" w:themeColor="text1"/>
                <w:szCs w:val="21"/>
              </w:rPr>
              <w:t>8~29</w:t>
            </w:r>
          </w:p>
        </w:tc>
        <w:tc>
          <w:tcPr>
            <w:tcW w:w="501" w:type="pct"/>
            <w:vAlign w:val="center"/>
          </w:tcPr>
          <w:p>
            <w:pPr>
              <w:spacing w:line="240" w:lineRule="auto"/>
              <w:jc w:val="center"/>
              <w:rPr>
                <w:color w:val="000000" w:themeColor="text1"/>
                <w:szCs w:val="21"/>
              </w:rPr>
            </w:pPr>
            <w:r>
              <w:rPr>
                <w:rFonts w:hint="eastAsia"/>
                <w:color w:val="000000" w:themeColor="text1"/>
                <w:szCs w:val="21"/>
              </w:rPr>
              <w:t>5.8</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color w:val="000000" w:themeColor="text1"/>
              </w:rPr>
              <w:t>NO</w:t>
            </w:r>
            <w:r>
              <w:rPr>
                <w:color w:val="000000" w:themeColor="text1"/>
                <w:vertAlign w:val="subscript"/>
              </w:rPr>
              <w:t>2</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rFonts w:hint="eastAsia"/>
                <w:color w:val="000000" w:themeColor="text1"/>
                <w:szCs w:val="21"/>
              </w:rPr>
              <w:t>200</w:t>
            </w:r>
          </w:p>
        </w:tc>
        <w:tc>
          <w:tcPr>
            <w:tcW w:w="702" w:type="pct"/>
            <w:vAlign w:val="center"/>
          </w:tcPr>
          <w:p>
            <w:pPr>
              <w:spacing w:line="240" w:lineRule="auto"/>
              <w:jc w:val="center"/>
              <w:rPr>
                <w:color w:val="000000" w:themeColor="text1"/>
                <w:szCs w:val="21"/>
              </w:rPr>
            </w:pPr>
            <w:r>
              <w:rPr>
                <w:rFonts w:hint="eastAsia"/>
                <w:color w:val="000000" w:themeColor="text1"/>
                <w:szCs w:val="21"/>
              </w:rPr>
              <w:t>6~23</w:t>
            </w:r>
          </w:p>
        </w:tc>
        <w:tc>
          <w:tcPr>
            <w:tcW w:w="501" w:type="pct"/>
            <w:vAlign w:val="center"/>
          </w:tcPr>
          <w:p>
            <w:pPr>
              <w:spacing w:line="240" w:lineRule="auto"/>
              <w:jc w:val="center"/>
              <w:rPr>
                <w:color w:val="000000" w:themeColor="text1"/>
                <w:szCs w:val="21"/>
              </w:rPr>
            </w:pPr>
            <w:r>
              <w:rPr>
                <w:rFonts w:hint="eastAsia"/>
                <w:color w:val="000000" w:themeColor="text1"/>
                <w:szCs w:val="21"/>
              </w:rPr>
              <w:t>11.5</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601" w:type="pct"/>
            <w:vMerge w:val="restart"/>
            <w:vAlign w:val="center"/>
          </w:tcPr>
          <w:p>
            <w:pPr>
              <w:spacing w:line="240" w:lineRule="auto"/>
              <w:jc w:val="center"/>
              <w:rPr>
                <w:color w:val="000000" w:themeColor="text1"/>
              </w:rPr>
            </w:pPr>
            <w:r>
              <w:rPr>
                <w:rFonts w:hint="eastAsia"/>
                <w:color w:val="000000" w:themeColor="text1"/>
              </w:rPr>
              <w:t>一次浓度</w:t>
            </w:r>
          </w:p>
        </w:tc>
        <w:tc>
          <w:tcPr>
            <w:tcW w:w="450" w:type="pct"/>
            <w:vAlign w:val="center"/>
          </w:tcPr>
          <w:p>
            <w:pPr>
              <w:spacing w:line="240" w:lineRule="auto"/>
              <w:jc w:val="center"/>
              <w:rPr>
                <w:color w:val="000000" w:themeColor="text1"/>
                <w:szCs w:val="21"/>
              </w:rPr>
            </w:pPr>
            <w:r>
              <w:rPr>
                <w:rFonts w:hint="eastAsia"/>
                <w:color w:val="000000" w:themeColor="text1"/>
                <w:szCs w:val="21"/>
              </w:rPr>
              <w:t>10</w:t>
            </w:r>
          </w:p>
        </w:tc>
        <w:tc>
          <w:tcPr>
            <w:tcW w:w="702" w:type="pct"/>
            <w:vAlign w:val="center"/>
          </w:tcPr>
          <w:p>
            <w:pPr>
              <w:spacing w:line="240" w:lineRule="auto"/>
              <w:jc w:val="center"/>
              <w:rPr>
                <w:color w:val="000000" w:themeColor="text1"/>
                <w:szCs w:val="21"/>
              </w:rPr>
            </w:pPr>
            <w:r>
              <w:rPr>
                <w:rFonts w:hint="eastAsia"/>
                <w:color w:val="000000" w:themeColor="text1"/>
                <w:szCs w:val="21"/>
              </w:rPr>
              <w:t>2~9</w:t>
            </w:r>
          </w:p>
        </w:tc>
        <w:tc>
          <w:tcPr>
            <w:tcW w:w="501" w:type="pct"/>
            <w:vAlign w:val="center"/>
          </w:tcPr>
          <w:p>
            <w:pPr>
              <w:spacing w:line="240" w:lineRule="auto"/>
              <w:jc w:val="center"/>
              <w:rPr>
                <w:color w:val="000000" w:themeColor="text1"/>
                <w:szCs w:val="21"/>
              </w:rPr>
            </w:pPr>
            <w:r>
              <w:rPr>
                <w:rFonts w:hint="eastAsia"/>
                <w:color w:val="000000" w:themeColor="text1"/>
                <w:szCs w:val="21"/>
              </w:rPr>
              <w:t>90</w:t>
            </w: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Merge w:val="continue"/>
            <w:vAlign w:val="center"/>
          </w:tcPr>
          <w:p>
            <w:pPr>
              <w:spacing w:line="240" w:lineRule="auto"/>
              <w:jc w:val="center"/>
              <w:rPr>
                <w:color w:val="000000" w:themeColor="text1"/>
                <w:szCs w:val="21"/>
              </w:rPr>
            </w:pPr>
          </w:p>
        </w:tc>
        <w:tc>
          <w:tcPr>
            <w:tcW w:w="548" w:type="pct"/>
            <w:vMerge w:val="continue"/>
            <w:vAlign w:val="center"/>
          </w:tcPr>
          <w:p>
            <w:pPr>
              <w:spacing w:line="240" w:lineRule="auto"/>
              <w:jc w:val="center"/>
              <w:rPr>
                <w:color w:val="000000" w:themeColor="text1"/>
                <w:szCs w:val="21"/>
              </w:rPr>
            </w:pPr>
          </w:p>
        </w:tc>
        <w:tc>
          <w:tcPr>
            <w:tcW w:w="518" w:type="pct"/>
            <w:vMerge w:val="continue"/>
            <w:vAlign w:val="center"/>
          </w:tcPr>
          <w:p>
            <w:pPr>
              <w:spacing w:line="240" w:lineRule="auto"/>
              <w:jc w:val="center"/>
              <w:rPr>
                <w:color w:val="000000" w:themeColor="text1"/>
                <w:szCs w:val="21"/>
              </w:rPr>
            </w:pPr>
          </w:p>
        </w:tc>
        <w:tc>
          <w:tcPr>
            <w:tcW w:w="350" w:type="pct"/>
            <w:vAlign w:val="center"/>
          </w:tcPr>
          <w:p>
            <w:pPr>
              <w:spacing w:line="240" w:lineRule="auto"/>
              <w:jc w:val="center"/>
              <w:rPr>
                <w:color w:val="000000" w:themeColor="text1"/>
              </w:rPr>
            </w:pPr>
            <w:r>
              <w:rPr>
                <w:rFonts w:hint="eastAsia"/>
                <w:color w:val="000000" w:themeColor="text1"/>
              </w:rPr>
              <w:t>NH</w:t>
            </w:r>
            <w:r>
              <w:rPr>
                <w:rFonts w:hint="eastAsia"/>
                <w:color w:val="000000" w:themeColor="text1"/>
                <w:vertAlign w:val="subscript"/>
              </w:rPr>
              <w:t>3</w:t>
            </w:r>
          </w:p>
        </w:tc>
        <w:tc>
          <w:tcPr>
            <w:tcW w:w="601" w:type="pct"/>
            <w:vMerge w:val="continue"/>
            <w:vAlign w:val="center"/>
          </w:tcPr>
          <w:p>
            <w:pPr>
              <w:spacing w:line="240" w:lineRule="auto"/>
              <w:jc w:val="center"/>
              <w:rPr>
                <w:color w:val="000000" w:themeColor="text1"/>
              </w:rPr>
            </w:pPr>
          </w:p>
        </w:tc>
        <w:tc>
          <w:tcPr>
            <w:tcW w:w="450" w:type="pct"/>
            <w:vAlign w:val="center"/>
          </w:tcPr>
          <w:p>
            <w:pPr>
              <w:spacing w:line="240" w:lineRule="auto"/>
              <w:jc w:val="center"/>
              <w:rPr>
                <w:color w:val="000000" w:themeColor="text1"/>
                <w:szCs w:val="21"/>
              </w:rPr>
            </w:pPr>
            <w:r>
              <w:rPr>
                <w:rFonts w:hint="eastAsia"/>
                <w:color w:val="000000" w:themeColor="text1"/>
                <w:szCs w:val="21"/>
              </w:rPr>
              <w:t>200</w:t>
            </w:r>
          </w:p>
        </w:tc>
        <w:tc>
          <w:tcPr>
            <w:tcW w:w="702" w:type="pct"/>
            <w:vAlign w:val="center"/>
          </w:tcPr>
          <w:p>
            <w:pPr>
              <w:spacing w:line="240" w:lineRule="auto"/>
              <w:jc w:val="center"/>
              <w:rPr>
                <w:color w:val="000000" w:themeColor="text1"/>
                <w:szCs w:val="21"/>
              </w:rPr>
            </w:pPr>
            <w:r>
              <w:rPr>
                <w:rFonts w:hint="eastAsia"/>
                <w:color w:val="000000" w:themeColor="text1"/>
                <w:szCs w:val="21"/>
              </w:rPr>
              <w:t>60~180</w:t>
            </w:r>
          </w:p>
        </w:tc>
        <w:tc>
          <w:tcPr>
            <w:tcW w:w="501" w:type="pct"/>
            <w:vAlign w:val="center"/>
          </w:tcPr>
          <w:p>
            <w:pPr>
              <w:spacing w:line="240" w:lineRule="auto"/>
              <w:jc w:val="center"/>
              <w:rPr>
                <w:color w:val="000000" w:themeColor="text1"/>
                <w:szCs w:val="21"/>
              </w:rPr>
            </w:pPr>
          </w:p>
        </w:tc>
        <w:tc>
          <w:tcPr>
            <w:tcW w:w="401" w:type="pct"/>
            <w:vAlign w:val="center"/>
          </w:tcPr>
          <w:p>
            <w:pPr>
              <w:spacing w:line="240" w:lineRule="auto"/>
              <w:jc w:val="center"/>
              <w:rPr>
                <w:color w:val="000000" w:themeColor="text1"/>
                <w:szCs w:val="21"/>
              </w:rPr>
            </w:pPr>
            <w:r>
              <w:rPr>
                <w:rFonts w:hint="eastAsia"/>
                <w:color w:val="000000" w:themeColor="text1"/>
                <w:szCs w:val="21"/>
              </w:rPr>
              <w:t>0</w:t>
            </w:r>
          </w:p>
        </w:tc>
        <w:tc>
          <w:tcPr>
            <w:tcW w:w="504" w:type="pct"/>
            <w:vAlign w:val="center"/>
          </w:tcPr>
          <w:p>
            <w:pPr>
              <w:spacing w:line="240" w:lineRule="auto"/>
              <w:jc w:val="center"/>
              <w:rPr>
                <w:color w:val="000000" w:themeColor="text1"/>
                <w:szCs w:val="21"/>
              </w:rPr>
            </w:pPr>
            <w:r>
              <w:rPr>
                <w:rFonts w:hint="eastAsia"/>
                <w:color w:val="000000" w:themeColor="text1"/>
                <w:szCs w:val="21"/>
              </w:rPr>
              <w:t>达标</w:t>
            </w:r>
          </w:p>
        </w:tc>
      </w:tr>
    </w:tbl>
    <w:p>
      <w:pPr>
        <w:adjustRightInd w:val="0"/>
        <w:snapToGrid w:val="0"/>
        <w:ind w:firstLine="480" w:firstLineChars="200"/>
        <w:rPr>
          <w:color w:val="000000" w:themeColor="text1"/>
          <w:sz w:val="24"/>
        </w:rPr>
        <w:sectPr>
          <w:pgSz w:w="16838" w:h="11906" w:orient="landscape"/>
          <w:pgMar w:top="1797" w:right="1440" w:bottom="1797" w:left="1440" w:header="851" w:footer="992" w:gutter="0"/>
          <w:cols w:space="720" w:num="1"/>
          <w:docGrid w:linePitch="312" w:charSpace="0"/>
        </w:sectPr>
      </w:pPr>
    </w:p>
    <w:p>
      <w:pPr>
        <w:adjustRightInd w:val="0"/>
        <w:snapToGrid w:val="0"/>
        <w:ind w:firstLine="480" w:firstLineChars="200"/>
        <w:rPr>
          <w:color w:val="000000" w:themeColor="text1"/>
          <w:sz w:val="24"/>
        </w:rPr>
      </w:pPr>
      <w:r>
        <w:rPr>
          <w:color w:val="000000" w:themeColor="text1"/>
          <w:sz w:val="24"/>
        </w:rPr>
        <w:t>根据表</w:t>
      </w:r>
      <w:r>
        <w:rPr>
          <w:rFonts w:hint="eastAsia"/>
          <w:color w:val="000000" w:themeColor="text1"/>
          <w:sz w:val="24"/>
        </w:rPr>
        <w:t>4.2-3</w:t>
      </w:r>
      <w:r>
        <w:rPr>
          <w:color w:val="000000" w:themeColor="text1"/>
          <w:sz w:val="24"/>
        </w:rPr>
        <w:t>，项目TSP、PM</w:t>
      </w:r>
      <w:r>
        <w:rPr>
          <w:color w:val="000000" w:themeColor="text1"/>
          <w:sz w:val="24"/>
          <w:vertAlign w:val="subscript"/>
        </w:rPr>
        <w:t>10</w:t>
      </w:r>
      <w:r>
        <w:rPr>
          <w:color w:val="000000" w:themeColor="text1"/>
          <w:sz w:val="24"/>
        </w:rPr>
        <w:t>、SO</w:t>
      </w:r>
      <w:r>
        <w:rPr>
          <w:color w:val="000000" w:themeColor="text1"/>
          <w:sz w:val="24"/>
          <w:vertAlign w:val="subscript"/>
        </w:rPr>
        <w:t>2</w:t>
      </w:r>
      <w:r>
        <w:rPr>
          <w:color w:val="000000" w:themeColor="text1"/>
          <w:sz w:val="24"/>
        </w:rPr>
        <w:t>、NO</w:t>
      </w:r>
      <w:r>
        <w:rPr>
          <w:color w:val="000000" w:themeColor="text1"/>
          <w:sz w:val="24"/>
          <w:vertAlign w:val="subscript"/>
        </w:rPr>
        <w:t>2</w:t>
      </w:r>
      <w:r>
        <w:rPr>
          <w:color w:val="000000" w:themeColor="text1"/>
          <w:sz w:val="24"/>
        </w:rPr>
        <w:t>的日均值均能达到《环境空气质量标准》</w:t>
      </w:r>
      <w:r>
        <w:rPr>
          <w:rFonts w:hint="eastAsia"/>
          <w:color w:val="000000" w:themeColor="text1"/>
          <w:sz w:val="24"/>
        </w:rPr>
        <w:t>（</w:t>
      </w:r>
      <w:r>
        <w:rPr>
          <w:color w:val="000000" w:themeColor="text1"/>
          <w:sz w:val="24"/>
        </w:rPr>
        <w:t>GB3095-2012</w:t>
      </w:r>
      <w:r>
        <w:rPr>
          <w:rFonts w:hint="eastAsia"/>
          <w:color w:val="000000" w:themeColor="text1"/>
          <w:sz w:val="24"/>
        </w:rPr>
        <w:t>）</w:t>
      </w:r>
      <w:r>
        <w:rPr>
          <w:color w:val="000000" w:themeColor="text1"/>
          <w:sz w:val="24"/>
        </w:rPr>
        <w:t>二级标准</w:t>
      </w:r>
      <w:r>
        <w:rPr>
          <w:rFonts w:hint="eastAsia"/>
          <w:color w:val="000000" w:themeColor="text1"/>
          <w:sz w:val="24"/>
        </w:rPr>
        <w:t>，</w:t>
      </w:r>
      <w:r>
        <w:rPr>
          <w:color w:val="000000" w:themeColor="text1"/>
          <w:sz w:val="24"/>
        </w:rPr>
        <w:t>SO</w:t>
      </w:r>
      <w:r>
        <w:rPr>
          <w:color w:val="000000" w:themeColor="text1"/>
          <w:sz w:val="24"/>
          <w:vertAlign w:val="subscript"/>
        </w:rPr>
        <w:t>2</w:t>
      </w:r>
      <w:r>
        <w:rPr>
          <w:color w:val="000000" w:themeColor="text1"/>
          <w:sz w:val="24"/>
        </w:rPr>
        <w:t>、NO</w:t>
      </w:r>
      <w:r>
        <w:rPr>
          <w:color w:val="000000" w:themeColor="text1"/>
          <w:sz w:val="24"/>
          <w:vertAlign w:val="subscript"/>
        </w:rPr>
        <w:t>2</w:t>
      </w:r>
      <w:r>
        <w:rPr>
          <w:color w:val="000000" w:themeColor="text1"/>
          <w:sz w:val="24"/>
        </w:rPr>
        <w:t>的</w:t>
      </w:r>
      <w:r>
        <w:rPr>
          <w:rFonts w:hint="eastAsia"/>
          <w:color w:val="000000" w:themeColor="text1"/>
          <w:sz w:val="24"/>
        </w:rPr>
        <w:t>小时</w:t>
      </w:r>
      <w:r>
        <w:rPr>
          <w:color w:val="000000" w:themeColor="text1"/>
          <w:sz w:val="24"/>
        </w:rPr>
        <w:t>值均能达到《环境空气质量标准》</w:t>
      </w:r>
      <w:r>
        <w:rPr>
          <w:rFonts w:hint="eastAsia"/>
          <w:color w:val="000000" w:themeColor="text1"/>
          <w:sz w:val="24"/>
        </w:rPr>
        <w:t>（</w:t>
      </w:r>
      <w:r>
        <w:rPr>
          <w:color w:val="000000" w:themeColor="text1"/>
          <w:sz w:val="24"/>
        </w:rPr>
        <w:t>GB3095-2012</w:t>
      </w:r>
      <w:r>
        <w:rPr>
          <w:rFonts w:hint="eastAsia"/>
          <w:color w:val="000000" w:themeColor="text1"/>
          <w:sz w:val="24"/>
        </w:rPr>
        <w:t>）</w:t>
      </w:r>
      <w:r>
        <w:rPr>
          <w:color w:val="000000" w:themeColor="text1"/>
          <w:sz w:val="24"/>
        </w:rPr>
        <w:t>二级标准；从表4.2-</w:t>
      </w:r>
      <w:r>
        <w:rPr>
          <w:rFonts w:hint="eastAsia"/>
          <w:color w:val="000000" w:themeColor="text1"/>
          <w:sz w:val="24"/>
        </w:rPr>
        <w:t>4</w:t>
      </w:r>
      <w:r>
        <w:rPr>
          <w:color w:val="000000" w:themeColor="text1"/>
          <w:sz w:val="24"/>
        </w:rPr>
        <w:t>可以看出H</w:t>
      </w:r>
      <w:r>
        <w:rPr>
          <w:color w:val="000000" w:themeColor="text1"/>
          <w:sz w:val="24"/>
          <w:vertAlign w:val="subscript"/>
        </w:rPr>
        <w:t>2</w:t>
      </w:r>
      <w:r>
        <w:rPr>
          <w:color w:val="000000" w:themeColor="text1"/>
          <w:sz w:val="24"/>
        </w:rPr>
        <w:t>S及NH</w:t>
      </w:r>
      <w:r>
        <w:rPr>
          <w:color w:val="000000" w:themeColor="text1"/>
          <w:sz w:val="24"/>
          <w:vertAlign w:val="subscript"/>
        </w:rPr>
        <w:t>3</w:t>
      </w:r>
      <w:r>
        <w:rPr>
          <w:color w:val="000000" w:themeColor="text1"/>
          <w:sz w:val="24"/>
        </w:rPr>
        <w:t>的</w:t>
      </w:r>
      <w:r>
        <w:rPr>
          <w:rFonts w:hint="eastAsia"/>
          <w:color w:val="000000" w:themeColor="text1"/>
          <w:sz w:val="24"/>
        </w:rPr>
        <w:t>一次</w:t>
      </w:r>
      <w:r>
        <w:rPr>
          <w:color w:val="000000" w:themeColor="text1"/>
          <w:sz w:val="24"/>
        </w:rPr>
        <w:t>浓度满足《工业企业设计卫生标准》</w:t>
      </w:r>
      <w:r>
        <w:rPr>
          <w:rFonts w:hint="eastAsia"/>
          <w:color w:val="000000" w:themeColor="text1"/>
          <w:sz w:val="24"/>
        </w:rPr>
        <w:t>（</w:t>
      </w:r>
      <w:r>
        <w:rPr>
          <w:color w:val="000000" w:themeColor="text1"/>
          <w:sz w:val="24"/>
        </w:rPr>
        <w:t>TJ36-79</w:t>
      </w:r>
      <w:r>
        <w:rPr>
          <w:rFonts w:hint="eastAsia"/>
          <w:color w:val="000000" w:themeColor="text1"/>
          <w:sz w:val="24"/>
        </w:rPr>
        <w:t>）</w:t>
      </w:r>
      <w:r>
        <w:rPr>
          <w:color w:val="000000" w:themeColor="text1"/>
          <w:sz w:val="24"/>
        </w:rPr>
        <w:t>中最高允许浓度限值。</w:t>
      </w:r>
    </w:p>
    <w:p>
      <w:pPr>
        <w:pStyle w:val="4"/>
        <w:adjustRightInd w:val="0"/>
        <w:snapToGrid w:val="0"/>
        <w:spacing w:before="0" w:after="0" w:line="360" w:lineRule="auto"/>
        <w:rPr>
          <w:color w:val="000000" w:themeColor="text1"/>
        </w:rPr>
      </w:pPr>
      <w:bookmarkStart w:id="332" w:name="_Toc510547314"/>
      <w:bookmarkStart w:id="333" w:name="_Toc402186380"/>
      <w:bookmarkStart w:id="334" w:name="_Toc24798"/>
      <w:bookmarkStart w:id="335" w:name="_Toc504403832"/>
      <w:bookmarkStart w:id="336" w:name="_Toc18661"/>
      <w:bookmarkStart w:id="337" w:name="_Toc25776"/>
      <w:bookmarkStart w:id="338" w:name="_Toc291776019"/>
      <w:bookmarkStart w:id="339" w:name="_Toc303261020"/>
      <w:r>
        <w:rPr>
          <w:color w:val="000000" w:themeColor="text1"/>
        </w:rPr>
        <w:t>4.2.2地表水环境质量现状</w:t>
      </w:r>
      <w:bookmarkEnd w:id="332"/>
      <w:bookmarkEnd w:id="333"/>
      <w:bookmarkEnd w:id="334"/>
      <w:bookmarkEnd w:id="335"/>
      <w:bookmarkEnd w:id="336"/>
      <w:bookmarkEnd w:id="337"/>
      <w:bookmarkEnd w:id="338"/>
      <w:bookmarkEnd w:id="339"/>
    </w:p>
    <w:p>
      <w:pPr>
        <w:ind w:firstLine="480" w:firstLineChars="200"/>
        <w:rPr>
          <w:color w:val="000000" w:themeColor="text1"/>
          <w:sz w:val="24"/>
        </w:rPr>
      </w:pPr>
      <w:r>
        <w:rPr>
          <w:color w:val="000000" w:themeColor="text1"/>
          <w:sz w:val="24"/>
        </w:rPr>
        <w:t>项目区地表水体为</w:t>
      </w:r>
      <w:r>
        <w:rPr>
          <w:rFonts w:hint="eastAsia"/>
          <w:color w:val="000000" w:themeColor="text1"/>
          <w:sz w:val="24"/>
        </w:rPr>
        <w:t>箐沟</w:t>
      </w:r>
      <w:r>
        <w:rPr>
          <w:color w:val="000000" w:themeColor="text1"/>
          <w:sz w:val="24"/>
        </w:rPr>
        <w:t>，</w:t>
      </w:r>
      <w:r>
        <w:rPr>
          <w:rFonts w:hint="eastAsia"/>
          <w:color w:val="000000" w:themeColor="text1"/>
          <w:sz w:val="24"/>
        </w:rPr>
        <w:t>为康之康河支流，属于小河底河支流。</w:t>
      </w:r>
      <w:r>
        <w:rPr>
          <w:color w:val="000000" w:themeColor="text1"/>
          <w:sz w:val="24"/>
        </w:rPr>
        <w:t>根据《云南省地表水水环境功能区划（2010-2020）》，</w:t>
      </w:r>
      <w:r>
        <w:rPr>
          <w:rFonts w:hint="eastAsia"/>
          <w:color w:val="000000" w:themeColor="text1"/>
          <w:sz w:val="24"/>
        </w:rPr>
        <w:t>小河底河</w:t>
      </w:r>
      <w:r>
        <w:rPr>
          <w:color w:val="000000" w:themeColor="text1"/>
          <w:sz w:val="24"/>
        </w:rPr>
        <w:t>水环境功能为工业用水、农业用水，水质类别执行《地表水环境质量标准》（GB3838-2002）</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，康之康河参照执行</w:t>
      </w:r>
      <w:r>
        <w:rPr>
          <w:color w:val="000000" w:themeColor="text1"/>
          <w:sz w:val="24"/>
        </w:rPr>
        <w:t>《地表水环境质量标准》（GB3838-2002）</w:t>
      </w:r>
      <w:r>
        <w:rPr>
          <w:rFonts w:hint="eastAsia" w:ascii="宋体" w:hAnsi="宋体" w:cs="宋体"/>
          <w:color w:val="000000" w:themeColor="text1"/>
          <w:sz w:val="24"/>
        </w:rPr>
        <w:t>Ⅳ</w:t>
      </w:r>
      <w:r>
        <w:rPr>
          <w:color w:val="000000" w:themeColor="text1"/>
          <w:sz w:val="24"/>
        </w:rPr>
        <w:t>类标准。</w:t>
      </w:r>
    </w:p>
    <w:p>
      <w:pPr>
        <w:ind w:firstLine="480" w:firstLineChars="200"/>
        <w:rPr>
          <w:color w:val="000000" w:themeColor="text1"/>
          <w:sz w:val="24"/>
        </w:rPr>
      </w:pPr>
      <w:r>
        <w:rPr>
          <w:color w:val="000000" w:themeColor="text1"/>
          <w:sz w:val="24"/>
        </w:rPr>
        <w:t>为了解项目区地表水环境质量现状，本次评价委托玉溪华恒科技有限公司对</w:t>
      </w:r>
      <w:r>
        <w:rPr>
          <w:rFonts w:hint="eastAsia"/>
          <w:color w:val="000000" w:themeColor="text1"/>
          <w:sz w:val="24"/>
        </w:rPr>
        <w:t>康之康</w:t>
      </w:r>
      <w:r>
        <w:rPr>
          <w:color w:val="000000" w:themeColor="text1"/>
          <w:sz w:val="24"/>
        </w:rPr>
        <w:t>河</w:t>
      </w:r>
      <w:r>
        <w:rPr>
          <w:rFonts w:hint="eastAsia"/>
          <w:color w:val="000000" w:themeColor="text1"/>
          <w:sz w:val="24"/>
        </w:rPr>
        <w:t>及其支流</w:t>
      </w:r>
      <w:r>
        <w:rPr>
          <w:color w:val="000000" w:themeColor="text1"/>
          <w:sz w:val="24"/>
        </w:rPr>
        <w:t>进行监测，具体监测内容如下：</w:t>
      </w:r>
    </w:p>
    <w:p>
      <w:pPr>
        <w:widowControl/>
        <w:tabs>
          <w:tab w:val="left" w:pos="1021"/>
          <w:tab w:val="left" w:pos="1320"/>
        </w:tabs>
        <w:adjustRightInd w:val="0"/>
        <w:snapToGrid w:val="0"/>
        <w:spacing w:before="24" w:after="24"/>
        <w:ind w:firstLine="480" w:firstLineChars="200"/>
        <w:jc w:val="left"/>
        <w:rPr>
          <w:color w:val="000000" w:themeColor="text1"/>
          <w:sz w:val="24"/>
        </w:rPr>
      </w:pPr>
      <w:r>
        <w:rPr>
          <w:color w:val="000000" w:themeColor="text1"/>
          <w:sz w:val="24"/>
        </w:rPr>
        <w:t>（1）监测位点：项目布设3个监测点位，</w:t>
      </w:r>
      <w:r>
        <w:rPr>
          <w:rFonts w:hint="eastAsia"/>
          <w:color w:val="000000" w:themeColor="text1"/>
          <w:sz w:val="24"/>
        </w:rPr>
        <w:t>场址上游500m（康之康河支流）</w:t>
      </w:r>
      <w:r>
        <w:rPr>
          <w:color w:val="000000" w:themeColor="text1"/>
          <w:sz w:val="24"/>
        </w:rPr>
        <w:t>，</w:t>
      </w:r>
      <w:r>
        <w:rPr>
          <w:rFonts w:hint="eastAsia"/>
          <w:color w:val="000000" w:themeColor="text1"/>
          <w:sz w:val="24"/>
        </w:rPr>
        <w:t>场址下游1500m（康之康河支流）</w:t>
      </w:r>
      <w:r>
        <w:rPr>
          <w:color w:val="000000" w:themeColor="text1"/>
          <w:sz w:val="24"/>
        </w:rPr>
        <w:t>，</w:t>
      </w:r>
      <w:r>
        <w:rPr>
          <w:rFonts w:hint="eastAsia"/>
          <w:color w:val="000000" w:themeColor="text1"/>
          <w:sz w:val="24"/>
        </w:rPr>
        <w:t>康之康河支流汇入口下游500m。</w:t>
      </w:r>
      <w:r>
        <w:rPr>
          <w:color w:val="000000" w:themeColor="text1"/>
          <w:sz w:val="24"/>
        </w:rPr>
        <w:t>具体监测点位见附图。</w:t>
      </w:r>
    </w:p>
    <w:p>
      <w:pPr>
        <w:widowControl/>
        <w:adjustRightInd w:val="0"/>
        <w:snapToGrid w:val="0"/>
        <w:ind w:firstLine="480" w:firstLineChars="200"/>
        <w:jc w:val="left"/>
        <w:rPr>
          <w:color w:val="000000" w:themeColor="text1"/>
          <w:sz w:val="24"/>
        </w:rPr>
      </w:pPr>
      <w:r>
        <w:rPr>
          <w:color w:val="000000" w:themeColor="text1"/>
          <w:sz w:val="24"/>
        </w:rPr>
        <w:t>（2）监测项目：pH、</w:t>
      </w:r>
      <w:r>
        <w:rPr>
          <w:rFonts w:hint="eastAsia"/>
          <w:color w:val="000000" w:themeColor="text1"/>
          <w:sz w:val="24"/>
        </w:rPr>
        <w:t>DO</w:t>
      </w:r>
      <w:r>
        <w:rPr>
          <w:color w:val="000000" w:themeColor="text1"/>
          <w:sz w:val="24"/>
        </w:rPr>
        <w:t>、</w:t>
      </w:r>
      <w:r>
        <w:rPr>
          <w:rFonts w:hint="eastAsia"/>
          <w:color w:val="000000" w:themeColor="text1"/>
          <w:sz w:val="24"/>
        </w:rPr>
        <w:t>COD</w:t>
      </w:r>
      <w:r>
        <w:rPr>
          <w:color w:val="000000" w:themeColor="text1"/>
          <w:sz w:val="24"/>
        </w:rPr>
        <w:t>、BOD</w:t>
      </w:r>
      <w:r>
        <w:rPr>
          <w:color w:val="000000" w:themeColor="text1"/>
          <w:sz w:val="24"/>
          <w:vertAlign w:val="subscript"/>
        </w:rPr>
        <w:t>5</w:t>
      </w:r>
      <w:r>
        <w:rPr>
          <w:color w:val="000000" w:themeColor="text1"/>
          <w:sz w:val="24"/>
        </w:rPr>
        <w:t>、NH</w:t>
      </w:r>
      <w:r>
        <w:rPr>
          <w:color w:val="000000" w:themeColor="text1"/>
          <w:sz w:val="24"/>
          <w:vertAlign w:val="subscript"/>
        </w:rPr>
        <w:t>3</w:t>
      </w:r>
      <w:r>
        <w:rPr>
          <w:color w:val="000000" w:themeColor="text1"/>
          <w:sz w:val="24"/>
        </w:rPr>
        <w:t>-N、石油类、TP、粪大肠菌群。</w:t>
      </w:r>
    </w:p>
    <w:p>
      <w:pPr>
        <w:adjustRightInd w:val="0"/>
        <w:snapToGrid w:val="0"/>
        <w:ind w:firstLine="480" w:firstLineChars="200"/>
        <w:rPr>
          <w:color w:val="000000" w:themeColor="text1"/>
          <w:sz w:val="24"/>
        </w:rPr>
      </w:pPr>
      <w:r>
        <w:rPr>
          <w:color w:val="000000" w:themeColor="text1"/>
          <w:sz w:val="24"/>
        </w:rPr>
        <w:t>（3）监测频率：连续监测3天，每天采样1次。</w:t>
      </w:r>
    </w:p>
    <w:p>
      <w:pPr>
        <w:adjustRightInd w:val="0"/>
        <w:snapToGrid w:val="0"/>
        <w:ind w:firstLine="480" w:firstLineChars="200"/>
        <w:rPr>
          <w:color w:val="000000" w:themeColor="text1"/>
        </w:rPr>
      </w:pPr>
      <w:r>
        <w:rPr>
          <w:color w:val="000000" w:themeColor="text1"/>
          <w:sz w:val="24"/>
        </w:rPr>
        <w:t>（4）分析方法：水质监测的采样及保存方法均严格按照国家环境监测技术规范的要求进行，分析方法采用GB3838-2002所推荐的方法之一。</w:t>
      </w:r>
    </w:p>
    <w:p>
      <w:pPr>
        <w:ind w:firstLine="480" w:firstLineChars="200"/>
        <w:rPr>
          <w:color w:val="000000" w:themeColor="text1"/>
          <w:sz w:val="24"/>
        </w:rPr>
      </w:pPr>
      <w:r>
        <w:rPr>
          <w:color w:val="000000" w:themeColor="text1"/>
          <w:sz w:val="24"/>
        </w:rPr>
        <w:t>（5）监测结果：项目监测结果见下表。</w:t>
      </w:r>
    </w:p>
    <w:p>
      <w:pPr>
        <w:widowControl/>
        <w:tabs>
          <w:tab w:val="right" w:pos="8906"/>
        </w:tabs>
        <w:spacing w:line="240" w:lineRule="auto"/>
        <w:jc w:val="center"/>
        <w:rPr>
          <w:b/>
          <w:color w:val="000000" w:themeColor="text1"/>
          <w:spacing w:val="4"/>
          <w:szCs w:val="21"/>
        </w:rPr>
      </w:pPr>
      <w:r>
        <w:rPr>
          <w:b/>
          <w:color w:val="000000" w:themeColor="text1"/>
          <w:szCs w:val="21"/>
        </w:rPr>
        <w:t>表4.2-</w:t>
      </w:r>
      <w:r>
        <w:rPr>
          <w:rFonts w:hint="eastAsia"/>
          <w:b/>
          <w:color w:val="000000" w:themeColor="text1"/>
          <w:szCs w:val="21"/>
        </w:rPr>
        <w:t>5</w:t>
      </w:r>
      <w:r>
        <w:rPr>
          <w:b/>
          <w:color w:val="000000" w:themeColor="text1"/>
          <w:szCs w:val="21"/>
        </w:rPr>
        <w:t xml:space="preserve">  地表水监测结果及评价</w:t>
      </w:r>
      <w:r>
        <w:rPr>
          <w:rFonts w:hint="eastAsia"/>
          <w:b/>
          <w:color w:val="000000" w:themeColor="text1"/>
          <w:szCs w:val="21"/>
        </w:rPr>
        <w:t xml:space="preserve">   </w:t>
      </w:r>
      <w:r>
        <w:rPr>
          <w:b/>
          <w:color w:val="000000" w:themeColor="text1"/>
          <w:szCs w:val="21"/>
        </w:rPr>
        <w:t>单位：</w:t>
      </w:r>
      <w:r>
        <w:rPr>
          <w:b/>
          <w:bCs/>
          <w:color w:val="000000" w:themeColor="text1"/>
          <w:szCs w:val="21"/>
        </w:rPr>
        <w:t>mg/L</w:t>
      </w:r>
    </w:p>
    <w:tbl>
      <w:tblPr>
        <w:tblStyle w:val="4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1842"/>
        <w:gridCol w:w="1843"/>
        <w:gridCol w:w="1559"/>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7" w:type="dxa"/>
            <w:vAlign w:val="center"/>
          </w:tcPr>
          <w:p>
            <w:pPr>
              <w:adjustRightInd w:val="0"/>
              <w:snapToGrid w:val="0"/>
              <w:spacing w:line="240" w:lineRule="auto"/>
              <w:jc w:val="center"/>
              <w:rPr>
                <w:b/>
                <w:color w:val="000000" w:themeColor="text1"/>
              </w:rPr>
            </w:pPr>
            <w:r>
              <w:rPr>
                <w:rFonts w:hint="eastAsia"/>
                <w:b/>
                <w:color w:val="000000" w:themeColor="text1"/>
              </w:rPr>
              <w:t>监测因子</w:t>
            </w:r>
          </w:p>
        </w:tc>
        <w:tc>
          <w:tcPr>
            <w:tcW w:w="1842" w:type="dxa"/>
            <w:vAlign w:val="center"/>
          </w:tcPr>
          <w:p>
            <w:pPr>
              <w:adjustRightInd w:val="0"/>
              <w:snapToGrid w:val="0"/>
              <w:spacing w:line="240" w:lineRule="auto"/>
              <w:jc w:val="center"/>
              <w:rPr>
                <w:b/>
                <w:color w:val="000000" w:themeColor="text1"/>
              </w:rPr>
            </w:pPr>
            <w:r>
              <w:rPr>
                <w:rFonts w:hint="eastAsia"/>
                <w:b/>
                <w:color w:val="000000" w:themeColor="text1"/>
              </w:rPr>
              <w:t>场址上游500m</w:t>
            </w:r>
          </w:p>
        </w:tc>
        <w:tc>
          <w:tcPr>
            <w:tcW w:w="1843" w:type="dxa"/>
            <w:vAlign w:val="center"/>
          </w:tcPr>
          <w:p>
            <w:pPr>
              <w:adjustRightInd w:val="0"/>
              <w:snapToGrid w:val="0"/>
              <w:spacing w:line="240" w:lineRule="auto"/>
              <w:jc w:val="center"/>
              <w:rPr>
                <w:b/>
                <w:color w:val="000000" w:themeColor="text1"/>
                <w:szCs w:val="21"/>
              </w:rPr>
            </w:pPr>
            <w:r>
              <w:rPr>
                <w:rFonts w:hint="eastAsia"/>
                <w:b/>
                <w:color w:val="000000" w:themeColor="text1"/>
                <w:szCs w:val="21"/>
              </w:rPr>
              <w:t>场址</w:t>
            </w:r>
          </w:p>
          <w:p>
            <w:pPr>
              <w:adjustRightInd w:val="0"/>
              <w:snapToGrid w:val="0"/>
              <w:spacing w:line="240" w:lineRule="auto"/>
              <w:jc w:val="center"/>
              <w:rPr>
                <w:b/>
                <w:color w:val="000000" w:themeColor="text1"/>
                <w:szCs w:val="21"/>
              </w:rPr>
            </w:pPr>
            <w:r>
              <w:rPr>
                <w:rFonts w:hint="eastAsia"/>
                <w:b/>
                <w:color w:val="000000" w:themeColor="text1"/>
                <w:szCs w:val="21"/>
              </w:rPr>
              <w:t>下游1500m</w:t>
            </w:r>
          </w:p>
        </w:tc>
        <w:tc>
          <w:tcPr>
            <w:tcW w:w="1559" w:type="dxa"/>
            <w:vAlign w:val="center"/>
          </w:tcPr>
          <w:p>
            <w:pPr>
              <w:adjustRightInd w:val="0"/>
              <w:snapToGrid w:val="0"/>
              <w:spacing w:line="240" w:lineRule="auto"/>
              <w:jc w:val="center"/>
              <w:rPr>
                <w:b/>
                <w:color w:val="000000" w:themeColor="text1"/>
                <w:szCs w:val="21"/>
              </w:rPr>
            </w:pPr>
            <w:r>
              <w:rPr>
                <w:rFonts w:hint="eastAsia"/>
                <w:b/>
                <w:color w:val="000000" w:themeColor="text1"/>
                <w:szCs w:val="21"/>
              </w:rPr>
              <w:t>支流汇入口下游500m</w:t>
            </w:r>
          </w:p>
        </w:tc>
        <w:tc>
          <w:tcPr>
            <w:tcW w:w="1604" w:type="dxa"/>
            <w:vAlign w:val="center"/>
          </w:tcPr>
          <w:p>
            <w:pPr>
              <w:adjustRightInd w:val="0"/>
              <w:snapToGrid w:val="0"/>
              <w:spacing w:line="240" w:lineRule="auto"/>
              <w:jc w:val="center"/>
              <w:rPr>
                <w:b/>
                <w:color w:val="000000" w:themeColor="text1"/>
                <w:szCs w:val="21"/>
              </w:rPr>
            </w:pPr>
            <w:r>
              <w:rPr>
                <w:b/>
                <w:color w:val="000000" w:themeColor="text1"/>
                <w:szCs w:val="21"/>
              </w:rPr>
              <w:t>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7" w:type="dxa"/>
            <w:vAlign w:val="center"/>
          </w:tcPr>
          <w:p>
            <w:pPr>
              <w:adjustRightInd w:val="0"/>
              <w:snapToGrid w:val="0"/>
              <w:spacing w:line="240" w:lineRule="auto"/>
              <w:jc w:val="center"/>
              <w:rPr>
                <w:color w:val="000000" w:themeColor="text1"/>
              </w:rPr>
            </w:pPr>
            <w:r>
              <w:rPr>
                <w:color w:val="000000" w:themeColor="text1"/>
              </w:rPr>
              <w:t>pH</w:t>
            </w:r>
            <w:r>
              <w:rPr>
                <w:rFonts w:hint="eastAsia"/>
                <w:color w:val="000000" w:themeColor="text1"/>
              </w:rPr>
              <w:t>（无量纲）</w:t>
            </w:r>
          </w:p>
        </w:tc>
        <w:tc>
          <w:tcPr>
            <w:tcW w:w="1842" w:type="dxa"/>
            <w:vAlign w:val="center"/>
          </w:tcPr>
          <w:p>
            <w:pPr>
              <w:adjustRightInd w:val="0"/>
              <w:snapToGrid w:val="0"/>
              <w:spacing w:line="240" w:lineRule="auto"/>
              <w:jc w:val="center"/>
              <w:rPr>
                <w:color w:val="000000" w:themeColor="text1"/>
              </w:rPr>
            </w:pPr>
            <w:r>
              <w:rPr>
                <w:rFonts w:hint="eastAsia"/>
                <w:color w:val="000000" w:themeColor="text1"/>
              </w:rPr>
              <w:t>7.5~7.7</w:t>
            </w:r>
          </w:p>
        </w:tc>
        <w:tc>
          <w:tcPr>
            <w:tcW w:w="1843" w:type="dxa"/>
            <w:vAlign w:val="center"/>
          </w:tcPr>
          <w:p>
            <w:pPr>
              <w:adjustRightInd w:val="0"/>
              <w:snapToGrid w:val="0"/>
              <w:spacing w:line="240" w:lineRule="auto"/>
              <w:jc w:val="center"/>
              <w:rPr>
                <w:color w:val="000000" w:themeColor="text1"/>
                <w:szCs w:val="21"/>
              </w:rPr>
            </w:pPr>
            <w:r>
              <w:rPr>
                <w:rFonts w:hint="eastAsia"/>
                <w:color w:val="000000" w:themeColor="text1"/>
                <w:szCs w:val="21"/>
              </w:rPr>
              <w:t>7.8~8.2</w:t>
            </w:r>
          </w:p>
        </w:tc>
        <w:tc>
          <w:tcPr>
            <w:tcW w:w="15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7.6~8.0</w:t>
            </w:r>
          </w:p>
        </w:tc>
        <w:tc>
          <w:tcPr>
            <w:tcW w:w="1604" w:type="dxa"/>
            <w:vAlign w:val="center"/>
          </w:tcPr>
          <w:p>
            <w:pPr>
              <w:adjustRightInd w:val="0"/>
              <w:snapToGrid w:val="0"/>
              <w:spacing w:line="240" w:lineRule="auto"/>
              <w:jc w:val="center"/>
              <w:rPr>
                <w:color w:val="000000" w:themeColor="text1"/>
                <w:szCs w:val="21"/>
              </w:rPr>
            </w:pPr>
            <w:r>
              <w:rPr>
                <w:color w:val="000000" w:themeColor="text1"/>
                <w:szCs w:val="21"/>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7" w:type="dxa"/>
            <w:vAlign w:val="center"/>
          </w:tcPr>
          <w:p>
            <w:pPr>
              <w:adjustRightInd w:val="0"/>
              <w:snapToGrid w:val="0"/>
              <w:spacing w:line="240" w:lineRule="auto"/>
              <w:jc w:val="center"/>
              <w:rPr>
                <w:color w:val="000000" w:themeColor="text1"/>
              </w:rPr>
            </w:pPr>
            <w:r>
              <w:rPr>
                <w:rFonts w:hint="eastAsia"/>
                <w:color w:val="000000" w:themeColor="text1"/>
              </w:rPr>
              <w:t>DO</w:t>
            </w:r>
          </w:p>
        </w:tc>
        <w:tc>
          <w:tcPr>
            <w:tcW w:w="1842" w:type="dxa"/>
            <w:vAlign w:val="center"/>
          </w:tcPr>
          <w:p>
            <w:pPr>
              <w:adjustRightInd w:val="0"/>
              <w:snapToGrid w:val="0"/>
              <w:spacing w:line="240" w:lineRule="auto"/>
              <w:jc w:val="center"/>
              <w:rPr>
                <w:color w:val="000000" w:themeColor="text1"/>
              </w:rPr>
            </w:pPr>
            <w:r>
              <w:rPr>
                <w:rFonts w:hint="eastAsia"/>
                <w:color w:val="000000" w:themeColor="text1"/>
              </w:rPr>
              <w:t>6.4~6.6</w:t>
            </w:r>
          </w:p>
        </w:tc>
        <w:tc>
          <w:tcPr>
            <w:tcW w:w="1843" w:type="dxa"/>
            <w:vAlign w:val="center"/>
          </w:tcPr>
          <w:p>
            <w:pPr>
              <w:adjustRightInd w:val="0"/>
              <w:snapToGrid w:val="0"/>
              <w:spacing w:line="240" w:lineRule="auto"/>
              <w:jc w:val="center"/>
              <w:rPr>
                <w:color w:val="000000" w:themeColor="text1"/>
                <w:szCs w:val="21"/>
              </w:rPr>
            </w:pPr>
            <w:r>
              <w:rPr>
                <w:rFonts w:hint="eastAsia"/>
                <w:color w:val="000000" w:themeColor="text1"/>
                <w:szCs w:val="21"/>
              </w:rPr>
              <w:t>6.2~6.4</w:t>
            </w:r>
          </w:p>
        </w:tc>
        <w:tc>
          <w:tcPr>
            <w:tcW w:w="15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6.2~6.6</w:t>
            </w:r>
          </w:p>
        </w:tc>
        <w:tc>
          <w:tcPr>
            <w:tcW w:w="1604" w:type="dxa"/>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7" w:type="dxa"/>
            <w:vAlign w:val="center"/>
          </w:tcPr>
          <w:p>
            <w:pPr>
              <w:adjustRightInd w:val="0"/>
              <w:snapToGrid w:val="0"/>
              <w:spacing w:line="240" w:lineRule="auto"/>
              <w:jc w:val="center"/>
              <w:rPr>
                <w:color w:val="000000" w:themeColor="text1"/>
              </w:rPr>
            </w:pPr>
            <w:r>
              <w:rPr>
                <w:color w:val="000000" w:themeColor="text1"/>
              </w:rPr>
              <w:t>COD</w:t>
            </w:r>
          </w:p>
        </w:tc>
        <w:tc>
          <w:tcPr>
            <w:tcW w:w="1842" w:type="dxa"/>
            <w:vAlign w:val="center"/>
          </w:tcPr>
          <w:p>
            <w:pPr>
              <w:adjustRightInd w:val="0"/>
              <w:snapToGrid w:val="0"/>
              <w:spacing w:line="240" w:lineRule="auto"/>
              <w:jc w:val="center"/>
              <w:rPr>
                <w:color w:val="000000" w:themeColor="text1"/>
              </w:rPr>
            </w:pPr>
            <w:r>
              <w:rPr>
                <w:rFonts w:hint="eastAsia"/>
                <w:color w:val="000000" w:themeColor="text1"/>
              </w:rPr>
              <w:t>11~13</w:t>
            </w:r>
          </w:p>
        </w:tc>
        <w:tc>
          <w:tcPr>
            <w:tcW w:w="1843" w:type="dxa"/>
            <w:vAlign w:val="center"/>
          </w:tcPr>
          <w:p>
            <w:pPr>
              <w:adjustRightInd w:val="0"/>
              <w:snapToGrid w:val="0"/>
              <w:spacing w:line="240" w:lineRule="auto"/>
              <w:jc w:val="center"/>
              <w:rPr>
                <w:color w:val="000000" w:themeColor="text1"/>
                <w:szCs w:val="21"/>
              </w:rPr>
            </w:pPr>
            <w:r>
              <w:rPr>
                <w:rFonts w:hint="eastAsia"/>
                <w:color w:val="000000" w:themeColor="text1"/>
                <w:szCs w:val="21"/>
              </w:rPr>
              <w:t>12~14</w:t>
            </w:r>
          </w:p>
        </w:tc>
        <w:tc>
          <w:tcPr>
            <w:tcW w:w="15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13</w:t>
            </w:r>
          </w:p>
        </w:tc>
        <w:tc>
          <w:tcPr>
            <w:tcW w:w="1604" w:type="dxa"/>
            <w:vAlign w:val="center"/>
          </w:tcPr>
          <w:p>
            <w:pPr>
              <w:adjustRightInd w:val="0"/>
              <w:snapToGrid w:val="0"/>
              <w:spacing w:line="240" w:lineRule="auto"/>
              <w:jc w:val="center"/>
              <w:rPr>
                <w:color w:val="000000" w:themeColor="text1"/>
                <w:szCs w:val="21"/>
              </w:rPr>
            </w:pPr>
            <w:r>
              <w:rPr>
                <w:color w:val="000000" w:themeColor="text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7" w:type="dxa"/>
            <w:vAlign w:val="center"/>
          </w:tcPr>
          <w:p>
            <w:pPr>
              <w:adjustRightInd w:val="0"/>
              <w:snapToGrid w:val="0"/>
              <w:spacing w:line="240" w:lineRule="auto"/>
              <w:jc w:val="center"/>
              <w:rPr>
                <w:color w:val="000000" w:themeColor="text1"/>
              </w:rPr>
            </w:pPr>
            <w:r>
              <w:rPr>
                <w:color w:val="000000" w:themeColor="text1"/>
              </w:rPr>
              <w:t>BOD</w:t>
            </w:r>
            <w:r>
              <w:rPr>
                <w:color w:val="000000" w:themeColor="text1"/>
                <w:vertAlign w:val="subscript"/>
              </w:rPr>
              <w:t>5</w:t>
            </w:r>
          </w:p>
        </w:tc>
        <w:tc>
          <w:tcPr>
            <w:tcW w:w="1842" w:type="dxa"/>
            <w:vAlign w:val="center"/>
          </w:tcPr>
          <w:p>
            <w:pPr>
              <w:adjustRightInd w:val="0"/>
              <w:snapToGrid w:val="0"/>
              <w:spacing w:line="240" w:lineRule="auto"/>
              <w:jc w:val="center"/>
              <w:rPr>
                <w:color w:val="000000" w:themeColor="text1"/>
              </w:rPr>
            </w:pPr>
            <w:r>
              <w:rPr>
                <w:rFonts w:hint="eastAsia"/>
                <w:color w:val="000000" w:themeColor="text1"/>
              </w:rPr>
              <w:t>1.3~1.5</w:t>
            </w:r>
          </w:p>
        </w:tc>
        <w:tc>
          <w:tcPr>
            <w:tcW w:w="1843" w:type="dxa"/>
            <w:vAlign w:val="center"/>
          </w:tcPr>
          <w:p>
            <w:pPr>
              <w:adjustRightInd w:val="0"/>
              <w:snapToGrid w:val="0"/>
              <w:spacing w:line="240" w:lineRule="auto"/>
              <w:jc w:val="center"/>
              <w:rPr>
                <w:color w:val="000000" w:themeColor="text1"/>
                <w:szCs w:val="21"/>
              </w:rPr>
            </w:pPr>
            <w:r>
              <w:rPr>
                <w:rFonts w:hint="eastAsia"/>
                <w:color w:val="000000" w:themeColor="text1"/>
                <w:szCs w:val="21"/>
              </w:rPr>
              <w:t>1.5~1.7</w:t>
            </w:r>
          </w:p>
        </w:tc>
        <w:tc>
          <w:tcPr>
            <w:tcW w:w="15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1.6~1.7</w:t>
            </w:r>
          </w:p>
        </w:tc>
        <w:tc>
          <w:tcPr>
            <w:tcW w:w="1604" w:type="dxa"/>
            <w:vAlign w:val="center"/>
          </w:tcPr>
          <w:p>
            <w:pPr>
              <w:adjustRightInd w:val="0"/>
              <w:snapToGrid w:val="0"/>
              <w:spacing w:line="240" w:lineRule="auto"/>
              <w:jc w:val="center"/>
              <w:rPr>
                <w:color w:val="000000" w:themeColor="text1"/>
                <w:szCs w:val="21"/>
              </w:rPr>
            </w:pPr>
            <w:r>
              <w:rPr>
                <w:color w:val="000000" w:themeColor="text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7" w:type="dxa"/>
            <w:vAlign w:val="center"/>
          </w:tcPr>
          <w:p>
            <w:pPr>
              <w:adjustRightInd w:val="0"/>
              <w:snapToGrid w:val="0"/>
              <w:spacing w:line="240" w:lineRule="auto"/>
              <w:jc w:val="center"/>
              <w:rPr>
                <w:color w:val="000000" w:themeColor="text1"/>
              </w:rPr>
            </w:pPr>
            <w:r>
              <w:rPr>
                <w:color w:val="000000" w:themeColor="text1"/>
              </w:rPr>
              <w:t>氨氮</w:t>
            </w:r>
          </w:p>
        </w:tc>
        <w:tc>
          <w:tcPr>
            <w:tcW w:w="1842" w:type="dxa"/>
            <w:vAlign w:val="center"/>
          </w:tcPr>
          <w:p>
            <w:pPr>
              <w:adjustRightInd w:val="0"/>
              <w:snapToGrid w:val="0"/>
              <w:spacing w:line="240" w:lineRule="auto"/>
              <w:jc w:val="center"/>
              <w:rPr>
                <w:color w:val="000000" w:themeColor="text1"/>
              </w:rPr>
            </w:pPr>
            <w:r>
              <w:rPr>
                <w:rFonts w:hint="eastAsia"/>
                <w:color w:val="000000" w:themeColor="text1"/>
              </w:rPr>
              <w:t>0.191~0.230</w:t>
            </w:r>
          </w:p>
        </w:tc>
        <w:tc>
          <w:tcPr>
            <w:tcW w:w="1843" w:type="dxa"/>
            <w:vAlign w:val="center"/>
          </w:tcPr>
          <w:p>
            <w:pPr>
              <w:adjustRightInd w:val="0"/>
              <w:snapToGrid w:val="0"/>
              <w:spacing w:line="240" w:lineRule="auto"/>
              <w:jc w:val="center"/>
              <w:rPr>
                <w:color w:val="000000" w:themeColor="text1"/>
                <w:szCs w:val="21"/>
              </w:rPr>
            </w:pPr>
            <w:r>
              <w:rPr>
                <w:rFonts w:hint="eastAsia"/>
                <w:color w:val="000000" w:themeColor="text1"/>
                <w:szCs w:val="21"/>
              </w:rPr>
              <w:t>0.183~0.214</w:t>
            </w:r>
          </w:p>
        </w:tc>
        <w:tc>
          <w:tcPr>
            <w:tcW w:w="15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0.202~0.273</w:t>
            </w:r>
          </w:p>
        </w:tc>
        <w:tc>
          <w:tcPr>
            <w:tcW w:w="1604" w:type="dxa"/>
            <w:vAlign w:val="center"/>
          </w:tcPr>
          <w:p>
            <w:pPr>
              <w:adjustRightInd w:val="0"/>
              <w:snapToGrid w:val="0"/>
              <w:spacing w:line="240" w:lineRule="auto"/>
              <w:jc w:val="center"/>
              <w:rPr>
                <w:color w:val="000000" w:themeColor="text1"/>
                <w:szCs w:val="21"/>
              </w:rPr>
            </w:pPr>
            <w:r>
              <w:rPr>
                <w:color w:val="000000" w:themeColor="text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7" w:type="dxa"/>
            <w:vAlign w:val="center"/>
          </w:tcPr>
          <w:p>
            <w:pPr>
              <w:adjustRightInd w:val="0"/>
              <w:snapToGrid w:val="0"/>
              <w:spacing w:line="240" w:lineRule="auto"/>
              <w:jc w:val="center"/>
              <w:rPr>
                <w:color w:val="000000" w:themeColor="text1"/>
              </w:rPr>
            </w:pPr>
            <w:r>
              <w:rPr>
                <w:color w:val="000000" w:themeColor="text1"/>
              </w:rPr>
              <w:t>石油类</w:t>
            </w:r>
          </w:p>
        </w:tc>
        <w:tc>
          <w:tcPr>
            <w:tcW w:w="1842" w:type="dxa"/>
            <w:vAlign w:val="center"/>
          </w:tcPr>
          <w:p>
            <w:pPr>
              <w:adjustRightInd w:val="0"/>
              <w:snapToGrid w:val="0"/>
              <w:spacing w:line="240" w:lineRule="auto"/>
              <w:jc w:val="center"/>
              <w:rPr>
                <w:color w:val="000000" w:themeColor="text1"/>
              </w:rPr>
            </w:pPr>
            <w:r>
              <w:rPr>
                <w:rFonts w:hint="eastAsia"/>
                <w:color w:val="000000" w:themeColor="text1"/>
              </w:rPr>
              <w:t>0.01L~0.02</w:t>
            </w:r>
          </w:p>
        </w:tc>
        <w:tc>
          <w:tcPr>
            <w:tcW w:w="1843"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0.02~0.03</w:t>
            </w:r>
          </w:p>
        </w:tc>
        <w:tc>
          <w:tcPr>
            <w:tcW w:w="15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0.03~0.04</w:t>
            </w:r>
          </w:p>
        </w:tc>
        <w:tc>
          <w:tcPr>
            <w:tcW w:w="1604" w:type="dxa"/>
            <w:vAlign w:val="center"/>
          </w:tcPr>
          <w:p>
            <w:pPr>
              <w:adjustRightInd w:val="0"/>
              <w:snapToGrid w:val="0"/>
              <w:spacing w:line="240" w:lineRule="auto"/>
              <w:jc w:val="center"/>
              <w:rPr>
                <w:color w:val="000000" w:themeColor="text1"/>
                <w:szCs w:val="21"/>
              </w:rPr>
            </w:pPr>
            <w:r>
              <w:rPr>
                <w:color w:val="000000" w:themeColor="text1"/>
                <w:szCs w:val="21"/>
              </w:rPr>
              <w:t>0.</w:t>
            </w:r>
            <w:r>
              <w:rPr>
                <w:rFonts w:hint="eastAsia"/>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7" w:type="dxa"/>
            <w:vAlign w:val="center"/>
          </w:tcPr>
          <w:p>
            <w:pPr>
              <w:adjustRightInd w:val="0"/>
              <w:snapToGrid w:val="0"/>
              <w:spacing w:line="240" w:lineRule="auto"/>
              <w:jc w:val="center"/>
              <w:rPr>
                <w:color w:val="000000" w:themeColor="text1"/>
              </w:rPr>
            </w:pPr>
            <w:r>
              <w:rPr>
                <w:color w:val="000000" w:themeColor="text1"/>
              </w:rPr>
              <w:t>总磷</w:t>
            </w:r>
          </w:p>
        </w:tc>
        <w:tc>
          <w:tcPr>
            <w:tcW w:w="1842" w:type="dxa"/>
            <w:vAlign w:val="center"/>
          </w:tcPr>
          <w:p>
            <w:pPr>
              <w:adjustRightInd w:val="0"/>
              <w:snapToGrid w:val="0"/>
              <w:spacing w:line="240" w:lineRule="auto"/>
              <w:jc w:val="center"/>
              <w:rPr>
                <w:color w:val="000000" w:themeColor="text1"/>
              </w:rPr>
            </w:pPr>
            <w:r>
              <w:rPr>
                <w:rFonts w:hint="eastAsia"/>
                <w:color w:val="000000" w:themeColor="text1"/>
              </w:rPr>
              <w:t>0.082~0.087</w:t>
            </w:r>
          </w:p>
        </w:tc>
        <w:tc>
          <w:tcPr>
            <w:tcW w:w="1843"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0.067~0.074</w:t>
            </w:r>
          </w:p>
        </w:tc>
        <w:tc>
          <w:tcPr>
            <w:tcW w:w="1559"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0.072~0.078</w:t>
            </w:r>
          </w:p>
        </w:tc>
        <w:tc>
          <w:tcPr>
            <w:tcW w:w="1604" w:type="dxa"/>
            <w:vAlign w:val="center"/>
          </w:tcPr>
          <w:p>
            <w:pPr>
              <w:adjustRightInd w:val="0"/>
              <w:snapToGrid w:val="0"/>
              <w:spacing w:line="240" w:lineRule="auto"/>
              <w:jc w:val="center"/>
              <w:rPr>
                <w:color w:val="000000" w:themeColor="text1"/>
                <w:szCs w:val="21"/>
              </w:rPr>
            </w:pPr>
            <w:r>
              <w:rPr>
                <w:rFonts w:hint="eastAsia"/>
                <w:color w:val="000000" w:themeColor="text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7" w:type="dxa"/>
            <w:vAlign w:val="center"/>
          </w:tcPr>
          <w:p>
            <w:pPr>
              <w:adjustRightInd w:val="0"/>
              <w:snapToGrid w:val="0"/>
              <w:spacing w:line="240" w:lineRule="auto"/>
              <w:jc w:val="center"/>
              <w:rPr>
                <w:color w:val="000000" w:themeColor="text1"/>
              </w:rPr>
            </w:pPr>
            <w:r>
              <w:rPr>
                <w:color w:val="000000" w:themeColor="text1"/>
              </w:rPr>
              <w:t>粪大肠菌群</w:t>
            </w:r>
          </w:p>
          <w:p>
            <w:pPr>
              <w:adjustRightInd w:val="0"/>
              <w:snapToGrid w:val="0"/>
              <w:spacing w:line="240" w:lineRule="auto"/>
              <w:jc w:val="center"/>
              <w:rPr>
                <w:color w:val="000000" w:themeColor="text1"/>
              </w:rPr>
            </w:pPr>
            <w:r>
              <w:rPr>
                <w:color w:val="000000" w:themeColor="text1"/>
              </w:rPr>
              <w:t>（个/L）</w:t>
            </w:r>
          </w:p>
        </w:tc>
        <w:tc>
          <w:tcPr>
            <w:tcW w:w="1842" w:type="dxa"/>
            <w:vAlign w:val="center"/>
          </w:tcPr>
          <w:p>
            <w:pPr>
              <w:adjustRightInd w:val="0"/>
              <w:snapToGrid w:val="0"/>
              <w:spacing w:line="240" w:lineRule="auto"/>
              <w:jc w:val="center"/>
              <w:rPr>
                <w:color w:val="000000" w:themeColor="text1"/>
              </w:rPr>
            </w:pPr>
            <w:r>
              <w:rPr>
                <w:rFonts w:hint="eastAsia"/>
                <w:color w:val="000000" w:themeColor="text1"/>
              </w:rPr>
              <w:t>5400~9200</w:t>
            </w:r>
          </w:p>
        </w:tc>
        <w:tc>
          <w:tcPr>
            <w:tcW w:w="1843" w:type="dxa"/>
            <w:vAlign w:val="center"/>
          </w:tcPr>
          <w:p>
            <w:pPr>
              <w:adjustRightInd w:val="0"/>
              <w:snapToGrid w:val="0"/>
              <w:spacing w:line="240" w:lineRule="auto"/>
              <w:jc w:val="center"/>
              <w:rPr>
                <w:color w:val="000000" w:themeColor="text1"/>
                <w:szCs w:val="21"/>
              </w:rPr>
            </w:pPr>
            <w:r>
              <w:rPr>
                <w:color w:val="000000" w:themeColor="text1"/>
                <w:szCs w:val="21"/>
              </w:rPr>
              <w:t>≥2.4×10</w:t>
            </w:r>
            <w:r>
              <w:rPr>
                <w:color w:val="000000" w:themeColor="text1"/>
                <w:szCs w:val="21"/>
                <w:vertAlign w:val="superscript"/>
              </w:rPr>
              <w:t>4</w:t>
            </w:r>
          </w:p>
        </w:tc>
        <w:tc>
          <w:tcPr>
            <w:tcW w:w="1559" w:type="dxa"/>
            <w:vAlign w:val="center"/>
          </w:tcPr>
          <w:p>
            <w:pPr>
              <w:adjustRightInd w:val="0"/>
              <w:snapToGrid w:val="0"/>
              <w:spacing w:line="240" w:lineRule="auto"/>
              <w:jc w:val="center"/>
              <w:rPr>
                <w:color w:val="000000" w:themeColor="text1"/>
                <w:szCs w:val="21"/>
              </w:rPr>
            </w:pPr>
            <w:r>
              <w:rPr>
                <w:rFonts w:hint="eastAsia"/>
                <w:color w:val="000000" w:themeColor="text1"/>
              </w:rPr>
              <w:t>5400~9200</w:t>
            </w:r>
          </w:p>
        </w:tc>
        <w:tc>
          <w:tcPr>
            <w:tcW w:w="1604" w:type="dxa"/>
            <w:vAlign w:val="center"/>
          </w:tcPr>
          <w:p>
            <w:pPr>
              <w:adjustRightInd w:val="0"/>
              <w:snapToGrid w:val="0"/>
              <w:spacing w:line="240" w:lineRule="auto"/>
              <w:jc w:val="center"/>
              <w:rPr>
                <w:color w:val="000000" w:themeColor="text1"/>
                <w:szCs w:val="21"/>
              </w:rPr>
            </w:pPr>
            <w:r>
              <w:rPr>
                <w:color w:val="000000" w:themeColor="text1"/>
                <w:szCs w:val="21"/>
              </w:rPr>
              <w:t>20000</w:t>
            </w:r>
          </w:p>
        </w:tc>
      </w:tr>
    </w:tbl>
    <w:p>
      <w:pPr>
        <w:adjustRightInd w:val="0"/>
        <w:snapToGrid w:val="0"/>
        <w:ind w:firstLine="480" w:firstLineChars="200"/>
        <w:rPr>
          <w:color w:val="000000" w:themeColor="text1"/>
          <w:sz w:val="24"/>
        </w:rPr>
      </w:pPr>
      <w:r>
        <w:rPr>
          <w:color w:val="000000" w:themeColor="text1"/>
          <w:sz w:val="24"/>
        </w:rPr>
        <w:t>从表4.2-</w:t>
      </w:r>
      <w:r>
        <w:rPr>
          <w:rFonts w:hint="eastAsia"/>
          <w:color w:val="000000" w:themeColor="text1"/>
          <w:sz w:val="24"/>
        </w:rPr>
        <w:t>5</w:t>
      </w:r>
      <w:r>
        <w:rPr>
          <w:color w:val="000000" w:themeColor="text1"/>
          <w:sz w:val="24"/>
        </w:rPr>
        <w:t>可以看出，监测的3个断面中，</w:t>
      </w:r>
      <w:r>
        <w:rPr>
          <w:rFonts w:hint="eastAsia"/>
          <w:color w:val="000000" w:themeColor="text1"/>
          <w:sz w:val="24"/>
        </w:rPr>
        <w:t>场址上游500m、康之康河支流汇入口下游500m</w:t>
      </w:r>
      <w:r>
        <w:rPr>
          <w:color w:val="000000" w:themeColor="text1"/>
          <w:sz w:val="24"/>
        </w:rPr>
        <w:t>各项</w:t>
      </w:r>
      <w:r>
        <w:rPr>
          <w:rFonts w:hint="eastAsia"/>
          <w:color w:val="000000" w:themeColor="text1"/>
          <w:sz w:val="24"/>
        </w:rPr>
        <w:t>监测</w:t>
      </w:r>
      <w:r>
        <w:rPr>
          <w:color w:val="000000" w:themeColor="text1"/>
          <w:sz w:val="24"/>
        </w:rPr>
        <w:t>指标均可以达到《地表水环境质量标准》</w:t>
      </w:r>
      <w:r>
        <w:rPr>
          <w:rFonts w:hint="eastAsia"/>
          <w:color w:val="000000" w:themeColor="text1"/>
          <w:sz w:val="24"/>
        </w:rPr>
        <w:t>（</w:t>
      </w:r>
      <w:r>
        <w:rPr>
          <w:color w:val="000000" w:themeColor="text1"/>
          <w:sz w:val="24"/>
        </w:rPr>
        <w:t>GB3838-2002</w:t>
      </w:r>
      <w:r>
        <w:rPr>
          <w:rFonts w:hint="eastAsia"/>
          <w:color w:val="000000" w:themeColor="text1"/>
          <w:sz w:val="24"/>
        </w:rPr>
        <w:t>）</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；场址下游1500m监测断面粪大肠菌群指标超过</w:t>
      </w:r>
      <w:r>
        <w:rPr>
          <w:color w:val="000000" w:themeColor="text1"/>
          <w:sz w:val="24"/>
        </w:rPr>
        <w:t>《地表水环境质量标准》</w:t>
      </w:r>
      <w:r>
        <w:rPr>
          <w:rFonts w:hint="eastAsia"/>
          <w:color w:val="000000" w:themeColor="text1"/>
          <w:sz w:val="24"/>
        </w:rPr>
        <w:t>（</w:t>
      </w:r>
      <w:r>
        <w:rPr>
          <w:color w:val="000000" w:themeColor="text1"/>
          <w:sz w:val="24"/>
        </w:rPr>
        <w:t>GB3838-2002</w:t>
      </w:r>
      <w:r>
        <w:rPr>
          <w:rFonts w:hint="eastAsia"/>
          <w:color w:val="000000" w:themeColor="text1"/>
          <w:sz w:val="24"/>
        </w:rPr>
        <w:t>）</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，其余各指标满足</w:t>
      </w:r>
      <w:r>
        <w:rPr>
          <w:color w:val="000000" w:themeColor="text1"/>
          <w:sz w:val="24"/>
        </w:rPr>
        <w:t>《地表水环境质量标准》</w:t>
      </w:r>
      <w:r>
        <w:rPr>
          <w:rFonts w:hint="eastAsia"/>
          <w:color w:val="000000" w:themeColor="text1"/>
          <w:sz w:val="24"/>
        </w:rPr>
        <w:t>（</w:t>
      </w:r>
      <w:r>
        <w:rPr>
          <w:color w:val="000000" w:themeColor="text1"/>
          <w:sz w:val="24"/>
        </w:rPr>
        <w:t>GB3838-2002</w:t>
      </w:r>
      <w:r>
        <w:rPr>
          <w:rFonts w:hint="eastAsia"/>
          <w:color w:val="000000" w:themeColor="text1"/>
          <w:sz w:val="24"/>
        </w:rPr>
        <w:t>）</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。粪大肠菌群指标超标与区域农业面源污染有一定关系</w:t>
      </w:r>
      <w:r>
        <w:rPr>
          <w:color w:val="000000" w:themeColor="text1"/>
          <w:sz w:val="24"/>
        </w:rPr>
        <w:t>。</w:t>
      </w:r>
    </w:p>
    <w:p>
      <w:pPr>
        <w:pStyle w:val="4"/>
        <w:adjustRightInd w:val="0"/>
        <w:snapToGrid w:val="0"/>
        <w:spacing w:before="0" w:after="0" w:line="360" w:lineRule="auto"/>
        <w:rPr>
          <w:color w:val="000000" w:themeColor="text1"/>
        </w:rPr>
      </w:pPr>
      <w:bookmarkStart w:id="340" w:name="_Toc504403833"/>
      <w:bookmarkStart w:id="341" w:name="_Toc510547315"/>
      <w:r>
        <w:rPr>
          <w:color w:val="000000" w:themeColor="text1"/>
        </w:rPr>
        <w:t>4.2.3地下水环境质量现状</w:t>
      </w:r>
      <w:bookmarkEnd w:id="340"/>
      <w:bookmarkEnd w:id="341"/>
    </w:p>
    <w:p>
      <w:pPr>
        <w:ind w:firstLine="480" w:firstLineChars="200"/>
        <w:rPr>
          <w:color w:val="000000" w:themeColor="text1"/>
          <w:sz w:val="24"/>
        </w:rPr>
      </w:pPr>
      <w:r>
        <w:rPr>
          <w:color w:val="000000" w:themeColor="text1"/>
          <w:sz w:val="24"/>
        </w:rPr>
        <w:t>（1）监测点位</w:t>
      </w:r>
    </w:p>
    <w:p>
      <w:pPr>
        <w:ind w:firstLine="480" w:firstLineChars="200"/>
        <w:rPr>
          <w:color w:val="000000" w:themeColor="text1"/>
          <w:sz w:val="24"/>
        </w:rPr>
      </w:pPr>
      <w:r>
        <w:rPr>
          <w:color w:val="000000" w:themeColor="text1"/>
          <w:sz w:val="24"/>
        </w:rPr>
        <w:t>项目厂址在同一水文地质单元，</w:t>
      </w:r>
      <w:r>
        <w:rPr>
          <w:rFonts w:hint="eastAsia"/>
          <w:color w:val="000000" w:themeColor="text1"/>
          <w:sz w:val="24"/>
        </w:rPr>
        <w:t>评价期间</w:t>
      </w:r>
      <w:r>
        <w:rPr>
          <w:color w:val="000000" w:themeColor="text1"/>
          <w:sz w:val="24"/>
        </w:rPr>
        <w:t>在厂址上游</w:t>
      </w:r>
      <w:r>
        <w:rPr>
          <w:rFonts w:hint="eastAsia"/>
          <w:color w:val="000000" w:themeColor="text1"/>
          <w:sz w:val="24"/>
        </w:rPr>
        <w:t>（场址东北侧）</w:t>
      </w:r>
      <w:r>
        <w:rPr>
          <w:color w:val="000000" w:themeColor="text1"/>
          <w:sz w:val="24"/>
        </w:rPr>
        <w:t>、下游</w:t>
      </w:r>
      <w:r>
        <w:rPr>
          <w:rFonts w:hint="eastAsia"/>
          <w:color w:val="000000" w:themeColor="text1"/>
          <w:sz w:val="24"/>
        </w:rPr>
        <w:t>（场址南侧1500m）、侧游（场址东侧400m）各</w:t>
      </w:r>
      <w:r>
        <w:rPr>
          <w:color w:val="000000" w:themeColor="text1"/>
          <w:sz w:val="24"/>
        </w:rPr>
        <w:t>设置一个监测点位。</w:t>
      </w:r>
    </w:p>
    <w:p>
      <w:pPr>
        <w:ind w:firstLine="424" w:firstLineChars="177"/>
        <w:rPr>
          <w:color w:val="000000" w:themeColor="text1"/>
          <w:sz w:val="24"/>
        </w:rPr>
      </w:pPr>
      <w:r>
        <w:rPr>
          <w:color w:val="000000" w:themeColor="text1"/>
          <w:sz w:val="24"/>
        </w:rPr>
        <w:t>监测点布设情况见表</w:t>
      </w:r>
      <w:r>
        <w:rPr>
          <w:rFonts w:hint="eastAsia"/>
          <w:color w:val="000000" w:themeColor="text1"/>
          <w:sz w:val="24"/>
        </w:rPr>
        <w:t>4.2</w:t>
      </w:r>
      <w:r>
        <w:rPr>
          <w:color w:val="000000" w:themeColor="text1"/>
          <w:sz w:val="24"/>
        </w:rPr>
        <w:t>-</w:t>
      </w:r>
      <w:r>
        <w:rPr>
          <w:rFonts w:hint="eastAsia"/>
          <w:color w:val="000000" w:themeColor="text1"/>
          <w:sz w:val="24"/>
        </w:rPr>
        <w:t>6</w:t>
      </w:r>
      <w:r>
        <w:rPr>
          <w:color w:val="000000" w:themeColor="text1"/>
          <w:sz w:val="24"/>
        </w:rPr>
        <w:t>。</w:t>
      </w:r>
    </w:p>
    <w:p>
      <w:pPr>
        <w:spacing w:line="440" w:lineRule="exact"/>
        <w:jc w:val="center"/>
        <w:rPr>
          <w:b/>
          <w:bCs/>
          <w:color w:val="000000" w:themeColor="text1"/>
          <w:szCs w:val="21"/>
        </w:rPr>
      </w:pPr>
      <w:r>
        <w:rPr>
          <w:b/>
          <w:color w:val="000000" w:themeColor="text1"/>
          <w:szCs w:val="21"/>
        </w:rPr>
        <w:t>表</w:t>
      </w:r>
      <w:r>
        <w:rPr>
          <w:rFonts w:hint="eastAsia"/>
          <w:b/>
          <w:color w:val="000000" w:themeColor="text1"/>
          <w:szCs w:val="21"/>
        </w:rPr>
        <w:t>4.</w:t>
      </w:r>
      <w:r>
        <w:rPr>
          <w:b/>
          <w:color w:val="000000" w:themeColor="text1"/>
          <w:szCs w:val="21"/>
        </w:rPr>
        <w:t>2-</w:t>
      </w:r>
      <w:r>
        <w:rPr>
          <w:rFonts w:hint="eastAsia"/>
          <w:b/>
          <w:color w:val="000000" w:themeColor="text1"/>
          <w:szCs w:val="21"/>
        </w:rPr>
        <w:t>6</w:t>
      </w:r>
      <w:r>
        <w:rPr>
          <w:b/>
          <w:color w:val="000000" w:themeColor="text1"/>
          <w:szCs w:val="21"/>
        </w:rPr>
        <w:t xml:space="preserve">  地</w:t>
      </w:r>
      <w:r>
        <w:rPr>
          <w:rFonts w:hint="eastAsia"/>
          <w:b/>
          <w:color w:val="000000" w:themeColor="text1"/>
          <w:szCs w:val="21"/>
        </w:rPr>
        <w:t>下</w:t>
      </w:r>
      <w:r>
        <w:rPr>
          <w:b/>
          <w:color w:val="000000" w:themeColor="text1"/>
          <w:szCs w:val="21"/>
        </w:rPr>
        <w:t>水</w:t>
      </w:r>
      <w:r>
        <w:rPr>
          <w:b/>
          <w:bCs/>
          <w:color w:val="000000" w:themeColor="text1"/>
          <w:szCs w:val="21"/>
        </w:rPr>
        <w:t>环境监测布点</w:t>
      </w:r>
    </w:p>
    <w:tbl>
      <w:tblPr>
        <w:tblStyle w:val="42"/>
        <w:tblW w:w="8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1701"/>
        <w:gridCol w:w="1134"/>
        <w:gridCol w:w="1134"/>
        <w:gridCol w:w="992"/>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817" w:type="dxa"/>
            <w:vAlign w:val="center"/>
          </w:tcPr>
          <w:p>
            <w:pPr>
              <w:spacing w:line="240" w:lineRule="auto"/>
              <w:jc w:val="center"/>
              <w:rPr>
                <w:rFonts w:eastAsiaTheme="minorEastAsia"/>
                <w:b/>
                <w:color w:val="000000" w:themeColor="text1"/>
                <w:szCs w:val="18"/>
              </w:rPr>
            </w:pPr>
            <w:r>
              <w:rPr>
                <w:rFonts w:eastAsiaTheme="minorEastAsia"/>
                <w:b/>
                <w:color w:val="000000" w:themeColor="text1"/>
                <w:szCs w:val="18"/>
              </w:rPr>
              <w:t>编号</w:t>
            </w:r>
          </w:p>
        </w:tc>
        <w:tc>
          <w:tcPr>
            <w:tcW w:w="1701" w:type="dxa"/>
            <w:vAlign w:val="center"/>
          </w:tcPr>
          <w:p>
            <w:pPr>
              <w:spacing w:line="240" w:lineRule="auto"/>
              <w:jc w:val="center"/>
              <w:rPr>
                <w:rFonts w:eastAsiaTheme="minorEastAsia"/>
                <w:b/>
                <w:color w:val="000000" w:themeColor="text1"/>
                <w:szCs w:val="18"/>
              </w:rPr>
            </w:pPr>
            <w:r>
              <w:rPr>
                <w:rFonts w:eastAsiaTheme="minorEastAsia"/>
                <w:b/>
                <w:color w:val="000000" w:themeColor="text1"/>
                <w:szCs w:val="18"/>
              </w:rPr>
              <w:t>监测点名称</w:t>
            </w:r>
          </w:p>
        </w:tc>
        <w:tc>
          <w:tcPr>
            <w:tcW w:w="1701" w:type="dxa"/>
            <w:vAlign w:val="center"/>
          </w:tcPr>
          <w:p>
            <w:pPr>
              <w:spacing w:line="240" w:lineRule="auto"/>
              <w:jc w:val="center"/>
              <w:rPr>
                <w:rFonts w:eastAsiaTheme="minorEastAsia"/>
                <w:b/>
                <w:color w:val="000000" w:themeColor="text1"/>
                <w:szCs w:val="18"/>
              </w:rPr>
            </w:pPr>
            <w:r>
              <w:rPr>
                <w:rFonts w:eastAsiaTheme="minorEastAsia"/>
                <w:b/>
                <w:color w:val="000000" w:themeColor="text1"/>
                <w:szCs w:val="18"/>
              </w:rPr>
              <w:t>位置</w:t>
            </w:r>
          </w:p>
        </w:tc>
        <w:tc>
          <w:tcPr>
            <w:tcW w:w="1134" w:type="dxa"/>
            <w:vAlign w:val="center"/>
          </w:tcPr>
          <w:p>
            <w:pPr>
              <w:spacing w:line="240" w:lineRule="auto"/>
              <w:jc w:val="center"/>
              <w:rPr>
                <w:rFonts w:eastAsiaTheme="minorEastAsia"/>
                <w:b/>
                <w:color w:val="000000" w:themeColor="text1"/>
                <w:szCs w:val="18"/>
              </w:rPr>
            </w:pPr>
            <w:r>
              <w:rPr>
                <w:rFonts w:eastAsiaTheme="minorEastAsia"/>
                <w:b/>
                <w:color w:val="000000" w:themeColor="text1"/>
                <w:szCs w:val="18"/>
              </w:rPr>
              <w:t>位置关系</w:t>
            </w:r>
          </w:p>
        </w:tc>
        <w:tc>
          <w:tcPr>
            <w:tcW w:w="1134" w:type="dxa"/>
            <w:vAlign w:val="center"/>
          </w:tcPr>
          <w:p>
            <w:pPr>
              <w:spacing w:line="240" w:lineRule="auto"/>
              <w:jc w:val="center"/>
              <w:rPr>
                <w:rFonts w:eastAsiaTheme="minorEastAsia"/>
                <w:b/>
                <w:color w:val="000000" w:themeColor="text1"/>
                <w:szCs w:val="18"/>
              </w:rPr>
            </w:pPr>
            <w:r>
              <w:rPr>
                <w:rFonts w:hint="eastAsia" w:eastAsiaTheme="minorEastAsia"/>
                <w:b/>
                <w:color w:val="000000" w:themeColor="text1"/>
                <w:szCs w:val="18"/>
              </w:rPr>
              <w:t>井深（m）</w:t>
            </w:r>
          </w:p>
        </w:tc>
        <w:tc>
          <w:tcPr>
            <w:tcW w:w="992" w:type="dxa"/>
            <w:vAlign w:val="center"/>
          </w:tcPr>
          <w:p>
            <w:pPr>
              <w:spacing w:line="240" w:lineRule="auto"/>
              <w:jc w:val="center"/>
              <w:rPr>
                <w:rFonts w:eastAsiaTheme="minorEastAsia"/>
                <w:b/>
                <w:color w:val="000000" w:themeColor="text1"/>
                <w:szCs w:val="18"/>
              </w:rPr>
            </w:pPr>
            <w:r>
              <w:rPr>
                <w:rFonts w:hint="eastAsia" w:eastAsiaTheme="minorEastAsia"/>
                <w:b/>
                <w:color w:val="000000" w:themeColor="text1"/>
                <w:szCs w:val="18"/>
              </w:rPr>
              <w:t>水位埋深（m）</w:t>
            </w:r>
          </w:p>
        </w:tc>
        <w:tc>
          <w:tcPr>
            <w:tcW w:w="1092" w:type="dxa"/>
            <w:vAlign w:val="center"/>
          </w:tcPr>
          <w:p>
            <w:pPr>
              <w:spacing w:line="240" w:lineRule="auto"/>
              <w:jc w:val="center"/>
              <w:rPr>
                <w:rFonts w:eastAsiaTheme="minorEastAsia"/>
                <w:b/>
                <w:color w:val="000000" w:themeColor="text1"/>
                <w:szCs w:val="18"/>
              </w:rPr>
            </w:pPr>
            <w:r>
              <w:rPr>
                <w:rFonts w:hint="eastAsia" w:eastAsiaTheme="minorEastAsia"/>
                <w:b/>
                <w:color w:val="000000" w:themeColor="text1"/>
                <w:szCs w:val="18"/>
              </w:rPr>
              <w:t>水位高程（m）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 w:hRule="atLeast"/>
        </w:trPr>
        <w:tc>
          <w:tcPr>
            <w:tcW w:w="817" w:type="dxa"/>
            <w:vAlign w:val="center"/>
          </w:tcPr>
          <w:p>
            <w:pPr>
              <w:spacing w:line="240" w:lineRule="auto"/>
              <w:jc w:val="center"/>
              <w:rPr>
                <w:rFonts w:eastAsiaTheme="minorEastAsia"/>
                <w:color w:val="000000" w:themeColor="text1"/>
                <w:szCs w:val="18"/>
              </w:rPr>
            </w:pPr>
            <w:r>
              <w:rPr>
                <w:rFonts w:eastAsiaTheme="minorEastAsia"/>
                <w:color w:val="000000" w:themeColor="text1"/>
                <w:szCs w:val="18"/>
              </w:rPr>
              <w:t>1#</w:t>
            </w:r>
          </w:p>
        </w:tc>
        <w:tc>
          <w:tcPr>
            <w:tcW w:w="1701"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地下水监测井场址东北侧</w:t>
            </w:r>
          </w:p>
        </w:tc>
        <w:tc>
          <w:tcPr>
            <w:tcW w:w="1701" w:type="dxa"/>
            <w:vAlign w:val="center"/>
          </w:tcPr>
          <w:p>
            <w:pPr>
              <w:spacing w:line="240" w:lineRule="auto"/>
              <w:jc w:val="center"/>
              <w:rPr>
                <w:rFonts w:eastAsiaTheme="minorEastAsia"/>
                <w:color w:val="000000" w:themeColor="text1"/>
                <w:szCs w:val="18"/>
              </w:rPr>
            </w:pPr>
            <w:r>
              <w:rPr>
                <w:rFonts w:eastAsiaTheme="minorEastAsia"/>
                <w:color w:val="000000" w:themeColor="text1"/>
                <w:szCs w:val="18"/>
              </w:rPr>
              <w:t>N：24° 8'55.59"</w:t>
            </w:r>
          </w:p>
          <w:p>
            <w:pPr>
              <w:spacing w:line="240" w:lineRule="auto"/>
              <w:jc w:val="center"/>
              <w:rPr>
                <w:rFonts w:eastAsiaTheme="minorEastAsia"/>
                <w:color w:val="000000" w:themeColor="text1"/>
                <w:szCs w:val="18"/>
              </w:rPr>
            </w:pPr>
            <w:r>
              <w:rPr>
                <w:rFonts w:eastAsiaTheme="minorEastAsia"/>
                <w:color w:val="000000" w:themeColor="text1"/>
                <w:szCs w:val="18"/>
              </w:rPr>
              <w:t>E：102° 0'9.58"</w:t>
            </w:r>
          </w:p>
        </w:tc>
        <w:tc>
          <w:tcPr>
            <w:tcW w:w="1134"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场址</w:t>
            </w:r>
            <w:r>
              <w:rPr>
                <w:rFonts w:eastAsiaTheme="minorEastAsia"/>
                <w:color w:val="000000" w:themeColor="text1"/>
                <w:szCs w:val="18"/>
              </w:rPr>
              <w:t>上游</w:t>
            </w:r>
          </w:p>
        </w:tc>
        <w:tc>
          <w:tcPr>
            <w:tcW w:w="1134"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1.5</w:t>
            </w:r>
          </w:p>
        </w:tc>
        <w:tc>
          <w:tcPr>
            <w:tcW w:w="992"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0.31</w:t>
            </w:r>
          </w:p>
        </w:tc>
        <w:tc>
          <w:tcPr>
            <w:tcW w:w="1092"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1758.4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 w:hRule="atLeast"/>
        </w:trPr>
        <w:tc>
          <w:tcPr>
            <w:tcW w:w="817" w:type="dxa"/>
            <w:vAlign w:val="center"/>
          </w:tcPr>
          <w:p>
            <w:pPr>
              <w:spacing w:line="240" w:lineRule="auto"/>
              <w:jc w:val="center"/>
              <w:rPr>
                <w:rFonts w:eastAsiaTheme="minorEastAsia"/>
                <w:color w:val="000000" w:themeColor="text1"/>
                <w:szCs w:val="18"/>
              </w:rPr>
            </w:pPr>
            <w:r>
              <w:rPr>
                <w:rFonts w:eastAsiaTheme="minorEastAsia"/>
                <w:color w:val="000000" w:themeColor="text1"/>
                <w:szCs w:val="18"/>
              </w:rPr>
              <w:t>2#</w:t>
            </w:r>
          </w:p>
        </w:tc>
        <w:tc>
          <w:tcPr>
            <w:tcW w:w="1701"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地下水监测井场址东侧400m</w:t>
            </w:r>
          </w:p>
        </w:tc>
        <w:tc>
          <w:tcPr>
            <w:tcW w:w="1701" w:type="dxa"/>
            <w:vAlign w:val="center"/>
          </w:tcPr>
          <w:p>
            <w:pPr>
              <w:spacing w:line="240" w:lineRule="auto"/>
              <w:jc w:val="center"/>
              <w:rPr>
                <w:rFonts w:eastAsiaTheme="minorEastAsia"/>
                <w:color w:val="000000" w:themeColor="text1"/>
                <w:szCs w:val="18"/>
              </w:rPr>
            </w:pPr>
            <w:r>
              <w:rPr>
                <w:rFonts w:eastAsiaTheme="minorEastAsia"/>
                <w:color w:val="000000" w:themeColor="text1"/>
                <w:szCs w:val="18"/>
              </w:rPr>
              <w:t>N：24° 8'40.62"</w:t>
            </w:r>
          </w:p>
          <w:p>
            <w:pPr>
              <w:spacing w:line="240" w:lineRule="auto"/>
              <w:jc w:val="center"/>
              <w:rPr>
                <w:rFonts w:eastAsiaTheme="minorEastAsia"/>
                <w:color w:val="000000" w:themeColor="text1"/>
                <w:szCs w:val="18"/>
              </w:rPr>
            </w:pPr>
            <w:r>
              <w:rPr>
                <w:rFonts w:eastAsiaTheme="minorEastAsia"/>
                <w:color w:val="000000" w:themeColor="text1"/>
                <w:szCs w:val="18"/>
              </w:rPr>
              <w:t>E：102° 0'16.68"</w:t>
            </w:r>
          </w:p>
        </w:tc>
        <w:tc>
          <w:tcPr>
            <w:tcW w:w="1134"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场址</w:t>
            </w:r>
            <w:r>
              <w:rPr>
                <w:rFonts w:eastAsiaTheme="minorEastAsia"/>
                <w:color w:val="000000" w:themeColor="text1"/>
                <w:szCs w:val="18"/>
              </w:rPr>
              <w:t>侧游</w:t>
            </w:r>
          </w:p>
        </w:tc>
        <w:tc>
          <w:tcPr>
            <w:tcW w:w="1134"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1.6</w:t>
            </w:r>
          </w:p>
        </w:tc>
        <w:tc>
          <w:tcPr>
            <w:tcW w:w="992"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0.28</w:t>
            </w:r>
          </w:p>
        </w:tc>
        <w:tc>
          <w:tcPr>
            <w:tcW w:w="1092"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1665.8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 w:hRule="atLeast"/>
        </w:trPr>
        <w:tc>
          <w:tcPr>
            <w:tcW w:w="817" w:type="dxa"/>
            <w:vAlign w:val="center"/>
          </w:tcPr>
          <w:p>
            <w:pPr>
              <w:spacing w:line="240" w:lineRule="auto"/>
              <w:jc w:val="center"/>
              <w:rPr>
                <w:rFonts w:eastAsiaTheme="minorEastAsia"/>
                <w:color w:val="000000" w:themeColor="text1"/>
                <w:szCs w:val="18"/>
              </w:rPr>
            </w:pPr>
            <w:r>
              <w:rPr>
                <w:rFonts w:eastAsiaTheme="minorEastAsia"/>
                <w:color w:val="000000" w:themeColor="text1"/>
                <w:szCs w:val="18"/>
              </w:rPr>
              <w:t xml:space="preserve">3# </w:t>
            </w:r>
          </w:p>
        </w:tc>
        <w:tc>
          <w:tcPr>
            <w:tcW w:w="1701"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地下水监测井场址南侧1500m</w:t>
            </w:r>
          </w:p>
        </w:tc>
        <w:tc>
          <w:tcPr>
            <w:tcW w:w="1701" w:type="dxa"/>
            <w:vAlign w:val="center"/>
          </w:tcPr>
          <w:p>
            <w:pPr>
              <w:spacing w:line="240" w:lineRule="auto"/>
              <w:jc w:val="center"/>
              <w:rPr>
                <w:rFonts w:eastAsiaTheme="minorEastAsia"/>
                <w:color w:val="000000" w:themeColor="text1"/>
                <w:szCs w:val="18"/>
              </w:rPr>
            </w:pPr>
            <w:r>
              <w:rPr>
                <w:rFonts w:eastAsiaTheme="minorEastAsia"/>
                <w:color w:val="000000" w:themeColor="text1"/>
                <w:szCs w:val="18"/>
              </w:rPr>
              <w:t>N：24° 7'49.92"</w:t>
            </w:r>
          </w:p>
          <w:p>
            <w:pPr>
              <w:spacing w:line="240" w:lineRule="auto"/>
              <w:jc w:val="center"/>
              <w:rPr>
                <w:rFonts w:eastAsiaTheme="minorEastAsia"/>
                <w:color w:val="000000" w:themeColor="text1"/>
                <w:szCs w:val="18"/>
              </w:rPr>
            </w:pPr>
            <w:r>
              <w:rPr>
                <w:rFonts w:eastAsiaTheme="minorEastAsia"/>
                <w:color w:val="000000" w:themeColor="text1"/>
                <w:szCs w:val="18"/>
              </w:rPr>
              <w:t>E：102° 0'28.55"</w:t>
            </w:r>
          </w:p>
        </w:tc>
        <w:tc>
          <w:tcPr>
            <w:tcW w:w="1134"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场址下游</w:t>
            </w:r>
          </w:p>
        </w:tc>
        <w:tc>
          <w:tcPr>
            <w:tcW w:w="1134"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1.8</w:t>
            </w:r>
          </w:p>
        </w:tc>
        <w:tc>
          <w:tcPr>
            <w:tcW w:w="992"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0.42</w:t>
            </w:r>
          </w:p>
        </w:tc>
        <w:tc>
          <w:tcPr>
            <w:tcW w:w="1092" w:type="dxa"/>
            <w:vAlign w:val="center"/>
          </w:tcPr>
          <w:p>
            <w:pPr>
              <w:spacing w:line="240" w:lineRule="auto"/>
              <w:jc w:val="center"/>
              <w:rPr>
                <w:rFonts w:eastAsiaTheme="minorEastAsia"/>
                <w:color w:val="000000" w:themeColor="text1"/>
                <w:szCs w:val="18"/>
              </w:rPr>
            </w:pPr>
            <w:r>
              <w:rPr>
                <w:rFonts w:hint="eastAsia" w:eastAsiaTheme="minorEastAsia"/>
                <w:color w:val="000000" w:themeColor="text1"/>
                <w:szCs w:val="18"/>
              </w:rPr>
              <w:t>1521.2</w:t>
            </w:r>
          </w:p>
        </w:tc>
      </w:tr>
    </w:tbl>
    <w:p>
      <w:pPr>
        <w:ind w:firstLine="480" w:firstLineChars="200"/>
        <w:rPr>
          <w:color w:val="000000" w:themeColor="text1"/>
          <w:sz w:val="24"/>
        </w:rPr>
      </w:pPr>
      <w:r>
        <w:rPr>
          <w:color w:val="000000" w:themeColor="text1"/>
          <w:sz w:val="24"/>
        </w:rPr>
        <w:t>（2）监测项目</w:t>
      </w:r>
    </w:p>
    <w:p>
      <w:pPr>
        <w:ind w:firstLine="480" w:firstLineChars="200"/>
        <w:rPr>
          <w:color w:val="000000" w:themeColor="text1"/>
          <w:sz w:val="24"/>
        </w:rPr>
      </w:pPr>
      <w:r>
        <w:rPr>
          <w:color w:val="000000" w:themeColor="text1"/>
          <w:sz w:val="24"/>
        </w:rPr>
        <w:t>pH、氨氮、硝酸盐、亚硝酸盐、溶解性总固体、</w:t>
      </w:r>
      <w:r>
        <w:rPr>
          <w:rFonts w:hint="eastAsia"/>
          <w:color w:val="000000" w:themeColor="text1"/>
          <w:sz w:val="24"/>
        </w:rPr>
        <w:t>高锰酸盐指数、硫酸盐</w:t>
      </w:r>
      <w:r>
        <w:rPr>
          <w:color w:val="000000" w:themeColor="text1"/>
          <w:sz w:val="24"/>
        </w:rPr>
        <w:t>、</w:t>
      </w:r>
      <w:r>
        <w:rPr>
          <w:rFonts w:hint="eastAsia"/>
          <w:color w:val="000000" w:themeColor="text1"/>
          <w:sz w:val="24"/>
        </w:rPr>
        <w:t>氯化物、</w:t>
      </w:r>
      <w:r>
        <w:rPr>
          <w:color w:val="000000" w:themeColor="text1"/>
          <w:sz w:val="24"/>
        </w:rPr>
        <w:t>总大肠菌群、</w:t>
      </w:r>
      <w:r>
        <w:rPr>
          <w:rFonts w:hint="eastAsia"/>
          <w:color w:val="000000" w:themeColor="text1"/>
          <w:sz w:val="24"/>
        </w:rPr>
        <w:t>菌落</w:t>
      </w:r>
      <w:r>
        <w:rPr>
          <w:color w:val="000000" w:themeColor="text1"/>
          <w:sz w:val="24"/>
        </w:rPr>
        <w:t>总数。</w:t>
      </w:r>
    </w:p>
    <w:p>
      <w:pPr>
        <w:ind w:firstLine="360" w:firstLineChars="150"/>
        <w:rPr>
          <w:color w:val="000000" w:themeColor="text1"/>
          <w:sz w:val="24"/>
        </w:rPr>
      </w:pPr>
      <w:r>
        <w:rPr>
          <w:color w:val="000000" w:themeColor="text1"/>
          <w:sz w:val="24"/>
        </w:rPr>
        <w:t>（3）监测频率：监测1天，监测一次。</w:t>
      </w:r>
    </w:p>
    <w:p>
      <w:pPr>
        <w:spacing w:line="240" w:lineRule="auto"/>
        <w:jc w:val="center"/>
        <w:rPr>
          <w:b/>
          <w:color w:val="000000" w:themeColor="text1"/>
          <w:spacing w:val="4"/>
          <w:szCs w:val="21"/>
        </w:rPr>
      </w:pPr>
      <w:r>
        <w:rPr>
          <w:b/>
          <w:color w:val="000000" w:themeColor="text1"/>
          <w:szCs w:val="21"/>
        </w:rPr>
        <w:t>表4.2-</w:t>
      </w:r>
      <w:r>
        <w:rPr>
          <w:rFonts w:hint="eastAsia"/>
          <w:b/>
          <w:color w:val="000000" w:themeColor="text1"/>
          <w:szCs w:val="21"/>
        </w:rPr>
        <w:t xml:space="preserve">7  </w:t>
      </w:r>
      <w:r>
        <w:rPr>
          <w:b/>
          <w:color w:val="000000" w:themeColor="text1"/>
          <w:szCs w:val="21"/>
        </w:rPr>
        <w:t>地下水监测结果及评价</w:t>
      </w:r>
      <w:r>
        <w:rPr>
          <w:rFonts w:hint="eastAsia"/>
          <w:b/>
          <w:color w:val="000000" w:themeColor="text1"/>
          <w:szCs w:val="21"/>
        </w:rPr>
        <w:t xml:space="preserve">     </w:t>
      </w:r>
      <w:r>
        <w:rPr>
          <w:b/>
          <w:color w:val="000000" w:themeColor="text1"/>
          <w:szCs w:val="21"/>
        </w:rPr>
        <w:t>单位：</w:t>
      </w:r>
      <w:r>
        <w:rPr>
          <w:b/>
          <w:bCs/>
          <w:color w:val="000000" w:themeColor="text1"/>
          <w:szCs w:val="21"/>
        </w:rPr>
        <w:t>mg/L</w:t>
      </w:r>
      <w:bookmarkStart w:id="342" w:name="_Toc402186381"/>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1248"/>
        <w:gridCol w:w="1508"/>
        <w:gridCol w:w="1335"/>
        <w:gridCol w:w="1336"/>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tabs>
                <w:tab w:val="right" w:pos="8906"/>
              </w:tabs>
              <w:spacing w:line="240" w:lineRule="auto"/>
              <w:jc w:val="center"/>
              <w:rPr>
                <w:rFonts w:eastAsia="仿宋_GB2312"/>
                <w:b/>
                <w:bCs/>
                <w:color w:val="000000" w:themeColor="text1"/>
                <w:szCs w:val="21"/>
              </w:rPr>
            </w:pPr>
            <w:r>
              <w:rPr>
                <w:rFonts w:eastAsia="仿宋_GB2312"/>
                <w:b/>
                <w:color w:val="000000" w:themeColor="text1"/>
                <w:szCs w:val="21"/>
              </w:rPr>
              <w:t>分析项目</w:t>
            </w:r>
          </w:p>
        </w:tc>
        <w:tc>
          <w:tcPr>
            <w:tcW w:w="732" w:type="pct"/>
            <w:vAlign w:val="center"/>
          </w:tcPr>
          <w:p>
            <w:pPr>
              <w:tabs>
                <w:tab w:val="right" w:pos="8906"/>
              </w:tabs>
              <w:spacing w:line="240" w:lineRule="auto"/>
              <w:jc w:val="center"/>
              <w:rPr>
                <w:rFonts w:eastAsia="仿宋_GB2312"/>
                <w:b/>
                <w:bCs/>
                <w:color w:val="000000" w:themeColor="text1"/>
                <w:szCs w:val="21"/>
              </w:rPr>
            </w:pPr>
            <w:r>
              <w:rPr>
                <w:rFonts w:eastAsia="仿宋_GB2312"/>
                <w:b/>
                <w:color w:val="000000" w:themeColor="text1"/>
                <w:szCs w:val="21"/>
              </w:rPr>
              <w:t>采样日期</w:t>
            </w:r>
          </w:p>
        </w:tc>
        <w:tc>
          <w:tcPr>
            <w:tcW w:w="884" w:type="pct"/>
            <w:vAlign w:val="center"/>
          </w:tcPr>
          <w:p>
            <w:pPr>
              <w:spacing w:line="240" w:lineRule="auto"/>
              <w:jc w:val="center"/>
              <w:rPr>
                <w:rFonts w:eastAsia="仿宋_GB2312"/>
                <w:b/>
                <w:bCs/>
                <w:color w:val="000000" w:themeColor="text1"/>
                <w:szCs w:val="21"/>
              </w:rPr>
            </w:pPr>
            <w:r>
              <w:rPr>
                <w:rFonts w:hint="eastAsia" w:eastAsia="仿宋_GB2312"/>
                <w:b/>
                <w:color w:val="000000" w:themeColor="text1"/>
                <w:szCs w:val="21"/>
              </w:rPr>
              <w:t>地下水监测井场址东北侧</w:t>
            </w:r>
          </w:p>
        </w:tc>
        <w:tc>
          <w:tcPr>
            <w:tcW w:w="783" w:type="pct"/>
            <w:vAlign w:val="center"/>
          </w:tcPr>
          <w:p>
            <w:pPr>
              <w:tabs>
                <w:tab w:val="right" w:pos="8906"/>
              </w:tabs>
              <w:spacing w:line="240" w:lineRule="auto"/>
              <w:jc w:val="center"/>
              <w:rPr>
                <w:rFonts w:eastAsia="仿宋_GB2312"/>
                <w:b/>
                <w:color w:val="000000" w:themeColor="text1"/>
                <w:szCs w:val="21"/>
              </w:rPr>
            </w:pPr>
            <w:r>
              <w:rPr>
                <w:rFonts w:hint="eastAsia" w:eastAsia="仿宋_GB2312"/>
                <w:b/>
                <w:color w:val="000000" w:themeColor="text1"/>
                <w:szCs w:val="21"/>
              </w:rPr>
              <w:t>地下水监测井场址东侧400m</w:t>
            </w:r>
          </w:p>
        </w:tc>
        <w:tc>
          <w:tcPr>
            <w:tcW w:w="783" w:type="pct"/>
            <w:vAlign w:val="center"/>
          </w:tcPr>
          <w:p>
            <w:pPr>
              <w:spacing w:line="240" w:lineRule="auto"/>
              <w:jc w:val="center"/>
              <w:rPr>
                <w:rFonts w:eastAsia="仿宋_GB2312"/>
                <w:b/>
                <w:bCs/>
                <w:color w:val="000000" w:themeColor="text1"/>
                <w:szCs w:val="21"/>
              </w:rPr>
            </w:pPr>
            <w:r>
              <w:rPr>
                <w:rFonts w:hint="eastAsia" w:eastAsia="仿宋_GB2312"/>
                <w:b/>
                <w:color w:val="000000" w:themeColor="text1"/>
                <w:szCs w:val="21"/>
              </w:rPr>
              <w:t>地下水监测井场址南侧1500m</w:t>
            </w:r>
          </w:p>
        </w:tc>
        <w:tc>
          <w:tcPr>
            <w:tcW w:w="658" w:type="pct"/>
            <w:vAlign w:val="center"/>
          </w:tcPr>
          <w:p>
            <w:pPr>
              <w:tabs>
                <w:tab w:val="right" w:pos="8906"/>
              </w:tabs>
              <w:spacing w:line="240" w:lineRule="auto"/>
              <w:jc w:val="center"/>
              <w:rPr>
                <w:rFonts w:eastAsia="仿宋_GB2312"/>
                <w:b/>
                <w:color w:val="000000" w:themeColor="text1"/>
                <w:szCs w:val="21"/>
              </w:rPr>
            </w:pPr>
            <w:r>
              <w:rPr>
                <w:rFonts w:eastAsia="仿宋_GB2312"/>
                <w:b/>
                <w:color w:val="000000" w:themeColor="text1"/>
                <w:szCs w:val="21"/>
              </w:rPr>
              <w:t>标准</w:t>
            </w:r>
          </w:p>
          <w:p>
            <w:pPr>
              <w:tabs>
                <w:tab w:val="right" w:pos="8906"/>
              </w:tabs>
              <w:spacing w:line="240" w:lineRule="auto"/>
              <w:jc w:val="center"/>
              <w:rPr>
                <w:rFonts w:eastAsia="仿宋_GB2312"/>
                <w:b/>
                <w:color w:val="000000" w:themeColor="text1"/>
                <w:szCs w:val="21"/>
              </w:rPr>
            </w:pPr>
            <w:r>
              <w:rPr>
                <w:rFonts w:eastAsia="仿宋_GB2312"/>
                <w:b/>
                <w:color w:val="000000" w:themeColor="text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eastAsia="仿宋_GB2312"/>
                <w:b/>
                <w:bCs/>
                <w:color w:val="000000" w:themeColor="text1"/>
                <w:szCs w:val="21"/>
              </w:rPr>
              <w:t>pH</w:t>
            </w:r>
          </w:p>
          <w:p>
            <w:pPr>
              <w:spacing w:line="240" w:lineRule="auto"/>
              <w:ind w:left="103" w:hanging="103" w:hangingChars="49"/>
              <w:jc w:val="center"/>
              <w:rPr>
                <w:rFonts w:eastAsia="仿宋_GB2312"/>
                <w:b/>
                <w:bCs/>
                <w:color w:val="000000" w:themeColor="text1"/>
                <w:szCs w:val="21"/>
              </w:rPr>
            </w:pPr>
            <w:r>
              <w:rPr>
                <w:rFonts w:eastAsia="仿宋_GB2312"/>
                <w:b/>
                <w:bCs/>
                <w:color w:val="000000" w:themeColor="text1"/>
                <w:szCs w:val="21"/>
              </w:rPr>
              <w:t>（无量纲）</w:t>
            </w:r>
          </w:p>
        </w:tc>
        <w:tc>
          <w:tcPr>
            <w:tcW w:w="732" w:type="pct"/>
            <w:vMerge w:val="restart"/>
            <w:vAlign w:val="center"/>
          </w:tcPr>
          <w:p>
            <w:pPr>
              <w:spacing w:line="240" w:lineRule="auto"/>
              <w:ind w:left="103" w:hanging="102" w:hangingChars="49"/>
              <w:jc w:val="center"/>
              <w:rPr>
                <w:rFonts w:eastAsia="仿宋_GB2312"/>
                <w:color w:val="000000" w:themeColor="text1"/>
                <w:szCs w:val="21"/>
              </w:rPr>
            </w:pPr>
            <w:r>
              <w:rPr>
                <w:rFonts w:eastAsia="仿宋_GB2312"/>
                <w:color w:val="000000" w:themeColor="text1"/>
                <w:szCs w:val="21"/>
              </w:rPr>
              <w:t>2018.</w:t>
            </w:r>
            <w:r>
              <w:rPr>
                <w:rFonts w:hint="eastAsia" w:eastAsia="仿宋_GB2312"/>
                <w:color w:val="000000" w:themeColor="text1"/>
                <w:szCs w:val="21"/>
              </w:rPr>
              <w:t>9</w:t>
            </w:r>
            <w:r>
              <w:rPr>
                <w:rFonts w:eastAsia="仿宋_GB2312"/>
                <w:color w:val="000000" w:themeColor="text1"/>
                <w:szCs w:val="21"/>
              </w:rPr>
              <w:t>.</w:t>
            </w:r>
            <w:r>
              <w:rPr>
                <w:rFonts w:hint="eastAsia" w:eastAsia="仿宋_GB2312"/>
                <w:color w:val="000000" w:themeColor="text1"/>
                <w:szCs w:val="21"/>
              </w:rPr>
              <w:t>5</w:t>
            </w:r>
          </w:p>
        </w:tc>
        <w:tc>
          <w:tcPr>
            <w:tcW w:w="884"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7.4</w:t>
            </w:r>
          </w:p>
        </w:tc>
        <w:tc>
          <w:tcPr>
            <w:tcW w:w="783"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7.5</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7.4</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eastAsia="仿宋_GB2312"/>
                <w:b/>
                <w:bCs/>
                <w:color w:val="000000" w:themeColor="text1"/>
                <w:szCs w:val="21"/>
              </w:rPr>
              <w:t>溶解性总固体</w:t>
            </w:r>
          </w:p>
        </w:tc>
        <w:tc>
          <w:tcPr>
            <w:tcW w:w="732" w:type="pct"/>
            <w:vMerge w:val="continue"/>
            <w:vAlign w:val="center"/>
          </w:tcPr>
          <w:p>
            <w:pPr>
              <w:spacing w:line="240" w:lineRule="auto"/>
              <w:jc w:val="center"/>
              <w:rPr>
                <w:rFonts w:eastAsia="仿宋_GB2312"/>
                <w:color w:val="000000" w:themeColor="text1"/>
                <w:szCs w:val="21"/>
              </w:rPr>
            </w:pPr>
          </w:p>
        </w:tc>
        <w:tc>
          <w:tcPr>
            <w:tcW w:w="884"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400</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324</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361</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eastAsia="仿宋_GB2312"/>
                <w:b/>
                <w:bCs/>
                <w:color w:val="000000" w:themeColor="text1"/>
                <w:szCs w:val="21"/>
              </w:rPr>
              <w:t>硫酸盐</w:t>
            </w:r>
          </w:p>
        </w:tc>
        <w:tc>
          <w:tcPr>
            <w:tcW w:w="732" w:type="pct"/>
            <w:vMerge w:val="continue"/>
            <w:vAlign w:val="center"/>
          </w:tcPr>
          <w:p>
            <w:pPr>
              <w:spacing w:line="240" w:lineRule="auto"/>
              <w:jc w:val="center"/>
              <w:rPr>
                <w:rFonts w:eastAsia="仿宋_GB2312"/>
                <w:color w:val="000000" w:themeColor="text1"/>
                <w:szCs w:val="21"/>
              </w:rPr>
            </w:pPr>
          </w:p>
        </w:tc>
        <w:tc>
          <w:tcPr>
            <w:tcW w:w="884"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8L</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8L</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8L</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eastAsia="仿宋_GB2312"/>
                <w:b/>
                <w:bCs/>
                <w:color w:val="000000" w:themeColor="text1"/>
                <w:szCs w:val="21"/>
              </w:rPr>
              <w:t>氯化物</w:t>
            </w:r>
          </w:p>
        </w:tc>
        <w:tc>
          <w:tcPr>
            <w:tcW w:w="732" w:type="pct"/>
            <w:vMerge w:val="continue"/>
            <w:vAlign w:val="center"/>
          </w:tcPr>
          <w:p>
            <w:pPr>
              <w:spacing w:line="240" w:lineRule="auto"/>
              <w:jc w:val="center"/>
              <w:rPr>
                <w:rFonts w:eastAsia="仿宋_GB2312"/>
                <w:color w:val="000000" w:themeColor="text1"/>
                <w:szCs w:val="21"/>
              </w:rPr>
            </w:pPr>
          </w:p>
        </w:tc>
        <w:tc>
          <w:tcPr>
            <w:tcW w:w="884"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2L</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2L</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2L</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hint="eastAsia" w:eastAsia="仿宋_GB2312"/>
                <w:b/>
                <w:bCs/>
                <w:color w:val="000000" w:themeColor="text1"/>
                <w:szCs w:val="21"/>
              </w:rPr>
              <w:t>高锰酸盐指数</w:t>
            </w:r>
          </w:p>
        </w:tc>
        <w:tc>
          <w:tcPr>
            <w:tcW w:w="732" w:type="pct"/>
            <w:vMerge w:val="continue"/>
            <w:vAlign w:val="center"/>
          </w:tcPr>
          <w:p>
            <w:pPr>
              <w:spacing w:line="240" w:lineRule="auto"/>
              <w:jc w:val="center"/>
              <w:rPr>
                <w:rFonts w:eastAsia="仿宋_GB2312"/>
                <w:color w:val="000000" w:themeColor="text1"/>
                <w:szCs w:val="21"/>
              </w:rPr>
            </w:pPr>
          </w:p>
        </w:tc>
        <w:tc>
          <w:tcPr>
            <w:tcW w:w="884"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1.7</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1.9</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1.8</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hint="eastAsia" w:eastAsia="仿宋_GB2312"/>
                <w:b/>
                <w:bCs/>
                <w:color w:val="000000" w:themeColor="text1"/>
                <w:szCs w:val="21"/>
              </w:rPr>
              <w:t>氨氮</w:t>
            </w:r>
          </w:p>
        </w:tc>
        <w:tc>
          <w:tcPr>
            <w:tcW w:w="732" w:type="pct"/>
            <w:vMerge w:val="continue"/>
            <w:vAlign w:val="center"/>
          </w:tcPr>
          <w:p>
            <w:pPr>
              <w:spacing w:line="240" w:lineRule="auto"/>
              <w:jc w:val="center"/>
              <w:rPr>
                <w:rFonts w:eastAsia="仿宋_GB2312"/>
                <w:color w:val="000000" w:themeColor="text1"/>
                <w:szCs w:val="21"/>
              </w:rPr>
            </w:pPr>
          </w:p>
        </w:tc>
        <w:tc>
          <w:tcPr>
            <w:tcW w:w="884"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0.225</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0.258</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0.273</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eastAsia="仿宋_GB2312"/>
                <w:b/>
                <w:bCs/>
                <w:color w:val="000000" w:themeColor="text1"/>
                <w:szCs w:val="21"/>
              </w:rPr>
              <w:t>总大肠菌群</w:t>
            </w:r>
          </w:p>
        </w:tc>
        <w:tc>
          <w:tcPr>
            <w:tcW w:w="732" w:type="pct"/>
            <w:vMerge w:val="continue"/>
            <w:vAlign w:val="center"/>
          </w:tcPr>
          <w:p>
            <w:pPr>
              <w:spacing w:line="240" w:lineRule="auto"/>
              <w:jc w:val="center"/>
              <w:rPr>
                <w:rFonts w:eastAsia="仿宋_GB2312"/>
                <w:color w:val="000000" w:themeColor="text1"/>
                <w:szCs w:val="21"/>
              </w:rPr>
            </w:pPr>
          </w:p>
        </w:tc>
        <w:tc>
          <w:tcPr>
            <w:tcW w:w="884" w:type="pct"/>
            <w:vAlign w:val="center"/>
          </w:tcPr>
          <w:p>
            <w:pPr>
              <w:spacing w:line="240" w:lineRule="auto"/>
              <w:jc w:val="center"/>
              <w:rPr>
                <w:rFonts w:eastAsia="仿宋_GB2312"/>
                <w:color w:val="000000" w:themeColor="text1"/>
                <w:szCs w:val="21"/>
              </w:rPr>
            </w:pPr>
            <w:r>
              <w:rPr>
                <w:rFonts w:eastAsia="仿宋_GB2312"/>
                <w:color w:val="000000" w:themeColor="text1"/>
                <w:szCs w:val="21"/>
              </w:rPr>
              <w:t>≥</w:t>
            </w:r>
            <w:r>
              <w:rPr>
                <w:rFonts w:hint="eastAsia" w:eastAsia="仿宋_GB2312"/>
                <w:color w:val="000000" w:themeColor="text1"/>
                <w:szCs w:val="21"/>
              </w:rPr>
              <w:t>2.4×10</w:t>
            </w:r>
            <w:r>
              <w:rPr>
                <w:rFonts w:hint="eastAsia" w:eastAsia="仿宋_GB2312"/>
                <w:color w:val="000000" w:themeColor="text1"/>
                <w:szCs w:val="21"/>
                <w:vertAlign w:val="superscript"/>
              </w:rPr>
              <w:t>4</w:t>
            </w:r>
          </w:p>
        </w:tc>
        <w:tc>
          <w:tcPr>
            <w:tcW w:w="783" w:type="pct"/>
            <w:vAlign w:val="center"/>
          </w:tcPr>
          <w:p>
            <w:pPr>
              <w:spacing w:line="240" w:lineRule="auto"/>
              <w:jc w:val="center"/>
              <w:rPr>
                <w:rFonts w:eastAsia="仿宋_GB2312"/>
                <w:color w:val="000000" w:themeColor="text1"/>
                <w:szCs w:val="21"/>
              </w:rPr>
            </w:pPr>
            <w:r>
              <w:rPr>
                <w:rFonts w:eastAsia="仿宋_GB2312"/>
                <w:color w:val="000000" w:themeColor="text1"/>
                <w:szCs w:val="21"/>
              </w:rPr>
              <w:t>≥</w:t>
            </w:r>
            <w:r>
              <w:rPr>
                <w:rFonts w:hint="eastAsia" w:eastAsia="仿宋_GB2312"/>
                <w:color w:val="000000" w:themeColor="text1"/>
                <w:szCs w:val="21"/>
              </w:rPr>
              <w:t>2.4×10</w:t>
            </w:r>
            <w:r>
              <w:rPr>
                <w:rFonts w:hint="eastAsia" w:eastAsia="仿宋_GB2312"/>
                <w:color w:val="000000" w:themeColor="text1"/>
                <w:szCs w:val="21"/>
                <w:vertAlign w:val="superscript"/>
              </w:rPr>
              <w:t>4</w:t>
            </w:r>
          </w:p>
        </w:tc>
        <w:tc>
          <w:tcPr>
            <w:tcW w:w="783" w:type="pct"/>
            <w:vAlign w:val="center"/>
          </w:tcPr>
          <w:p>
            <w:pPr>
              <w:spacing w:line="240" w:lineRule="auto"/>
              <w:jc w:val="center"/>
              <w:rPr>
                <w:rFonts w:eastAsia="仿宋_GB2312"/>
                <w:color w:val="000000" w:themeColor="text1"/>
                <w:szCs w:val="21"/>
              </w:rPr>
            </w:pPr>
            <w:r>
              <w:rPr>
                <w:rFonts w:eastAsia="仿宋_GB2312"/>
                <w:color w:val="000000" w:themeColor="text1"/>
                <w:szCs w:val="21"/>
              </w:rPr>
              <w:t>≥</w:t>
            </w:r>
            <w:r>
              <w:rPr>
                <w:rFonts w:hint="eastAsia" w:eastAsia="仿宋_GB2312"/>
                <w:color w:val="000000" w:themeColor="text1"/>
                <w:szCs w:val="21"/>
              </w:rPr>
              <w:t>2.4×10</w:t>
            </w:r>
            <w:r>
              <w:rPr>
                <w:rFonts w:hint="eastAsia" w:eastAsia="仿宋_GB2312"/>
                <w:color w:val="000000" w:themeColor="text1"/>
                <w:szCs w:val="21"/>
                <w:vertAlign w:val="superscript"/>
              </w:rPr>
              <w:t>4</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hint="eastAsia" w:eastAsia="仿宋_GB2312"/>
                <w:b/>
                <w:bCs/>
                <w:color w:val="000000" w:themeColor="text1"/>
                <w:szCs w:val="21"/>
              </w:rPr>
              <w:t>菌落总数</w:t>
            </w:r>
          </w:p>
        </w:tc>
        <w:tc>
          <w:tcPr>
            <w:tcW w:w="732" w:type="pct"/>
            <w:vMerge w:val="continue"/>
            <w:vAlign w:val="center"/>
          </w:tcPr>
          <w:p>
            <w:pPr>
              <w:spacing w:line="240" w:lineRule="auto"/>
              <w:jc w:val="center"/>
              <w:rPr>
                <w:rFonts w:eastAsia="仿宋_GB2312"/>
                <w:color w:val="000000" w:themeColor="text1"/>
                <w:szCs w:val="21"/>
              </w:rPr>
            </w:pPr>
          </w:p>
        </w:tc>
        <w:tc>
          <w:tcPr>
            <w:tcW w:w="884"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187</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196</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157</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eastAsia="仿宋_GB2312"/>
                <w:b/>
                <w:bCs/>
                <w:color w:val="000000" w:themeColor="text1"/>
                <w:szCs w:val="21"/>
              </w:rPr>
              <w:t>亚硝酸盐</w:t>
            </w:r>
          </w:p>
        </w:tc>
        <w:tc>
          <w:tcPr>
            <w:tcW w:w="732" w:type="pct"/>
            <w:vMerge w:val="continue"/>
            <w:vAlign w:val="center"/>
          </w:tcPr>
          <w:p>
            <w:pPr>
              <w:spacing w:line="240" w:lineRule="auto"/>
              <w:jc w:val="center"/>
              <w:rPr>
                <w:rFonts w:eastAsia="仿宋_GB2312"/>
                <w:color w:val="000000" w:themeColor="text1"/>
                <w:szCs w:val="21"/>
              </w:rPr>
            </w:pPr>
          </w:p>
        </w:tc>
        <w:tc>
          <w:tcPr>
            <w:tcW w:w="884"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0.003</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0.003</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0.004</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60" w:type="pct"/>
            <w:vAlign w:val="center"/>
          </w:tcPr>
          <w:p>
            <w:pPr>
              <w:spacing w:line="240" w:lineRule="auto"/>
              <w:ind w:left="103" w:hanging="103" w:hangingChars="49"/>
              <w:jc w:val="center"/>
              <w:rPr>
                <w:rFonts w:eastAsia="仿宋_GB2312"/>
                <w:b/>
                <w:bCs/>
                <w:color w:val="000000" w:themeColor="text1"/>
                <w:szCs w:val="21"/>
              </w:rPr>
            </w:pPr>
            <w:r>
              <w:rPr>
                <w:rFonts w:eastAsia="仿宋_GB2312"/>
                <w:b/>
                <w:bCs/>
                <w:color w:val="000000" w:themeColor="text1"/>
                <w:szCs w:val="21"/>
              </w:rPr>
              <w:t>硝酸盐</w:t>
            </w:r>
          </w:p>
        </w:tc>
        <w:tc>
          <w:tcPr>
            <w:tcW w:w="732" w:type="pct"/>
            <w:vMerge w:val="continue"/>
            <w:vAlign w:val="center"/>
          </w:tcPr>
          <w:p>
            <w:pPr>
              <w:spacing w:line="240" w:lineRule="auto"/>
              <w:jc w:val="center"/>
              <w:rPr>
                <w:rFonts w:eastAsia="仿宋_GB2312"/>
                <w:color w:val="000000" w:themeColor="text1"/>
                <w:szCs w:val="21"/>
              </w:rPr>
            </w:pPr>
          </w:p>
        </w:tc>
        <w:tc>
          <w:tcPr>
            <w:tcW w:w="884"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0.55</w:t>
            </w:r>
          </w:p>
        </w:tc>
        <w:tc>
          <w:tcPr>
            <w:tcW w:w="783" w:type="pct"/>
            <w:vAlign w:val="center"/>
          </w:tcPr>
          <w:p>
            <w:pPr>
              <w:spacing w:line="240" w:lineRule="auto"/>
              <w:jc w:val="center"/>
              <w:rPr>
                <w:rFonts w:eastAsia="仿宋_GB2312"/>
                <w:color w:val="000000" w:themeColor="text1"/>
                <w:szCs w:val="21"/>
              </w:rPr>
            </w:pPr>
            <w:r>
              <w:rPr>
                <w:rFonts w:hint="eastAsia" w:eastAsia="仿宋_GB2312"/>
                <w:color w:val="000000" w:themeColor="text1"/>
                <w:szCs w:val="21"/>
              </w:rPr>
              <w:t>0.44</w:t>
            </w:r>
          </w:p>
        </w:tc>
        <w:tc>
          <w:tcPr>
            <w:tcW w:w="783" w:type="pct"/>
            <w:vAlign w:val="center"/>
          </w:tcPr>
          <w:p>
            <w:pPr>
              <w:spacing w:line="240" w:lineRule="auto"/>
              <w:jc w:val="center"/>
              <w:rPr>
                <w:rFonts w:eastAsia="仿宋_GB2312"/>
                <w:bCs/>
                <w:color w:val="000000" w:themeColor="text1"/>
                <w:szCs w:val="21"/>
              </w:rPr>
            </w:pPr>
            <w:r>
              <w:rPr>
                <w:rFonts w:hint="eastAsia" w:eastAsia="仿宋_GB2312"/>
                <w:bCs/>
                <w:color w:val="000000" w:themeColor="text1"/>
                <w:szCs w:val="21"/>
              </w:rPr>
              <w:t>0.45</w:t>
            </w:r>
          </w:p>
        </w:tc>
        <w:tc>
          <w:tcPr>
            <w:tcW w:w="658" w:type="pct"/>
            <w:vAlign w:val="center"/>
          </w:tcPr>
          <w:p>
            <w:pPr>
              <w:spacing w:line="240" w:lineRule="auto"/>
              <w:ind w:left="103" w:hanging="102" w:hangingChars="49"/>
              <w:jc w:val="center"/>
              <w:rPr>
                <w:rFonts w:eastAsia="仿宋_GB2312"/>
                <w:color w:val="000000" w:themeColor="text1"/>
                <w:szCs w:val="21"/>
              </w:rPr>
            </w:pPr>
            <w:r>
              <w:rPr>
                <w:rFonts w:hint="eastAsia" w:eastAsia="仿宋_GB2312"/>
                <w:color w:val="000000" w:themeColor="text1"/>
                <w:szCs w:val="21"/>
              </w:rPr>
              <w:t>20.0</w:t>
            </w:r>
          </w:p>
        </w:tc>
      </w:tr>
    </w:tbl>
    <w:p>
      <w:pPr>
        <w:widowControl/>
        <w:tabs>
          <w:tab w:val="right" w:pos="8906"/>
        </w:tabs>
        <w:adjustRightInd w:val="0"/>
        <w:snapToGrid w:val="0"/>
        <w:ind w:firstLine="480" w:firstLineChars="200"/>
        <w:jc w:val="left"/>
        <w:rPr>
          <w:color w:val="000000" w:themeColor="text1"/>
          <w:sz w:val="24"/>
        </w:rPr>
      </w:pPr>
      <w:r>
        <w:rPr>
          <w:color w:val="000000" w:themeColor="text1"/>
          <w:sz w:val="24"/>
        </w:rPr>
        <w:t>从表4.2-</w:t>
      </w:r>
      <w:r>
        <w:rPr>
          <w:rFonts w:hint="eastAsia"/>
          <w:color w:val="000000" w:themeColor="text1"/>
          <w:sz w:val="24"/>
        </w:rPr>
        <w:t>6</w:t>
      </w:r>
      <w:r>
        <w:rPr>
          <w:color w:val="000000" w:themeColor="text1"/>
          <w:sz w:val="24"/>
        </w:rPr>
        <w:t>可以看出，</w:t>
      </w:r>
      <w:r>
        <w:rPr>
          <w:rFonts w:hint="eastAsia"/>
          <w:color w:val="000000" w:themeColor="text1"/>
          <w:sz w:val="24"/>
        </w:rPr>
        <w:t>3个监测点位中，总大肠菌群、菌落总数2个指标出现超标，其余各项指标均可以达到《地下水质量标准》（GB/T14848-2017）Ⅲ类标准。总大肠菌群、菌落总数指标超标与区域农业面源污染有一定关系</w:t>
      </w:r>
      <w:r>
        <w:rPr>
          <w:color w:val="000000" w:themeColor="text1"/>
          <w:sz w:val="24"/>
        </w:rPr>
        <w:t>。</w:t>
      </w:r>
    </w:p>
    <w:p>
      <w:pPr>
        <w:pStyle w:val="4"/>
        <w:adjustRightInd w:val="0"/>
        <w:snapToGrid w:val="0"/>
        <w:spacing w:before="0" w:after="0" w:line="360" w:lineRule="auto"/>
        <w:rPr>
          <w:color w:val="000000" w:themeColor="text1"/>
        </w:rPr>
      </w:pPr>
      <w:bookmarkStart w:id="343" w:name="_Toc510547316"/>
      <w:bookmarkStart w:id="344" w:name="_Toc504403834"/>
      <w:r>
        <w:rPr>
          <w:color w:val="000000" w:themeColor="text1"/>
        </w:rPr>
        <w:t>4.2.</w:t>
      </w:r>
      <w:bookmarkEnd w:id="342"/>
      <w:bookmarkStart w:id="345" w:name="_Toc402186382"/>
      <w:bookmarkStart w:id="346" w:name="_Toc4796"/>
      <w:bookmarkStart w:id="347" w:name="_Toc291776020"/>
      <w:bookmarkStart w:id="348" w:name="_Toc26847"/>
      <w:bookmarkStart w:id="349" w:name="_Toc12373"/>
      <w:bookmarkStart w:id="350" w:name="_Toc303261021"/>
      <w:r>
        <w:rPr>
          <w:color w:val="000000" w:themeColor="text1"/>
        </w:rPr>
        <w:t>4声环境质量现状</w:t>
      </w:r>
      <w:bookmarkEnd w:id="343"/>
      <w:bookmarkEnd w:id="344"/>
      <w:bookmarkEnd w:id="345"/>
      <w:bookmarkEnd w:id="346"/>
      <w:bookmarkEnd w:id="347"/>
      <w:bookmarkEnd w:id="348"/>
      <w:bookmarkEnd w:id="349"/>
      <w:bookmarkEnd w:id="350"/>
    </w:p>
    <w:p>
      <w:pPr>
        <w:ind w:firstLine="480" w:firstLineChars="200"/>
        <w:rPr>
          <w:color w:val="000000" w:themeColor="text1"/>
          <w:sz w:val="24"/>
        </w:rPr>
      </w:pPr>
      <w:r>
        <w:rPr>
          <w:color w:val="000000" w:themeColor="text1"/>
          <w:sz w:val="24"/>
        </w:rPr>
        <w:t>项目所在地属于声环境</w:t>
      </w:r>
      <w:r>
        <w:rPr>
          <w:rFonts w:hint="eastAsia"/>
          <w:color w:val="000000" w:themeColor="text1"/>
          <w:sz w:val="24"/>
        </w:rPr>
        <w:t>1</w:t>
      </w:r>
      <w:r>
        <w:rPr>
          <w:color w:val="000000" w:themeColor="text1"/>
          <w:sz w:val="24"/>
        </w:rPr>
        <w:t>类区。本次评价</w:t>
      </w:r>
      <w:r>
        <w:rPr>
          <w:color w:val="000000" w:themeColor="text1"/>
          <w:sz w:val="24"/>
          <w:shd w:val="clear" w:fill="FFFF00"/>
        </w:rPr>
        <w:t>委托</w:t>
      </w:r>
      <w:r>
        <w:rPr>
          <w:color w:val="000000" w:themeColor="text1"/>
          <w:sz w:val="24"/>
        </w:rPr>
        <w:t>玉溪华恒科技有限公司对项目区噪声进行了监测，具体监测内容如下：</w:t>
      </w:r>
    </w:p>
    <w:p>
      <w:pPr>
        <w:adjustRightInd w:val="0"/>
        <w:snapToGrid w:val="0"/>
        <w:ind w:firstLine="480" w:firstLineChars="200"/>
        <w:rPr>
          <w:color w:val="000000" w:themeColor="text1"/>
          <w:sz w:val="24"/>
        </w:rPr>
      </w:pPr>
      <w:r>
        <w:rPr>
          <w:color w:val="000000" w:themeColor="text1"/>
          <w:sz w:val="24"/>
        </w:rPr>
        <w:t>（1）监测布点：</w:t>
      </w:r>
      <w:r>
        <w:rPr>
          <w:rFonts w:hint="eastAsia"/>
          <w:color w:val="000000" w:themeColor="text1"/>
          <w:sz w:val="24"/>
        </w:rPr>
        <w:t>厂界四周布设4个监测点位</w:t>
      </w:r>
      <w:r>
        <w:rPr>
          <w:color w:val="000000" w:themeColor="text1"/>
          <w:sz w:val="24"/>
        </w:rPr>
        <w:t>。</w:t>
      </w:r>
    </w:p>
    <w:p>
      <w:pPr>
        <w:adjustRightInd w:val="0"/>
        <w:snapToGrid w:val="0"/>
        <w:ind w:firstLine="480" w:firstLineChars="200"/>
        <w:rPr>
          <w:color w:val="000000" w:themeColor="text1"/>
          <w:sz w:val="24"/>
        </w:rPr>
      </w:pPr>
      <w:r>
        <w:rPr>
          <w:color w:val="000000" w:themeColor="text1"/>
          <w:sz w:val="24"/>
        </w:rPr>
        <w:t>（2）监测项目：等效A声级Leq</w:t>
      </w:r>
    </w:p>
    <w:p>
      <w:pPr>
        <w:adjustRightInd w:val="0"/>
        <w:snapToGrid w:val="0"/>
        <w:ind w:firstLine="480" w:firstLineChars="200"/>
        <w:rPr>
          <w:color w:val="000000" w:themeColor="text1"/>
          <w:sz w:val="24"/>
        </w:rPr>
      </w:pPr>
      <w:r>
        <w:rPr>
          <w:color w:val="000000" w:themeColor="text1"/>
          <w:sz w:val="24"/>
        </w:rPr>
        <w:t>（3）监测频率：</w:t>
      </w:r>
      <w:r>
        <w:rPr>
          <w:rFonts w:hint="eastAsia"/>
          <w:color w:val="000000" w:themeColor="text1"/>
          <w:sz w:val="24"/>
        </w:rPr>
        <w:t>连续监测2天，</w:t>
      </w:r>
      <w:r>
        <w:rPr>
          <w:color w:val="000000" w:themeColor="text1"/>
          <w:sz w:val="24"/>
        </w:rPr>
        <w:t>昼夜各测一次</w:t>
      </w:r>
    </w:p>
    <w:p>
      <w:pPr>
        <w:adjustRightInd w:val="0"/>
        <w:snapToGrid w:val="0"/>
        <w:ind w:firstLine="480" w:firstLineChars="200"/>
        <w:rPr>
          <w:color w:val="000000" w:themeColor="text1"/>
        </w:rPr>
      </w:pPr>
      <w:r>
        <w:rPr>
          <w:color w:val="000000" w:themeColor="text1"/>
          <w:sz w:val="24"/>
        </w:rPr>
        <w:t>（4）监测方法：按照《声环境质量标准》（GB3096-2008）进行</w:t>
      </w:r>
    </w:p>
    <w:p>
      <w:pPr>
        <w:ind w:firstLine="480" w:firstLineChars="200"/>
        <w:rPr>
          <w:color w:val="000000" w:themeColor="text1"/>
          <w:sz w:val="24"/>
        </w:rPr>
      </w:pPr>
      <w:r>
        <w:rPr>
          <w:color w:val="000000" w:themeColor="text1"/>
          <w:sz w:val="24"/>
        </w:rPr>
        <w:t>（5）监测结果：监测结果统计及评价见下表。</w:t>
      </w:r>
    </w:p>
    <w:p>
      <w:pPr>
        <w:adjustRightInd w:val="0"/>
        <w:snapToGrid w:val="0"/>
        <w:spacing w:line="240" w:lineRule="auto"/>
        <w:jc w:val="center"/>
        <w:rPr>
          <w:bCs/>
          <w:color w:val="000000" w:themeColor="text1"/>
          <w:szCs w:val="21"/>
        </w:rPr>
      </w:pPr>
      <w:r>
        <w:rPr>
          <w:b/>
          <w:color w:val="000000" w:themeColor="text1"/>
          <w:szCs w:val="21"/>
        </w:rPr>
        <w:t>表4.2-</w:t>
      </w:r>
      <w:r>
        <w:rPr>
          <w:rFonts w:hint="eastAsia"/>
          <w:b/>
          <w:color w:val="000000" w:themeColor="text1"/>
          <w:szCs w:val="21"/>
        </w:rPr>
        <w:t xml:space="preserve">8  </w:t>
      </w:r>
      <w:r>
        <w:rPr>
          <w:b/>
          <w:color w:val="000000" w:themeColor="text1"/>
          <w:szCs w:val="21"/>
        </w:rPr>
        <w:t>声环境现状监测结果一览表</w:t>
      </w:r>
      <w:r>
        <w:rPr>
          <w:rFonts w:hint="eastAsia"/>
          <w:b/>
          <w:color w:val="000000" w:themeColor="text1"/>
          <w:szCs w:val="21"/>
        </w:rPr>
        <w:t xml:space="preserve">     </w:t>
      </w:r>
      <w:r>
        <w:rPr>
          <w:b/>
          <w:color w:val="000000" w:themeColor="text1"/>
          <w:szCs w:val="21"/>
        </w:rPr>
        <w:t>单位：</w:t>
      </w:r>
      <w:r>
        <w:rPr>
          <w:b/>
          <w:bCs/>
          <w:color w:val="000000" w:themeColor="text1"/>
          <w:szCs w:val="21"/>
        </w:rPr>
        <w:t>dB（A）</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autofit"/>
        <w:tblCellMar>
          <w:top w:w="0" w:type="dxa"/>
          <w:left w:w="108" w:type="dxa"/>
          <w:bottom w:w="0" w:type="dxa"/>
          <w:right w:w="108" w:type="dxa"/>
        </w:tblCellMar>
      </w:tblPr>
      <w:tblGrid>
        <w:gridCol w:w="1335"/>
        <w:gridCol w:w="1615"/>
        <w:gridCol w:w="1393"/>
        <w:gridCol w:w="1931"/>
        <w:gridCol w:w="1175"/>
        <w:gridCol w:w="10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338" w:hRule="atLeast"/>
          <w:jc w:val="center"/>
        </w:trPr>
        <w:tc>
          <w:tcPr>
            <w:tcW w:w="783" w:type="pct"/>
            <w:vAlign w:val="center"/>
          </w:tcPr>
          <w:p>
            <w:pPr>
              <w:autoSpaceDN w:val="0"/>
              <w:adjustRightInd w:val="0"/>
              <w:snapToGrid w:val="0"/>
              <w:spacing w:line="240" w:lineRule="auto"/>
              <w:jc w:val="center"/>
              <w:textAlignment w:val="center"/>
              <w:rPr>
                <w:b/>
                <w:bCs/>
                <w:color w:val="000000" w:themeColor="text1"/>
                <w:szCs w:val="21"/>
              </w:rPr>
            </w:pPr>
            <w:r>
              <w:rPr>
                <w:b/>
                <w:bCs/>
                <w:color w:val="000000" w:themeColor="text1"/>
                <w:szCs w:val="21"/>
              </w:rPr>
              <w:t>检测</w:t>
            </w:r>
          </w:p>
          <w:p>
            <w:pPr>
              <w:autoSpaceDN w:val="0"/>
              <w:adjustRightInd w:val="0"/>
              <w:snapToGrid w:val="0"/>
              <w:spacing w:line="240" w:lineRule="auto"/>
              <w:jc w:val="center"/>
              <w:textAlignment w:val="center"/>
              <w:rPr>
                <w:b/>
                <w:bCs/>
                <w:color w:val="000000" w:themeColor="text1"/>
                <w:szCs w:val="21"/>
              </w:rPr>
            </w:pPr>
            <w:r>
              <w:rPr>
                <w:b/>
                <w:bCs/>
                <w:color w:val="000000" w:themeColor="text1"/>
                <w:szCs w:val="21"/>
              </w:rPr>
              <w:t>地点</w:t>
            </w:r>
          </w:p>
        </w:tc>
        <w:tc>
          <w:tcPr>
            <w:tcW w:w="947" w:type="pct"/>
            <w:vAlign w:val="center"/>
          </w:tcPr>
          <w:p>
            <w:pPr>
              <w:autoSpaceDN w:val="0"/>
              <w:adjustRightInd w:val="0"/>
              <w:snapToGrid w:val="0"/>
              <w:spacing w:line="240" w:lineRule="auto"/>
              <w:jc w:val="center"/>
              <w:textAlignment w:val="center"/>
              <w:rPr>
                <w:b/>
                <w:bCs/>
                <w:color w:val="000000" w:themeColor="text1"/>
                <w:szCs w:val="21"/>
              </w:rPr>
            </w:pPr>
            <w:r>
              <w:rPr>
                <w:b/>
                <w:bCs/>
                <w:color w:val="000000" w:themeColor="text1"/>
                <w:szCs w:val="21"/>
              </w:rPr>
              <w:t>日期</w:t>
            </w:r>
          </w:p>
        </w:tc>
        <w:tc>
          <w:tcPr>
            <w:tcW w:w="817" w:type="pct"/>
            <w:vAlign w:val="center"/>
          </w:tcPr>
          <w:p>
            <w:pPr>
              <w:autoSpaceDN w:val="0"/>
              <w:adjustRightInd w:val="0"/>
              <w:snapToGrid w:val="0"/>
              <w:spacing w:line="240" w:lineRule="auto"/>
              <w:jc w:val="center"/>
              <w:textAlignment w:val="center"/>
              <w:rPr>
                <w:b/>
                <w:bCs/>
                <w:color w:val="000000" w:themeColor="text1"/>
                <w:szCs w:val="21"/>
              </w:rPr>
            </w:pPr>
            <w:r>
              <w:rPr>
                <w:b/>
                <w:bCs/>
                <w:color w:val="000000" w:themeColor="text1"/>
                <w:szCs w:val="21"/>
              </w:rPr>
              <w:t>监测时段</w:t>
            </w:r>
          </w:p>
        </w:tc>
        <w:tc>
          <w:tcPr>
            <w:tcW w:w="1132" w:type="pct"/>
            <w:vAlign w:val="center"/>
          </w:tcPr>
          <w:p>
            <w:pPr>
              <w:autoSpaceDN w:val="0"/>
              <w:adjustRightInd w:val="0"/>
              <w:snapToGrid w:val="0"/>
              <w:spacing w:line="240" w:lineRule="auto"/>
              <w:jc w:val="center"/>
              <w:textAlignment w:val="center"/>
              <w:rPr>
                <w:b/>
                <w:bCs/>
                <w:color w:val="000000" w:themeColor="text1"/>
                <w:szCs w:val="21"/>
              </w:rPr>
            </w:pPr>
            <w:r>
              <w:rPr>
                <w:b/>
                <w:bCs/>
                <w:color w:val="000000" w:themeColor="text1"/>
                <w:szCs w:val="21"/>
              </w:rPr>
              <w:t>等效声级L eq（A）</w:t>
            </w:r>
          </w:p>
          <w:p>
            <w:pPr>
              <w:autoSpaceDN w:val="0"/>
              <w:adjustRightInd w:val="0"/>
              <w:snapToGrid w:val="0"/>
              <w:spacing w:line="240" w:lineRule="auto"/>
              <w:jc w:val="center"/>
              <w:textAlignment w:val="center"/>
              <w:rPr>
                <w:b/>
                <w:bCs/>
                <w:color w:val="000000" w:themeColor="text1"/>
                <w:szCs w:val="21"/>
              </w:rPr>
            </w:pPr>
            <w:r>
              <w:rPr>
                <w:b/>
                <w:bCs/>
                <w:color w:val="000000" w:themeColor="text1"/>
                <w:szCs w:val="21"/>
              </w:rPr>
              <w:t>噪声值</w:t>
            </w:r>
          </w:p>
        </w:tc>
        <w:tc>
          <w:tcPr>
            <w:tcW w:w="689" w:type="pct"/>
            <w:vAlign w:val="center"/>
          </w:tcPr>
          <w:p>
            <w:pPr>
              <w:autoSpaceDN w:val="0"/>
              <w:adjustRightInd w:val="0"/>
              <w:snapToGrid w:val="0"/>
              <w:spacing w:line="240" w:lineRule="auto"/>
              <w:jc w:val="center"/>
              <w:textAlignment w:val="center"/>
              <w:rPr>
                <w:b/>
                <w:bCs/>
                <w:color w:val="000000" w:themeColor="text1"/>
                <w:szCs w:val="21"/>
              </w:rPr>
            </w:pPr>
            <w:r>
              <w:rPr>
                <w:b/>
                <w:bCs/>
                <w:color w:val="000000" w:themeColor="text1"/>
                <w:szCs w:val="21"/>
              </w:rPr>
              <w:t>标准限值</w:t>
            </w:r>
          </w:p>
        </w:tc>
        <w:tc>
          <w:tcPr>
            <w:tcW w:w="632" w:type="pct"/>
            <w:vAlign w:val="center"/>
          </w:tcPr>
          <w:p>
            <w:pPr>
              <w:autoSpaceDN w:val="0"/>
              <w:adjustRightInd w:val="0"/>
              <w:snapToGrid w:val="0"/>
              <w:spacing w:line="240" w:lineRule="auto"/>
              <w:jc w:val="center"/>
              <w:textAlignment w:val="center"/>
              <w:rPr>
                <w:b/>
                <w:bCs/>
                <w:color w:val="000000" w:themeColor="text1"/>
                <w:szCs w:val="21"/>
              </w:rPr>
            </w:pPr>
            <w:r>
              <w:rPr>
                <w:b/>
                <w:bCs/>
                <w:color w:val="000000" w:themeColor="text1"/>
                <w:szCs w:val="21"/>
              </w:rPr>
              <w:t>评价</w:t>
            </w:r>
          </w:p>
          <w:p>
            <w:pPr>
              <w:autoSpaceDN w:val="0"/>
              <w:adjustRightInd w:val="0"/>
              <w:snapToGrid w:val="0"/>
              <w:spacing w:line="240" w:lineRule="auto"/>
              <w:jc w:val="center"/>
              <w:textAlignment w:val="center"/>
              <w:rPr>
                <w:b/>
                <w:bCs/>
                <w:color w:val="000000" w:themeColor="text1"/>
                <w:szCs w:val="21"/>
              </w:rPr>
            </w:pPr>
            <w:r>
              <w:rPr>
                <w:b/>
                <w:bCs/>
                <w:color w:val="000000" w:themeColor="text1"/>
                <w:szCs w:val="21"/>
              </w:rPr>
              <w:t>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54" w:hRule="atLeast"/>
          <w:jc w:val="center"/>
        </w:trPr>
        <w:tc>
          <w:tcPr>
            <w:tcW w:w="783" w:type="pct"/>
            <w:vMerge w:val="restart"/>
            <w:vAlign w:val="center"/>
          </w:tcPr>
          <w:p>
            <w:pPr>
              <w:adjustRightInd w:val="0"/>
              <w:snapToGrid w:val="0"/>
              <w:spacing w:line="240" w:lineRule="auto"/>
              <w:jc w:val="center"/>
              <w:rPr>
                <w:b/>
                <w:bCs/>
                <w:color w:val="000000" w:themeColor="text1"/>
                <w:szCs w:val="21"/>
              </w:rPr>
            </w:pPr>
            <w:r>
              <w:rPr>
                <w:bCs/>
                <w:color w:val="000000" w:themeColor="text1"/>
                <w:szCs w:val="21"/>
              </w:rPr>
              <w:t>厂界东</w:t>
            </w:r>
          </w:p>
        </w:tc>
        <w:tc>
          <w:tcPr>
            <w:tcW w:w="947" w:type="pct"/>
            <w:vMerge w:val="restart"/>
            <w:vAlign w:val="center"/>
          </w:tcPr>
          <w:p>
            <w:pPr>
              <w:adjustRightInd w:val="0"/>
              <w:snapToGrid w:val="0"/>
              <w:spacing w:line="240" w:lineRule="auto"/>
              <w:ind w:left="103" w:hanging="102" w:hangingChars="49"/>
              <w:jc w:val="center"/>
              <w:rPr>
                <w:color w:val="000000" w:themeColor="text1"/>
                <w:szCs w:val="21"/>
              </w:rPr>
            </w:pPr>
            <w:r>
              <w:rPr>
                <w:color w:val="000000" w:themeColor="text1"/>
                <w:szCs w:val="21"/>
              </w:rPr>
              <w:t>2018.</w:t>
            </w:r>
            <w:r>
              <w:rPr>
                <w:rFonts w:hint="eastAsia"/>
                <w:color w:val="000000" w:themeColor="text1"/>
                <w:szCs w:val="21"/>
              </w:rPr>
              <w:t>9</w:t>
            </w:r>
            <w:r>
              <w:rPr>
                <w:color w:val="000000" w:themeColor="text1"/>
                <w:szCs w:val="21"/>
              </w:rPr>
              <w:t>.</w:t>
            </w:r>
            <w:r>
              <w:rPr>
                <w:rFonts w:hint="eastAsia"/>
                <w:color w:val="000000" w:themeColor="text1"/>
                <w:szCs w:val="21"/>
              </w:rPr>
              <w:t>5</w:t>
            </w:r>
          </w:p>
        </w:tc>
        <w:tc>
          <w:tcPr>
            <w:tcW w:w="817" w:type="pct"/>
            <w:vAlign w:val="center"/>
          </w:tcPr>
          <w:p>
            <w:pPr>
              <w:autoSpaceDN w:val="0"/>
              <w:adjustRightInd w:val="0"/>
              <w:snapToGrid w:val="0"/>
              <w:spacing w:line="240" w:lineRule="auto"/>
              <w:jc w:val="center"/>
              <w:textAlignment w:val="center"/>
              <w:rPr>
                <w:color w:val="000000" w:themeColor="text1"/>
                <w:szCs w:val="21"/>
              </w:rPr>
            </w:pPr>
            <w:r>
              <w:rPr>
                <w:bCs/>
                <w:color w:val="000000" w:themeColor="text1"/>
                <w:szCs w:val="21"/>
              </w:rPr>
              <w:t>昼间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51.6</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55</w:t>
            </w:r>
          </w:p>
        </w:tc>
        <w:tc>
          <w:tcPr>
            <w:tcW w:w="6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57"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continue"/>
            <w:vAlign w:val="center"/>
          </w:tcPr>
          <w:p>
            <w:pPr>
              <w:autoSpaceDN w:val="0"/>
              <w:adjustRightInd w:val="0"/>
              <w:snapToGrid w:val="0"/>
              <w:spacing w:line="240" w:lineRule="auto"/>
              <w:jc w:val="center"/>
              <w:textAlignment w:val="center"/>
              <w:rPr>
                <w:color w:val="000000" w:themeColor="text1"/>
                <w:szCs w:val="21"/>
              </w:rPr>
            </w:pPr>
          </w:p>
        </w:tc>
        <w:tc>
          <w:tcPr>
            <w:tcW w:w="817"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夜间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41.6</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45</w:t>
            </w:r>
          </w:p>
        </w:tc>
        <w:tc>
          <w:tcPr>
            <w:tcW w:w="6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57"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restar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2018.</w:t>
            </w:r>
            <w:r>
              <w:rPr>
                <w:rFonts w:hint="eastAsia"/>
                <w:color w:val="000000" w:themeColor="text1"/>
                <w:szCs w:val="21"/>
              </w:rPr>
              <w:t>9</w:t>
            </w:r>
            <w:r>
              <w:rPr>
                <w:color w:val="000000" w:themeColor="text1"/>
                <w:szCs w:val="21"/>
              </w:rPr>
              <w:t>.</w:t>
            </w:r>
            <w:r>
              <w:rPr>
                <w:rFonts w:hint="eastAsia"/>
                <w:color w:val="000000" w:themeColor="text1"/>
                <w:szCs w:val="21"/>
              </w:rPr>
              <w:t>6</w:t>
            </w:r>
          </w:p>
        </w:tc>
        <w:tc>
          <w:tcPr>
            <w:tcW w:w="817" w:type="pct"/>
            <w:vAlign w:val="center"/>
          </w:tcPr>
          <w:p>
            <w:pPr>
              <w:autoSpaceDN w:val="0"/>
              <w:adjustRightInd w:val="0"/>
              <w:snapToGrid w:val="0"/>
              <w:spacing w:line="240" w:lineRule="auto"/>
              <w:jc w:val="center"/>
              <w:textAlignment w:val="center"/>
              <w:rPr>
                <w:color w:val="000000" w:themeColor="text1"/>
                <w:szCs w:val="21"/>
              </w:rPr>
            </w:pPr>
            <w:r>
              <w:rPr>
                <w:bCs/>
                <w:color w:val="000000" w:themeColor="text1"/>
                <w:szCs w:val="21"/>
              </w:rPr>
              <w:t>昼间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51.2</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55</w:t>
            </w:r>
          </w:p>
        </w:tc>
        <w:tc>
          <w:tcPr>
            <w:tcW w:w="6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57"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continue"/>
            <w:vAlign w:val="center"/>
          </w:tcPr>
          <w:p>
            <w:pPr>
              <w:autoSpaceDN w:val="0"/>
              <w:adjustRightInd w:val="0"/>
              <w:snapToGrid w:val="0"/>
              <w:spacing w:line="240" w:lineRule="auto"/>
              <w:jc w:val="center"/>
              <w:textAlignment w:val="center"/>
              <w:rPr>
                <w:color w:val="000000" w:themeColor="text1"/>
                <w:szCs w:val="21"/>
              </w:rPr>
            </w:pPr>
          </w:p>
        </w:tc>
        <w:tc>
          <w:tcPr>
            <w:tcW w:w="817"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夜间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40.0</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45</w:t>
            </w:r>
          </w:p>
        </w:tc>
        <w:tc>
          <w:tcPr>
            <w:tcW w:w="6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48" w:hRule="atLeast"/>
          <w:jc w:val="center"/>
        </w:trPr>
        <w:tc>
          <w:tcPr>
            <w:tcW w:w="783" w:type="pct"/>
            <w:vMerge w:val="restart"/>
            <w:vAlign w:val="center"/>
          </w:tcPr>
          <w:p>
            <w:pPr>
              <w:adjustRightInd w:val="0"/>
              <w:snapToGrid w:val="0"/>
              <w:spacing w:line="240" w:lineRule="auto"/>
              <w:jc w:val="center"/>
              <w:rPr>
                <w:b/>
                <w:bCs/>
                <w:color w:val="000000" w:themeColor="text1"/>
                <w:szCs w:val="21"/>
              </w:rPr>
            </w:pPr>
            <w:r>
              <w:rPr>
                <w:bCs/>
                <w:color w:val="000000" w:themeColor="text1"/>
                <w:szCs w:val="21"/>
              </w:rPr>
              <w:t>厂界南</w:t>
            </w:r>
          </w:p>
        </w:tc>
        <w:tc>
          <w:tcPr>
            <w:tcW w:w="947" w:type="pct"/>
            <w:vMerge w:val="restart"/>
            <w:vAlign w:val="center"/>
          </w:tcPr>
          <w:p>
            <w:pPr>
              <w:adjustRightInd w:val="0"/>
              <w:snapToGrid w:val="0"/>
              <w:spacing w:line="240" w:lineRule="auto"/>
              <w:ind w:left="103" w:hanging="102" w:hangingChars="49"/>
              <w:jc w:val="center"/>
              <w:rPr>
                <w:color w:val="000000" w:themeColor="text1"/>
                <w:szCs w:val="21"/>
              </w:rPr>
            </w:pPr>
            <w:r>
              <w:rPr>
                <w:color w:val="000000" w:themeColor="text1"/>
                <w:szCs w:val="21"/>
              </w:rPr>
              <w:t>2018.</w:t>
            </w:r>
            <w:r>
              <w:rPr>
                <w:rFonts w:hint="eastAsia"/>
                <w:color w:val="000000" w:themeColor="text1"/>
                <w:szCs w:val="21"/>
              </w:rPr>
              <w:t>9</w:t>
            </w:r>
            <w:r>
              <w:rPr>
                <w:color w:val="000000" w:themeColor="text1"/>
                <w:szCs w:val="21"/>
              </w:rPr>
              <w:t>.</w:t>
            </w:r>
            <w:r>
              <w:rPr>
                <w:rFonts w:hint="eastAsia"/>
                <w:color w:val="000000" w:themeColor="text1"/>
                <w:szCs w:val="21"/>
              </w:rPr>
              <w:t>5</w:t>
            </w:r>
          </w:p>
        </w:tc>
        <w:tc>
          <w:tcPr>
            <w:tcW w:w="817" w:type="pct"/>
            <w:vAlign w:val="center"/>
          </w:tcPr>
          <w:p>
            <w:pPr>
              <w:autoSpaceDN w:val="0"/>
              <w:adjustRightInd w:val="0"/>
              <w:snapToGrid w:val="0"/>
              <w:spacing w:line="240" w:lineRule="auto"/>
              <w:jc w:val="center"/>
              <w:textAlignment w:val="center"/>
              <w:rPr>
                <w:color w:val="000000" w:themeColor="text1"/>
                <w:szCs w:val="21"/>
              </w:rPr>
            </w:pPr>
            <w:r>
              <w:rPr>
                <w:bCs/>
                <w:color w:val="000000" w:themeColor="text1"/>
                <w:szCs w:val="21"/>
              </w:rPr>
              <w:t>昼间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52.9</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55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38"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continue"/>
            <w:vAlign w:val="center"/>
          </w:tcPr>
          <w:p>
            <w:pPr>
              <w:autoSpaceDN w:val="0"/>
              <w:adjustRightInd w:val="0"/>
              <w:snapToGrid w:val="0"/>
              <w:spacing w:line="240" w:lineRule="auto"/>
              <w:jc w:val="center"/>
              <w:textAlignment w:val="center"/>
              <w:rPr>
                <w:color w:val="000000" w:themeColor="text1"/>
                <w:szCs w:val="21"/>
              </w:rPr>
            </w:pPr>
          </w:p>
        </w:tc>
        <w:tc>
          <w:tcPr>
            <w:tcW w:w="817"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夜间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4</w:t>
            </w:r>
            <w:r>
              <w:rPr>
                <w:rFonts w:hint="eastAsia"/>
                <w:color w:val="000000" w:themeColor="text1"/>
                <w:szCs w:val="21"/>
              </w:rPr>
              <w:t>4</w:t>
            </w:r>
            <w:r>
              <w:rPr>
                <w:color w:val="000000" w:themeColor="text1"/>
                <w:szCs w:val="21"/>
              </w:rPr>
              <w:t>.8</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45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38"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restar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2018.</w:t>
            </w:r>
            <w:r>
              <w:rPr>
                <w:rFonts w:hint="eastAsia"/>
                <w:color w:val="000000" w:themeColor="text1"/>
                <w:szCs w:val="21"/>
              </w:rPr>
              <w:t>9</w:t>
            </w:r>
            <w:r>
              <w:rPr>
                <w:color w:val="000000" w:themeColor="text1"/>
                <w:szCs w:val="21"/>
              </w:rPr>
              <w:t>.</w:t>
            </w:r>
            <w:r>
              <w:rPr>
                <w:rFonts w:hint="eastAsia"/>
                <w:color w:val="000000" w:themeColor="text1"/>
                <w:szCs w:val="21"/>
              </w:rPr>
              <w:t>6</w:t>
            </w:r>
          </w:p>
        </w:tc>
        <w:tc>
          <w:tcPr>
            <w:tcW w:w="817" w:type="pct"/>
            <w:vAlign w:val="center"/>
          </w:tcPr>
          <w:p>
            <w:pPr>
              <w:autoSpaceDN w:val="0"/>
              <w:adjustRightInd w:val="0"/>
              <w:snapToGrid w:val="0"/>
              <w:spacing w:line="240" w:lineRule="auto"/>
              <w:jc w:val="center"/>
              <w:textAlignment w:val="center"/>
              <w:rPr>
                <w:color w:val="000000" w:themeColor="text1"/>
                <w:szCs w:val="21"/>
              </w:rPr>
            </w:pPr>
            <w:r>
              <w:rPr>
                <w:bCs/>
                <w:color w:val="000000" w:themeColor="text1"/>
                <w:szCs w:val="21"/>
              </w:rPr>
              <w:t>昼间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52.5</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55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38"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continue"/>
            <w:vAlign w:val="center"/>
          </w:tcPr>
          <w:p>
            <w:pPr>
              <w:autoSpaceDN w:val="0"/>
              <w:adjustRightInd w:val="0"/>
              <w:snapToGrid w:val="0"/>
              <w:spacing w:line="240" w:lineRule="auto"/>
              <w:jc w:val="center"/>
              <w:textAlignment w:val="center"/>
              <w:rPr>
                <w:color w:val="000000" w:themeColor="text1"/>
                <w:szCs w:val="21"/>
              </w:rPr>
            </w:pPr>
          </w:p>
        </w:tc>
        <w:tc>
          <w:tcPr>
            <w:tcW w:w="817"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夜间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44.0</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45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42" w:hRule="atLeast"/>
          <w:jc w:val="center"/>
        </w:trPr>
        <w:tc>
          <w:tcPr>
            <w:tcW w:w="783" w:type="pct"/>
            <w:vMerge w:val="restart"/>
            <w:vAlign w:val="center"/>
          </w:tcPr>
          <w:p>
            <w:pPr>
              <w:adjustRightInd w:val="0"/>
              <w:snapToGrid w:val="0"/>
              <w:spacing w:line="240" w:lineRule="auto"/>
              <w:jc w:val="center"/>
              <w:rPr>
                <w:b/>
                <w:bCs/>
                <w:color w:val="000000" w:themeColor="text1"/>
                <w:szCs w:val="21"/>
              </w:rPr>
            </w:pPr>
            <w:r>
              <w:rPr>
                <w:bCs/>
                <w:color w:val="000000" w:themeColor="text1"/>
                <w:szCs w:val="21"/>
              </w:rPr>
              <w:t>厂界西</w:t>
            </w:r>
          </w:p>
        </w:tc>
        <w:tc>
          <w:tcPr>
            <w:tcW w:w="947" w:type="pct"/>
            <w:vMerge w:val="restart"/>
            <w:vAlign w:val="center"/>
          </w:tcPr>
          <w:p>
            <w:pPr>
              <w:adjustRightInd w:val="0"/>
              <w:snapToGrid w:val="0"/>
              <w:spacing w:line="240" w:lineRule="auto"/>
              <w:ind w:left="103" w:hanging="102" w:hangingChars="49"/>
              <w:jc w:val="center"/>
              <w:rPr>
                <w:color w:val="000000" w:themeColor="text1"/>
                <w:szCs w:val="21"/>
              </w:rPr>
            </w:pPr>
            <w:r>
              <w:rPr>
                <w:color w:val="000000" w:themeColor="text1"/>
                <w:szCs w:val="21"/>
              </w:rPr>
              <w:t>2018.</w:t>
            </w:r>
            <w:r>
              <w:rPr>
                <w:rFonts w:hint="eastAsia"/>
                <w:color w:val="000000" w:themeColor="text1"/>
                <w:szCs w:val="21"/>
              </w:rPr>
              <w:t>9</w:t>
            </w:r>
            <w:r>
              <w:rPr>
                <w:color w:val="000000" w:themeColor="text1"/>
                <w:szCs w:val="21"/>
              </w:rPr>
              <w:t>.</w:t>
            </w:r>
            <w:r>
              <w:rPr>
                <w:rFonts w:hint="eastAsia"/>
                <w:color w:val="000000" w:themeColor="text1"/>
                <w:szCs w:val="21"/>
              </w:rPr>
              <w:t>5</w:t>
            </w:r>
          </w:p>
        </w:tc>
        <w:tc>
          <w:tcPr>
            <w:tcW w:w="817" w:type="pct"/>
            <w:vAlign w:val="center"/>
          </w:tcPr>
          <w:p>
            <w:pPr>
              <w:autoSpaceDN w:val="0"/>
              <w:adjustRightInd w:val="0"/>
              <w:snapToGrid w:val="0"/>
              <w:spacing w:line="240" w:lineRule="auto"/>
              <w:jc w:val="center"/>
              <w:textAlignment w:val="center"/>
              <w:rPr>
                <w:color w:val="000000" w:themeColor="text1"/>
                <w:szCs w:val="21"/>
              </w:rPr>
            </w:pPr>
            <w:r>
              <w:rPr>
                <w:bCs/>
                <w:color w:val="000000" w:themeColor="text1"/>
                <w:szCs w:val="21"/>
              </w:rPr>
              <w:t>昼间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50.6</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55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32"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continue"/>
            <w:vAlign w:val="center"/>
          </w:tcPr>
          <w:p>
            <w:pPr>
              <w:autoSpaceDN w:val="0"/>
              <w:adjustRightInd w:val="0"/>
              <w:snapToGrid w:val="0"/>
              <w:spacing w:line="240" w:lineRule="auto"/>
              <w:jc w:val="center"/>
              <w:textAlignment w:val="center"/>
              <w:rPr>
                <w:color w:val="000000" w:themeColor="text1"/>
                <w:szCs w:val="21"/>
              </w:rPr>
            </w:pPr>
          </w:p>
        </w:tc>
        <w:tc>
          <w:tcPr>
            <w:tcW w:w="817"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夜间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42.1</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45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32"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restar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2018.</w:t>
            </w:r>
            <w:r>
              <w:rPr>
                <w:rFonts w:hint="eastAsia"/>
                <w:color w:val="000000" w:themeColor="text1"/>
                <w:szCs w:val="21"/>
              </w:rPr>
              <w:t>9</w:t>
            </w:r>
            <w:r>
              <w:rPr>
                <w:color w:val="000000" w:themeColor="text1"/>
                <w:szCs w:val="21"/>
              </w:rPr>
              <w:t>.</w:t>
            </w:r>
            <w:r>
              <w:rPr>
                <w:rFonts w:hint="eastAsia"/>
                <w:color w:val="000000" w:themeColor="text1"/>
                <w:szCs w:val="21"/>
              </w:rPr>
              <w:t>6</w:t>
            </w:r>
          </w:p>
        </w:tc>
        <w:tc>
          <w:tcPr>
            <w:tcW w:w="817" w:type="pct"/>
            <w:vAlign w:val="center"/>
          </w:tcPr>
          <w:p>
            <w:pPr>
              <w:autoSpaceDN w:val="0"/>
              <w:adjustRightInd w:val="0"/>
              <w:snapToGrid w:val="0"/>
              <w:spacing w:line="240" w:lineRule="auto"/>
              <w:jc w:val="center"/>
              <w:textAlignment w:val="center"/>
              <w:rPr>
                <w:color w:val="000000" w:themeColor="text1"/>
                <w:szCs w:val="21"/>
              </w:rPr>
            </w:pPr>
            <w:r>
              <w:rPr>
                <w:bCs/>
                <w:color w:val="000000" w:themeColor="text1"/>
                <w:szCs w:val="21"/>
              </w:rPr>
              <w:t>昼间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50.8</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55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32"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continue"/>
            <w:vAlign w:val="center"/>
          </w:tcPr>
          <w:p>
            <w:pPr>
              <w:autoSpaceDN w:val="0"/>
              <w:adjustRightInd w:val="0"/>
              <w:snapToGrid w:val="0"/>
              <w:spacing w:line="240" w:lineRule="auto"/>
              <w:jc w:val="center"/>
              <w:textAlignment w:val="center"/>
              <w:rPr>
                <w:color w:val="000000" w:themeColor="text1"/>
                <w:szCs w:val="21"/>
              </w:rPr>
            </w:pPr>
          </w:p>
        </w:tc>
        <w:tc>
          <w:tcPr>
            <w:tcW w:w="817"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夜间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41.7</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45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22" w:hRule="atLeast"/>
          <w:jc w:val="center"/>
        </w:trPr>
        <w:tc>
          <w:tcPr>
            <w:tcW w:w="783" w:type="pct"/>
            <w:vMerge w:val="restart"/>
            <w:vAlign w:val="center"/>
          </w:tcPr>
          <w:p>
            <w:pPr>
              <w:adjustRightInd w:val="0"/>
              <w:snapToGrid w:val="0"/>
              <w:spacing w:line="240" w:lineRule="auto"/>
              <w:jc w:val="center"/>
              <w:rPr>
                <w:b/>
                <w:color w:val="000000" w:themeColor="text1"/>
                <w:szCs w:val="21"/>
              </w:rPr>
            </w:pPr>
            <w:r>
              <w:rPr>
                <w:bCs/>
                <w:color w:val="000000" w:themeColor="text1"/>
                <w:szCs w:val="21"/>
              </w:rPr>
              <w:t>厂界北</w:t>
            </w:r>
          </w:p>
        </w:tc>
        <w:tc>
          <w:tcPr>
            <w:tcW w:w="947" w:type="pct"/>
            <w:vMerge w:val="restart"/>
            <w:vAlign w:val="center"/>
          </w:tcPr>
          <w:p>
            <w:pPr>
              <w:adjustRightInd w:val="0"/>
              <w:snapToGrid w:val="0"/>
              <w:spacing w:line="240" w:lineRule="auto"/>
              <w:ind w:left="103" w:hanging="102" w:hangingChars="49"/>
              <w:jc w:val="center"/>
              <w:rPr>
                <w:color w:val="000000" w:themeColor="text1"/>
                <w:szCs w:val="21"/>
              </w:rPr>
            </w:pPr>
            <w:r>
              <w:rPr>
                <w:color w:val="000000" w:themeColor="text1"/>
                <w:szCs w:val="21"/>
              </w:rPr>
              <w:t>2018.</w:t>
            </w:r>
            <w:r>
              <w:rPr>
                <w:rFonts w:hint="eastAsia"/>
                <w:color w:val="000000" w:themeColor="text1"/>
                <w:szCs w:val="21"/>
              </w:rPr>
              <w:t>9</w:t>
            </w:r>
            <w:r>
              <w:rPr>
                <w:color w:val="000000" w:themeColor="text1"/>
                <w:szCs w:val="21"/>
              </w:rPr>
              <w:t>.</w:t>
            </w:r>
            <w:r>
              <w:rPr>
                <w:rFonts w:hint="eastAsia"/>
                <w:color w:val="000000" w:themeColor="text1"/>
                <w:szCs w:val="21"/>
              </w:rPr>
              <w:t>5</w:t>
            </w:r>
          </w:p>
        </w:tc>
        <w:tc>
          <w:tcPr>
            <w:tcW w:w="817" w:type="pct"/>
            <w:vAlign w:val="center"/>
          </w:tcPr>
          <w:p>
            <w:pPr>
              <w:autoSpaceDN w:val="0"/>
              <w:adjustRightInd w:val="0"/>
              <w:snapToGrid w:val="0"/>
              <w:spacing w:line="240" w:lineRule="auto"/>
              <w:jc w:val="center"/>
              <w:textAlignment w:val="center"/>
              <w:rPr>
                <w:color w:val="000000" w:themeColor="text1"/>
                <w:szCs w:val="21"/>
              </w:rPr>
            </w:pPr>
            <w:r>
              <w:rPr>
                <w:bCs/>
                <w:color w:val="000000" w:themeColor="text1"/>
                <w:szCs w:val="21"/>
              </w:rPr>
              <w:t>昼间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48.6</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55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26"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continue"/>
            <w:vAlign w:val="center"/>
          </w:tcPr>
          <w:p>
            <w:pPr>
              <w:autoSpaceDN w:val="0"/>
              <w:adjustRightInd w:val="0"/>
              <w:snapToGrid w:val="0"/>
              <w:spacing w:line="240" w:lineRule="auto"/>
              <w:jc w:val="center"/>
              <w:textAlignment w:val="center"/>
              <w:rPr>
                <w:color w:val="000000" w:themeColor="text1"/>
                <w:szCs w:val="21"/>
              </w:rPr>
            </w:pPr>
          </w:p>
        </w:tc>
        <w:tc>
          <w:tcPr>
            <w:tcW w:w="817"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夜间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39.5</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45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26"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restar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2018.</w:t>
            </w:r>
            <w:r>
              <w:rPr>
                <w:rFonts w:hint="eastAsia"/>
                <w:color w:val="000000" w:themeColor="text1"/>
                <w:szCs w:val="21"/>
              </w:rPr>
              <w:t>9</w:t>
            </w:r>
            <w:r>
              <w:rPr>
                <w:color w:val="000000" w:themeColor="text1"/>
                <w:szCs w:val="21"/>
              </w:rPr>
              <w:t>.</w:t>
            </w:r>
            <w:r>
              <w:rPr>
                <w:rFonts w:hint="eastAsia"/>
                <w:color w:val="000000" w:themeColor="text1"/>
                <w:szCs w:val="21"/>
              </w:rPr>
              <w:t>6</w:t>
            </w:r>
          </w:p>
        </w:tc>
        <w:tc>
          <w:tcPr>
            <w:tcW w:w="817" w:type="pct"/>
            <w:vAlign w:val="center"/>
          </w:tcPr>
          <w:p>
            <w:pPr>
              <w:autoSpaceDN w:val="0"/>
              <w:adjustRightInd w:val="0"/>
              <w:snapToGrid w:val="0"/>
              <w:spacing w:line="240" w:lineRule="auto"/>
              <w:jc w:val="center"/>
              <w:textAlignment w:val="center"/>
              <w:rPr>
                <w:color w:val="000000" w:themeColor="text1"/>
                <w:szCs w:val="21"/>
              </w:rPr>
            </w:pPr>
            <w:r>
              <w:rPr>
                <w:bCs/>
                <w:color w:val="000000" w:themeColor="text1"/>
                <w:szCs w:val="21"/>
              </w:rPr>
              <w:t>昼间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49.5</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55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26" w:hRule="atLeast"/>
          <w:jc w:val="center"/>
        </w:trPr>
        <w:tc>
          <w:tcPr>
            <w:tcW w:w="783" w:type="pct"/>
            <w:vMerge w:val="continue"/>
            <w:vAlign w:val="center"/>
          </w:tcPr>
          <w:p>
            <w:pPr>
              <w:adjustRightInd w:val="0"/>
              <w:snapToGrid w:val="0"/>
              <w:spacing w:line="240" w:lineRule="auto"/>
              <w:jc w:val="center"/>
              <w:rPr>
                <w:color w:val="000000" w:themeColor="text1"/>
                <w:szCs w:val="21"/>
              </w:rPr>
            </w:pPr>
          </w:p>
        </w:tc>
        <w:tc>
          <w:tcPr>
            <w:tcW w:w="947" w:type="pct"/>
            <w:vMerge w:val="continue"/>
            <w:vAlign w:val="center"/>
          </w:tcPr>
          <w:p>
            <w:pPr>
              <w:autoSpaceDN w:val="0"/>
              <w:adjustRightInd w:val="0"/>
              <w:snapToGrid w:val="0"/>
              <w:spacing w:line="240" w:lineRule="auto"/>
              <w:jc w:val="center"/>
              <w:textAlignment w:val="center"/>
              <w:rPr>
                <w:color w:val="000000" w:themeColor="text1"/>
                <w:szCs w:val="21"/>
              </w:rPr>
            </w:pPr>
          </w:p>
        </w:tc>
        <w:tc>
          <w:tcPr>
            <w:tcW w:w="817"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夜间</w:t>
            </w:r>
          </w:p>
        </w:tc>
        <w:tc>
          <w:tcPr>
            <w:tcW w:w="1132" w:type="pct"/>
            <w:vAlign w:val="center"/>
          </w:tcPr>
          <w:p>
            <w:pPr>
              <w:autoSpaceDN w:val="0"/>
              <w:adjustRightInd w:val="0"/>
              <w:snapToGrid w:val="0"/>
              <w:spacing w:line="240" w:lineRule="auto"/>
              <w:jc w:val="center"/>
              <w:textAlignment w:val="center"/>
              <w:rPr>
                <w:color w:val="000000" w:themeColor="text1"/>
                <w:szCs w:val="21"/>
              </w:rPr>
            </w:pPr>
            <w:r>
              <w:rPr>
                <w:color w:val="000000" w:themeColor="text1"/>
                <w:szCs w:val="21"/>
              </w:rPr>
              <w:t>39.8</w:t>
            </w:r>
          </w:p>
        </w:tc>
        <w:tc>
          <w:tcPr>
            <w:tcW w:w="689" w:type="pct"/>
            <w:vAlign w:val="center"/>
          </w:tcPr>
          <w:p>
            <w:pPr>
              <w:autoSpaceDN w:val="0"/>
              <w:adjustRightInd w:val="0"/>
              <w:snapToGrid w:val="0"/>
              <w:spacing w:line="240" w:lineRule="auto"/>
              <w:jc w:val="center"/>
              <w:textAlignment w:val="center"/>
              <w:rPr>
                <w:color w:val="000000" w:themeColor="text1"/>
                <w:szCs w:val="21"/>
              </w:rPr>
            </w:pPr>
            <w:r>
              <w:rPr>
                <w:rFonts w:hint="eastAsia"/>
                <w:color w:val="000000" w:themeColor="text1"/>
                <w:szCs w:val="21"/>
              </w:rPr>
              <w:t>45</w:t>
            </w:r>
          </w:p>
        </w:tc>
        <w:tc>
          <w:tcPr>
            <w:tcW w:w="632" w:type="pct"/>
            <w:vAlign w:val="center"/>
          </w:tcPr>
          <w:p>
            <w:pPr>
              <w:adjustRightInd w:val="0"/>
              <w:snapToGrid w:val="0"/>
              <w:spacing w:line="240" w:lineRule="auto"/>
              <w:jc w:val="center"/>
              <w:rPr>
                <w:color w:val="000000" w:themeColor="text1"/>
                <w:szCs w:val="21"/>
              </w:rPr>
            </w:pPr>
            <w:r>
              <w:rPr>
                <w:color w:val="000000" w:themeColor="text1"/>
                <w:szCs w:val="21"/>
              </w:rPr>
              <w:t>达标</w:t>
            </w:r>
          </w:p>
        </w:tc>
      </w:tr>
    </w:tbl>
    <w:p>
      <w:pPr>
        <w:ind w:firstLine="480" w:firstLineChars="200"/>
        <w:rPr>
          <w:color w:val="000000" w:themeColor="text1"/>
          <w:sz w:val="24"/>
        </w:rPr>
      </w:pPr>
      <w:r>
        <w:rPr>
          <w:color w:val="000000" w:themeColor="text1"/>
          <w:sz w:val="24"/>
        </w:rPr>
        <w:t>由上表监测结果可以看出：项目场址四周布设的测点昼间、夜间测值均可满足《声环境质量标准》（GB3096-2008）</w:t>
      </w:r>
      <w:r>
        <w:rPr>
          <w:rFonts w:hint="eastAsia"/>
          <w:color w:val="000000" w:themeColor="text1"/>
          <w:sz w:val="24"/>
        </w:rPr>
        <w:t>1</w:t>
      </w:r>
      <w:r>
        <w:rPr>
          <w:color w:val="000000" w:themeColor="text1"/>
          <w:sz w:val="24"/>
        </w:rPr>
        <w:t>类区标准要求。</w:t>
      </w:r>
    </w:p>
    <w:p>
      <w:pPr>
        <w:pStyle w:val="4"/>
        <w:adjustRightInd w:val="0"/>
        <w:snapToGrid w:val="0"/>
        <w:spacing w:before="0" w:after="0" w:line="360" w:lineRule="auto"/>
        <w:rPr>
          <w:color w:val="000000" w:themeColor="text1"/>
        </w:rPr>
      </w:pPr>
      <w:bookmarkStart w:id="351" w:name="_Toc510547317"/>
      <w:r>
        <w:rPr>
          <w:color w:val="000000" w:themeColor="text1"/>
        </w:rPr>
        <w:t>4.2.5生态环境</w:t>
      </w:r>
      <w:bookmarkEnd w:id="322"/>
      <w:bookmarkEnd w:id="323"/>
      <w:bookmarkEnd w:id="324"/>
      <w:bookmarkEnd w:id="325"/>
      <w:r>
        <w:rPr>
          <w:color w:val="000000" w:themeColor="text1"/>
        </w:rPr>
        <w:t>现状</w:t>
      </w:r>
      <w:bookmarkEnd w:id="326"/>
      <w:bookmarkEnd w:id="327"/>
      <w:bookmarkEnd w:id="328"/>
      <w:bookmarkEnd w:id="329"/>
      <w:bookmarkEnd w:id="330"/>
      <w:bookmarkEnd w:id="331"/>
      <w:bookmarkEnd w:id="351"/>
    </w:p>
    <w:p>
      <w:pPr>
        <w:pStyle w:val="199"/>
        <w:ind w:firstLine="480"/>
        <w:rPr>
          <w:b w:val="0"/>
          <w:color w:val="000000" w:themeColor="text1"/>
          <w:szCs w:val="24"/>
        </w:rPr>
      </w:pPr>
      <w:r>
        <w:rPr>
          <w:b w:val="0"/>
          <w:color w:val="000000" w:themeColor="text1"/>
          <w:szCs w:val="24"/>
        </w:rPr>
        <w:t>（1）植物</w:t>
      </w:r>
    </w:p>
    <w:p>
      <w:pPr>
        <w:ind w:firstLine="480" w:firstLineChars="200"/>
        <w:rPr>
          <w:color w:val="000000" w:themeColor="text1"/>
          <w:sz w:val="24"/>
        </w:rPr>
      </w:pPr>
      <w:r>
        <w:rPr>
          <w:color w:val="000000" w:themeColor="text1"/>
          <w:sz w:val="24"/>
        </w:rPr>
        <w:t>项目总占地面积</w:t>
      </w:r>
      <w:r>
        <w:rPr>
          <w:rFonts w:hint="eastAsia"/>
          <w:color w:val="000000" w:themeColor="text1"/>
          <w:sz w:val="24"/>
        </w:rPr>
        <w:t>36524</w:t>
      </w:r>
      <w:r>
        <w:rPr>
          <w:color w:val="000000" w:themeColor="text1"/>
          <w:sz w:val="24"/>
        </w:rPr>
        <w:t>m</w:t>
      </w:r>
      <w:r>
        <w:rPr>
          <w:color w:val="000000" w:themeColor="text1"/>
          <w:sz w:val="24"/>
          <w:vertAlign w:val="superscript"/>
        </w:rPr>
        <w:t>2</w:t>
      </w:r>
      <w:r>
        <w:rPr>
          <w:color w:val="000000" w:themeColor="text1"/>
          <w:sz w:val="24"/>
        </w:rPr>
        <w:t>，占地类型</w:t>
      </w:r>
      <w:r>
        <w:rPr>
          <w:rFonts w:hint="eastAsia"/>
          <w:color w:val="000000" w:themeColor="text1"/>
          <w:sz w:val="24"/>
        </w:rPr>
        <w:t>均为农用地，其中耕地3.0056hm</w:t>
      </w:r>
      <w:r>
        <w:rPr>
          <w:rFonts w:hint="eastAsia"/>
          <w:color w:val="000000" w:themeColor="text1"/>
          <w:sz w:val="24"/>
          <w:vertAlign w:val="superscript"/>
        </w:rPr>
        <w:t>2</w:t>
      </w:r>
      <w:r>
        <w:rPr>
          <w:rFonts w:hint="eastAsia"/>
          <w:color w:val="000000" w:themeColor="text1"/>
          <w:sz w:val="24"/>
        </w:rPr>
        <w:t>，其他农用地0.6478hm</w:t>
      </w:r>
      <w:r>
        <w:rPr>
          <w:rFonts w:hint="eastAsia"/>
          <w:color w:val="000000" w:themeColor="text1"/>
          <w:sz w:val="24"/>
          <w:vertAlign w:val="superscript"/>
        </w:rPr>
        <w:t>2</w:t>
      </w:r>
      <w:r>
        <w:rPr>
          <w:rFonts w:hint="eastAsia"/>
          <w:color w:val="000000" w:themeColor="text1"/>
          <w:sz w:val="24"/>
        </w:rPr>
        <w:t>。项目占用土地性质为农用地，根据现场调查，用地中部土地荒废时间长，地表次生植被为云南松及其它灌木，用地东部为核桃林，西部现状为耕地。</w:t>
      </w:r>
    </w:p>
    <w:p>
      <w:pPr>
        <w:ind w:firstLine="480"/>
        <w:rPr>
          <w:color w:val="000000" w:themeColor="text1"/>
          <w:sz w:val="24"/>
        </w:rPr>
      </w:pPr>
      <w:r>
        <w:rPr>
          <w:color w:val="000000" w:themeColor="text1"/>
          <w:sz w:val="24"/>
        </w:rPr>
        <w:t>项目破坏植被均为常见种类，占地范围内没有发现需要特殊保护的珍稀、濒危植物种类。</w:t>
      </w:r>
    </w:p>
    <w:p>
      <w:pPr>
        <w:pStyle w:val="199"/>
        <w:ind w:firstLine="480"/>
        <w:rPr>
          <w:b w:val="0"/>
          <w:color w:val="000000" w:themeColor="text1"/>
          <w:szCs w:val="24"/>
        </w:rPr>
      </w:pPr>
      <w:r>
        <w:rPr>
          <w:b w:val="0"/>
          <w:color w:val="000000" w:themeColor="text1"/>
          <w:szCs w:val="24"/>
        </w:rPr>
        <w:t>（2）动物</w:t>
      </w:r>
    </w:p>
    <w:p>
      <w:pPr>
        <w:ind w:firstLine="480"/>
        <w:rPr>
          <w:color w:val="000000" w:themeColor="text1"/>
          <w:sz w:val="24"/>
        </w:rPr>
      </w:pPr>
      <w:r>
        <w:rPr>
          <w:color w:val="000000" w:themeColor="text1"/>
          <w:sz w:val="24"/>
        </w:rPr>
        <w:t>项目区域内涉及区域受人群活动影响较大，野生动物种类和数量较少，主要有蛇类、家鼠</w:t>
      </w:r>
      <w:r>
        <w:rPr>
          <w:iCs/>
          <w:color w:val="000000" w:themeColor="text1"/>
          <w:sz w:val="24"/>
        </w:rPr>
        <w:t>、</w:t>
      </w:r>
      <w:r>
        <w:rPr>
          <w:color w:val="000000" w:themeColor="text1"/>
          <w:sz w:val="24"/>
        </w:rPr>
        <w:t>田鼠、家燕、麻雀、山雀等常见动物及当地村民饲养的鸡、鸭等家禽。项目区域范围内无国家级和省级保护物种、珍稀濒危物种和地方特有种。</w:t>
      </w:r>
    </w:p>
    <w:p>
      <w:pPr>
        <w:ind w:firstLine="480"/>
        <w:rPr>
          <w:color w:val="000000" w:themeColor="text1"/>
          <w:sz w:val="24"/>
        </w:rPr>
      </w:pPr>
    </w:p>
    <w:p>
      <w:pPr>
        <w:ind w:firstLine="480"/>
        <w:rPr>
          <w:color w:val="000000" w:themeColor="text1"/>
          <w:sz w:val="24"/>
        </w:rPr>
      </w:pPr>
    </w:p>
    <w:p>
      <w:pPr>
        <w:ind w:firstLine="480"/>
        <w:rPr>
          <w:color w:val="000000" w:themeColor="text1"/>
          <w:sz w:val="24"/>
        </w:rPr>
        <w:sectPr>
          <w:pgSz w:w="11906" w:h="16838"/>
          <w:pgMar w:top="1440" w:right="1797" w:bottom="1440" w:left="1797" w:header="851" w:footer="992" w:gutter="0"/>
          <w:cols w:space="720" w:num="1"/>
          <w:docGrid w:linePitch="312" w:charSpace="0"/>
        </w:sectPr>
      </w:pPr>
    </w:p>
    <w:p>
      <w:pPr>
        <w:pStyle w:val="2"/>
        <w:rPr>
          <w:rFonts w:hAnsi="Times New Roman"/>
          <w:color w:val="000000" w:themeColor="text1"/>
        </w:rPr>
      </w:pPr>
      <w:bookmarkStart w:id="352" w:name="_Toc153596718"/>
      <w:bookmarkStart w:id="353" w:name="_Toc291776021"/>
      <w:bookmarkStart w:id="354" w:name="_Toc28044"/>
      <w:bookmarkStart w:id="355" w:name="_Toc303261022"/>
      <w:bookmarkStart w:id="356" w:name="_Toc23360"/>
      <w:bookmarkStart w:id="357" w:name="_Toc7364"/>
      <w:bookmarkStart w:id="358" w:name="_Toc402186384"/>
      <w:bookmarkStart w:id="359" w:name="_Toc510547318"/>
      <w:bookmarkStart w:id="360" w:name="_Toc4076492"/>
      <w:r>
        <w:rPr>
          <w:rFonts w:hAnsi="Times New Roman"/>
          <w:color w:val="000000" w:themeColor="text1"/>
        </w:rPr>
        <w:t>5环境影响</w:t>
      </w:r>
      <w:bookmarkEnd w:id="352"/>
      <w:r>
        <w:rPr>
          <w:rFonts w:hAnsi="Times New Roman"/>
          <w:color w:val="000000" w:themeColor="text1"/>
        </w:rPr>
        <w:t>预测与</w:t>
      </w:r>
      <w:bookmarkEnd w:id="353"/>
      <w:bookmarkEnd w:id="354"/>
      <w:bookmarkEnd w:id="355"/>
      <w:bookmarkEnd w:id="356"/>
      <w:bookmarkEnd w:id="357"/>
      <w:bookmarkEnd w:id="358"/>
      <w:r>
        <w:rPr>
          <w:rFonts w:hAnsi="Times New Roman"/>
          <w:color w:val="000000" w:themeColor="text1"/>
        </w:rPr>
        <w:t>评价</w:t>
      </w:r>
      <w:bookmarkEnd w:id="359"/>
      <w:bookmarkEnd w:id="360"/>
    </w:p>
    <w:p>
      <w:pPr>
        <w:pStyle w:val="3"/>
        <w:spacing w:before="0" w:after="0"/>
        <w:rPr>
          <w:rFonts w:ascii="Times New Roman" w:hAnsi="Times New Roman"/>
          <w:color w:val="000000" w:themeColor="text1"/>
        </w:rPr>
      </w:pPr>
      <w:bookmarkStart w:id="361" w:name="_Toc402186385"/>
      <w:bookmarkStart w:id="362" w:name="_Toc510547319"/>
      <w:bookmarkStart w:id="363" w:name="_Toc4076493"/>
      <w:r>
        <w:rPr>
          <w:rFonts w:ascii="Times New Roman" w:hAnsi="Times New Roman"/>
          <w:color w:val="000000" w:themeColor="text1"/>
        </w:rPr>
        <w:t>5.1</w:t>
      </w:r>
      <w:bookmarkEnd w:id="361"/>
      <w:bookmarkStart w:id="364" w:name="_Toc402186386"/>
      <w:r>
        <w:rPr>
          <w:rFonts w:ascii="Times New Roman" w:hAnsi="Times New Roman"/>
          <w:color w:val="000000" w:themeColor="text1"/>
        </w:rPr>
        <w:t>施工期环境影响分析</w:t>
      </w:r>
      <w:bookmarkEnd w:id="362"/>
      <w:bookmarkEnd w:id="363"/>
      <w:bookmarkEnd w:id="364"/>
    </w:p>
    <w:p>
      <w:pPr>
        <w:pStyle w:val="4"/>
        <w:spacing w:before="0" w:after="0" w:line="360" w:lineRule="auto"/>
        <w:rPr>
          <w:color w:val="000000" w:themeColor="text1"/>
        </w:rPr>
      </w:pPr>
      <w:bookmarkStart w:id="365" w:name="_Toc504403838"/>
      <w:bookmarkStart w:id="366" w:name="_Toc263166191"/>
      <w:bookmarkStart w:id="367" w:name="_Toc310366026"/>
      <w:bookmarkStart w:id="368" w:name="_Toc290811033"/>
      <w:bookmarkStart w:id="369" w:name="_Toc510547320"/>
      <w:r>
        <w:rPr>
          <w:color w:val="000000" w:themeColor="text1"/>
        </w:rPr>
        <w:t>5.1.1大气环境影响分析</w:t>
      </w:r>
      <w:bookmarkEnd w:id="365"/>
      <w:bookmarkEnd w:id="366"/>
      <w:bookmarkEnd w:id="367"/>
      <w:bookmarkEnd w:id="368"/>
      <w:bookmarkEnd w:id="369"/>
    </w:p>
    <w:p>
      <w:pPr>
        <w:ind w:firstLine="480" w:firstLineChars="200"/>
        <w:rPr>
          <w:color w:val="000000" w:themeColor="text1"/>
          <w:sz w:val="24"/>
        </w:rPr>
      </w:pPr>
      <w:r>
        <w:rPr>
          <w:color w:val="000000" w:themeColor="text1"/>
          <w:sz w:val="24"/>
        </w:rPr>
        <w:t>（1）施工扬尘</w:t>
      </w:r>
    </w:p>
    <w:p>
      <w:pPr>
        <w:ind w:firstLine="480" w:firstLineChars="200"/>
        <w:rPr>
          <w:color w:val="000000" w:themeColor="text1"/>
          <w:sz w:val="24"/>
        </w:rPr>
      </w:pPr>
      <w:r>
        <w:rPr>
          <w:color w:val="000000" w:themeColor="text1"/>
          <w:sz w:val="24"/>
        </w:rPr>
        <w:t>施工施工扬尘主要来源于土石方开挖产生的扬尘、易起尘物料产生的扬尘及施工作业等产生的粉尘，另外，施工运输车辆运送材料也可能引起较大的扬尘。</w:t>
      </w:r>
    </w:p>
    <w:p>
      <w:pPr>
        <w:ind w:firstLine="480" w:firstLineChars="200"/>
        <w:rPr>
          <w:color w:val="000000" w:themeColor="text1"/>
          <w:sz w:val="24"/>
        </w:rPr>
      </w:pPr>
      <w:r>
        <w:rPr>
          <w:color w:val="000000" w:themeColor="text1"/>
          <w:sz w:val="24"/>
        </w:rPr>
        <w:t>项目所在区域全年主导风向为</w:t>
      </w:r>
      <w:r>
        <w:rPr>
          <w:rFonts w:hint="eastAsia"/>
          <w:color w:val="000000" w:themeColor="text1"/>
          <w:sz w:val="24"/>
        </w:rPr>
        <w:t>西南</w:t>
      </w:r>
      <w:r>
        <w:rPr>
          <w:color w:val="000000" w:themeColor="text1"/>
          <w:sz w:val="24"/>
        </w:rPr>
        <w:t>风，平均风速为</w:t>
      </w:r>
      <w:r>
        <w:rPr>
          <w:rFonts w:hint="eastAsia"/>
          <w:color w:val="000000" w:themeColor="text1"/>
          <w:sz w:val="24"/>
        </w:rPr>
        <w:t>2.3</w:t>
      </w:r>
      <w:r>
        <w:rPr>
          <w:color w:val="000000" w:themeColor="text1"/>
          <w:sz w:val="24"/>
        </w:rPr>
        <w:t>m/s。根据类比分析，施工期无组织排放扬尘污染的范围主要集中在300m以内。项目距离最近的敏感点为</w:t>
      </w:r>
      <w:r>
        <w:rPr>
          <w:rFonts w:hint="eastAsia"/>
          <w:color w:val="000000" w:themeColor="text1"/>
          <w:sz w:val="24"/>
        </w:rPr>
        <w:t>石头</w:t>
      </w:r>
      <w:r>
        <w:rPr>
          <w:color w:val="000000" w:themeColor="text1"/>
          <w:sz w:val="24"/>
        </w:rPr>
        <w:t>村，距离为</w:t>
      </w:r>
      <w:r>
        <w:rPr>
          <w:rFonts w:hint="eastAsia"/>
          <w:color w:val="000000" w:themeColor="text1"/>
          <w:sz w:val="24"/>
        </w:rPr>
        <w:t>543</w:t>
      </w:r>
      <w:r>
        <w:rPr>
          <w:color w:val="000000" w:themeColor="text1"/>
          <w:sz w:val="24"/>
        </w:rPr>
        <w:t>m</w:t>
      </w:r>
      <w:r>
        <w:rPr>
          <w:rFonts w:hint="eastAsia"/>
          <w:color w:val="000000" w:themeColor="text1"/>
          <w:sz w:val="24"/>
        </w:rPr>
        <w:t>。石头</w:t>
      </w:r>
      <w:r>
        <w:rPr>
          <w:color w:val="000000" w:themeColor="text1"/>
          <w:sz w:val="24"/>
        </w:rPr>
        <w:t>村位于施工场地</w:t>
      </w:r>
      <w:r>
        <w:rPr>
          <w:rFonts w:hint="eastAsia"/>
          <w:color w:val="000000" w:themeColor="text1"/>
          <w:sz w:val="24"/>
        </w:rPr>
        <w:t>侧</w:t>
      </w:r>
      <w:r>
        <w:rPr>
          <w:color w:val="000000" w:themeColor="text1"/>
          <w:sz w:val="24"/>
        </w:rPr>
        <w:t>风向，施工扬尘对其影响小。</w:t>
      </w:r>
    </w:p>
    <w:p>
      <w:pPr>
        <w:ind w:firstLine="480" w:firstLineChars="200"/>
        <w:rPr>
          <w:color w:val="000000" w:themeColor="text1"/>
          <w:sz w:val="24"/>
        </w:rPr>
      </w:pPr>
      <w:r>
        <w:rPr>
          <w:color w:val="000000" w:themeColor="text1"/>
          <w:sz w:val="24"/>
        </w:rPr>
        <w:t>经过查阅相关资料，对项目易产尘区域每日洒水2~3次，可使空气中的扬尘减少70%左右，使影响范围缩小到20~50m的范围。采取措施后，施工扬尘对上述敏感目标影响进一步降低。</w:t>
      </w:r>
    </w:p>
    <w:p>
      <w:pPr>
        <w:ind w:firstLine="480" w:firstLineChars="200"/>
        <w:rPr>
          <w:color w:val="000000" w:themeColor="text1"/>
          <w:sz w:val="24"/>
        </w:rPr>
      </w:pPr>
      <w:r>
        <w:rPr>
          <w:color w:val="000000" w:themeColor="text1"/>
          <w:sz w:val="24"/>
        </w:rPr>
        <w:t>为进一步减轻施工扬尘对周围敏感目标的不利影响，环评要求项目采取的大气污染防治措施如下：</w:t>
      </w:r>
    </w:p>
    <w:p>
      <w:pPr>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施工场界外围修筑2.5m彩瓦围墙；</w:t>
      </w:r>
    </w:p>
    <w:p>
      <w:pPr>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对工地出入口进行混凝土硬化，并设置车辆清洗池；</w:t>
      </w:r>
    </w:p>
    <w:p>
      <w:pPr>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对施工裸露场地及主要运输道路在非雨天洒水降尘；</w:t>
      </w:r>
    </w:p>
    <w:p>
      <w:pPr>
        <w:ind w:firstLine="480" w:firstLineChars="200"/>
        <w:rPr>
          <w:color w:val="000000" w:themeColor="text1"/>
          <w:sz w:val="24"/>
        </w:rPr>
      </w:pPr>
      <w:r>
        <w:rPr>
          <w:rFonts w:hint="eastAsia" w:ascii="宋体" w:hAnsi="宋体" w:cs="宋体"/>
          <w:color w:val="000000" w:themeColor="text1"/>
          <w:sz w:val="24"/>
        </w:rPr>
        <w:t>④</w:t>
      </w:r>
      <w:r>
        <w:rPr>
          <w:color w:val="000000" w:themeColor="text1"/>
          <w:sz w:val="24"/>
        </w:rPr>
        <w:t>运输车辆采用密闭车斗，车斗应用棚布遮盖严实；</w:t>
      </w:r>
    </w:p>
    <w:p>
      <w:pPr>
        <w:ind w:firstLine="480" w:firstLineChars="200"/>
        <w:rPr>
          <w:color w:val="000000" w:themeColor="text1"/>
          <w:sz w:val="24"/>
        </w:rPr>
      </w:pPr>
      <w:r>
        <w:rPr>
          <w:rFonts w:hint="eastAsia" w:ascii="宋体" w:hAnsi="宋体" w:cs="宋体"/>
          <w:color w:val="000000" w:themeColor="text1"/>
          <w:sz w:val="24"/>
        </w:rPr>
        <w:t>⑤</w:t>
      </w:r>
      <w:r>
        <w:rPr>
          <w:color w:val="000000" w:themeColor="text1"/>
          <w:sz w:val="24"/>
        </w:rPr>
        <w:t>进场道路1~2天清扫一次，清扫前先洒水；</w:t>
      </w:r>
    </w:p>
    <w:p>
      <w:pPr>
        <w:ind w:firstLine="480" w:firstLineChars="200"/>
        <w:rPr>
          <w:color w:val="000000" w:themeColor="text1"/>
          <w:sz w:val="24"/>
        </w:rPr>
      </w:pPr>
      <w:r>
        <w:rPr>
          <w:rFonts w:hint="eastAsia" w:ascii="宋体" w:hAnsi="宋体" w:cs="宋体"/>
          <w:color w:val="000000" w:themeColor="text1"/>
          <w:sz w:val="24"/>
        </w:rPr>
        <w:t>⑥</w:t>
      </w:r>
      <w:r>
        <w:rPr>
          <w:color w:val="000000" w:themeColor="text1"/>
          <w:sz w:val="24"/>
        </w:rPr>
        <w:t>施工过程中使用水泥、石灰、砂石等易产生扬尘的建筑材料，应采取密封存储、设置围挡或堆砌围墙、用防尘布苫盖等措施。</w:t>
      </w:r>
    </w:p>
    <w:p>
      <w:pPr>
        <w:ind w:firstLine="480" w:firstLineChars="200"/>
        <w:rPr>
          <w:color w:val="000000" w:themeColor="text1"/>
          <w:sz w:val="24"/>
        </w:rPr>
      </w:pPr>
      <w:r>
        <w:rPr>
          <w:color w:val="000000" w:themeColor="text1"/>
          <w:sz w:val="24"/>
        </w:rPr>
        <w:t>在严格落实上述施工期扬尘污染防治措施后，施工扬尘对</w:t>
      </w:r>
      <w:r>
        <w:rPr>
          <w:rFonts w:hint="eastAsia"/>
          <w:color w:val="000000" w:themeColor="text1"/>
          <w:sz w:val="24"/>
        </w:rPr>
        <w:t>石头</w:t>
      </w:r>
      <w:r>
        <w:rPr>
          <w:color w:val="000000" w:themeColor="text1"/>
          <w:sz w:val="24"/>
        </w:rPr>
        <w:t>村影响降低，工程施工不会引起</w:t>
      </w:r>
      <w:r>
        <w:rPr>
          <w:rFonts w:hint="eastAsia"/>
          <w:color w:val="000000" w:themeColor="text1"/>
          <w:sz w:val="24"/>
        </w:rPr>
        <w:t>石头</w:t>
      </w:r>
      <w:r>
        <w:rPr>
          <w:color w:val="000000" w:themeColor="text1"/>
          <w:sz w:val="24"/>
        </w:rPr>
        <w:t>村</w:t>
      </w:r>
      <w:r>
        <w:rPr>
          <w:rFonts w:hint="eastAsia"/>
          <w:color w:val="000000" w:themeColor="text1"/>
          <w:sz w:val="24"/>
        </w:rPr>
        <w:t>TSP</w:t>
      </w:r>
      <w:r>
        <w:rPr>
          <w:color w:val="000000" w:themeColor="text1"/>
          <w:sz w:val="24"/>
        </w:rPr>
        <w:t>浓度会超过《环境空气质量标准》（GB3095-2012）二级标准中日平均值0.3mg/m</w:t>
      </w:r>
      <w:r>
        <w:rPr>
          <w:color w:val="000000" w:themeColor="text1"/>
          <w:sz w:val="24"/>
          <w:vertAlign w:val="superscript"/>
        </w:rPr>
        <w:t>3</w:t>
      </w:r>
      <w:r>
        <w:rPr>
          <w:color w:val="000000" w:themeColor="text1"/>
          <w:sz w:val="24"/>
        </w:rPr>
        <w:t>限值。</w:t>
      </w:r>
    </w:p>
    <w:p>
      <w:pPr>
        <w:ind w:firstLine="480" w:firstLineChars="200"/>
        <w:rPr>
          <w:color w:val="000000" w:themeColor="text1"/>
          <w:sz w:val="24"/>
        </w:rPr>
      </w:pPr>
      <w:r>
        <w:rPr>
          <w:color w:val="000000" w:themeColor="text1"/>
          <w:sz w:val="24"/>
        </w:rPr>
        <w:t>（2）运输车辆扬尘分析</w:t>
      </w:r>
    </w:p>
    <w:p>
      <w:pPr>
        <w:ind w:firstLine="480" w:firstLineChars="200"/>
        <w:rPr>
          <w:color w:val="000000" w:themeColor="text1"/>
          <w:sz w:val="24"/>
        </w:rPr>
      </w:pPr>
      <w:r>
        <w:rPr>
          <w:color w:val="000000" w:themeColor="text1"/>
          <w:sz w:val="24"/>
        </w:rPr>
        <w:t>施工高峰期，运输量大，车辆往来频繁时，道路扬尘污染较为严重。汽车运输产生的道路扬尘量与车型、车速、车流量、风速、道路表面积尘、尘土湿度等有关。运输车辆产生的扬尘对运输道路两侧影响较大。</w:t>
      </w:r>
    </w:p>
    <w:p>
      <w:pPr>
        <w:ind w:firstLine="480" w:firstLineChars="200"/>
        <w:rPr>
          <w:color w:val="000000" w:themeColor="text1"/>
          <w:sz w:val="24"/>
        </w:rPr>
      </w:pPr>
      <w:r>
        <w:rPr>
          <w:color w:val="000000" w:themeColor="text1"/>
          <w:sz w:val="24"/>
        </w:rPr>
        <w:t>根据交通部公路研究所对施工现场车辆扬尘监测结果：下风向150m处扬尘瞬时浓度达3.49mg/m</w:t>
      </w:r>
      <w:r>
        <w:rPr>
          <w:color w:val="000000" w:themeColor="text1"/>
          <w:sz w:val="24"/>
          <w:vertAlign w:val="superscript"/>
        </w:rPr>
        <w:t>3</w:t>
      </w:r>
      <w:r>
        <w:rPr>
          <w:color w:val="000000" w:themeColor="text1"/>
          <w:sz w:val="24"/>
        </w:rPr>
        <w:t>，超过《环境空气质量标准》（GB3095-2012）二级标准中1小时平均值的2.9倍。</w:t>
      </w:r>
    </w:p>
    <w:p>
      <w:pPr>
        <w:ind w:firstLine="480" w:firstLineChars="200"/>
        <w:rPr>
          <w:color w:val="000000" w:themeColor="text1"/>
          <w:sz w:val="24"/>
        </w:rPr>
      </w:pPr>
      <w:r>
        <w:rPr>
          <w:color w:val="000000" w:themeColor="text1"/>
          <w:sz w:val="24"/>
        </w:rPr>
        <w:t>项目施工车辆采用密闭车斗、进场道路定期清洗及车辆清洗后，运输车辆扬尘对环境的影响小，并随着施工期结束而消失。</w:t>
      </w:r>
    </w:p>
    <w:p>
      <w:pPr>
        <w:ind w:firstLine="480" w:firstLineChars="200"/>
        <w:rPr>
          <w:color w:val="000000" w:themeColor="text1"/>
          <w:sz w:val="24"/>
        </w:rPr>
      </w:pPr>
      <w:r>
        <w:rPr>
          <w:color w:val="000000" w:themeColor="text1"/>
          <w:sz w:val="24"/>
        </w:rPr>
        <w:t>（3）施工机械废气对环境的影响</w:t>
      </w:r>
    </w:p>
    <w:p>
      <w:pPr>
        <w:ind w:firstLine="480" w:firstLineChars="200"/>
        <w:rPr>
          <w:color w:val="000000" w:themeColor="text1"/>
          <w:sz w:val="24"/>
        </w:rPr>
      </w:pPr>
      <w:r>
        <w:rPr>
          <w:color w:val="000000" w:themeColor="text1"/>
          <w:sz w:val="24"/>
        </w:rPr>
        <w:t>施工机械废气属于无组织排放性质，具有间断性产生、产生量较小、产生点相对分散、易被稀释扩散等特点。</w:t>
      </w:r>
    </w:p>
    <w:p>
      <w:pPr>
        <w:ind w:firstLine="480" w:firstLineChars="200"/>
        <w:rPr>
          <w:color w:val="000000" w:themeColor="text1"/>
          <w:sz w:val="24"/>
        </w:rPr>
      </w:pPr>
      <w:r>
        <w:rPr>
          <w:color w:val="000000" w:themeColor="text1"/>
          <w:sz w:val="24"/>
        </w:rPr>
        <w:t>由于项目区施工范围空旷，大气扩散条件相对较好，有利于污染物的稀释扩散，故一般情况下，施工机械和运输车辆所产生的尾气污染在空气中经自然扩散和稀释后，对项目区域的空气环境质量影响小。加之汽车尾气排放均符合国家标准要求，汽车尾气对区域环境影响较小。</w:t>
      </w:r>
    </w:p>
    <w:p>
      <w:pPr>
        <w:pStyle w:val="4"/>
        <w:adjustRightInd w:val="0"/>
        <w:snapToGrid w:val="0"/>
        <w:spacing w:before="0" w:after="0" w:line="360" w:lineRule="auto"/>
        <w:rPr>
          <w:color w:val="000000" w:themeColor="text1"/>
        </w:rPr>
      </w:pPr>
      <w:bookmarkStart w:id="370" w:name="_Toc510547321"/>
      <w:bookmarkStart w:id="371" w:name="_Toc504403839"/>
      <w:r>
        <w:rPr>
          <w:color w:val="000000" w:themeColor="text1"/>
        </w:rPr>
        <w:t>5.1.2地表水环境影响分析</w:t>
      </w:r>
      <w:bookmarkEnd w:id="370"/>
      <w:bookmarkEnd w:id="371"/>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施工期对地表水的环境影响主要来自于施工期的施工废水、施工人员的生活废水及暴雨径流。</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（1）施工废水</w:t>
      </w:r>
    </w:p>
    <w:p>
      <w:pPr>
        <w:ind w:firstLine="480" w:firstLineChars="200"/>
        <w:rPr>
          <w:color w:val="000000" w:themeColor="text1"/>
        </w:rPr>
      </w:pPr>
      <w:bookmarkStart w:id="372" w:name="_Toc310366028"/>
      <w:bookmarkStart w:id="373" w:name="_Toc263166193"/>
      <w:bookmarkStart w:id="374" w:name="_Toc290811043"/>
      <w:r>
        <w:rPr>
          <w:color w:val="000000" w:themeColor="text1"/>
          <w:sz w:val="24"/>
        </w:rPr>
        <w:t>施工场地设施1个收集池，容积为3m</w:t>
      </w:r>
      <w:r>
        <w:rPr>
          <w:color w:val="000000" w:themeColor="text1"/>
          <w:sz w:val="24"/>
          <w:vertAlign w:val="superscript"/>
        </w:rPr>
        <w:t>3</w:t>
      </w:r>
      <w:r>
        <w:rPr>
          <w:color w:val="000000" w:themeColor="text1"/>
          <w:sz w:val="24"/>
        </w:rPr>
        <w:t>，收集机械清洗废水，收集沉淀后循环利用；施工场地主出口拟设车辆清洗池1个，8m×3.5m，清洗运输车辆，清洗废水沉淀后循环利用</w:t>
      </w:r>
      <w:r>
        <w:rPr>
          <w:color w:val="000000" w:themeColor="text1"/>
        </w:rPr>
        <w:t>。</w:t>
      </w:r>
    </w:p>
    <w:p>
      <w:pPr>
        <w:spacing w:line="372" w:lineRule="auto"/>
        <w:ind w:firstLine="480" w:firstLineChars="200"/>
        <w:rPr>
          <w:color w:val="000000" w:themeColor="text1"/>
          <w:sz w:val="24"/>
        </w:rPr>
      </w:pPr>
      <w:r>
        <w:rPr>
          <w:color w:val="000000" w:themeColor="text1"/>
          <w:sz w:val="24"/>
        </w:rPr>
        <w:t>（2）生活污水</w:t>
      </w:r>
    </w:p>
    <w:p>
      <w:pPr>
        <w:ind w:firstLine="482"/>
        <w:rPr>
          <w:color w:val="000000" w:themeColor="text1"/>
          <w:sz w:val="24"/>
        </w:rPr>
      </w:pPr>
      <w:r>
        <w:rPr>
          <w:color w:val="000000" w:themeColor="text1"/>
          <w:sz w:val="24"/>
        </w:rPr>
        <w:t>施工人员生活污水</w:t>
      </w:r>
      <w:r>
        <w:rPr>
          <w:rFonts w:hint="eastAsia"/>
          <w:color w:val="000000" w:themeColor="text1"/>
          <w:sz w:val="24"/>
        </w:rPr>
        <w:t>依托租用民房化粪池处置，定期清掏用于农肥。施工场地</w:t>
      </w:r>
      <w:r>
        <w:rPr>
          <w:color w:val="000000" w:themeColor="text1"/>
          <w:sz w:val="24"/>
        </w:rPr>
        <w:t>洗手废水产生量很小，直接用于洒水降尘。</w:t>
      </w:r>
    </w:p>
    <w:p>
      <w:pPr>
        <w:ind w:firstLine="480" w:firstLineChars="200"/>
        <w:rPr>
          <w:color w:val="000000" w:themeColor="text1"/>
          <w:sz w:val="24"/>
        </w:rPr>
      </w:pPr>
      <w:r>
        <w:rPr>
          <w:color w:val="000000" w:themeColor="text1"/>
          <w:sz w:val="24"/>
        </w:rPr>
        <w:t>（3）降雨径流</w:t>
      </w:r>
    </w:p>
    <w:p>
      <w:pPr>
        <w:ind w:firstLine="480" w:firstLineChars="200"/>
        <w:rPr>
          <w:color w:val="000000" w:themeColor="text1"/>
          <w:sz w:val="24"/>
        </w:rPr>
      </w:pPr>
      <w:r>
        <w:rPr>
          <w:color w:val="000000" w:themeColor="text1"/>
          <w:sz w:val="24"/>
        </w:rPr>
        <w:t>项目场区雨天径流含有大量泥沙，直接外排会使周围水体的悬浮物含量增加。</w:t>
      </w:r>
    </w:p>
    <w:p>
      <w:pPr>
        <w:ind w:firstLine="480" w:firstLineChars="200"/>
        <w:rPr>
          <w:color w:val="000000" w:themeColor="text1"/>
          <w:sz w:val="24"/>
        </w:rPr>
      </w:pPr>
      <w:r>
        <w:rPr>
          <w:color w:val="000000" w:themeColor="text1"/>
          <w:sz w:val="24"/>
        </w:rPr>
        <w:t>施工场地结合临时排水沟开挖，在排水口末端拟设3座沉砂池，沉淀池尺寸为3.6m×1.8m×2m，单个容积为12.96m</w:t>
      </w:r>
      <w:r>
        <w:rPr>
          <w:color w:val="000000" w:themeColor="text1"/>
          <w:sz w:val="24"/>
          <w:vertAlign w:val="superscript"/>
        </w:rPr>
        <w:t>3</w:t>
      </w:r>
      <w:r>
        <w:rPr>
          <w:color w:val="000000" w:themeColor="text1"/>
          <w:sz w:val="24"/>
        </w:rPr>
        <w:t>，作为施工场地内降雨径流沉淀池。</w:t>
      </w:r>
    </w:p>
    <w:p>
      <w:pPr>
        <w:ind w:firstLine="480" w:firstLineChars="200"/>
        <w:rPr>
          <w:color w:val="000000" w:themeColor="text1"/>
          <w:sz w:val="24"/>
        </w:rPr>
      </w:pPr>
      <w:r>
        <w:rPr>
          <w:color w:val="000000" w:themeColor="text1"/>
          <w:sz w:val="24"/>
        </w:rPr>
        <w:t>降雨径流主要污染物为SS，经沉砂池沉淀处理后，优先用于洒水及施工用水，多余部分外排。</w:t>
      </w:r>
    </w:p>
    <w:p>
      <w:pPr>
        <w:ind w:firstLine="480" w:firstLineChars="200"/>
        <w:rPr>
          <w:color w:val="000000" w:themeColor="text1"/>
          <w:sz w:val="24"/>
        </w:rPr>
      </w:pPr>
      <w:r>
        <w:rPr>
          <w:color w:val="000000" w:themeColor="text1"/>
          <w:sz w:val="24"/>
        </w:rPr>
        <w:t>综上，项目施工期废水处置措施合理，对周围地表水环境影响小。</w:t>
      </w:r>
      <w:r>
        <w:rPr>
          <w:rFonts w:hint="eastAsia"/>
          <w:color w:val="000000" w:themeColor="text1"/>
          <w:sz w:val="24"/>
        </w:rPr>
        <w:t>项目场地不在水塘汇水区范围，对水塘水质无影响。</w:t>
      </w:r>
    </w:p>
    <w:p>
      <w:pPr>
        <w:pStyle w:val="4"/>
        <w:adjustRightInd w:val="0"/>
        <w:snapToGrid w:val="0"/>
        <w:spacing w:before="0" w:after="0" w:line="360" w:lineRule="auto"/>
        <w:rPr>
          <w:color w:val="000000" w:themeColor="text1"/>
        </w:rPr>
      </w:pPr>
      <w:bookmarkStart w:id="375" w:name="_Toc510547322"/>
      <w:bookmarkStart w:id="376" w:name="_Toc504403840"/>
      <w:r>
        <w:rPr>
          <w:color w:val="000000" w:themeColor="text1"/>
        </w:rPr>
        <w:t>5.1.3声环境影响分析</w:t>
      </w:r>
      <w:bookmarkEnd w:id="375"/>
      <w:bookmarkEnd w:id="376"/>
    </w:p>
    <w:bookmarkEnd w:id="372"/>
    <w:bookmarkEnd w:id="373"/>
    <w:bookmarkEnd w:id="374"/>
    <w:p>
      <w:pPr>
        <w:spacing w:line="440" w:lineRule="exact"/>
        <w:ind w:firstLine="480" w:firstLineChars="200"/>
        <w:rPr>
          <w:color w:val="000000" w:themeColor="text1"/>
          <w:sz w:val="24"/>
        </w:rPr>
      </w:pPr>
      <w:r>
        <w:rPr>
          <w:color w:val="000000" w:themeColor="text1"/>
          <w:sz w:val="24"/>
        </w:rPr>
        <w:t>（1）噪声预测</w:t>
      </w:r>
    </w:p>
    <w:p>
      <w:pPr>
        <w:adjustRightInd w:val="0"/>
        <w:snapToGrid w:val="0"/>
        <w:spacing w:line="440" w:lineRule="exact"/>
        <w:ind w:firstLine="480" w:firstLineChars="200"/>
        <w:textAlignment w:val="baseline"/>
        <w:rPr>
          <w:color w:val="000000" w:themeColor="text1"/>
          <w:sz w:val="24"/>
        </w:rPr>
      </w:pPr>
      <w:r>
        <w:rPr>
          <w:color w:val="000000" w:themeColor="text1"/>
          <w:sz w:val="24"/>
        </w:rPr>
        <w:t>项目施工中大多数机械设备噪声均属于中低频噪声，预测其影响程度、范围时只考虑其距离传播衰减。</w:t>
      </w:r>
    </w:p>
    <w:p>
      <w:pPr>
        <w:adjustRightInd w:val="0"/>
        <w:snapToGrid w:val="0"/>
        <w:spacing w:line="440" w:lineRule="exact"/>
        <w:ind w:firstLine="480" w:firstLineChars="200"/>
        <w:textAlignment w:val="baseline"/>
        <w:rPr>
          <w:color w:val="000000" w:themeColor="text1"/>
        </w:rPr>
      </w:pPr>
      <w:r>
        <w:rPr>
          <w:color w:val="000000" w:themeColor="text1"/>
          <w:sz w:val="24"/>
        </w:rPr>
        <w:t>距离传播衰减模式：</w:t>
      </w:r>
    </w:p>
    <w:p>
      <w:pPr>
        <w:adjustRightInd w:val="0"/>
        <w:snapToGrid w:val="0"/>
        <w:spacing w:line="440" w:lineRule="exact"/>
        <w:ind w:firstLine="480" w:firstLineChars="200"/>
        <w:jc w:val="center"/>
        <w:textAlignment w:val="baseline"/>
        <w:rPr>
          <w:color w:val="000000" w:themeColor="text1"/>
          <w:sz w:val="24"/>
        </w:rPr>
      </w:pPr>
      <w:r>
        <w:rPr>
          <w:color w:val="000000" w:themeColor="text1"/>
          <w:sz w:val="24"/>
        </w:rPr>
        <w:t>Lp（r）=Lp（r</w:t>
      </w:r>
      <w:r>
        <w:rPr>
          <w:color w:val="000000" w:themeColor="text1"/>
          <w:sz w:val="24"/>
          <w:vertAlign w:val="subscript"/>
        </w:rPr>
        <w:t>0</w:t>
      </w:r>
      <w:r>
        <w:rPr>
          <w:color w:val="000000" w:themeColor="text1"/>
          <w:sz w:val="24"/>
        </w:rPr>
        <w:t>）-20lg（r/r</w:t>
      </w:r>
      <w:r>
        <w:rPr>
          <w:color w:val="000000" w:themeColor="text1"/>
          <w:sz w:val="24"/>
          <w:vertAlign w:val="subscript"/>
        </w:rPr>
        <w:t>0</w:t>
      </w:r>
      <w:r>
        <w:rPr>
          <w:color w:val="000000" w:themeColor="text1"/>
          <w:sz w:val="24"/>
        </w:rPr>
        <w:t>）</w:t>
      </w:r>
    </w:p>
    <w:p>
      <w:pPr>
        <w:adjustRightInd w:val="0"/>
        <w:snapToGrid w:val="0"/>
        <w:spacing w:line="440" w:lineRule="exact"/>
        <w:ind w:firstLine="480" w:firstLineChars="200"/>
        <w:textAlignment w:val="baseline"/>
        <w:rPr>
          <w:color w:val="000000" w:themeColor="text1"/>
          <w:sz w:val="24"/>
        </w:rPr>
      </w:pPr>
      <w:r>
        <w:rPr>
          <w:color w:val="000000" w:themeColor="text1"/>
          <w:sz w:val="24"/>
        </w:rPr>
        <w:t>式中：Lp（r）——距声源r处的声压级，dB(A)；</w:t>
      </w:r>
    </w:p>
    <w:p>
      <w:pPr>
        <w:adjustRightInd w:val="0"/>
        <w:snapToGrid w:val="0"/>
        <w:spacing w:line="440" w:lineRule="exact"/>
        <w:ind w:firstLine="1200" w:firstLineChars="500"/>
        <w:textAlignment w:val="baseline"/>
        <w:rPr>
          <w:color w:val="000000" w:themeColor="text1"/>
          <w:sz w:val="24"/>
        </w:rPr>
      </w:pPr>
      <w:r>
        <w:rPr>
          <w:color w:val="000000" w:themeColor="text1"/>
          <w:sz w:val="24"/>
        </w:rPr>
        <w:t>Lp（r</w:t>
      </w:r>
      <w:r>
        <w:rPr>
          <w:color w:val="000000" w:themeColor="text1"/>
          <w:sz w:val="24"/>
          <w:vertAlign w:val="subscript"/>
        </w:rPr>
        <w:t>0</w:t>
      </w:r>
      <w:r>
        <w:rPr>
          <w:color w:val="000000" w:themeColor="text1"/>
          <w:sz w:val="24"/>
        </w:rPr>
        <w:t>）——参考位置r</w:t>
      </w:r>
      <w:r>
        <w:rPr>
          <w:color w:val="000000" w:themeColor="text1"/>
          <w:sz w:val="24"/>
          <w:vertAlign w:val="subscript"/>
        </w:rPr>
        <w:t>0</w:t>
      </w:r>
      <w:r>
        <w:rPr>
          <w:color w:val="000000" w:themeColor="text1"/>
          <w:sz w:val="24"/>
        </w:rPr>
        <w:t>处的声压级，dB(A)。</w:t>
      </w:r>
    </w:p>
    <w:p>
      <w:pPr>
        <w:adjustRightInd w:val="0"/>
        <w:snapToGrid w:val="0"/>
        <w:spacing w:line="440" w:lineRule="exact"/>
        <w:ind w:firstLine="480" w:firstLineChars="200"/>
        <w:textAlignment w:val="baseline"/>
        <w:rPr>
          <w:color w:val="000000" w:themeColor="text1"/>
          <w:sz w:val="24"/>
        </w:rPr>
      </w:pPr>
      <w:r>
        <w:rPr>
          <w:color w:val="000000" w:themeColor="text1"/>
          <w:sz w:val="24"/>
        </w:rPr>
        <w:t>噪声叠加值计算模式：</w:t>
      </w:r>
    </w:p>
    <w:p>
      <w:pPr>
        <w:spacing w:line="440" w:lineRule="exact"/>
        <w:ind w:firstLine="420" w:firstLineChars="200"/>
        <w:jc w:val="center"/>
        <w:rPr>
          <w:color w:val="000000" w:themeColor="text1"/>
        </w:rPr>
      </w:pPr>
      <w:r>
        <w:rPr>
          <w:color w:val="000000" w:themeColor="text1"/>
        </w:rPr>
        <w:t>L</w:t>
      </w:r>
      <w:r>
        <w:rPr>
          <w:color w:val="000000" w:themeColor="text1"/>
          <w:vertAlign w:val="subscript"/>
        </w:rPr>
        <w:t>PT</w:t>
      </w:r>
      <w:r>
        <w:rPr>
          <w:color w:val="000000" w:themeColor="text1"/>
        </w:rPr>
        <w:t>=10lg（</w:t>
      </w:r>
      <w:r>
        <w:rPr>
          <w:color w:val="000000" w:themeColor="text1"/>
          <w:position w:val="-28"/>
        </w:rPr>
        <w:pict>
          <v:shape id="_x0000_i1029" o:spt="75" type="#_x0000_t75" style="height:34.55pt;width:30.25pt;" filled="f" o:preferrelative="t" stroked="f" coordsize="21600,21600">
            <v:path/>
            <v:fill on="f" focussize="0,0"/>
            <v:stroke on="f" joinstyle="miter"/>
            <v:imagedata r:id="rId34" o:title=""/>
            <o:lock v:ext="edit" aspectratio="t"/>
            <w10:wrap type="none"/>
            <w10:anchorlock/>
          </v:shape>
        </w:pict>
      </w:r>
      <w:r>
        <w:rPr>
          <w:color w:val="000000" w:themeColor="text1"/>
          <w:vertAlign w:val="superscript"/>
        </w:rPr>
        <w:t>0.1Lpi</w:t>
      </w:r>
      <w:r>
        <w:rPr>
          <w:color w:val="000000" w:themeColor="text1"/>
        </w:rPr>
        <w:t>）</w:t>
      </w:r>
    </w:p>
    <w:p>
      <w:pPr>
        <w:adjustRightInd w:val="0"/>
        <w:snapToGrid w:val="0"/>
        <w:spacing w:line="440" w:lineRule="exact"/>
        <w:ind w:firstLine="480" w:firstLineChars="200"/>
        <w:textAlignment w:val="baseline"/>
        <w:rPr>
          <w:color w:val="000000" w:themeColor="text1"/>
          <w:sz w:val="24"/>
        </w:rPr>
      </w:pPr>
      <w:r>
        <w:rPr>
          <w:color w:val="000000" w:themeColor="text1"/>
          <w:sz w:val="24"/>
        </w:rPr>
        <w:t>式中：L</w:t>
      </w:r>
      <w:r>
        <w:rPr>
          <w:color w:val="000000" w:themeColor="text1"/>
          <w:sz w:val="24"/>
          <w:vertAlign w:val="subscript"/>
        </w:rPr>
        <w:t>PT</w:t>
      </w:r>
      <w:r>
        <w:rPr>
          <w:color w:val="000000" w:themeColor="text1"/>
          <w:sz w:val="24"/>
        </w:rPr>
        <w:t>——预测点出新增的总声压级，dB(A)；</w:t>
      </w:r>
    </w:p>
    <w:p>
      <w:pPr>
        <w:adjustRightInd w:val="0"/>
        <w:snapToGrid w:val="0"/>
        <w:spacing w:line="440" w:lineRule="exact"/>
        <w:ind w:firstLine="480" w:firstLineChars="200"/>
        <w:textAlignment w:val="baseline"/>
        <w:rPr>
          <w:color w:val="000000" w:themeColor="text1"/>
          <w:sz w:val="24"/>
        </w:rPr>
      </w:pPr>
      <w:r>
        <w:rPr>
          <w:color w:val="000000" w:themeColor="text1"/>
          <w:sz w:val="24"/>
        </w:rPr>
        <w:t xml:space="preserve">      Lpi——第i个声源至预测点处的声压级，dB(A)；</w:t>
      </w:r>
    </w:p>
    <w:p>
      <w:pPr>
        <w:adjustRightInd w:val="0"/>
        <w:snapToGrid w:val="0"/>
        <w:spacing w:line="440" w:lineRule="exact"/>
        <w:ind w:firstLine="480" w:firstLineChars="200"/>
        <w:textAlignment w:val="baseline"/>
        <w:rPr>
          <w:color w:val="000000" w:themeColor="text1"/>
          <w:sz w:val="24"/>
        </w:rPr>
      </w:pPr>
      <w:r>
        <w:rPr>
          <w:color w:val="000000" w:themeColor="text1"/>
          <w:sz w:val="24"/>
        </w:rPr>
        <w:t xml:space="preserve">      n——声源个数。</w:t>
      </w:r>
    </w:p>
    <w:p>
      <w:pPr>
        <w:adjustRightInd w:val="0"/>
        <w:snapToGrid w:val="0"/>
        <w:spacing w:line="440" w:lineRule="exact"/>
        <w:ind w:firstLine="480" w:firstLineChars="200"/>
        <w:rPr>
          <w:bCs/>
          <w:color w:val="000000" w:themeColor="text1"/>
          <w:sz w:val="24"/>
        </w:rPr>
      </w:pPr>
      <w:r>
        <w:rPr>
          <w:color w:val="000000" w:themeColor="text1"/>
          <w:sz w:val="24"/>
        </w:rPr>
        <w:t>由上式可计算出噪声值随距离衰减及叠加的变化情况，具体见表5.1-1</w:t>
      </w:r>
      <w:r>
        <w:rPr>
          <w:bCs/>
          <w:color w:val="000000" w:themeColor="text1"/>
          <w:sz w:val="24"/>
        </w:rPr>
        <w:t>。</w:t>
      </w:r>
    </w:p>
    <w:p>
      <w:pPr>
        <w:snapToGrid w:val="0"/>
        <w:spacing w:line="440" w:lineRule="exact"/>
        <w:ind w:firstLine="420"/>
        <w:jc w:val="center"/>
        <w:rPr>
          <w:b/>
          <w:bCs/>
          <w:color w:val="000000" w:themeColor="text1"/>
          <w:szCs w:val="21"/>
        </w:rPr>
      </w:pPr>
      <w:r>
        <w:rPr>
          <w:b/>
          <w:bCs/>
          <w:color w:val="000000" w:themeColor="text1"/>
          <w:szCs w:val="21"/>
        </w:rPr>
        <w:t>表5.1-1  施工噪声衰减贡献</w:t>
      </w:r>
      <w:r>
        <w:rPr>
          <w:b/>
          <w:color w:val="000000" w:themeColor="text1"/>
          <w:szCs w:val="21"/>
        </w:rPr>
        <w:t>值dB（A）</w:t>
      </w:r>
    </w:p>
    <w:tbl>
      <w:tblPr>
        <w:tblStyle w:val="42"/>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851"/>
        <w:gridCol w:w="851"/>
        <w:gridCol w:w="810"/>
        <w:gridCol w:w="807"/>
        <w:gridCol w:w="1015"/>
        <w:gridCol w:w="817"/>
        <w:gridCol w:w="846"/>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dxa"/>
            <w:vMerge w:val="restart"/>
            <w:tcBorders>
              <w:top w:val="single" w:color="auto" w:sz="4" w:space="0"/>
              <w:left w:val="single" w:color="auto" w:sz="4" w:space="0"/>
              <w:bottom w:val="single" w:color="auto" w:sz="4" w:space="0"/>
              <w:tl2br w:val="single" w:color="auto" w:sz="4" w:space="0"/>
            </w:tcBorders>
            <w:vAlign w:val="center"/>
          </w:tcPr>
          <w:p>
            <w:pPr>
              <w:pStyle w:val="211"/>
              <w:spacing w:line="240" w:lineRule="exact"/>
              <w:jc w:val="right"/>
              <w:rPr>
                <w:b/>
                <w:color w:val="000000" w:themeColor="text1"/>
              </w:rPr>
            </w:pPr>
            <w:r>
              <w:rPr>
                <w:b/>
                <w:color w:val="000000" w:themeColor="text1"/>
              </w:rPr>
              <w:t>距离（m）</w:t>
            </w:r>
          </w:p>
          <w:p>
            <w:pPr>
              <w:pStyle w:val="211"/>
              <w:spacing w:line="240" w:lineRule="exact"/>
              <w:jc w:val="both"/>
              <w:rPr>
                <w:b/>
                <w:color w:val="000000" w:themeColor="text1"/>
              </w:rPr>
            </w:pPr>
            <w:r>
              <w:rPr>
                <w:b/>
                <w:color w:val="000000" w:themeColor="text1"/>
              </w:rPr>
              <w:t>施工阶段</w:t>
            </w:r>
          </w:p>
        </w:tc>
        <w:tc>
          <w:tcPr>
            <w:tcW w:w="5151" w:type="dxa"/>
            <w:gridSpan w:val="6"/>
            <w:tcBorders>
              <w:top w:val="single" w:color="auto" w:sz="4" w:space="0"/>
              <w:bottom w:val="single" w:color="auto" w:sz="4" w:space="0"/>
              <w:right w:val="single" w:color="auto" w:sz="4" w:space="0"/>
            </w:tcBorders>
            <w:vAlign w:val="center"/>
          </w:tcPr>
          <w:p>
            <w:pPr>
              <w:pStyle w:val="211"/>
              <w:spacing w:line="240" w:lineRule="exact"/>
              <w:ind w:firstLine="422"/>
              <w:rPr>
                <w:b/>
                <w:color w:val="000000" w:themeColor="text1"/>
              </w:rPr>
            </w:pPr>
            <w:r>
              <w:rPr>
                <w:b/>
                <w:color w:val="000000" w:themeColor="text1"/>
              </w:rPr>
              <w:t>噪声随距离衰减贡献值</w:t>
            </w:r>
          </w:p>
        </w:tc>
        <w:tc>
          <w:tcPr>
            <w:tcW w:w="1567" w:type="dxa"/>
            <w:gridSpan w:val="2"/>
            <w:tcBorders>
              <w:top w:val="single" w:color="auto" w:sz="4" w:space="0"/>
              <w:bottom w:val="single" w:color="auto" w:sz="4" w:space="0"/>
              <w:right w:val="single" w:color="auto" w:sz="4" w:space="0"/>
            </w:tcBorders>
            <w:vAlign w:val="center"/>
          </w:tcPr>
          <w:p>
            <w:pPr>
              <w:pStyle w:val="211"/>
              <w:spacing w:line="240" w:lineRule="exact"/>
              <w:rPr>
                <w:b/>
                <w:color w:val="000000" w:themeColor="text1"/>
              </w:rPr>
            </w:pPr>
            <w:r>
              <w:rPr>
                <w:b/>
                <w:color w:val="000000" w:themeColor="text1"/>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dxa"/>
            <w:vMerge w:val="continue"/>
            <w:tcBorders>
              <w:top w:val="single" w:color="auto" w:sz="4" w:space="0"/>
              <w:left w:val="single" w:color="auto" w:sz="4" w:space="0"/>
              <w:bottom w:val="single" w:color="auto" w:sz="4" w:space="0"/>
              <w:right w:val="single" w:color="auto" w:sz="4" w:space="0"/>
            </w:tcBorders>
            <w:vAlign w:val="center"/>
          </w:tcPr>
          <w:p>
            <w:pPr>
              <w:pStyle w:val="211"/>
              <w:spacing w:line="240" w:lineRule="exact"/>
              <w:jc w:val="both"/>
              <w:rPr>
                <w:color w:val="000000" w:themeColor="text1"/>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ind w:firstLine="199" w:firstLineChars="95"/>
              <w:jc w:val="both"/>
              <w:rPr>
                <w:color w:val="000000" w:themeColor="text1"/>
              </w:rPr>
            </w:pPr>
            <w:r>
              <w:rPr>
                <w:color w:val="000000" w:themeColor="text1"/>
              </w:rPr>
              <w:t>10</w:t>
            </w:r>
          </w:p>
        </w:tc>
        <w:tc>
          <w:tcPr>
            <w:tcW w:w="851"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30</w:t>
            </w:r>
          </w:p>
        </w:tc>
        <w:tc>
          <w:tcPr>
            <w:tcW w:w="810"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50</w:t>
            </w:r>
          </w:p>
        </w:tc>
        <w:tc>
          <w:tcPr>
            <w:tcW w:w="807"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100</w:t>
            </w:r>
          </w:p>
        </w:tc>
        <w:tc>
          <w:tcPr>
            <w:tcW w:w="1015"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150</w:t>
            </w:r>
          </w:p>
        </w:tc>
        <w:tc>
          <w:tcPr>
            <w:tcW w:w="817"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200</w:t>
            </w:r>
          </w:p>
        </w:tc>
        <w:tc>
          <w:tcPr>
            <w:tcW w:w="846"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昼</w:t>
            </w:r>
          </w:p>
        </w:tc>
        <w:tc>
          <w:tcPr>
            <w:tcW w:w="721"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土石方、基础阶段</w:t>
            </w:r>
          </w:p>
        </w:tc>
        <w:tc>
          <w:tcPr>
            <w:tcW w:w="851"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72.2</w:t>
            </w:r>
          </w:p>
        </w:tc>
        <w:tc>
          <w:tcPr>
            <w:tcW w:w="851"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62.6</w:t>
            </w:r>
          </w:p>
        </w:tc>
        <w:tc>
          <w:tcPr>
            <w:tcW w:w="810"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58.2</w:t>
            </w:r>
          </w:p>
        </w:tc>
        <w:tc>
          <w:tcPr>
            <w:tcW w:w="807"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52.2</w:t>
            </w:r>
          </w:p>
        </w:tc>
        <w:tc>
          <w:tcPr>
            <w:tcW w:w="1015"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48.6</w:t>
            </w:r>
          </w:p>
        </w:tc>
        <w:tc>
          <w:tcPr>
            <w:tcW w:w="817"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46.2</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pPr>
              <w:pStyle w:val="211"/>
              <w:spacing w:line="240" w:lineRule="exact"/>
              <w:ind w:firstLine="199" w:firstLineChars="95"/>
              <w:jc w:val="both"/>
              <w:rPr>
                <w:color w:val="000000" w:themeColor="text1"/>
              </w:rPr>
            </w:pPr>
            <w:r>
              <w:rPr>
                <w:color w:val="000000" w:themeColor="text1"/>
              </w:rPr>
              <w:t>70</w:t>
            </w:r>
          </w:p>
        </w:tc>
        <w:tc>
          <w:tcPr>
            <w:tcW w:w="721" w:type="dxa"/>
            <w:vMerge w:val="restart"/>
            <w:tcBorders>
              <w:top w:val="single" w:color="auto" w:sz="4" w:space="0"/>
              <w:left w:val="single" w:color="auto" w:sz="4" w:space="0"/>
              <w:bottom w:val="single" w:color="auto" w:sz="4" w:space="0"/>
              <w:right w:val="single" w:color="auto" w:sz="4" w:space="0"/>
            </w:tcBorders>
            <w:vAlign w:val="center"/>
          </w:tcPr>
          <w:p>
            <w:pPr>
              <w:pStyle w:val="211"/>
              <w:spacing w:line="240" w:lineRule="exact"/>
              <w:ind w:firstLine="199" w:firstLineChars="95"/>
              <w:jc w:val="both"/>
              <w:rPr>
                <w:color w:val="000000" w:themeColor="text1"/>
              </w:rPr>
            </w:pPr>
            <w:r>
              <w:rPr>
                <w:color w:val="000000" w:themeColor="text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底板与结构阶段</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82.3</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72.8</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62.2</w:t>
            </w:r>
          </w:p>
        </w:tc>
        <w:tc>
          <w:tcPr>
            <w:tcW w:w="80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62.3</w:t>
            </w:r>
          </w:p>
        </w:tc>
        <w:tc>
          <w:tcPr>
            <w:tcW w:w="101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57.9</w:t>
            </w:r>
          </w:p>
        </w:tc>
        <w:tc>
          <w:tcPr>
            <w:tcW w:w="81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56.3</w:t>
            </w: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pStyle w:val="211"/>
              <w:spacing w:line="240" w:lineRule="exact"/>
              <w:ind w:firstLine="420"/>
              <w:rPr>
                <w:color w:val="000000" w:themeColor="text1"/>
              </w:rPr>
            </w:pPr>
          </w:p>
        </w:tc>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211"/>
              <w:spacing w:line="240" w:lineRule="exact"/>
              <w:ind w:firstLine="420"/>
              <w:rPr>
                <w:color w:val="000000" w:themeColor="text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0" w:type="dxa"/>
            <w:tcBorders>
              <w:top w:val="single" w:color="auto" w:sz="4" w:space="0"/>
              <w:left w:val="single" w:color="auto" w:sz="4" w:space="0"/>
              <w:bottom w:val="single" w:color="auto" w:sz="4" w:space="0"/>
              <w:right w:val="single" w:color="auto" w:sz="4" w:space="0"/>
            </w:tcBorders>
            <w:vAlign w:val="center"/>
          </w:tcPr>
          <w:p>
            <w:pPr>
              <w:pStyle w:val="211"/>
              <w:spacing w:line="240" w:lineRule="exact"/>
              <w:rPr>
                <w:color w:val="000000" w:themeColor="text1"/>
              </w:rPr>
            </w:pPr>
            <w:r>
              <w:rPr>
                <w:color w:val="000000" w:themeColor="text1"/>
              </w:rPr>
              <w:t>安装阶段</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78.2</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68.7</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64.2</w:t>
            </w:r>
          </w:p>
        </w:tc>
        <w:tc>
          <w:tcPr>
            <w:tcW w:w="80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58.2</w:t>
            </w:r>
          </w:p>
        </w:tc>
        <w:tc>
          <w:tcPr>
            <w:tcW w:w="101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54.7</w:t>
            </w:r>
          </w:p>
        </w:tc>
        <w:tc>
          <w:tcPr>
            <w:tcW w:w="81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color w:val="000000" w:themeColor="text1"/>
              </w:rPr>
              <w:t>52.2</w:t>
            </w: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pStyle w:val="211"/>
              <w:spacing w:line="240" w:lineRule="exact"/>
              <w:ind w:firstLine="420"/>
              <w:rPr>
                <w:color w:val="000000" w:themeColor="text1"/>
              </w:rPr>
            </w:pPr>
          </w:p>
        </w:tc>
        <w:tc>
          <w:tcPr>
            <w:tcW w:w="721" w:type="dxa"/>
            <w:vMerge w:val="continue"/>
            <w:tcBorders>
              <w:top w:val="single" w:color="auto" w:sz="4" w:space="0"/>
              <w:left w:val="single" w:color="auto" w:sz="4" w:space="0"/>
              <w:bottom w:val="single" w:color="auto" w:sz="4" w:space="0"/>
              <w:right w:val="single" w:color="auto" w:sz="4" w:space="0"/>
            </w:tcBorders>
            <w:vAlign w:val="center"/>
          </w:tcPr>
          <w:p>
            <w:pPr>
              <w:pStyle w:val="211"/>
              <w:spacing w:line="240" w:lineRule="exact"/>
              <w:ind w:firstLine="420"/>
              <w:rPr>
                <w:color w:val="000000" w:themeColor="text1"/>
              </w:rPr>
            </w:pPr>
          </w:p>
        </w:tc>
      </w:tr>
    </w:tbl>
    <w:p>
      <w:pPr>
        <w:adjustRightInd w:val="0"/>
        <w:snapToGrid w:val="0"/>
        <w:ind w:firstLine="480" w:firstLineChars="200"/>
        <w:textAlignment w:val="baseline"/>
        <w:rPr>
          <w:color w:val="000000" w:themeColor="text1"/>
          <w:sz w:val="24"/>
        </w:rPr>
      </w:pPr>
      <w:r>
        <w:rPr>
          <w:color w:val="000000" w:themeColor="text1"/>
          <w:sz w:val="24"/>
        </w:rPr>
        <w:t>（2）施工场界噪声预测与评价</w:t>
      </w:r>
    </w:p>
    <w:p>
      <w:pPr>
        <w:adjustRightInd w:val="0"/>
        <w:snapToGrid w:val="0"/>
        <w:ind w:firstLine="480" w:firstLineChars="200"/>
        <w:textAlignment w:val="baseline"/>
        <w:rPr>
          <w:color w:val="000000" w:themeColor="text1"/>
          <w:sz w:val="24"/>
        </w:rPr>
      </w:pPr>
      <w:r>
        <w:rPr>
          <w:color w:val="000000" w:themeColor="text1"/>
          <w:sz w:val="24"/>
        </w:rPr>
        <w:t>根据项目总体布置，施工期各阶段主要噪声源距离场界的距离约为30m。根据表5.1-1预测结果，施工机械噪声较高，施工土石方、安装阶段昼间噪声满足《建筑施工场界环境噪声排放标准》（GB12523-2011）要求，底板与结构阶段昼间噪声超过《建筑施工场界环境噪声排放标准》（GB12523-2011）要求，超标2.8dB（A）；施工各阶段夜间施工场界四周噪声均超过《建筑施工场界环境噪声排放标准》（GB12523-2011）要求，超标7.6～17.8dB（A）。</w:t>
      </w:r>
    </w:p>
    <w:p>
      <w:pPr>
        <w:adjustRightInd w:val="0"/>
        <w:snapToGrid w:val="0"/>
        <w:ind w:firstLine="480" w:firstLineChars="200"/>
        <w:textAlignment w:val="baseline"/>
        <w:rPr>
          <w:color w:val="000000" w:themeColor="text1"/>
          <w:sz w:val="24"/>
        </w:rPr>
      </w:pPr>
      <w:r>
        <w:rPr>
          <w:color w:val="000000" w:themeColor="text1"/>
          <w:sz w:val="24"/>
        </w:rPr>
        <w:t>由于项目噪声预测选取的源强均为最大值，且考虑多台设备同时运行。在实际施工过程中施工机械的施工时间和施工地点均存在不确定性，因此环评预测结果为最不利情况下的结果，在实际施工过程中出现的几率较小。上述预测不考虑任何防护措施，实际施工过程中噪声影响比预测结果小。</w:t>
      </w:r>
    </w:p>
    <w:p>
      <w:pPr>
        <w:adjustRightInd w:val="0"/>
        <w:snapToGrid w:val="0"/>
        <w:ind w:firstLine="480" w:firstLineChars="200"/>
        <w:textAlignment w:val="baseline"/>
        <w:rPr>
          <w:color w:val="000000" w:themeColor="text1"/>
          <w:sz w:val="24"/>
        </w:rPr>
      </w:pPr>
      <w:r>
        <w:rPr>
          <w:color w:val="000000" w:themeColor="text1"/>
          <w:sz w:val="24"/>
        </w:rPr>
        <w:t>为减轻施工噪声对环境的影响，环评提出以下减缓措施：</w:t>
      </w:r>
    </w:p>
    <w:p>
      <w:pPr>
        <w:adjustRightInd w:val="0"/>
        <w:snapToGrid w:val="0"/>
        <w:ind w:firstLine="480" w:firstLineChars="200"/>
        <w:textAlignment w:val="baseline"/>
        <w:rPr>
          <w:color w:val="000000" w:themeColor="text1"/>
          <w:sz w:val="24"/>
        </w:rPr>
      </w:pPr>
      <w:r>
        <w:rPr>
          <w:rFonts w:hint="eastAsia" w:ascii="宋体" w:hAnsi="宋体" w:cs="宋体"/>
          <w:color w:val="000000" w:themeColor="text1"/>
          <w:sz w:val="24"/>
        </w:rPr>
        <w:t>①</w:t>
      </w:r>
      <w:r>
        <w:rPr>
          <w:color w:val="000000" w:themeColor="text1"/>
          <w:sz w:val="24"/>
        </w:rPr>
        <w:t>车辆出入现场时应低速、禁鸣；</w:t>
      </w:r>
    </w:p>
    <w:p>
      <w:pPr>
        <w:adjustRightInd w:val="0"/>
        <w:snapToGrid w:val="0"/>
        <w:ind w:firstLine="480" w:firstLineChars="200"/>
        <w:textAlignment w:val="baseline"/>
        <w:rPr>
          <w:color w:val="000000" w:themeColor="text1"/>
          <w:sz w:val="24"/>
        </w:rPr>
      </w:pPr>
      <w:r>
        <w:rPr>
          <w:rFonts w:hint="eastAsia" w:ascii="宋体" w:hAnsi="宋体" w:cs="宋体"/>
          <w:color w:val="000000" w:themeColor="text1"/>
          <w:sz w:val="24"/>
        </w:rPr>
        <w:t>②</w:t>
      </w:r>
      <w:r>
        <w:rPr>
          <w:color w:val="000000" w:themeColor="text1"/>
          <w:sz w:val="24"/>
        </w:rPr>
        <w:t>加强检查、维护和保养机械设备，紧固各部件，减少运行震动噪声。</w:t>
      </w:r>
    </w:p>
    <w:p>
      <w:pPr>
        <w:adjustRightInd w:val="0"/>
        <w:snapToGrid w:val="0"/>
        <w:ind w:firstLine="480" w:firstLineChars="200"/>
        <w:textAlignment w:val="baseline"/>
        <w:rPr>
          <w:color w:val="000000" w:themeColor="text1"/>
          <w:sz w:val="24"/>
        </w:rPr>
      </w:pPr>
      <w:r>
        <w:rPr>
          <w:rFonts w:hint="eastAsia" w:ascii="宋体" w:hAnsi="宋体" w:cs="宋体"/>
          <w:color w:val="000000" w:themeColor="text1"/>
          <w:sz w:val="24"/>
        </w:rPr>
        <w:t>③</w:t>
      </w:r>
      <w:r>
        <w:rPr>
          <w:color w:val="000000" w:themeColor="text1"/>
          <w:sz w:val="24"/>
        </w:rPr>
        <w:t>选用低噪声的施工机械及施工工艺，从根本上降低源强。</w:t>
      </w:r>
    </w:p>
    <w:p>
      <w:pPr>
        <w:adjustRightInd w:val="0"/>
        <w:snapToGrid w:val="0"/>
        <w:ind w:firstLine="480" w:firstLineChars="200"/>
        <w:textAlignment w:val="baseline"/>
        <w:rPr>
          <w:color w:val="000000" w:themeColor="text1"/>
          <w:sz w:val="24"/>
        </w:rPr>
      </w:pPr>
      <w:r>
        <w:rPr>
          <w:color w:val="000000" w:themeColor="text1"/>
          <w:sz w:val="24"/>
        </w:rPr>
        <w:t>项目周边最近居民点</w:t>
      </w:r>
      <w:r>
        <w:rPr>
          <w:rFonts w:hint="eastAsia"/>
          <w:color w:val="000000" w:themeColor="text1"/>
          <w:sz w:val="24"/>
        </w:rPr>
        <w:t>为石头</w:t>
      </w:r>
      <w:r>
        <w:rPr>
          <w:color w:val="000000" w:themeColor="text1"/>
          <w:sz w:val="24"/>
        </w:rPr>
        <w:t>村，距离施工场地</w:t>
      </w:r>
      <w:r>
        <w:rPr>
          <w:rFonts w:hint="eastAsia"/>
          <w:color w:val="000000" w:themeColor="text1"/>
          <w:sz w:val="24"/>
        </w:rPr>
        <w:t>543</w:t>
      </w:r>
      <w:r>
        <w:rPr>
          <w:color w:val="000000" w:themeColor="text1"/>
          <w:sz w:val="24"/>
        </w:rPr>
        <w:t>m，施工噪声对其影响甚小。</w:t>
      </w:r>
      <w:r>
        <w:rPr>
          <w:rFonts w:hint="eastAsia"/>
          <w:color w:val="000000" w:themeColor="text1"/>
          <w:sz w:val="24"/>
        </w:rPr>
        <w:t>项目运输道路位于场地东侧、南侧、北侧，运输车辆不经过石头</w:t>
      </w:r>
      <w:r>
        <w:rPr>
          <w:color w:val="000000" w:themeColor="text1"/>
          <w:sz w:val="24"/>
        </w:rPr>
        <w:t>村</w:t>
      </w:r>
      <w:r>
        <w:rPr>
          <w:rFonts w:hint="eastAsia"/>
          <w:color w:val="000000" w:themeColor="text1"/>
          <w:sz w:val="24"/>
        </w:rPr>
        <w:t>，车辆运输噪声对石头</w:t>
      </w:r>
      <w:r>
        <w:rPr>
          <w:color w:val="000000" w:themeColor="text1"/>
          <w:sz w:val="24"/>
        </w:rPr>
        <w:t>村</w:t>
      </w:r>
      <w:r>
        <w:rPr>
          <w:rFonts w:hint="eastAsia"/>
          <w:color w:val="000000" w:themeColor="text1"/>
          <w:sz w:val="24"/>
        </w:rPr>
        <w:t>声环境无影响。</w:t>
      </w:r>
    </w:p>
    <w:p>
      <w:pPr>
        <w:adjustRightInd w:val="0"/>
        <w:snapToGrid w:val="0"/>
        <w:ind w:firstLine="480" w:firstLineChars="200"/>
        <w:textAlignment w:val="baseline"/>
        <w:rPr>
          <w:color w:val="000000" w:themeColor="text1"/>
          <w:sz w:val="24"/>
        </w:rPr>
      </w:pPr>
      <w:r>
        <w:rPr>
          <w:color w:val="000000" w:themeColor="text1"/>
          <w:sz w:val="24"/>
        </w:rPr>
        <w:t>综上所述，项目施工期所产生的设备噪声严格按照上述措施进行控制，能有效降低项目施工期噪声对外环境特别是周边保护目标的影响，而且施工期是短暂的，施工期结束，所产生的噪声影响也将消失。</w:t>
      </w:r>
    </w:p>
    <w:p>
      <w:pPr>
        <w:pStyle w:val="4"/>
        <w:adjustRightInd w:val="0"/>
        <w:snapToGrid w:val="0"/>
        <w:spacing w:before="0" w:after="0" w:line="360" w:lineRule="auto"/>
        <w:rPr>
          <w:color w:val="000000" w:themeColor="text1"/>
        </w:rPr>
      </w:pPr>
      <w:bookmarkStart w:id="377" w:name="_Toc510547323"/>
      <w:bookmarkStart w:id="378" w:name="_Toc504403841"/>
      <w:r>
        <w:rPr>
          <w:color w:val="000000" w:themeColor="text1"/>
        </w:rPr>
        <w:t>5.1.4固体废物环境影响分析</w:t>
      </w:r>
      <w:bookmarkEnd w:id="377"/>
      <w:bookmarkEnd w:id="378"/>
    </w:p>
    <w:p>
      <w:pPr>
        <w:ind w:firstLine="480" w:firstLineChars="200"/>
        <w:rPr>
          <w:color w:val="000000" w:themeColor="text1"/>
          <w:sz w:val="24"/>
        </w:rPr>
      </w:pPr>
      <w:r>
        <w:rPr>
          <w:color w:val="000000" w:themeColor="text1"/>
          <w:sz w:val="24"/>
        </w:rPr>
        <w:t>施工期固体废物主要有开挖产生的土石方、施工产生建筑施工垃圾以及生活垃圾。</w:t>
      </w:r>
    </w:p>
    <w:p>
      <w:pPr>
        <w:ind w:firstLine="480" w:firstLineChars="200"/>
        <w:rPr>
          <w:color w:val="000000" w:themeColor="text1"/>
          <w:sz w:val="24"/>
        </w:rPr>
      </w:pPr>
      <w:r>
        <w:rPr>
          <w:color w:val="000000" w:themeColor="text1"/>
          <w:sz w:val="24"/>
        </w:rPr>
        <w:t>（1）建筑垃圾</w:t>
      </w:r>
    </w:p>
    <w:p>
      <w:pPr>
        <w:pStyle w:val="192"/>
        <w:snapToGrid w:val="0"/>
        <w:ind w:firstLine="482"/>
        <w:rPr>
          <w:color w:val="000000" w:themeColor="text1"/>
          <w:sz w:val="24"/>
          <w:szCs w:val="24"/>
        </w:rPr>
      </w:pPr>
      <w:r>
        <w:rPr>
          <w:color w:val="000000" w:themeColor="text1"/>
          <w:sz w:val="24"/>
          <w:szCs w:val="24"/>
        </w:rPr>
        <w:t>建筑垃圾中的废弃铁质集中收集后外售，木质建材由相关单位回收，不能回收利用的部分用于场地内回填</w:t>
      </w:r>
      <w:r>
        <w:rPr>
          <w:color w:val="000000" w:themeColor="text1"/>
          <w:sz w:val="24"/>
        </w:rPr>
        <w:t>，禁止随意处置和堆放。</w:t>
      </w:r>
    </w:p>
    <w:p>
      <w:pPr>
        <w:ind w:firstLine="480" w:firstLineChars="200"/>
        <w:rPr>
          <w:color w:val="000000" w:themeColor="text1"/>
          <w:sz w:val="24"/>
        </w:rPr>
      </w:pPr>
      <w:r>
        <w:rPr>
          <w:color w:val="000000" w:themeColor="text1"/>
          <w:sz w:val="24"/>
        </w:rPr>
        <w:t>（2）土石方</w:t>
      </w:r>
    </w:p>
    <w:p>
      <w:pPr>
        <w:ind w:firstLine="480" w:firstLineChars="200"/>
        <w:rPr>
          <w:color w:val="000000" w:themeColor="text1"/>
          <w:sz w:val="24"/>
        </w:rPr>
      </w:pPr>
      <w:r>
        <w:rPr>
          <w:color w:val="000000" w:themeColor="text1"/>
          <w:sz w:val="24"/>
        </w:rPr>
        <w:t>项目区内土石方开挖总量为8.66万m</w:t>
      </w:r>
      <w:r>
        <w:rPr>
          <w:color w:val="000000" w:themeColor="text1"/>
          <w:sz w:val="24"/>
          <w:vertAlign w:val="superscript"/>
        </w:rPr>
        <w:t>3</w:t>
      </w:r>
      <w:r>
        <w:rPr>
          <w:color w:val="000000" w:themeColor="text1"/>
          <w:sz w:val="24"/>
        </w:rPr>
        <w:t>，回填总量为8.66万m</w:t>
      </w:r>
      <w:r>
        <w:rPr>
          <w:color w:val="000000" w:themeColor="text1"/>
          <w:sz w:val="24"/>
          <w:vertAlign w:val="superscript"/>
        </w:rPr>
        <w:t>3</w:t>
      </w:r>
      <w:r>
        <w:rPr>
          <w:color w:val="000000" w:themeColor="text1"/>
          <w:sz w:val="24"/>
        </w:rPr>
        <w:t>，本项目不产生永久弃方。</w:t>
      </w:r>
    </w:p>
    <w:p>
      <w:pPr>
        <w:ind w:firstLine="480" w:firstLineChars="200"/>
        <w:rPr>
          <w:color w:val="000000" w:themeColor="text1"/>
          <w:sz w:val="24"/>
        </w:rPr>
      </w:pPr>
      <w:r>
        <w:rPr>
          <w:color w:val="000000" w:themeColor="text1"/>
          <w:sz w:val="24"/>
        </w:rPr>
        <w:t>项目设置表土堆场1处，选址位于项目区用地范围，不新增占地，可减轻对地表植被的破坏。</w:t>
      </w:r>
    </w:p>
    <w:p>
      <w:pPr>
        <w:ind w:firstLine="480" w:firstLineChars="200"/>
        <w:rPr>
          <w:color w:val="000000" w:themeColor="text1"/>
          <w:sz w:val="24"/>
        </w:rPr>
      </w:pPr>
      <w:r>
        <w:rPr>
          <w:color w:val="000000" w:themeColor="text1"/>
          <w:sz w:val="24"/>
        </w:rPr>
        <w:t>表土堆场应采取相应措施减少水土流失，降低表土堆场对周围地表水环境的影响，减小扬尘产生量，其措施如下：</w:t>
      </w:r>
    </w:p>
    <w:p>
      <w:pPr>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四周设置排水沟；</w:t>
      </w:r>
    </w:p>
    <w:p>
      <w:pPr>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设施围挡；</w:t>
      </w:r>
    </w:p>
    <w:p>
      <w:pPr>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采取帆布覆盖。</w:t>
      </w:r>
    </w:p>
    <w:p>
      <w:pPr>
        <w:ind w:firstLine="480" w:firstLineChars="200"/>
        <w:rPr>
          <w:color w:val="000000" w:themeColor="text1"/>
          <w:sz w:val="24"/>
        </w:rPr>
      </w:pPr>
      <w:r>
        <w:rPr>
          <w:color w:val="000000" w:themeColor="text1"/>
          <w:sz w:val="24"/>
        </w:rPr>
        <w:t>（3）生活垃圾</w:t>
      </w:r>
    </w:p>
    <w:p>
      <w:pPr>
        <w:ind w:firstLine="480" w:firstLineChars="200"/>
        <w:rPr>
          <w:color w:val="000000" w:themeColor="text1"/>
          <w:sz w:val="24"/>
        </w:rPr>
      </w:pPr>
      <w:r>
        <w:rPr>
          <w:color w:val="000000" w:themeColor="text1"/>
          <w:sz w:val="24"/>
        </w:rPr>
        <w:t>施工场地设置临时垃圾收集设施，生活垃圾集中收集后委托环卫部门处置。</w:t>
      </w:r>
    </w:p>
    <w:p>
      <w:pPr>
        <w:ind w:firstLine="480" w:firstLineChars="200"/>
        <w:rPr>
          <w:color w:val="000000" w:themeColor="text1"/>
          <w:sz w:val="24"/>
        </w:rPr>
      </w:pPr>
      <w:r>
        <w:rPr>
          <w:color w:val="000000" w:themeColor="text1"/>
          <w:sz w:val="24"/>
        </w:rPr>
        <w:t>（4）旱厕固废</w:t>
      </w:r>
    </w:p>
    <w:p>
      <w:pPr>
        <w:ind w:firstLine="480" w:firstLineChars="200"/>
        <w:rPr>
          <w:color w:val="000000" w:themeColor="text1"/>
          <w:sz w:val="24"/>
        </w:rPr>
      </w:pPr>
      <w:r>
        <w:rPr>
          <w:color w:val="000000" w:themeColor="text1"/>
          <w:sz w:val="24"/>
        </w:rPr>
        <w:t>旱厕粪便委托当地</w:t>
      </w:r>
      <w:r>
        <w:rPr>
          <w:rFonts w:hint="eastAsia"/>
          <w:color w:val="000000" w:themeColor="text1"/>
          <w:sz w:val="24"/>
        </w:rPr>
        <w:t>居民定期清掏用于农肥</w:t>
      </w:r>
      <w:r>
        <w:rPr>
          <w:color w:val="000000" w:themeColor="text1"/>
          <w:sz w:val="24"/>
        </w:rPr>
        <w:t>。</w:t>
      </w:r>
    </w:p>
    <w:p>
      <w:pPr>
        <w:ind w:firstLine="480" w:firstLineChars="200"/>
        <w:rPr>
          <w:bCs/>
          <w:color w:val="000000" w:themeColor="text1"/>
          <w:sz w:val="24"/>
        </w:rPr>
      </w:pPr>
      <w:r>
        <w:rPr>
          <w:color w:val="000000" w:themeColor="text1"/>
          <w:sz w:val="24"/>
        </w:rPr>
        <w:t>综上所述，采取上述防治措施后，施工期产生的固体废物均可得到妥善处置，对周围环境造成的影响小。</w:t>
      </w:r>
    </w:p>
    <w:p>
      <w:pPr>
        <w:pStyle w:val="4"/>
        <w:spacing w:before="0" w:after="0" w:line="360" w:lineRule="auto"/>
        <w:rPr>
          <w:color w:val="000000" w:themeColor="text1"/>
        </w:rPr>
      </w:pPr>
      <w:bookmarkStart w:id="379" w:name="_Toc504403843"/>
      <w:bookmarkStart w:id="380" w:name="_Toc510547324"/>
      <w:r>
        <w:rPr>
          <w:color w:val="000000" w:themeColor="text1"/>
        </w:rPr>
        <w:t>5.1.5生态环境影响分析</w:t>
      </w:r>
      <w:bookmarkEnd w:id="379"/>
      <w:bookmarkEnd w:id="380"/>
    </w:p>
    <w:p>
      <w:pPr>
        <w:ind w:firstLine="480" w:firstLineChars="200"/>
        <w:rPr>
          <w:color w:val="000000" w:themeColor="text1"/>
          <w:sz w:val="24"/>
        </w:rPr>
      </w:pPr>
      <w:bookmarkStart w:id="381" w:name="_Toc402186387"/>
      <w:r>
        <w:rPr>
          <w:rFonts w:hint="eastAsia"/>
          <w:color w:val="000000" w:themeColor="text1"/>
          <w:sz w:val="24"/>
        </w:rPr>
        <w:t>根据现场调查，用地中部土地荒废时间长，地表次生植被为云南松及其它灌木，用地东部为核桃林，西部现状为耕地。</w:t>
      </w:r>
      <w:r>
        <w:rPr>
          <w:color w:val="000000" w:themeColor="text1"/>
          <w:sz w:val="24"/>
        </w:rPr>
        <w:t>项目破坏植被均为常见种类，占地范围内没有发现需要特殊保护的珍稀、濒危植物种类</w:t>
      </w:r>
      <w:r>
        <w:rPr>
          <w:rFonts w:hint="eastAsia"/>
          <w:color w:val="000000" w:themeColor="text1"/>
          <w:sz w:val="24"/>
        </w:rPr>
        <w:t>。</w:t>
      </w:r>
    </w:p>
    <w:p>
      <w:pPr>
        <w:ind w:firstLine="482"/>
        <w:rPr>
          <w:color w:val="000000" w:themeColor="text1"/>
          <w:sz w:val="24"/>
        </w:rPr>
      </w:pPr>
      <w:r>
        <w:rPr>
          <w:color w:val="000000" w:themeColor="text1"/>
          <w:sz w:val="24"/>
        </w:rPr>
        <w:t>项目施工期将进行土地平整、建筑物基础开挖等施工活动，将造成表土裸露、松动，土壤抗蚀能力减弱，雨季侵蚀强度加大，会造成一定的水土流失，加强水保措施防范，可有效降低水土流失影响。</w:t>
      </w:r>
    </w:p>
    <w:p>
      <w:pPr>
        <w:ind w:firstLine="482"/>
        <w:rPr>
          <w:color w:val="000000" w:themeColor="text1"/>
          <w:sz w:val="24"/>
        </w:rPr>
      </w:pPr>
      <w:r>
        <w:rPr>
          <w:color w:val="000000" w:themeColor="text1"/>
          <w:sz w:val="24"/>
        </w:rPr>
        <w:t>综上所述，项目的建设对区域内生态环境影响较小。</w:t>
      </w:r>
    </w:p>
    <w:bookmarkEnd w:id="381"/>
    <w:p>
      <w:pPr>
        <w:pStyle w:val="3"/>
        <w:spacing w:before="0" w:after="0"/>
        <w:rPr>
          <w:rFonts w:ascii="Times New Roman" w:hAnsi="Times New Roman"/>
          <w:color w:val="000000" w:themeColor="text1"/>
          <w:sz w:val="30"/>
          <w:szCs w:val="30"/>
        </w:rPr>
      </w:pPr>
      <w:bookmarkStart w:id="382" w:name="_Toc510547325"/>
      <w:bookmarkStart w:id="383" w:name="_Toc4076494"/>
      <w:r>
        <w:rPr>
          <w:rFonts w:ascii="Times New Roman" w:hAnsi="Times New Roman"/>
          <w:color w:val="000000" w:themeColor="text1"/>
          <w:sz w:val="30"/>
          <w:szCs w:val="30"/>
        </w:rPr>
        <w:t>5.2运营期环境影响分析</w:t>
      </w:r>
      <w:bookmarkEnd w:id="382"/>
      <w:bookmarkEnd w:id="383"/>
    </w:p>
    <w:p>
      <w:pPr>
        <w:pStyle w:val="4"/>
        <w:spacing w:before="0" w:after="0" w:line="360" w:lineRule="auto"/>
        <w:rPr>
          <w:color w:val="000000" w:themeColor="text1"/>
        </w:rPr>
      </w:pPr>
      <w:bookmarkStart w:id="384" w:name="_Toc510547326"/>
      <w:bookmarkStart w:id="385" w:name="_Toc504403845"/>
      <w:bookmarkStart w:id="386" w:name="_Toc141752928"/>
      <w:r>
        <w:rPr>
          <w:color w:val="000000" w:themeColor="text1"/>
        </w:rPr>
        <w:t>5.2.1大气环境影响评价</w:t>
      </w:r>
      <w:bookmarkEnd w:id="384"/>
      <w:bookmarkEnd w:id="385"/>
      <w:bookmarkEnd w:id="386"/>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本次评价对厂区排放</w:t>
      </w:r>
      <w:r>
        <w:rPr>
          <w:rFonts w:hint="eastAsia" w:ascii="Times New Roman" w:hAnsi="Times New Roman" w:cs="Times New Roman"/>
          <w:color w:val="000000" w:themeColor="text1"/>
        </w:rPr>
        <w:t>NH</w:t>
      </w:r>
      <w:r>
        <w:rPr>
          <w:rFonts w:hint="eastAsia" w:ascii="Times New Roman" w:hAnsi="Times New Roman" w:cs="Times New Roman"/>
          <w:color w:val="000000" w:themeColor="text1"/>
          <w:vertAlign w:val="subscript"/>
        </w:rPr>
        <w:t>3</w:t>
      </w:r>
      <w:r>
        <w:rPr>
          <w:rFonts w:hint="eastAsia" w:ascii="Times New Roman" w:hAnsi="Times New Roman" w:cs="Times New Roman"/>
          <w:color w:val="000000" w:themeColor="text1"/>
        </w:rPr>
        <w:t>、H</w:t>
      </w:r>
      <w:r>
        <w:rPr>
          <w:rFonts w:hint="eastAsia" w:ascii="Times New Roman" w:hAnsi="Times New Roman" w:cs="Times New Roman"/>
          <w:color w:val="000000" w:themeColor="text1"/>
          <w:vertAlign w:val="subscript"/>
        </w:rPr>
        <w:t>2</w:t>
      </w:r>
      <w:r>
        <w:rPr>
          <w:rFonts w:hint="eastAsia" w:ascii="Times New Roman" w:hAnsi="Times New Roman" w:cs="Times New Roman"/>
          <w:color w:val="000000" w:themeColor="text1"/>
        </w:rPr>
        <w:t>S</w:t>
      </w:r>
      <w:r>
        <w:rPr>
          <w:rFonts w:ascii="Times New Roman" w:hAnsi="Times New Roman" w:cs="Times New Roman"/>
          <w:color w:val="000000" w:themeColor="text1"/>
        </w:rPr>
        <w:t>进行预测。</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（1）气象资料</w:t>
      </w:r>
    </w:p>
    <w:p>
      <w:pPr>
        <w:ind w:firstLine="482"/>
        <w:rPr>
          <w:color w:val="000000" w:themeColor="text1"/>
          <w:sz w:val="24"/>
        </w:rPr>
      </w:pPr>
      <w:r>
        <w:rPr>
          <w:color w:val="000000" w:themeColor="text1"/>
          <w:kern w:val="0"/>
          <w:sz w:val="24"/>
          <w:lang w:val="zh-CN"/>
        </w:rPr>
        <w:t>本次评价采用</w:t>
      </w:r>
      <w:r>
        <w:rPr>
          <w:rFonts w:hint="eastAsia"/>
          <w:color w:val="000000" w:themeColor="text1"/>
          <w:kern w:val="0"/>
          <w:sz w:val="24"/>
          <w:lang w:val="zh-CN"/>
        </w:rPr>
        <w:t>新平</w:t>
      </w:r>
      <w:r>
        <w:rPr>
          <w:color w:val="000000" w:themeColor="text1"/>
          <w:kern w:val="0"/>
          <w:sz w:val="24"/>
          <w:lang w:val="zh-CN"/>
        </w:rPr>
        <w:t>县气象站的长期气象资料。</w:t>
      </w:r>
      <w:r>
        <w:rPr>
          <w:rFonts w:hint="eastAsia"/>
          <w:color w:val="000000" w:themeColor="text1"/>
          <w:kern w:val="0"/>
          <w:sz w:val="24"/>
          <w:lang w:val="zh-CN"/>
        </w:rPr>
        <w:t>新平</w:t>
      </w:r>
      <w:r>
        <w:rPr>
          <w:color w:val="000000" w:themeColor="text1"/>
          <w:kern w:val="0"/>
          <w:sz w:val="24"/>
          <w:lang w:val="zh-CN"/>
        </w:rPr>
        <w:t>县气象站位于</w:t>
      </w:r>
      <w:r>
        <w:rPr>
          <w:rFonts w:hint="eastAsia"/>
          <w:color w:val="000000" w:themeColor="text1"/>
          <w:kern w:val="0"/>
          <w:sz w:val="24"/>
          <w:lang w:val="zh-CN"/>
        </w:rPr>
        <w:t>新平</w:t>
      </w:r>
      <w:r>
        <w:rPr>
          <w:color w:val="000000" w:themeColor="text1"/>
          <w:kern w:val="0"/>
          <w:sz w:val="24"/>
          <w:lang w:val="zh-CN"/>
        </w:rPr>
        <w:t>县城，距离本项目</w:t>
      </w:r>
      <w:r>
        <w:rPr>
          <w:rFonts w:hint="eastAsia"/>
          <w:color w:val="000000" w:themeColor="text1"/>
          <w:kern w:val="0"/>
          <w:sz w:val="24"/>
          <w:lang w:val="zh-CN"/>
        </w:rPr>
        <w:t>8</w:t>
      </w:r>
      <w:r>
        <w:rPr>
          <w:color w:val="000000" w:themeColor="text1"/>
          <w:kern w:val="0"/>
          <w:sz w:val="24"/>
          <w:lang w:val="zh-CN"/>
        </w:rPr>
        <w:t>km。具体气象资料见表5.2-1</w:t>
      </w:r>
      <w:r>
        <w:rPr>
          <w:color w:val="000000" w:themeColor="text1"/>
          <w:sz w:val="24"/>
        </w:rPr>
        <w:t>。</w:t>
      </w:r>
    </w:p>
    <w:p>
      <w:pPr>
        <w:spacing w:line="240" w:lineRule="auto"/>
        <w:ind w:firstLine="422" w:firstLineChars="200"/>
        <w:jc w:val="center"/>
        <w:rPr>
          <w:b/>
          <w:color w:val="000000" w:themeColor="text1"/>
          <w:szCs w:val="21"/>
        </w:rPr>
      </w:pPr>
      <w:r>
        <w:rPr>
          <w:b/>
          <w:color w:val="000000" w:themeColor="text1"/>
          <w:szCs w:val="21"/>
        </w:rPr>
        <w:t xml:space="preserve">表5.2-1  </w:t>
      </w:r>
      <w:r>
        <w:rPr>
          <w:rFonts w:hint="eastAsia"/>
          <w:b/>
          <w:color w:val="000000" w:themeColor="text1"/>
          <w:szCs w:val="21"/>
        </w:rPr>
        <w:t>观测气象数据信息</w:t>
      </w:r>
    </w:p>
    <w:tbl>
      <w:tblPr>
        <w:tblStyle w:val="42"/>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800"/>
        <w:gridCol w:w="632"/>
        <w:gridCol w:w="801"/>
        <w:gridCol w:w="792"/>
        <w:gridCol w:w="816"/>
        <w:gridCol w:w="460"/>
        <w:gridCol w:w="608"/>
        <w:gridCol w:w="970"/>
        <w:gridCol w:w="610"/>
        <w:gridCol w:w="613"/>
        <w:gridCol w:w="613"/>
        <w:gridCol w:w="6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81" w:type="pct"/>
            <w:vMerge w:val="restart"/>
            <w:tcBorders>
              <w:top w:val="single" w:color="000000" w:sz="6" w:space="0"/>
              <w:left w:val="single" w:color="000000" w:sz="6" w:space="0"/>
              <w:right w:val="single" w:color="000000" w:sz="6" w:space="0"/>
            </w:tcBorders>
            <w:vAlign w:val="center"/>
          </w:tcPr>
          <w:p>
            <w:pPr>
              <w:pStyle w:val="20"/>
              <w:spacing w:line="240" w:lineRule="auto"/>
              <w:jc w:val="center"/>
              <w:rPr>
                <w:rFonts w:ascii="Times New Roman" w:hAnsi="Times New Roman" w:cs="Times New Roman"/>
                <w:color w:val="000000" w:themeColor="text1"/>
              </w:rPr>
            </w:pPr>
            <w:r>
              <w:rPr>
                <w:rFonts w:hint="eastAsia" w:ascii="Times New Roman" w:hAnsi="Times New Roman" w:cs="Times New Roman"/>
                <w:color w:val="000000" w:themeColor="text1"/>
              </w:rPr>
              <w:t>气象站名称</w:t>
            </w:r>
          </w:p>
        </w:tc>
        <w:tc>
          <w:tcPr>
            <w:tcW w:w="380" w:type="pct"/>
            <w:vMerge w:val="restart"/>
            <w:tcBorders>
              <w:top w:val="single" w:color="000000" w:sz="6" w:space="0"/>
              <w:left w:val="single" w:color="000000" w:sz="6" w:space="0"/>
              <w:right w:val="single" w:color="000000" w:sz="6" w:space="0"/>
            </w:tcBorders>
            <w:vAlign w:val="center"/>
          </w:tcPr>
          <w:p>
            <w:pPr>
              <w:pStyle w:val="20"/>
              <w:spacing w:line="240" w:lineRule="auto"/>
              <w:jc w:val="center"/>
              <w:rPr>
                <w:rFonts w:ascii="Times New Roman" w:hAnsi="Times New Roman" w:cs="Times New Roman"/>
                <w:color w:val="000000" w:themeColor="text1"/>
              </w:rPr>
            </w:pPr>
            <w:r>
              <w:rPr>
                <w:rFonts w:hint="eastAsia" w:ascii="Times New Roman" w:hAnsi="Times New Roman" w:cs="Times New Roman"/>
                <w:color w:val="000000" w:themeColor="text1"/>
              </w:rPr>
              <w:t>气象站编号</w:t>
            </w:r>
          </w:p>
        </w:tc>
        <w:tc>
          <w:tcPr>
            <w:tcW w:w="481" w:type="pct"/>
            <w:vMerge w:val="restart"/>
            <w:tcBorders>
              <w:top w:val="single" w:color="000000" w:sz="6" w:space="0"/>
              <w:left w:val="single" w:color="000000" w:sz="6" w:space="0"/>
              <w:right w:val="single" w:color="000000" w:sz="6" w:space="0"/>
            </w:tcBorders>
            <w:vAlign w:val="center"/>
          </w:tcPr>
          <w:p>
            <w:pPr>
              <w:pStyle w:val="20"/>
              <w:spacing w:line="240" w:lineRule="auto"/>
              <w:jc w:val="center"/>
              <w:rPr>
                <w:rFonts w:ascii="Times New Roman" w:hAnsi="Times New Roman" w:cs="Times New Roman"/>
                <w:color w:val="000000" w:themeColor="text1"/>
              </w:rPr>
            </w:pPr>
            <w:r>
              <w:rPr>
                <w:rFonts w:hint="eastAsia" w:ascii="Times New Roman" w:hAnsi="Times New Roman" w:cs="Times New Roman"/>
                <w:color w:val="000000" w:themeColor="text1"/>
              </w:rPr>
              <w:t>气象站等级</w:t>
            </w:r>
          </w:p>
        </w:tc>
        <w:tc>
          <w:tcPr>
            <w:tcW w:w="965" w:type="pct"/>
            <w:gridSpan w:val="2"/>
            <w:tcBorders>
              <w:top w:val="single" w:color="000000" w:sz="6" w:space="0"/>
              <w:left w:val="single" w:color="000000" w:sz="6" w:space="0"/>
              <w:bottom w:val="single" w:color="000000" w:sz="6" w:space="0"/>
              <w:right w:val="single" w:color="000000" w:sz="6" w:space="0"/>
            </w:tcBorders>
            <w:vAlign w:val="center"/>
          </w:tcPr>
          <w:p>
            <w:pPr>
              <w:pStyle w:val="20"/>
              <w:spacing w:line="240" w:lineRule="auto"/>
              <w:jc w:val="center"/>
              <w:rPr>
                <w:rFonts w:ascii="Times New Roman" w:hAnsi="Times New Roman" w:cs="Times New Roman"/>
                <w:color w:val="000000" w:themeColor="text1"/>
              </w:rPr>
            </w:pPr>
            <w:r>
              <w:rPr>
                <w:rFonts w:hint="eastAsia" w:ascii="Times New Roman" w:hAnsi="Times New Roman" w:cs="Times New Roman"/>
                <w:color w:val="000000" w:themeColor="text1"/>
              </w:rPr>
              <w:t>气象站坐标</w:t>
            </w:r>
          </w:p>
        </w:tc>
        <w:tc>
          <w:tcPr>
            <w:tcW w:w="276" w:type="pct"/>
            <w:vMerge w:val="restart"/>
            <w:tcBorders>
              <w:top w:val="single" w:color="000000" w:sz="6" w:space="0"/>
              <w:left w:val="single" w:color="000000" w:sz="6" w:space="0"/>
              <w:right w:val="single" w:color="000000" w:sz="6" w:space="0"/>
            </w:tcBorders>
            <w:vAlign w:val="center"/>
          </w:tcPr>
          <w:p>
            <w:pPr>
              <w:pStyle w:val="20"/>
              <w:spacing w:line="240" w:lineRule="auto"/>
              <w:jc w:val="center"/>
              <w:rPr>
                <w:rFonts w:ascii="Times New Roman" w:hAnsi="Times New Roman" w:cs="Times New Roman"/>
                <w:color w:val="000000" w:themeColor="text1"/>
              </w:rPr>
            </w:pPr>
            <w:r>
              <w:rPr>
                <w:rFonts w:hint="eastAsia" w:ascii="Times New Roman" w:hAnsi="Times New Roman" w:cs="Times New Roman"/>
                <w:color w:val="000000" w:themeColor="text1"/>
              </w:rPr>
              <w:t>相对距离/m</w:t>
            </w:r>
          </w:p>
        </w:tc>
        <w:tc>
          <w:tcPr>
            <w:tcW w:w="365" w:type="pct"/>
            <w:vMerge w:val="restart"/>
            <w:tcBorders>
              <w:top w:val="single" w:color="000000" w:sz="6" w:space="0"/>
              <w:left w:val="single" w:color="000000" w:sz="6" w:space="0"/>
              <w:right w:val="single" w:color="000000" w:sz="6" w:space="0"/>
            </w:tcBorders>
            <w:vAlign w:val="center"/>
          </w:tcPr>
          <w:p>
            <w:pPr>
              <w:pStyle w:val="20"/>
              <w:spacing w:line="240" w:lineRule="auto"/>
              <w:jc w:val="center"/>
              <w:rPr>
                <w:rFonts w:ascii="Times New Roman" w:hAnsi="Times New Roman" w:cs="Times New Roman"/>
                <w:color w:val="000000" w:themeColor="text1"/>
              </w:rPr>
            </w:pPr>
            <w:r>
              <w:rPr>
                <w:rFonts w:hint="eastAsia" w:ascii="Times New Roman" w:hAnsi="Times New Roman" w:cs="Times New Roman"/>
                <w:color w:val="000000" w:themeColor="text1"/>
              </w:rPr>
              <w:t>海拔高度/m</w:t>
            </w:r>
          </w:p>
        </w:tc>
        <w:tc>
          <w:tcPr>
            <w:tcW w:w="582" w:type="pct"/>
            <w:vMerge w:val="restart"/>
            <w:tcBorders>
              <w:top w:val="single" w:color="000000" w:sz="6" w:space="0"/>
              <w:left w:val="single" w:color="000000" w:sz="6" w:space="0"/>
              <w:right w:val="single" w:color="000000" w:sz="6" w:space="0"/>
            </w:tcBorders>
            <w:vAlign w:val="center"/>
          </w:tcPr>
          <w:p>
            <w:pPr>
              <w:pStyle w:val="20"/>
              <w:spacing w:line="240" w:lineRule="auto"/>
              <w:jc w:val="center"/>
              <w:rPr>
                <w:rFonts w:ascii="Times New Roman" w:hAnsi="Times New Roman" w:cs="Times New Roman"/>
                <w:color w:val="000000" w:themeColor="text1"/>
              </w:rPr>
            </w:pPr>
            <w:r>
              <w:rPr>
                <w:rFonts w:hint="eastAsia" w:ascii="Times New Roman" w:hAnsi="Times New Roman" w:cs="Times New Roman"/>
                <w:color w:val="000000" w:themeColor="text1"/>
              </w:rPr>
              <w:t>数据年份</w:t>
            </w:r>
          </w:p>
        </w:tc>
        <w:tc>
          <w:tcPr>
            <w:tcW w:w="1470" w:type="pct"/>
            <w:gridSpan w:val="4"/>
            <w:tcBorders>
              <w:top w:val="single" w:color="000000" w:sz="6" w:space="0"/>
              <w:left w:val="single" w:color="000000" w:sz="6" w:space="0"/>
              <w:bottom w:val="single" w:color="000000" w:sz="6" w:space="0"/>
              <w:right w:val="single" w:color="000000" w:sz="6" w:space="0"/>
            </w:tcBorders>
            <w:vAlign w:val="center"/>
          </w:tcPr>
          <w:p>
            <w:pPr>
              <w:pStyle w:val="20"/>
              <w:spacing w:line="240" w:lineRule="auto"/>
              <w:jc w:val="center"/>
              <w:rPr>
                <w:rFonts w:ascii="Times New Roman" w:hAnsi="Times New Roman" w:cs="Times New Roman"/>
                <w:color w:val="000000" w:themeColor="text1"/>
              </w:rPr>
            </w:pPr>
            <w:r>
              <w:rPr>
                <w:rFonts w:hint="eastAsia" w:ascii="Times New Roman" w:hAnsi="Times New Roman" w:cs="Times New Roman"/>
                <w:color w:val="000000" w:themeColor="text1"/>
              </w:rPr>
              <w:t>气象要素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81" w:type="pct"/>
            <w:vMerge w:val="continue"/>
            <w:tcBorders>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p>
        </w:tc>
        <w:tc>
          <w:tcPr>
            <w:tcW w:w="380" w:type="pct"/>
            <w:vMerge w:val="continue"/>
            <w:tcBorders>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p>
        </w:tc>
        <w:tc>
          <w:tcPr>
            <w:tcW w:w="481" w:type="pct"/>
            <w:vMerge w:val="continue"/>
            <w:tcBorders>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p>
        </w:tc>
        <w:tc>
          <w:tcPr>
            <w:tcW w:w="475"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经度</w:t>
            </w:r>
          </w:p>
        </w:tc>
        <w:tc>
          <w:tcPr>
            <w:tcW w:w="490"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纬度</w:t>
            </w:r>
          </w:p>
        </w:tc>
        <w:tc>
          <w:tcPr>
            <w:tcW w:w="276" w:type="pct"/>
            <w:vMerge w:val="continue"/>
            <w:tcBorders>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p>
        </w:tc>
        <w:tc>
          <w:tcPr>
            <w:tcW w:w="365" w:type="pct"/>
            <w:vMerge w:val="continue"/>
            <w:tcBorders>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p>
        </w:tc>
        <w:tc>
          <w:tcPr>
            <w:tcW w:w="582" w:type="pct"/>
            <w:vMerge w:val="continue"/>
            <w:tcBorders>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p>
        </w:tc>
        <w:tc>
          <w:tcPr>
            <w:tcW w:w="366"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最低气温</w:t>
            </w:r>
          </w:p>
        </w:tc>
        <w:tc>
          <w:tcPr>
            <w:tcW w:w="368"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最高气温</w:t>
            </w:r>
          </w:p>
        </w:tc>
        <w:tc>
          <w:tcPr>
            <w:tcW w:w="368"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相对湿度</w:t>
            </w:r>
          </w:p>
        </w:tc>
        <w:tc>
          <w:tcPr>
            <w:tcW w:w="368"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风向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81"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新平县气象站</w:t>
            </w:r>
          </w:p>
        </w:tc>
        <w:tc>
          <w:tcPr>
            <w:tcW w:w="380"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56869</w:t>
            </w:r>
          </w:p>
        </w:tc>
        <w:tc>
          <w:tcPr>
            <w:tcW w:w="481"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一般站</w:t>
            </w:r>
          </w:p>
        </w:tc>
        <w:tc>
          <w:tcPr>
            <w:tcW w:w="475" w:type="pct"/>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color w:val="000000" w:themeColor="text1"/>
                <w:szCs w:val="21"/>
              </w:rPr>
            </w:pPr>
            <w:r>
              <w:rPr>
                <w:color w:val="000000" w:themeColor="text1"/>
                <w:szCs w:val="21"/>
              </w:rPr>
              <w:t>101°5</w:t>
            </w:r>
            <w:r>
              <w:rPr>
                <w:rFonts w:hint="eastAsia"/>
                <w:color w:val="000000" w:themeColor="text1"/>
                <w:szCs w:val="21"/>
              </w:rPr>
              <w:t>8</w:t>
            </w:r>
            <w:r>
              <w:rPr>
                <w:color w:val="000000" w:themeColor="text1"/>
                <w:szCs w:val="21"/>
              </w:rPr>
              <w:t>'</w:t>
            </w:r>
            <w:r>
              <w:rPr>
                <w:rFonts w:hint="eastAsia"/>
                <w:color w:val="000000" w:themeColor="text1"/>
                <w:szCs w:val="21"/>
              </w:rPr>
              <w:t>E</w:t>
            </w:r>
          </w:p>
        </w:tc>
        <w:tc>
          <w:tcPr>
            <w:tcW w:w="490" w:type="pct"/>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color w:val="000000" w:themeColor="text1"/>
                <w:szCs w:val="21"/>
              </w:rPr>
            </w:pPr>
            <w:r>
              <w:rPr>
                <w:color w:val="000000" w:themeColor="text1"/>
                <w:szCs w:val="21"/>
              </w:rPr>
              <w:t xml:space="preserve">24° </w:t>
            </w:r>
            <w:r>
              <w:rPr>
                <w:rFonts w:hint="eastAsia"/>
                <w:color w:val="000000" w:themeColor="text1"/>
                <w:szCs w:val="21"/>
              </w:rPr>
              <w:t>04</w:t>
            </w:r>
            <w:r>
              <w:rPr>
                <w:color w:val="000000" w:themeColor="text1"/>
                <w:szCs w:val="21"/>
              </w:rPr>
              <w:t>'</w:t>
            </w:r>
            <w:r>
              <w:rPr>
                <w:rFonts w:hint="eastAsia"/>
                <w:color w:val="000000" w:themeColor="text1"/>
                <w:szCs w:val="21"/>
              </w:rPr>
              <w:t>N</w:t>
            </w:r>
          </w:p>
        </w:tc>
        <w:tc>
          <w:tcPr>
            <w:tcW w:w="276"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8000</w:t>
            </w:r>
          </w:p>
        </w:tc>
        <w:tc>
          <w:tcPr>
            <w:tcW w:w="365"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1497.2</w:t>
            </w:r>
          </w:p>
        </w:tc>
        <w:tc>
          <w:tcPr>
            <w:tcW w:w="582"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1971~2000</w:t>
            </w:r>
          </w:p>
        </w:tc>
        <w:tc>
          <w:tcPr>
            <w:tcW w:w="366"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-27℃</w:t>
            </w:r>
          </w:p>
        </w:tc>
        <w:tc>
          <w:tcPr>
            <w:tcW w:w="368"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33.2℃</w:t>
            </w:r>
          </w:p>
        </w:tc>
        <w:tc>
          <w:tcPr>
            <w:tcW w:w="368"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74%</w:t>
            </w:r>
          </w:p>
        </w:tc>
        <w:tc>
          <w:tcPr>
            <w:tcW w:w="368" w:type="pct"/>
            <w:tcBorders>
              <w:top w:val="single" w:color="000000" w:sz="6" w:space="0"/>
              <w:left w:val="single" w:color="000000" w:sz="6" w:space="0"/>
              <w:bottom w:val="single" w:color="000000" w:sz="6" w:space="0"/>
              <w:right w:val="single" w:color="000000" w:sz="6" w:space="0"/>
            </w:tcBorders>
            <w:vAlign w:val="center"/>
          </w:tcPr>
          <w:p>
            <w:pPr>
              <w:tabs>
                <w:tab w:val="left" w:pos="3495"/>
              </w:tabs>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WSW</w:t>
            </w:r>
          </w:p>
        </w:tc>
      </w:tr>
    </w:tbl>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w:t>
      </w:r>
      <w:r>
        <w:rPr>
          <w:rFonts w:hint="eastAsia" w:ascii="Times New Roman" w:hAnsi="Times New Roman" w:cs="Times New Roman"/>
          <w:color w:val="000000" w:themeColor="text1"/>
        </w:rPr>
        <w:t>2</w:t>
      </w:r>
      <w:r>
        <w:rPr>
          <w:rFonts w:ascii="Times New Roman" w:hAnsi="Times New Roman" w:cs="Times New Roman"/>
          <w:color w:val="000000" w:themeColor="text1"/>
        </w:rPr>
        <w:t>）</w:t>
      </w:r>
      <w:r>
        <w:rPr>
          <w:rFonts w:hint="eastAsia" w:ascii="Times New Roman" w:hAnsi="Times New Roman" w:cs="Times New Roman"/>
          <w:color w:val="000000" w:themeColor="text1"/>
        </w:rPr>
        <w:t>地形数据</w:t>
      </w:r>
    </w:p>
    <w:p>
      <w:pPr>
        <w:ind w:firstLine="482"/>
        <w:jc w:val="left"/>
        <w:rPr>
          <w:color w:val="000000" w:themeColor="text1"/>
          <w:kern w:val="0"/>
          <w:sz w:val="24"/>
        </w:rPr>
      </w:pPr>
      <w:r>
        <w:rPr>
          <w:color w:val="000000" w:themeColor="text1"/>
          <w:kern w:val="0"/>
          <w:sz w:val="24"/>
          <w:lang w:val="zh-CN"/>
        </w:rPr>
        <w:t>本次评价地形数据来源于</w:t>
      </w:r>
      <w:r>
        <w:rPr>
          <w:color w:val="000000" w:themeColor="text1"/>
          <w:kern w:val="0"/>
          <w:sz w:val="24"/>
        </w:rPr>
        <w:t>http://srtm.csi.cgiar.org/SRT-ZIP/SRTM_v41/</w:t>
      </w:r>
    </w:p>
    <w:p>
      <w:pPr>
        <w:jc w:val="left"/>
        <w:rPr>
          <w:color w:val="000000" w:themeColor="text1"/>
          <w:sz w:val="24"/>
        </w:rPr>
      </w:pPr>
      <w:r>
        <w:rPr>
          <w:color w:val="000000" w:themeColor="text1"/>
          <w:kern w:val="0"/>
          <w:sz w:val="24"/>
        </w:rPr>
        <w:t>SRTM_Data_ArcASCII/srtm_57_08.zip</w:t>
      </w:r>
      <w:r>
        <w:rPr>
          <w:color w:val="000000" w:themeColor="text1"/>
          <w:sz w:val="24"/>
        </w:rPr>
        <w:t>。地形数据格式为高精度地形网格数据，分辨率为90m，数据形成时间为2008年11月。本次预测地形数据范围为101°57′02.1600″E~102°03′33.4800″E、24°06′22.3200″N~24°10′36.2280″N。</w:t>
      </w:r>
    </w:p>
    <w:p>
      <w:pPr>
        <w:ind w:firstLine="480" w:firstLineChars="200"/>
        <w:jc w:val="left"/>
        <w:rPr>
          <w:color w:val="000000" w:themeColor="text1"/>
          <w:sz w:val="24"/>
        </w:rPr>
      </w:pPr>
      <w:r>
        <w:rPr>
          <w:rFonts w:hint="eastAsia"/>
          <w:color w:val="000000" w:themeColor="text1"/>
          <w:sz w:val="24"/>
        </w:rPr>
        <w:t>（3）评价因子和标准</w:t>
      </w:r>
    </w:p>
    <w:p>
      <w:pPr>
        <w:adjustRightInd w:val="0"/>
        <w:snapToGrid w:val="0"/>
        <w:ind w:right="-44" w:rightChars="-21" w:firstLine="480" w:firstLineChars="200"/>
        <w:rPr>
          <w:color w:val="000000" w:themeColor="text1"/>
          <w:sz w:val="24"/>
        </w:rPr>
      </w:pPr>
      <w:r>
        <w:rPr>
          <w:rFonts w:hint="eastAsia"/>
          <w:color w:val="000000" w:themeColor="text1"/>
          <w:sz w:val="24"/>
        </w:rPr>
        <w:t>评价因子及标准见表5.2-2</w:t>
      </w:r>
      <w:r>
        <w:rPr>
          <w:color w:val="000000" w:themeColor="text1"/>
          <w:sz w:val="24"/>
        </w:rPr>
        <w:t>。</w:t>
      </w:r>
    </w:p>
    <w:p>
      <w:pPr>
        <w:pStyle w:val="132"/>
        <w:adjustRightInd w:val="0"/>
        <w:snapToGrid w:val="0"/>
        <w:spacing w:line="240" w:lineRule="auto"/>
        <w:ind w:firstLine="422"/>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表</w:t>
      </w:r>
      <w:r>
        <w:rPr>
          <w:rFonts w:hint="eastAsia" w:ascii="Times New Roman" w:hAnsi="Times New Roman" w:cs="Times New Roman"/>
          <w:b/>
          <w:color w:val="000000" w:themeColor="text1"/>
          <w:sz w:val="21"/>
          <w:szCs w:val="21"/>
        </w:rPr>
        <w:t>5.2-2</w:t>
      </w:r>
      <w:r>
        <w:rPr>
          <w:rFonts w:ascii="Times New Roman" w:hAnsi="Times New Roman" w:cs="Times New Roman"/>
          <w:b/>
          <w:color w:val="000000" w:themeColor="text1"/>
          <w:sz w:val="21"/>
          <w:szCs w:val="21"/>
        </w:rPr>
        <w:t xml:space="preserve">  </w:t>
      </w:r>
      <w:r>
        <w:rPr>
          <w:rFonts w:hint="eastAsia" w:ascii="Times New Roman" w:hAnsi="Times New Roman" w:cs="Times New Roman"/>
          <w:b/>
          <w:color w:val="000000" w:themeColor="text1"/>
          <w:sz w:val="21"/>
          <w:szCs w:val="21"/>
        </w:rPr>
        <w:t>评价因子和评价标准</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2125"/>
        <w:gridCol w:w="1985"/>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95"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评价因子</w:t>
            </w:r>
          </w:p>
        </w:tc>
        <w:tc>
          <w:tcPr>
            <w:tcW w:w="1246"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平均时段</w:t>
            </w:r>
          </w:p>
        </w:tc>
        <w:tc>
          <w:tcPr>
            <w:tcW w:w="1164"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标准值（μg/m</w:t>
            </w:r>
            <w:r>
              <w:rPr>
                <w:rFonts w:hint="eastAsia" w:ascii="Times New Roman" w:hAnsi="Times New Roman" w:cs="Times New Roman"/>
                <w:b/>
                <w:color w:val="000000" w:themeColor="text1"/>
                <w:sz w:val="21"/>
                <w:szCs w:val="21"/>
                <w:vertAlign w:val="superscript"/>
              </w:rPr>
              <w:t>3</w:t>
            </w:r>
            <w:r>
              <w:rPr>
                <w:rFonts w:hint="eastAsia" w:ascii="Times New Roman" w:hAnsi="Times New Roman" w:cs="Times New Roman"/>
                <w:b/>
                <w:color w:val="000000" w:themeColor="text1"/>
                <w:sz w:val="21"/>
                <w:szCs w:val="21"/>
              </w:rPr>
              <w:t>）</w:t>
            </w:r>
          </w:p>
        </w:tc>
        <w:tc>
          <w:tcPr>
            <w:tcW w:w="1695"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95"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p>
        </w:tc>
        <w:tc>
          <w:tcPr>
            <w:tcW w:w="1246"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p>
        </w:tc>
        <w:tc>
          <w:tcPr>
            <w:tcW w:w="1164"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p>
        </w:tc>
        <w:tc>
          <w:tcPr>
            <w:tcW w:w="1695"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NH</w:t>
            </w:r>
            <w:r>
              <w:rPr>
                <w:rFonts w:ascii="Times New Roman" w:hAnsi="Times New Roman" w:cs="Times New Roman"/>
                <w:color w:val="000000" w:themeColor="text1"/>
                <w:sz w:val="21"/>
                <w:szCs w:val="21"/>
                <w:vertAlign w:val="subscript"/>
              </w:rPr>
              <w:t>3</w:t>
            </w:r>
          </w:p>
        </w:tc>
        <w:tc>
          <w:tcPr>
            <w:tcW w:w="124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1h平均</w:t>
            </w:r>
          </w:p>
        </w:tc>
        <w:tc>
          <w:tcPr>
            <w:tcW w:w="1164"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200</w:t>
            </w:r>
          </w:p>
        </w:tc>
        <w:tc>
          <w:tcPr>
            <w:tcW w:w="1695"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《环境影响评价技术导则-大气环境》（HJ2.2-2018）附录D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H</w:t>
            </w:r>
            <w:r>
              <w:rPr>
                <w:rFonts w:ascii="Times New Roman" w:hAnsi="Times New Roman" w:cs="Times New Roman"/>
                <w:color w:val="000000" w:themeColor="text1"/>
                <w:sz w:val="21"/>
                <w:szCs w:val="21"/>
                <w:vertAlign w:val="subscript"/>
              </w:rPr>
              <w:t>2</w:t>
            </w:r>
            <w:r>
              <w:rPr>
                <w:rFonts w:ascii="Times New Roman" w:hAnsi="Times New Roman" w:cs="Times New Roman"/>
                <w:color w:val="000000" w:themeColor="text1"/>
                <w:sz w:val="21"/>
                <w:szCs w:val="21"/>
              </w:rPr>
              <w:t>S</w:t>
            </w:r>
          </w:p>
        </w:tc>
        <w:tc>
          <w:tcPr>
            <w:tcW w:w="124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1h平均</w:t>
            </w:r>
          </w:p>
        </w:tc>
        <w:tc>
          <w:tcPr>
            <w:tcW w:w="1164"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10</w:t>
            </w:r>
          </w:p>
        </w:tc>
        <w:tc>
          <w:tcPr>
            <w:tcW w:w="1695"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r>
    </w:tbl>
    <w:p>
      <w:pPr>
        <w:ind w:firstLine="480" w:firstLineChars="200"/>
        <w:jc w:val="left"/>
        <w:rPr>
          <w:color w:val="000000" w:themeColor="text1"/>
          <w:sz w:val="24"/>
        </w:rPr>
      </w:pPr>
      <w:r>
        <w:rPr>
          <w:rFonts w:hint="eastAsia"/>
          <w:color w:val="000000" w:themeColor="text1"/>
          <w:sz w:val="24"/>
        </w:rPr>
        <w:t>（4）污染源数据</w:t>
      </w:r>
    </w:p>
    <w:p>
      <w:pPr>
        <w:ind w:firstLine="480" w:firstLineChars="200"/>
        <w:jc w:val="left"/>
        <w:rPr>
          <w:color w:val="000000" w:themeColor="text1"/>
          <w:sz w:val="24"/>
        </w:rPr>
        <w:sectPr>
          <w:pgSz w:w="11906" w:h="16838"/>
          <w:pgMar w:top="1440" w:right="1797" w:bottom="1440" w:left="1797" w:header="851" w:footer="992" w:gutter="0"/>
          <w:cols w:space="720" w:num="1"/>
          <w:docGrid w:linePitch="312" w:charSpace="0"/>
        </w:sectPr>
      </w:pPr>
    </w:p>
    <w:p>
      <w:pPr>
        <w:pStyle w:val="116"/>
        <w:wordWrap/>
        <w:spacing w:line="240" w:lineRule="auto"/>
        <w:rPr>
          <w:color w:val="000000" w:themeColor="text1"/>
          <w:sz w:val="21"/>
          <w:szCs w:val="21"/>
        </w:rPr>
      </w:pPr>
      <w:r>
        <w:rPr>
          <w:color w:val="000000" w:themeColor="text1"/>
          <w:sz w:val="21"/>
          <w:szCs w:val="21"/>
        </w:rPr>
        <w:t>表</w:t>
      </w:r>
      <w:r>
        <w:rPr>
          <w:rFonts w:hint="eastAsia"/>
          <w:color w:val="000000" w:themeColor="text1"/>
          <w:sz w:val="21"/>
          <w:szCs w:val="21"/>
        </w:rPr>
        <w:t>5.2-3</w:t>
      </w:r>
      <w:r>
        <w:rPr>
          <w:color w:val="000000" w:themeColor="text1"/>
          <w:sz w:val="21"/>
          <w:szCs w:val="21"/>
        </w:rPr>
        <w:t xml:space="preserve">  主要废气污染源参数一览表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551"/>
        <w:gridCol w:w="1072"/>
        <w:gridCol w:w="760"/>
        <w:gridCol w:w="1519"/>
        <w:gridCol w:w="1494"/>
        <w:gridCol w:w="1522"/>
        <w:gridCol w:w="1741"/>
        <w:gridCol w:w="1514"/>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Merge w:val="restart"/>
            <w:vAlign w:val="center"/>
          </w:tcPr>
          <w:p>
            <w:pPr>
              <w:spacing w:line="240" w:lineRule="auto"/>
              <w:jc w:val="center"/>
              <w:rPr>
                <w:b/>
                <w:color w:val="000000" w:themeColor="text1"/>
                <w:szCs w:val="21"/>
              </w:rPr>
            </w:pPr>
            <w:r>
              <w:rPr>
                <w:b/>
                <w:color w:val="000000" w:themeColor="text1"/>
                <w:szCs w:val="21"/>
              </w:rPr>
              <w:t>污染源名称</w:t>
            </w:r>
          </w:p>
        </w:tc>
        <w:tc>
          <w:tcPr>
            <w:tcW w:w="925" w:type="pct"/>
            <w:gridSpan w:val="2"/>
            <w:vAlign w:val="center"/>
          </w:tcPr>
          <w:p>
            <w:pPr>
              <w:snapToGrid w:val="0"/>
              <w:spacing w:line="240" w:lineRule="auto"/>
              <w:jc w:val="center"/>
              <w:rPr>
                <w:b/>
                <w:color w:val="000000" w:themeColor="text1"/>
                <w:szCs w:val="21"/>
              </w:rPr>
            </w:pPr>
            <w:r>
              <w:rPr>
                <w:rFonts w:hint="eastAsia"/>
                <w:b/>
                <w:color w:val="000000" w:themeColor="text1"/>
                <w:szCs w:val="21"/>
              </w:rPr>
              <w:t>坐标</w:t>
            </w:r>
          </w:p>
        </w:tc>
        <w:tc>
          <w:tcPr>
            <w:tcW w:w="268" w:type="pct"/>
            <w:vMerge w:val="restart"/>
            <w:vAlign w:val="center"/>
          </w:tcPr>
          <w:p>
            <w:pPr>
              <w:snapToGrid w:val="0"/>
              <w:spacing w:line="240" w:lineRule="auto"/>
              <w:jc w:val="center"/>
              <w:rPr>
                <w:b/>
                <w:color w:val="000000" w:themeColor="text1"/>
                <w:szCs w:val="21"/>
              </w:rPr>
            </w:pPr>
            <w:r>
              <w:rPr>
                <w:rFonts w:hint="eastAsia"/>
                <w:b/>
                <w:color w:val="000000" w:themeColor="text1"/>
                <w:szCs w:val="21"/>
              </w:rPr>
              <w:t>海拔高度/m</w:t>
            </w:r>
          </w:p>
        </w:tc>
        <w:tc>
          <w:tcPr>
            <w:tcW w:w="1600" w:type="pct"/>
            <w:gridSpan w:val="3"/>
            <w:vAlign w:val="center"/>
          </w:tcPr>
          <w:p>
            <w:pPr>
              <w:snapToGrid w:val="0"/>
              <w:spacing w:line="240" w:lineRule="auto"/>
              <w:jc w:val="center"/>
              <w:rPr>
                <w:b/>
                <w:color w:val="000000" w:themeColor="text1"/>
                <w:szCs w:val="21"/>
              </w:rPr>
            </w:pPr>
            <w:r>
              <w:rPr>
                <w:rFonts w:hint="eastAsia"/>
                <w:b/>
                <w:color w:val="000000" w:themeColor="text1"/>
                <w:szCs w:val="21"/>
              </w:rPr>
              <w:t>矩形面源</w:t>
            </w:r>
          </w:p>
        </w:tc>
        <w:tc>
          <w:tcPr>
            <w:tcW w:w="614" w:type="pct"/>
            <w:vMerge w:val="restart"/>
            <w:vAlign w:val="center"/>
          </w:tcPr>
          <w:p>
            <w:pPr>
              <w:snapToGrid w:val="0"/>
              <w:spacing w:line="240" w:lineRule="auto"/>
              <w:jc w:val="center"/>
              <w:rPr>
                <w:b/>
                <w:color w:val="000000" w:themeColor="text1"/>
                <w:szCs w:val="21"/>
              </w:rPr>
            </w:pPr>
            <w:r>
              <w:rPr>
                <w:rFonts w:hint="eastAsia"/>
                <w:b/>
                <w:color w:val="000000" w:themeColor="text1"/>
                <w:szCs w:val="21"/>
              </w:rPr>
              <w:t>污染物</w:t>
            </w:r>
          </w:p>
        </w:tc>
        <w:tc>
          <w:tcPr>
            <w:tcW w:w="534" w:type="pct"/>
            <w:vMerge w:val="restart"/>
            <w:vAlign w:val="center"/>
          </w:tcPr>
          <w:p>
            <w:pPr>
              <w:snapToGrid w:val="0"/>
              <w:spacing w:line="240" w:lineRule="auto"/>
              <w:jc w:val="center"/>
              <w:rPr>
                <w:b/>
                <w:color w:val="000000" w:themeColor="text1"/>
                <w:szCs w:val="21"/>
              </w:rPr>
            </w:pPr>
            <w:r>
              <w:rPr>
                <w:rFonts w:hint="eastAsia"/>
                <w:b/>
                <w:color w:val="000000" w:themeColor="text1"/>
                <w:szCs w:val="21"/>
              </w:rPr>
              <w:t>排放速率</w:t>
            </w:r>
          </w:p>
        </w:tc>
        <w:tc>
          <w:tcPr>
            <w:tcW w:w="534" w:type="pct"/>
            <w:vMerge w:val="restart"/>
            <w:vAlign w:val="center"/>
          </w:tcPr>
          <w:p>
            <w:pPr>
              <w:snapToGrid w:val="0"/>
              <w:spacing w:line="240" w:lineRule="auto"/>
              <w:jc w:val="center"/>
              <w:rPr>
                <w:b/>
                <w:color w:val="000000" w:themeColor="text1"/>
                <w:szCs w:val="21"/>
              </w:rPr>
            </w:pPr>
            <w:r>
              <w:rPr>
                <w:rFonts w:hint="eastAsia"/>
                <w:b/>
                <w:color w:val="000000" w:themeColor="text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Merge w:val="continue"/>
            <w:vAlign w:val="center"/>
          </w:tcPr>
          <w:p>
            <w:pPr>
              <w:snapToGrid w:val="0"/>
              <w:spacing w:line="240" w:lineRule="auto"/>
              <w:jc w:val="center"/>
              <w:rPr>
                <w:b/>
                <w:color w:val="000000" w:themeColor="text1"/>
                <w:szCs w:val="21"/>
              </w:rPr>
            </w:pPr>
          </w:p>
        </w:tc>
        <w:tc>
          <w:tcPr>
            <w:tcW w:w="547" w:type="pct"/>
            <w:vAlign w:val="center"/>
          </w:tcPr>
          <w:p>
            <w:pPr>
              <w:snapToGrid w:val="0"/>
              <w:spacing w:line="240" w:lineRule="auto"/>
              <w:jc w:val="center"/>
              <w:rPr>
                <w:b/>
                <w:color w:val="000000" w:themeColor="text1"/>
                <w:szCs w:val="21"/>
              </w:rPr>
            </w:pPr>
            <w:r>
              <w:rPr>
                <w:rFonts w:hint="eastAsia"/>
                <w:b/>
                <w:color w:val="000000" w:themeColor="text1"/>
                <w:szCs w:val="21"/>
              </w:rPr>
              <w:t>经度</w:t>
            </w:r>
          </w:p>
        </w:tc>
        <w:tc>
          <w:tcPr>
            <w:tcW w:w="378" w:type="pct"/>
            <w:vAlign w:val="center"/>
          </w:tcPr>
          <w:p>
            <w:pPr>
              <w:snapToGrid w:val="0"/>
              <w:spacing w:line="240" w:lineRule="auto"/>
              <w:jc w:val="center"/>
              <w:rPr>
                <w:b/>
                <w:color w:val="000000" w:themeColor="text1"/>
                <w:szCs w:val="21"/>
              </w:rPr>
            </w:pPr>
            <w:r>
              <w:rPr>
                <w:rFonts w:hint="eastAsia"/>
                <w:b/>
                <w:color w:val="000000" w:themeColor="text1"/>
                <w:szCs w:val="21"/>
              </w:rPr>
              <w:t>纬度</w:t>
            </w:r>
          </w:p>
        </w:tc>
        <w:tc>
          <w:tcPr>
            <w:tcW w:w="268" w:type="pct"/>
            <w:vMerge w:val="continue"/>
            <w:vAlign w:val="center"/>
          </w:tcPr>
          <w:p>
            <w:pPr>
              <w:snapToGrid w:val="0"/>
              <w:spacing w:line="240" w:lineRule="auto"/>
              <w:jc w:val="center"/>
              <w:rPr>
                <w:b/>
                <w:color w:val="000000" w:themeColor="text1"/>
                <w:szCs w:val="21"/>
              </w:rPr>
            </w:pPr>
          </w:p>
        </w:tc>
        <w:tc>
          <w:tcPr>
            <w:tcW w:w="536" w:type="pct"/>
            <w:vAlign w:val="center"/>
          </w:tcPr>
          <w:p>
            <w:pPr>
              <w:snapToGrid w:val="0"/>
              <w:spacing w:line="240" w:lineRule="auto"/>
              <w:jc w:val="center"/>
              <w:rPr>
                <w:b/>
                <w:color w:val="000000" w:themeColor="text1"/>
                <w:szCs w:val="21"/>
              </w:rPr>
            </w:pPr>
            <w:r>
              <w:rPr>
                <w:rFonts w:hint="eastAsia"/>
                <w:b/>
                <w:color w:val="000000" w:themeColor="text1"/>
                <w:szCs w:val="21"/>
              </w:rPr>
              <w:t>长度</w:t>
            </w:r>
            <w:r>
              <w:rPr>
                <w:b/>
                <w:color w:val="000000" w:themeColor="text1"/>
                <w:szCs w:val="21"/>
              </w:rPr>
              <w:t>(m)</w:t>
            </w:r>
          </w:p>
        </w:tc>
        <w:tc>
          <w:tcPr>
            <w:tcW w:w="527" w:type="pct"/>
            <w:vAlign w:val="center"/>
          </w:tcPr>
          <w:p>
            <w:pPr>
              <w:snapToGrid w:val="0"/>
              <w:spacing w:line="240" w:lineRule="auto"/>
              <w:jc w:val="center"/>
              <w:rPr>
                <w:b/>
                <w:color w:val="000000" w:themeColor="text1"/>
                <w:szCs w:val="21"/>
              </w:rPr>
            </w:pPr>
            <w:r>
              <w:rPr>
                <w:rFonts w:hint="eastAsia"/>
                <w:b/>
                <w:color w:val="000000" w:themeColor="text1"/>
                <w:szCs w:val="21"/>
              </w:rPr>
              <w:t>宽度</w:t>
            </w:r>
            <w:r>
              <w:rPr>
                <w:b/>
                <w:color w:val="000000" w:themeColor="text1"/>
                <w:szCs w:val="21"/>
              </w:rPr>
              <w:t>(m)</w:t>
            </w:r>
          </w:p>
        </w:tc>
        <w:tc>
          <w:tcPr>
            <w:tcW w:w="537" w:type="pct"/>
            <w:vAlign w:val="center"/>
          </w:tcPr>
          <w:p>
            <w:pPr>
              <w:snapToGrid w:val="0"/>
              <w:spacing w:line="240" w:lineRule="auto"/>
              <w:jc w:val="center"/>
              <w:rPr>
                <w:b/>
                <w:color w:val="000000" w:themeColor="text1"/>
                <w:szCs w:val="21"/>
              </w:rPr>
            </w:pPr>
            <w:r>
              <w:rPr>
                <w:rFonts w:hint="eastAsia"/>
                <w:b/>
                <w:color w:val="000000" w:themeColor="text1"/>
                <w:szCs w:val="21"/>
              </w:rPr>
              <w:t>有效高度</w:t>
            </w:r>
            <w:r>
              <w:rPr>
                <w:b/>
                <w:color w:val="000000" w:themeColor="text1"/>
                <w:szCs w:val="21"/>
              </w:rPr>
              <w:t>(m)</w:t>
            </w:r>
          </w:p>
        </w:tc>
        <w:tc>
          <w:tcPr>
            <w:tcW w:w="614" w:type="pct"/>
            <w:vMerge w:val="continue"/>
            <w:vAlign w:val="center"/>
          </w:tcPr>
          <w:p>
            <w:pPr>
              <w:snapToGrid w:val="0"/>
              <w:spacing w:line="240" w:lineRule="auto"/>
              <w:jc w:val="center"/>
              <w:rPr>
                <w:b/>
                <w:color w:val="000000" w:themeColor="text1"/>
                <w:szCs w:val="21"/>
              </w:rPr>
            </w:pPr>
          </w:p>
        </w:tc>
        <w:tc>
          <w:tcPr>
            <w:tcW w:w="534" w:type="pct"/>
            <w:vMerge w:val="continue"/>
            <w:vAlign w:val="center"/>
          </w:tcPr>
          <w:p>
            <w:pPr>
              <w:snapToGrid w:val="0"/>
              <w:spacing w:line="240" w:lineRule="auto"/>
              <w:jc w:val="center"/>
              <w:rPr>
                <w:b/>
                <w:color w:val="000000" w:themeColor="text1"/>
                <w:szCs w:val="21"/>
              </w:rPr>
            </w:pPr>
          </w:p>
        </w:tc>
        <w:tc>
          <w:tcPr>
            <w:tcW w:w="534" w:type="pct"/>
            <w:vMerge w:val="continue"/>
            <w:vAlign w:val="center"/>
          </w:tcPr>
          <w:p>
            <w:pPr>
              <w:snapToGrid w:val="0"/>
              <w:spacing w:line="240" w:lineRule="auto"/>
              <w:jc w:val="center"/>
              <w:rPr>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Merge w:val="restart"/>
            <w:vAlign w:val="center"/>
          </w:tcPr>
          <w:p>
            <w:pPr>
              <w:spacing w:line="240" w:lineRule="auto"/>
              <w:jc w:val="center"/>
              <w:rPr>
                <w:color w:val="000000" w:themeColor="text1"/>
                <w:szCs w:val="21"/>
              </w:rPr>
            </w:pPr>
            <w:r>
              <w:rPr>
                <w:color w:val="000000" w:themeColor="text1"/>
                <w:szCs w:val="21"/>
              </w:rPr>
              <w:t>矩形面源</w:t>
            </w:r>
          </w:p>
        </w:tc>
        <w:tc>
          <w:tcPr>
            <w:tcW w:w="547" w:type="pct"/>
            <w:vMerge w:val="restart"/>
            <w:vAlign w:val="center"/>
          </w:tcPr>
          <w:p>
            <w:pPr>
              <w:spacing w:line="240" w:lineRule="auto"/>
              <w:jc w:val="center"/>
              <w:rPr>
                <w:color w:val="000000" w:themeColor="text1"/>
                <w:szCs w:val="21"/>
              </w:rPr>
            </w:pPr>
            <w:r>
              <w:rPr>
                <w:color w:val="000000" w:themeColor="text1"/>
                <w:szCs w:val="21"/>
              </w:rPr>
              <w:t>101°59'56.80"</w:t>
            </w:r>
            <w:r>
              <w:rPr>
                <w:rFonts w:hint="eastAsia"/>
                <w:color w:val="000000" w:themeColor="text1"/>
                <w:szCs w:val="21"/>
              </w:rPr>
              <w:t>E</w:t>
            </w:r>
          </w:p>
        </w:tc>
        <w:tc>
          <w:tcPr>
            <w:tcW w:w="378" w:type="pct"/>
            <w:vMerge w:val="restart"/>
            <w:vAlign w:val="center"/>
          </w:tcPr>
          <w:p>
            <w:pPr>
              <w:spacing w:line="240" w:lineRule="auto"/>
              <w:jc w:val="center"/>
              <w:rPr>
                <w:color w:val="000000" w:themeColor="text1"/>
                <w:szCs w:val="21"/>
              </w:rPr>
            </w:pPr>
            <w:r>
              <w:rPr>
                <w:color w:val="000000" w:themeColor="text1"/>
                <w:szCs w:val="21"/>
              </w:rPr>
              <w:t>24° 8'33.55"</w:t>
            </w:r>
            <w:r>
              <w:rPr>
                <w:rFonts w:hint="eastAsia"/>
                <w:color w:val="000000" w:themeColor="text1"/>
                <w:szCs w:val="21"/>
              </w:rPr>
              <w:t>N</w:t>
            </w:r>
          </w:p>
        </w:tc>
        <w:tc>
          <w:tcPr>
            <w:tcW w:w="268" w:type="pct"/>
            <w:vMerge w:val="restart"/>
            <w:vAlign w:val="center"/>
          </w:tcPr>
          <w:p>
            <w:pPr>
              <w:spacing w:line="240" w:lineRule="auto"/>
              <w:jc w:val="center"/>
              <w:rPr>
                <w:color w:val="000000" w:themeColor="text1"/>
                <w:szCs w:val="21"/>
              </w:rPr>
            </w:pPr>
            <w:r>
              <w:rPr>
                <w:rFonts w:hint="eastAsia"/>
                <w:color w:val="000000" w:themeColor="text1"/>
                <w:szCs w:val="21"/>
              </w:rPr>
              <w:t>1789</w:t>
            </w:r>
          </w:p>
        </w:tc>
        <w:tc>
          <w:tcPr>
            <w:tcW w:w="536" w:type="pct"/>
            <w:vMerge w:val="restart"/>
            <w:vAlign w:val="center"/>
          </w:tcPr>
          <w:p>
            <w:pPr>
              <w:spacing w:line="240" w:lineRule="auto"/>
              <w:jc w:val="center"/>
              <w:rPr>
                <w:color w:val="000000" w:themeColor="text1"/>
                <w:szCs w:val="21"/>
              </w:rPr>
            </w:pPr>
            <w:r>
              <w:rPr>
                <w:rFonts w:hint="eastAsia"/>
                <w:color w:val="000000" w:themeColor="text1"/>
                <w:szCs w:val="21"/>
              </w:rPr>
              <w:t>416</w:t>
            </w:r>
          </w:p>
        </w:tc>
        <w:tc>
          <w:tcPr>
            <w:tcW w:w="527" w:type="pct"/>
            <w:vMerge w:val="restart"/>
            <w:vAlign w:val="center"/>
          </w:tcPr>
          <w:p>
            <w:pPr>
              <w:spacing w:line="240" w:lineRule="auto"/>
              <w:jc w:val="center"/>
              <w:rPr>
                <w:color w:val="000000" w:themeColor="text1"/>
                <w:szCs w:val="21"/>
              </w:rPr>
            </w:pPr>
            <w:r>
              <w:rPr>
                <w:rFonts w:hint="eastAsia"/>
                <w:color w:val="000000" w:themeColor="text1"/>
                <w:szCs w:val="21"/>
              </w:rPr>
              <w:t>118</w:t>
            </w:r>
          </w:p>
        </w:tc>
        <w:tc>
          <w:tcPr>
            <w:tcW w:w="537" w:type="pct"/>
            <w:vMerge w:val="restart"/>
            <w:vAlign w:val="center"/>
          </w:tcPr>
          <w:p>
            <w:pPr>
              <w:spacing w:line="240" w:lineRule="auto"/>
              <w:jc w:val="center"/>
              <w:rPr>
                <w:color w:val="000000" w:themeColor="text1"/>
                <w:szCs w:val="21"/>
              </w:rPr>
            </w:pPr>
            <w:r>
              <w:rPr>
                <w:rFonts w:hint="eastAsia"/>
                <w:color w:val="000000" w:themeColor="text1"/>
                <w:szCs w:val="21"/>
              </w:rPr>
              <w:t>8.0</w:t>
            </w:r>
          </w:p>
        </w:tc>
        <w:tc>
          <w:tcPr>
            <w:tcW w:w="614" w:type="pct"/>
            <w:vAlign w:val="center"/>
          </w:tcPr>
          <w:p>
            <w:pPr>
              <w:spacing w:line="240" w:lineRule="exact"/>
              <w:jc w:val="center"/>
              <w:rPr>
                <w:color w:val="000000" w:themeColor="text1"/>
                <w:szCs w:val="21"/>
              </w:rPr>
            </w:pPr>
            <w:r>
              <w:rPr>
                <w:rFonts w:hint="eastAsia"/>
                <w:color w:val="000000" w:themeColor="text1"/>
                <w:szCs w:val="21"/>
              </w:rPr>
              <w:t>NH</w:t>
            </w:r>
            <w:r>
              <w:rPr>
                <w:rFonts w:hint="eastAsia"/>
                <w:color w:val="000000" w:themeColor="text1"/>
                <w:szCs w:val="21"/>
                <w:vertAlign w:val="subscript"/>
              </w:rPr>
              <w:t>3</w:t>
            </w:r>
          </w:p>
        </w:tc>
        <w:tc>
          <w:tcPr>
            <w:tcW w:w="534" w:type="pct"/>
            <w:vAlign w:val="center"/>
          </w:tcPr>
          <w:p>
            <w:pPr>
              <w:spacing w:line="240" w:lineRule="auto"/>
              <w:jc w:val="center"/>
              <w:rPr>
                <w:color w:val="000000" w:themeColor="text1"/>
                <w:szCs w:val="21"/>
              </w:rPr>
            </w:pPr>
            <w:r>
              <w:rPr>
                <w:rFonts w:hint="eastAsia"/>
                <w:color w:val="000000" w:themeColor="text1"/>
                <w:szCs w:val="21"/>
              </w:rPr>
              <w:t>0.043</w:t>
            </w:r>
            <w:r>
              <w:rPr>
                <w:color w:val="000000" w:themeColor="text1"/>
                <w:szCs w:val="21"/>
              </w:rPr>
              <w:t xml:space="preserve"> </w:t>
            </w:r>
          </w:p>
        </w:tc>
        <w:tc>
          <w:tcPr>
            <w:tcW w:w="534" w:type="pct"/>
            <w:vMerge w:val="restart"/>
            <w:vAlign w:val="center"/>
          </w:tcPr>
          <w:p>
            <w:pPr>
              <w:spacing w:line="240" w:lineRule="auto"/>
              <w:jc w:val="center"/>
              <w:rPr>
                <w:color w:val="000000" w:themeColor="text1"/>
                <w:szCs w:val="21"/>
              </w:rPr>
            </w:pPr>
            <w:r>
              <w:rPr>
                <w:color w:val="000000" w:themeColor="text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Merge w:val="continue"/>
            <w:vAlign w:val="center"/>
          </w:tcPr>
          <w:p>
            <w:pPr>
              <w:spacing w:line="240" w:lineRule="auto"/>
              <w:jc w:val="center"/>
              <w:rPr>
                <w:color w:val="000000" w:themeColor="text1"/>
                <w:szCs w:val="21"/>
              </w:rPr>
            </w:pPr>
          </w:p>
        </w:tc>
        <w:tc>
          <w:tcPr>
            <w:tcW w:w="547" w:type="pct"/>
            <w:vMerge w:val="continue"/>
            <w:vAlign w:val="center"/>
          </w:tcPr>
          <w:p>
            <w:pPr>
              <w:spacing w:line="240" w:lineRule="auto"/>
              <w:jc w:val="center"/>
              <w:rPr>
                <w:color w:val="000000" w:themeColor="text1"/>
                <w:szCs w:val="21"/>
              </w:rPr>
            </w:pPr>
          </w:p>
        </w:tc>
        <w:tc>
          <w:tcPr>
            <w:tcW w:w="378" w:type="pct"/>
            <w:vMerge w:val="continue"/>
            <w:vAlign w:val="center"/>
          </w:tcPr>
          <w:p>
            <w:pPr>
              <w:spacing w:line="240" w:lineRule="auto"/>
              <w:jc w:val="center"/>
              <w:rPr>
                <w:color w:val="000000" w:themeColor="text1"/>
                <w:szCs w:val="21"/>
              </w:rPr>
            </w:pPr>
          </w:p>
        </w:tc>
        <w:tc>
          <w:tcPr>
            <w:tcW w:w="268" w:type="pct"/>
            <w:vMerge w:val="continue"/>
            <w:vAlign w:val="center"/>
          </w:tcPr>
          <w:p>
            <w:pPr>
              <w:spacing w:line="240" w:lineRule="auto"/>
              <w:jc w:val="center"/>
              <w:rPr>
                <w:color w:val="000000" w:themeColor="text1"/>
                <w:szCs w:val="21"/>
              </w:rPr>
            </w:pPr>
          </w:p>
        </w:tc>
        <w:tc>
          <w:tcPr>
            <w:tcW w:w="536" w:type="pct"/>
            <w:vMerge w:val="continue"/>
            <w:vAlign w:val="center"/>
          </w:tcPr>
          <w:p>
            <w:pPr>
              <w:spacing w:line="240" w:lineRule="auto"/>
              <w:jc w:val="center"/>
              <w:rPr>
                <w:color w:val="000000" w:themeColor="text1"/>
                <w:szCs w:val="21"/>
              </w:rPr>
            </w:pPr>
          </w:p>
        </w:tc>
        <w:tc>
          <w:tcPr>
            <w:tcW w:w="527" w:type="pct"/>
            <w:vMerge w:val="continue"/>
            <w:vAlign w:val="center"/>
          </w:tcPr>
          <w:p>
            <w:pPr>
              <w:spacing w:line="240" w:lineRule="auto"/>
              <w:jc w:val="center"/>
              <w:rPr>
                <w:color w:val="000000" w:themeColor="text1"/>
                <w:szCs w:val="21"/>
              </w:rPr>
            </w:pPr>
          </w:p>
        </w:tc>
        <w:tc>
          <w:tcPr>
            <w:tcW w:w="537" w:type="pct"/>
            <w:vMerge w:val="continue"/>
            <w:vAlign w:val="center"/>
          </w:tcPr>
          <w:p>
            <w:pPr>
              <w:spacing w:line="240" w:lineRule="auto"/>
              <w:jc w:val="center"/>
              <w:rPr>
                <w:color w:val="000000" w:themeColor="text1"/>
                <w:szCs w:val="21"/>
              </w:rPr>
            </w:pPr>
          </w:p>
        </w:tc>
        <w:tc>
          <w:tcPr>
            <w:tcW w:w="614" w:type="pct"/>
            <w:vAlign w:val="center"/>
          </w:tcPr>
          <w:p>
            <w:pPr>
              <w:spacing w:line="240" w:lineRule="exact"/>
              <w:jc w:val="center"/>
              <w:rPr>
                <w:color w:val="000000" w:themeColor="text1"/>
                <w:szCs w:val="21"/>
              </w:rPr>
            </w:pPr>
            <w:r>
              <w:rPr>
                <w:rFonts w:hint="eastAsia"/>
                <w:color w:val="000000" w:themeColor="text1"/>
                <w:szCs w:val="21"/>
              </w:rPr>
              <w:t>H</w:t>
            </w:r>
            <w:r>
              <w:rPr>
                <w:rFonts w:hint="eastAsia"/>
                <w:color w:val="000000" w:themeColor="text1"/>
                <w:szCs w:val="21"/>
                <w:vertAlign w:val="subscript"/>
              </w:rPr>
              <w:t>2</w:t>
            </w:r>
            <w:r>
              <w:rPr>
                <w:rFonts w:hint="eastAsia"/>
                <w:color w:val="000000" w:themeColor="text1"/>
                <w:szCs w:val="21"/>
              </w:rPr>
              <w:t>S</w:t>
            </w:r>
          </w:p>
        </w:tc>
        <w:tc>
          <w:tcPr>
            <w:tcW w:w="534" w:type="pct"/>
            <w:vAlign w:val="center"/>
          </w:tcPr>
          <w:p>
            <w:pPr>
              <w:spacing w:line="240" w:lineRule="auto"/>
              <w:jc w:val="center"/>
              <w:rPr>
                <w:color w:val="000000" w:themeColor="text1"/>
                <w:szCs w:val="21"/>
              </w:rPr>
            </w:pPr>
            <w:r>
              <w:rPr>
                <w:rFonts w:hint="eastAsia"/>
                <w:color w:val="000000" w:themeColor="text1"/>
                <w:szCs w:val="21"/>
              </w:rPr>
              <w:t>0.0105</w:t>
            </w:r>
          </w:p>
        </w:tc>
        <w:tc>
          <w:tcPr>
            <w:tcW w:w="534" w:type="pct"/>
            <w:vMerge w:val="continue"/>
            <w:vAlign w:val="center"/>
          </w:tcPr>
          <w:p>
            <w:pPr>
              <w:spacing w:line="240" w:lineRule="auto"/>
              <w:jc w:val="center"/>
              <w:rPr>
                <w:color w:val="000000" w:themeColor="text1"/>
                <w:szCs w:val="21"/>
              </w:rPr>
            </w:pPr>
          </w:p>
        </w:tc>
      </w:tr>
    </w:tbl>
    <w:p>
      <w:pPr>
        <w:ind w:firstLine="480" w:firstLineChars="200"/>
        <w:jc w:val="left"/>
        <w:rPr>
          <w:color w:val="000000" w:themeColor="text1"/>
          <w:sz w:val="24"/>
        </w:rPr>
      </w:pPr>
    </w:p>
    <w:p>
      <w:pPr>
        <w:ind w:firstLine="480" w:firstLineChars="200"/>
        <w:jc w:val="left"/>
        <w:rPr>
          <w:color w:val="000000" w:themeColor="text1"/>
          <w:sz w:val="24"/>
        </w:rPr>
        <w:sectPr>
          <w:pgSz w:w="16838" w:h="11906" w:orient="landscape"/>
          <w:pgMar w:top="1797" w:right="1440" w:bottom="1797" w:left="1440" w:header="851" w:footer="992" w:gutter="0"/>
          <w:cols w:space="720" w:num="1"/>
          <w:docGrid w:linePitch="312" w:charSpace="0"/>
        </w:sectPr>
      </w:pPr>
    </w:p>
    <w:p>
      <w:pPr>
        <w:ind w:firstLine="480" w:firstLineChars="200"/>
        <w:jc w:val="left"/>
        <w:rPr>
          <w:color w:val="000000" w:themeColor="text1"/>
          <w:sz w:val="24"/>
        </w:rPr>
      </w:pPr>
      <w:r>
        <w:rPr>
          <w:rFonts w:hint="eastAsia"/>
          <w:color w:val="000000" w:themeColor="text1"/>
          <w:sz w:val="24"/>
        </w:rPr>
        <w:t>（5）估算模式参数</w:t>
      </w:r>
    </w:p>
    <w:p>
      <w:pPr>
        <w:ind w:firstLine="480" w:firstLineChars="200"/>
        <w:jc w:val="left"/>
        <w:rPr>
          <w:color w:val="000000" w:themeColor="text1"/>
          <w:sz w:val="24"/>
        </w:rPr>
      </w:pPr>
      <w:r>
        <w:rPr>
          <w:rFonts w:hint="eastAsia"/>
          <w:color w:val="000000" w:themeColor="text1"/>
          <w:sz w:val="24"/>
        </w:rPr>
        <w:t>项目估算模式参数见表5.2-4。</w:t>
      </w:r>
    </w:p>
    <w:p>
      <w:pPr>
        <w:pStyle w:val="116"/>
        <w:wordWrap/>
        <w:spacing w:line="240" w:lineRule="auto"/>
        <w:rPr>
          <w:color w:val="000000" w:themeColor="text1"/>
          <w:sz w:val="21"/>
          <w:szCs w:val="21"/>
        </w:rPr>
      </w:pPr>
      <w:r>
        <w:rPr>
          <w:color w:val="000000" w:themeColor="text1"/>
          <w:sz w:val="21"/>
          <w:szCs w:val="21"/>
        </w:rPr>
        <w:t>表</w:t>
      </w:r>
      <w:r>
        <w:rPr>
          <w:rFonts w:hint="eastAsia"/>
          <w:color w:val="000000" w:themeColor="text1"/>
          <w:sz w:val="21"/>
          <w:szCs w:val="21"/>
        </w:rPr>
        <w:t>5.2-4</w:t>
      </w:r>
      <w:r>
        <w:rPr>
          <w:color w:val="000000" w:themeColor="text1"/>
          <w:sz w:val="21"/>
          <w:szCs w:val="21"/>
        </w:rPr>
        <w:t xml:space="preserve">  </w:t>
      </w:r>
      <w:r>
        <w:rPr>
          <w:rFonts w:hint="eastAsia"/>
          <w:color w:val="000000" w:themeColor="text1"/>
          <w:sz w:val="21"/>
          <w:szCs w:val="21"/>
        </w:rPr>
        <w:t>估算模型参数表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3"/>
        <w:gridCol w:w="2843"/>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参数</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b/>
                <w:color w:val="000000" w:themeColor="text1"/>
                <w:sz w:val="21"/>
                <w:szCs w:val="21"/>
              </w:rPr>
            </w:pPr>
            <w:r>
              <w:rPr>
                <w:rFonts w:hint="eastAsia" w:ascii="Times New Roman" w:hAnsi="Times New Roman" w:cs="Times New Roman"/>
                <w:b/>
                <w:color w:val="000000" w:themeColor="text1"/>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农村/城市选项</w:t>
            </w: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农村/城市</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人口数（城市选项时）</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最高环境温度/℃</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33.2（1971~2000年）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最低环境温度/℃</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-27（1971~2000年）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土地利用类型</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区域湿度条件</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是否考虑地形</w:t>
            </w: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考虑地形</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13"/>
                <w:szCs w:val="13"/>
                <w:bdr w:val="single" w:color="auto" w:sz="4" w:space="0"/>
              </w:rPr>
              <w:t>√</w:t>
            </w:r>
            <w:r>
              <w:rPr>
                <w:rFonts w:hint="eastAsia" w:ascii="Times New Roman" w:hAnsi="Times New Roman" w:cs="Times New Roman"/>
                <w:color w:val="000000" w:themeColor="text1"/>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地形数据分辨率</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是否考虑岸线熏烟</w:t>
            </w: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考虑虑岸线熏烟</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 xml:space="preserve">□是       </w:t>
            </w:r>
            <w:r>
              <w:rPr>
                <w:rFonts w:hint="eastAsia" w:ascii="Times New Roman" w:hAnsi="Times New Roman" w:cs="Times New Roman"/>
                <w:color w:val="000000" w:themeColor="text1"/>
                <w:sz w:val="13"/>
                <w:szCs w:val="13"/>
                <w:bdr w:val="single" w:color="auto" w:sz="4" w:space="0"/>
              </w:rPr>
              <w:t>√</w:t>
            </w:r>
            <w:r>
              <w:rPr>
                <w:rFonts w:hint="eastAsia" w:ascii="Times New Roman" w:hAnsi="Times New Roman" w:cs="Times New Roman"/>
                <w:color w:val="000000" w:themeColor="text1"/>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岸线距离/km</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p>
        </w:tc>
        <w:tc>
          <w:tcPr>
            <w:tcW w:w="1667"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岸线方向/°</w:t>
            </w:r>
          </w:p>
        </w:tc>
        <w:tc>
          <w:tcPr>
            <w:tcW w:w="1666" w:type="pct"/>
            <w:shd w:val="clear" w:color="auto" w:fill="auto"/>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w:t>
            </w:r>
          </w:p>
        </w:tc>
      </w:tr>
    </w:tbl>
    <w:p>
      <w:pPr>
        <w:ind w:firstLine="480" w:firstLineChars="200"/>
        <w:rPr>
          <w:color w:val="000000" w:themeColor="text1"/>
          <w:kern w:val="0"/>
          <w:sz w:val="24"/>
        </w:rPr>
      </w:pPr>
      <w:r>
        <w:rPr>
          <w:color w:val="000000" w:themeColor="text1"/>
          <w:kern w:val="0"/>
          <w:sz w:val="24"/>
        </w:rPr>
        <w:t>（</w:t>
      </w:r>
      <w:r>
        <w:rPr>
          <w:rFonts w:hint="eastAsia"/>
          <w:color w:val="000000" w:themeColor="text1"/>
          <w:kern w:val="0"/>
          <w:sz w:val="24"/>
        </w:rPr>
        <w:t>6</w:t>
      </w:r>
      <w:r>
        <w:rPr>
          <w:color w:val="000000" w:themeColor="text1"/>
          <w:kern w:val="0"/>
          <w:sz w:val="24"/>
        </w:rPr>
        <w:t>）</w:t>
      </w:r>
      <w:r>
        <w:rPr>
          <w:rFonts w:hint="eastAsia"/>
          <w:color w:val="000000" w:themeColor="text1"/>
          <w:kern w:val="0"/>
          <w:sz w:val="24"/>
        </w:rPr>
        <w:t>预测结果</w:t>
      </w:r>
    </w:p>
    <w:p>
      <w:pPr>
        <w:ind w:firstLine="480" w:firstLineChars="200"/>
        <w:rPr>
          <w:color w:val="000000" w:themeColor="text1"/>
          <w:sz w:val="24"/>
        </w:rPr>
      </w:pPr>
      <w:r>
        <w:rPr>
          <w:color w:val="000000" w:themeColor="text1"/>
          <w:sz w:val="24"/>
        </w:rPr>
        <w:t>预测结果见表5.2-</w:t>
      </w:r>
      <w:r>
        <w:rPr>
          <w:rFonts w:hint="eastAsia"/>
          <w:color w:val="000000" w:themeColor="text1"/>
          <w:sz w:val="24"/>
        </w:rPr>
        <w:t>5</w:t>
      </w:r>
      <w:r>
        <w:rPr>
          <w:color w:val="000000" w:themeColor="text1"/>
          <w:sz w:val="24"/>
        </w:rPr>
        <w:t>。</w:t>
      </w:r>
    </w:p>
    <w:p>
      <w:pPr>
        <w:adjustRightInd w:val="0"/>
        <w:snapToGrid w:val="0"/>
        <w:spacing w:line="240" w:lineRule="auto"/>
        <w:jc w:val="center"/>
        <w:rPr>
          <w:b/>
          <w:color w:val="000000" w:themeColor="text1"/>
        </w:rPr>
      </w:pPr>
      <w:r>
        <w:rPr>
          <w:b/>
          <w:color w:val="000000" w:themeColor="text1"/>
        </w:rPr>
        <w:t>表5.2-</w:t>
      </w:r>
      <w:r>
        <w:rPr>
          <w:rFonts w:hint="eastAsia"/>
          <w:b/>
          <w:color w:val="000000" w:themeColor="text1"/>
        </w:rPr>
        <w:t>5</w:t>
      </w:r>
      <w:r>
        <w:rPr>
          <w:b/>
          <w:color w:val="000000" w:themeColor="text1"/>
        </w:rPr>
        <w:t xml:space="preserve">   估算模式预测污染物浓度扩散结果</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2268"/>
        <w:gridCol w:w="1699"/>
        <w:gridCol w:w="1789"/>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811" w:type="pct"/>
            <w:vMerge w:val="restart"/>
            <w:tcBorders>
              <w:top w:val="single" w:color="auto" w:sz="4" w:space="0"/>
              <w:left w:val="single" w:color="auto" w:sz="4" w:space="0"/>
              <w:right w:val="single" w:color="auto" w:sz="4" w:space="0"/>
            </w:tcBorders>
            <w:vAlign w:val="center"/>
          </w:tcPr>
          <w:p>
            <w:pPr>
              <w:pStyle w:val="115"/>
              <w:wordWrap/>
              <w:spacing w:line="240" w:lineRule="auto"/>
              <w:rPr>
                <w:rFonts w:ascii="Times New Roman" w:hAnsi="Times New Roman" w:cs="Times New Roman"/>
                <w:color w:val="000000" w:themeColor="text1"/>
              </w:rPr>
            </w:pPr>
            <w:r>
              <w:rPr>
                <w:rFonts w:hint="eastAsia" w:ascii="Times New Roman" w:hAnsi="Times New Roman" w:cs="Times New Roman"/>
                <w:color w:val="000000" w:themeColor="text1"/>
              </w:rPr>
              <w:t>下风向距离/m</w:t>
            </w:r>
          </w:p>
        </w:tc>
        <w:tc>
          <w:tcPr>
            <w:tcW w:w="2326" w:type="pct"/>
            <w:gridSpan w:val="2"/>
            <w:tcBorders>
              <w:top w:val="single" w:color="auto" w:sz="4" w:space="0"/>
              <w:left w:val="single" w:color="auto" w:sz="4" w:space="0"/>
              <w:right w:val="single" w:color="auto" w:sz="4" w:space="0"/>
            </w:tcBorders>
            <w:vAlign w:val="center"/>
          </w:tcPr>
          <w:p>
            <w:pPr>
              <w:pStyle w:val="115"/>
              <w:spacing w:line="240" w:lineRule="auto"/>
              <w:rPr>
                <w:rFonts w:ascii="Times New Roman" w:hAnsi="Times New Roman" w:cs="Times New Roman"/>
                <w:color w:val="000000" w:themeColor="text1"/>
              </w:rPr>
            </w:pPr>
            <w:r>
              <w:rPr>
                <w:rFonts w:ascii="Times New Roman" w:hAnsi="Times New Roman" w:cs="Times New Roman"/>
                <w:color w:val="000000" w:themeColor="text1"/>
                <w:szCs w:val="21"/>
              </w:rPr>
              <w:t>NH</w:t>
            </w:r>
            <w:r>
              <w:rPr>
                <w:rFonts w:ascii="Times New Roman" w:hAnsi="Times New Roman" w:cs="Times New Roman"/>
                <w:color w:val="000000" w:themeColor="text1"/>
                <w:szCs w:val="21"/>
                <w:vertAlign w:val="subscript"/>
              </w:rPr>
              <w:t>3</w:t>
            </w:r>
          </w:p>
        </w:tc>
        <w:tc>
          <w:tcPr>
            <w:tcW w:w="1863" w:type="pct"/>
            <w:gridSpan w:val="2"/>
            <w:tcBorders>
              <w:top w:val="single" w:color="auto" w:sz="4" w:space="0"/>
              <w:left w:val="single" w:color="auto" w:sz="4" w:space="0"/>
              <w:right w:val="single" w:color="auto" w:sz="4" w:space="0"/>
            </w:tcBorders>
            <w:vAlign w:val="center"/>
          </w:tcPr>
          <w:p>
            <w:pPr>
              <w:pStyle w:val="115"/>
              <w:spacing w:line="240" w:lineRule="auto"/>
              <w:rPr>
                <w:rFonts w:ascii="Times New Roman" w:hAnsi="Times New Roman" w:cs="Times New Roman"/>
                <w:color w:val="000000" w:themeColor="text1"/>
              </w:rPr>
            </w:pPr>
            <w:r>
              <w:rPr>
                <w:rFonts w:ascii="Times New Roman" w:hAnsi="Times New Roman" w:cs="Times New Roman"/>
                <w:color w:val="000000" w:themeColor="text1"/>
                <w:szCs w:val="21"/>
              </w:rPr>
              <w:t>H</w:t>
            </w:r>
            <w:r>
              <w:rPr>
                <w:rFonts w:ascii="Times New Roman" w:hAnsi="Times New Roman" w:cs="Times New Roman"/>
                <w:color w:val="000000" w:themeColor="text1"/>
                <w:szCs w:val="21"/>
                <w:vertAlign w:val="subscript"/>
              </w:rPr>
              <w:t>2</w:t>
            </w:r>
            <w:r>
              <w:rPr>
                <w:rFonts w:ascii="Times New Roman" w:hAnsi="Times New Roman" w:cs="Times New Roman"/>
                <w:color w:val="000000" w:themeColor="text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11" w:type="pct"/>
            <w:vMerge w:val="continue"/>
            <w:tcBorders>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p>
        </w:tc>
        <w:tc>
          <w:tcPr>
            <w:tcW w:w="1330"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hint="eastAsia" w:ascii="Times New Roman" w:hAnsi="Times New Roman" w:cs="Times New Roman"/>
                <w:b w:val="0"/>
                <w:color w:val="000000" w:themeColor="text1"/>
                <w:szCs w:val="21"/>
              </w:rPr>
              <w:t>预测质量浓度</w:t>
            </w:r>
          </w:p>
          <w:p>
            <w:pPr>
              <w:pStyle w:val="115"/>
              <w:wordWrap/>
              <w:spacing w:line="240" w:lineRule="auto"/>
              <w:rPr>
                <w:rFonts w:ascii="Times New Roman" w:hAnsi="Times New Roman" w:cs="Times New Roman"/>
                <w:b w:val="0"/>
                <w:color w:val="000000" w:themeColor="text1"/>
                <w:szCs w:val="21"/>
              </w:rPr>
            </w:pPr>
            <w:r>
              <w:rPr>
                <w:rFonts w:hint="eastAsia" w:ascii="Times New Roman" w:hAnsi="Times New Roman" w:cs="Times New Roman"/>
                <w:b w:val="0"/>
                <w:color w:val="000000" w:themeColor="text1"/>
                <w:szCs w:val="21"/>
              </w:rPr>
              <w:t>（μg/m</w:t>
            </w:r>
            <w:r>
              <w:rPr>
                <w:rFonts w:hint="eastAsia" w:ascii="Times New Roman" w:hAnsi="Times New Roman" w:cs="Times New Roman"/>
                <w:b w:val="0"/>
                <w:color w:val="000000" w:themeColor="text1"/>
                <w:szCs w:val="21"/>
                <w:vertAlign w:val="superscript"/>
              </w:rPr>
              <w:t>3</w:t>
            </w:r>
            <w:r>
              <w:rPr>
                <w:rFonts w:hint="eastAsia" w:ascii="Times New Roman" w:hAnsi="Times New Roman" w:cs="Times New Roman"/>
                <w:b w:val="0"/>
                <w:color w:val="000000" w:themeColor="text1"/>
                <w:szCs w:val="21"/>
              </w:rPr>
              <w:t>）</w:t>
            </w:r>
          </w:p>
        </w:tc>
        <w:tc>
          <w:tcPr>
            <w:tcW w:w="996"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hint="eastAsia" w:ascii="Times New Roman" w:hAnsi="Times New Roman" w:cs="Times New Roman"/>
                <w:b w:val="0"/>
                <w:color w:val="000000" w:themeColor="text1"/>
                <w:szCs w:val="21"/>
              </w:rPr>
              <w:t>占标率/%</w:t>
            </w:r>
          </w:p>
        </w:tc>
        <w:tc>
          <w:tcPr>
            <w:tcW w:w="1049"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hint="eastAsia" w:ascii="Times New Roman" w:hAnsi="Times New Roman" w:cs="Times New Roman"/>
                <w:b w:val="0"/>
                <w:color w:val="000000" w:themeColor="text1"/>
                <w:szCs w:val="21"/>
              </w:rPr>
              <w:t>预测质量浓度</w:t>
            </w:r>
          </w:p>
          <w:p>
            <w:pPr>
              <w:pStyle w:val="115"/>
              <w:wordWrap/>
              <w:spacing w:line="240" w:lineRule="auto"/>
              <w:rPr>
                <w:rFonts w:ascii="Times New Roman" w:hAnsi="Times New Roman" w:cs="Times New Roman"/>
                <w:b w:val="0"/>
                <w:color w:val="000000" w:themeColor="text1"/>
                <w:szCs w:val="21"/>
              </w:rPr>
            </w:pPr>
            <w:r>
              <w:rPr>
                <w:rFonts w:hint="eastAsia" w:ascii="Times New Roman" w:hAnsi="Times New Roman" w:cs="Times New Roman"/>
                <w:b w:val="0"/>
                <w:color w:val="000000" w:themeColor="text1"/>
                <w:szCs w:val="21"/>
              </w:rPr>
              <w:t>（μg/m</w:t>
            </w:r>
            <w:r>
              <w:rPr>
                <w:rFonts w:hint="eastAsia" w:ascii="Times New Roman" w:hAnsi="Times New Roman" w:cs="Times New Roman"/>
                <w:b w:val="0"/>
                <w:color w:val="000000" w:themeColor="text1"/>
                <w:szCs w:val="21"/>
                <w:vertAlign w:val="superscript"/>
              </w:rPr>
              <w:t>3</w:t>
            </w:r>
            <w:r>
              <w:rPr>
                <w:rFonts w:hint="eastAsia" w:ascii="Times New Roman" w:hAnsi="Times New Roman" w:cs="Times New Roman"/>
                <w:b w:val="0"/>
                <w:color w:val="000000" w:themeColor="text1"/>
                <w:szCs w:val="21"/>
              </w:rPr>
              <w:t>）</w:t>
            </w:r>
          </w:p>
        </w:tc>
        <w:tc>
          <w:tcPr>
            <w:tcW w:w="814"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szCs w:val="21"/>
              </w:rPr>
            </w:pPr>
            <w:r>
              <w:rPr>
                <w:rFonts w:hint="eastAsia" w:ascii="Times New Roman" w:hAnsi="Times New Roman" w:cs="Times New Roman"/>
                <w:b w:val="0"/>
                <w:color w:val="000000" w:themeColor="text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8.05</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4.03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8.50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4.25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0.47</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9.10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4.55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0.51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9.78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4.89</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0.54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10.44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5.22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0.58</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11.07</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5.53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0.61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11.67</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5.84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0.65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12.25</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6.13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0.68</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12.81</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6.41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0.71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13.36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6.68</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0.74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13.74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6.87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0.76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264</w:t>
            </w:r>
          </w:p>
        </w:tc>
        <w:tc>
          <w:tcPr>
            <w:tcW w:w="1330" w:type="pct"/>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color w:val="000000" w:themeColor="text1"/>
              </w:rPr>
            </w:pPr>
            <w:r>
              <w:rPr>
                <w:color w:val="000000" w:themeColor="text1"/>
              </w:rPr>
              <w:t>13.80</w:t>
            </w:r>
          </w:p>
        </w:tc>
        <w:tc>
          <w:tcPr>
            <w:tcW w:w="996" w:type="pct"/>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color w:val="000000" w:themeColor="text1"/>
              </w:rPr>
            </w:pPr>
            <w:r>
              <w:rPr>
                <w:color w:val="000000" w:themeColor="text1"/>
              </w:rPr>
              <w:t>6.90</w:t>
            </w:r>
          </w:p>
        </w:tc>
        <w:tc>
          <w:tcPr>
            <w:tcW w:w="1049" w:type="pct"/>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color w:val="000000" w:themeColor="text1"/>
              </w:rPr>
            </w:pPr>
            <w:r>
              <w:rPr>
                <w:color w:val="000000" w:themeColor="text1"/>
              </w:rPr>
              <w:t>0.77</w:t>
            </w:r>
          </w:p>
        </w:tc>
        <w:tc>
          <w:tcPr>
            <w:tcW w:w="814" w:type="pct"/>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color w:val="000000" w:themeColor="text1"/>
              </w:rPr>
            </w:pPr>
            <w:r>
              <w:rPr>
                <w:color w:val="000000" w:themeColor="text1"/>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13.76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6.88</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0.76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300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13.42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6.71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0.75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325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12.93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6.47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0.72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350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12.44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6.22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0.69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375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11.95</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5.98</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0.66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400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11.50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5.75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0.64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425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11.08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5.54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0.62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450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10.69</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5.34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0.59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475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10.33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5.17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0.57</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500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10.00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5.00</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0.56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525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9.69</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4.84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0.54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550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9.40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4.70</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0.52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575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9.13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4.56</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0.51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600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8.88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4.44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625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8.64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4.32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0.48</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650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8.42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4.21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0.47</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675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8.21</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4.11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700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8.02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4.01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725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7.83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3.92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750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7.66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3.83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0.43</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775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7.49</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3.74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800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7.33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3.66</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825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7.18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3.59</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0.40</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850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7.04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3.52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875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6.90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3.45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0.38</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900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6.77</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3.39</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0.38</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925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6.65</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3.33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0.37</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950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6.53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3.27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975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6.42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3.21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1000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6.31</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3.15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1025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6.33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3.16</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1050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6.22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3.11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1075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6.12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3.06</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1100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6.02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3.01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0.33</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1125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5.93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2.96</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0.33</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1150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5.84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2.92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1175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5.75</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2.87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1200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5.66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2.83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1225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5.58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2.79</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1250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5.50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2.75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1275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5.43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2.71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0.30</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1300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5.35</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2.68</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0.30</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1325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5.28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2.64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1350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5.21</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2.61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1375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5.15</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2.57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1400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5.08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2.54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0.28</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1425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5.02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2.51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0.28</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1450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4.96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2.48</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0.28</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1475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4.90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2.45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0.27</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1500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4.84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2.42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0.27</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1525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4.79</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2.39</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0.27</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1550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4.73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2.37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1575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4.68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2.34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1600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4.63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2.31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0.26</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1625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4.58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2.29</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1650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4.53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2.26</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1675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4.48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1700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4.44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0.25</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1725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4.39</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2.20</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1750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4.35</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2.17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1775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4.30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2.15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1800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4.26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2.13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0.24</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1825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4.22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2.11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0.23</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1850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4.18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2.09</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0.23</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1875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4.14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0.23</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1900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4.10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0.23</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1925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4.07</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0.23</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1950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4.03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1975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3.99</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2.00</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2000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3.96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1.98</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2025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3.92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1.96</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2050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3.89</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0.22</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2075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3.86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2100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3.82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2125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3.79</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1.90</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2150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3.76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1.88</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2175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3.73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1.87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2200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3.70</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1.85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0.21</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2225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3.67</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1.84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0.20</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2250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3.64</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1.82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0.20</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2275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3.62</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1.81</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0.20</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2300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3.59</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1.79</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0.20</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2325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3.56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1.78</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0.20</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2350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3.53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1.77</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0.20</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2375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3.51</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1.75</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0.19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2400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3.48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1.74</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0.19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2425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3.46</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1.73</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0.19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2450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3.43</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1.72</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0.19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2475</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3.41</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1.70</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0.19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tcBorders>
              <w:top w:val="single" w:color="auto" w:sz="4" w:space="0"/>
              <w:left w:val="single" w:color="auto" w:sz="4" w:space="0"/>
              <w:bottom w:val="single" w:color="auto" w:sz="4" w:space="0"/>
              <w:right w:val="single" w:color="auto" w:sz="4" w:space="0"/>
            </w:tcBorders>
            <w:vAlign w:val="center"/>
          </w:tcPr>
          <w:p>
            <w:pPr>
              <w:pStyle w:val="115"/>
              <w:wordWrap/>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2500</w:t>
            </w:r>
          </w:p>
        </w:tc>
        <w:tc>
          <w:tcPr>
            <w:tcW w:w="1330"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3.38</w:t>
            </w:r>
          </w:p>
        </w:tc>
        <w:tc>
          <w:tcPr>
            <w:tcW w:w="996"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1.69</w:t>
            </w:r>
          </w:p>
        </w:tc>
        <w:tc>
          <w:tcPr>
            <w:tcW w:w="1049"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0.19</w:t>
            </w:r>
          </w:p>
        </w:tc>
        <w:tc>
          <w:tcPr>
            <w:tcW w:w="814" w:type="pct"/>
            <w:tcBorders>
              <w:top w:val="single" w:color="auto" w:sz="4" w:space="0"/>
              <w:left w:val="single" w:color="auto" w:sz="4" w:space="0"/>
              <w:bottom w:val="single" w:color="auto" w:sz="4" w:space="0"/>
              <w:right w:val="single" w:color="auto" w:sz="4" w:space="0"/>
            </w:tcBorders>
          </w:tcPr>
          <w:p>
            <w:pPr>
              <w:spacing w:line="240" w:lineRule="auto"/>
              <w:jc w:val="center"/>
              <w:rPr>
                <w:color w:val="000000" w:themeColor="text1"/>
              </w:rPr>
            </w:pPr>
            <w:r>
              <w:rPr>
                <w:color w:val="000000" w:themeColor="text1"/>
              </w:rPr>
              <w:t>1.88</w:t>
            </w:r>
          </w:p>
        </w:tc>
      </w:tr>
    </w:tbl>
    <w:p>
      <w:pPr>
        <w:ind w:firstLine="480" w:firstLineChars="200"/>
        <w:rPr>
          <w:color w:val="000000" w:themeColor="text1"/>
          <w:kern w:val="0"/>
          <w:sz w:val="24"/>
        </w:rPr>
      </w:pPr>
      <w:r>
        <w:rPr>
          <w:bCs/>
          <w:color w:val="000000" w:themeColor="text1"/>
          <w:sz w:val="24"/>
        </w:rPr>
        <w:t>根据</w:t>
      </w:r>
      <w:r>
        <w:rPr>
          <w:rFonts w:hint="eastAsia"/>
          <w:bCs/>
          <w:color w:val="000000" w:themeColor="text1"/>
          <w:sz w:val="24"/>
        </w:rPr>
        <w:t>5.2-6</w:t>
      </w:r>
      <w:r>
        <w:rPr>
          <w:bCs/>
          <w:color w:val="000000" w:themeColor="text1"/>
          <w:sz w:val="24"/>
        </w:rPr>
        <w:t>预测结果可知，</w:t>
      </w:r>
      <w:r>
        <w:rPr>
          <w:rFonts w:hint="eastAsia"/>
          <w:bCs/>
          <w:color w:val="000000" w:themeColor="text1"/>
          <w:sz w:val="24"/>
        </w:rPr>
        <w:t>无组织排放</w:t>
      </w:r>
      <w:r>
        <w:rPr>
          <w:color w:val="000000" w:themeColor="text1"/>
          <w:sz w:val="24"/>
        </w:rPr>
        <w:t>NH</w:t>
      </w:r>
      <w:r>
        <w:rPr>
          <w:color w:val="000000" w:themeColor="text1"/>
          <w:sz w:val="24"/>
          <w:vertAlign w:val="subscript"/>
        </w:rPr>
        <w:t>3</w:t>
      </w:r>
      <w:r>
        <w:rPr>
          <w:rFonts w:hint="eastAsia"/>
          <w:bCs/>
          <w:color w:val="000000" w:themeColor="text1"/>
          <w:sz w:val="24"/>
        </w:rPr>
        <w:t>、</w:t>
      </w:r>
      <w:r>
        <w:rPr>
          <w:color w:val="000000" w:themeColor="text1"/>
          <w:sz w:val="24"/>
        </w:rPr>
        <w:t xml:space="preserve"> H</w:t>
      </w:r>
      <w:r>
        <w:rPr>
          <w:color w:val="000000" w:themeColor="text1"/>
          <w:sz w:val="24"/>
          <w:vertAlign w:val="subscript"/>
        </w:rPr>
        <w:t>2</w:t>
      </w:r>
      <w:r>
        <w:rPr>
          <w:color w:val="000000" w:themeColor="text1"/>
          <w:sz w:val="24"/>
        </w:rPr>
        <w:t>S</w:t>
      </w:r>
      <w:r>
        <w:rPr>
          <w:bCs/>
          <w:color w:val="000000" w:themeColor="text1"/>
          <w:sz w:val="24"/>
        </w:rPr>
        <w:t>最大落地浓度为下风向</w:t>
      </w:r>
      <w:r>
        <w:rPr>
          <w:rFonts w:hint="eastAsia"/>
          <w:bCs/>
          <w:color w:val="000000" w:themeColor="text1"/>
          <w:sz w:val="24"/>
        </w:rPr>
        <w:t>264</w:t>
      </w:r>
      <w:r>
        <w:rPr>
          <w:bCs/>
          <w:color w:val="000000" w:themeColor="text1"/>
          <w:sz w:val="24"/>
        </w:rPr>
        <w:t>m处，</w:t>
      </w:r>
      <w:r>
        <w:rPr>
          <w:color w:val="000000" w:themeColor="text1"/>
          <w:sz w:val="24"/>
        </w:rPr>
        <w:t>NH</w:t>
      </w:r>
      <w:r>
        <w:rPr>
          <w:color w:val="000000" w:themeColor="text1"/>
          <w:sz w:val="24"/>
          <w:vertAlign w:val="subscript"/>
        </w:rPr>
        <w:t>3</w:t>
      </w:r>
      <w:r>
        <w:rPr>
          <w:bCs/>
          <w:color w:val="000000" w:themeColor="text1"/>
          <w:sz w:val="24"/>
        </w:rPr>
        <w:t>最大落地浓度为</w:t>
      </w:r>
      <w:r>
        <w:rPr>
          <w:rFonts w:hint="eastAsia"/>
          <w:color w:val="000000" w:themeColor="text1"/>
          <w:sz w:val="24"/>
        </w:rPr>
        <w:t>13.80</w:t>
      </w:r>
      <w:r>
        <w:rPr>
          <w:rFonts w:hint="eastAsia"/>
          <w:color w:val="000000" w:themeColor="text1"/>
          <w:kern w:val="0"/>
          <w:sz w:val="24"/>
        </w:rPr>
        <w:t>μ</w:t>
      </w:r>
      <w:r>
        <w:rPr>
          <w:color w:val="000000" w:themeColor="text1"/>
          <w:kern w:val="0"/>
          <w:sz w:val="24"/>
        </w:rPr>
        <w:t>g/m</w:t>
      </w:r>
      <w:r>
        <w:rPr>
          <w:color w:val="000000" w:themeColor="text1"/>
          <w:kern w:val="0"/>
          <w:sz w:val="24"/>
          <w:vertAlign w:val="superscript"/>
        </w:rPr>
        <w:t>3</w:t>
      </w:r>
      <w:r>
        <w:rPr>
          <w:color w:val="000000" w:themeColor="text1"/>
          <w:kern w:val="0"/>
          <w:sz w:val="24"/>
        </w:rPr>
        <w:t>，占标率为</w:t>
      </w:r>
      <w:r>
        <w:rPr>
          <w:rFonts w:hint="eastAsia"/>
          <w:color w:val="000000" w:themeColor="text1"/>
          <w:kern w:val="0"/>
          <w:sz w:val="24"/>
        </w:rPr>
        <w:t>6.90</w:t>
      </w:r>
      <w:r>
        <w:rPr>
          <w:color w:val="000000" w:themeColor="text1"/>
          <w:kern w:val="0"/>
          <w:sz w:val="24"/>
        </w:rPr>
        <w:t>%；</w:t>
      </w:r>
      <w:r>
        <w:rPr>
          <w:color w:val="000000" w:themeColor="text1"/>
          <w:sz w:val="24"/>
        </w:rPr>
        <w:t>H</w:t>
      </w:r>
      <w:r>
        <w:rPr>
          <w:color w:val="000000" w:themeColor="text1"/>
          <w:sz w:val="24"/>
          <w:vertAlign w:val="subscript"/>
        </w:rPr>
        <w:t>2</w:t>
      </w:r>
      <w:r>
        <w:rPr>
          <w:color w:val="000000" w:themeColor="text1"/>
          <w:sz w:val="24"/>
        </w:rPr>
        <w:t>S</w:t>
      </w:r>
      <w:r>
        <w:rPr>
          <w:bCs/>
          <w:color w:val="000000" w:themeColor="text1"/>
          <w:sz w:val="24"/>
        </w:rPr>
        <w:t>最大落地浓度为</w:t>
      </w:r>
      <w:r>
        <w:rPr>
          <w:rFonts w:hint="eastAsia"/>
          <w:color w:val="000000" w:themeColor="text1"/>
          <w:sz w:val="24"/>
        </w:rPr>
        <w:t>0.77</w:t>
      </w:r>
      <w:r>
        <w:rPr>
          <w:rFonts w:hint="eastAsia"/>
          <w:color w:val="000000" w:themeColor="text1"/>
          <w:kern w:val="0"/>
          <w:sz w:val="24"/>
        </w:rPr>
        <w:t>μ</w:t>
      </w:r>
      <w:r>
        <w:rPr>
          <w:color w:val="000000" w:themeColor="text1"/>
          <w:kern w:val="0"/>
          <w:sz w:val="24"/>
        </w:rPr>
        <w:t>g/m</w:t>
      </w:r>
      <w:r>
        <w:rPr>
          <w:color w:val="000000" w:themeColor="text1"/>
          <w:kern w:val="0"/>
          <w:sz w:val="24"/>
          <w:vertAlign w:val="superscript"/>
        </w:rPr>
        <w:t>3</w:t>
      </w:r>
      <w:r>
        <w:rPr>
          <w:color w:val="000000" w:themeColor="text1"/>
          <w:kern w:val="0"/>
          <w:sz w:val="24"/>
        </w:rPr>
        <w:t>，占标率为</w:t>
      </w:r>
      <w:r>
        <w:rPr>
          <w:rFonts w:hint="eastAsia"/>
          <w:color w:val="000000" w:themeColor="text1"/>
          <w:sz w:val="24"/>
        </w:rPr>
        <w:t>7.67</w:t>
      </w:r>
      <w:r>
        <w:rPr>
          <w:color w:val="000000" w:themeColor="text1"/>
          <w:kern w:val="0"/>
          <w:sz w:val="24"/>
        </w:rPr>
        <w:t>%。经</w:t>
      </w:r>
      <w:r>
        <w:rPr>
          <w:bCs/>
          <w:color w:val="000000" w:themeColor="text1"/>
          <w:sz w:val="24"/>
        </w:rPr>
        <w:t>预测，本项排放</w:t>
      </w:r>
      <w:r>
        <w:rPr>
          <w:rFonts w:hint="eastAsia"/>
          <w:bCs/>
          <w:color w:val="000000" w:themeColor="text1"/>
          <w:sz w:val="24"/>
        </w:rPr>
        <w:t>的</w:t>
      </w:r>
      <w:r>
        <w:rPr>
          <w:color w:val="000000" w:themeColor="text1"/>
          <w:sz w:val="24"/>
        </w:rPr>
        <w:t>NH</w:t>
      </w:r>
      <w:r>
        <w:rPr>
          <w:color w:val="000000" w:themeColor="text1"/>
          <w:sz w:val="24"/>
          <w:vertAlign w:val="subscript"/>
        </w:rPr>
        <w:t>3</w:t>
      </w:r>
      <w:r>
        <w:rPr>
          <w:color w:val="000000" w:themeColor="text1"/>
          <w:sz w:val="24"/>
        </w:rPr>
        <w:t>、H</w:t>
      </w:r>
      <w:r>
        <w:rPr>
          <w:color w:val="000000" w:themeColor="text1"/>
          <w:sz w:val="24"/>
          <w:vertAlign w:val="subscript"/>
        </w:rPr>
        <w:t>2</w:t>
      </w:r>
      <w:r>
        <w:rPr>
          <w:color w:val="000000" w:themeColor="text1"/>
          <w:sz w:val="24"/>
        </w:rPr>
        <w:t>S对区域浓度贡献值小，不会导致区域NH</w:t>
      </w:r>
      <w:r>
        <w:rPr>
          <w:color w:val="000000" w:themeColor="text1"/>
          <w:sz w:val="24"/>
          <w:vertAlign w:val="subscript"/>
        </w:rPr>
        <w:t>3</w:t>
      </w:r>
      <w:r>
        <w:rPr>
          <w:color w:val="000000" w:themeColor="text1"/>
          <w:sz w:val="24"/>
        </w:rPr>
        <w:t>、H</w:t>
      </w:r>
      <w:r>
        <w:rPr>
          <w:color w:val="000000" w:themeColor="text1"/>
          <w:sz w:val="24"/>
          <w:vertAlign w:val="subscript"/>
        </w:rPr>
        <w:t>2</w:t>
      </w:r>
      <w:r>
        <w:rPr>
          <w:color w:val="000000" w:themeColor="text1"/>
          <w:sz w:val="24"/>
        </w:rPr>
        <w:t>S浓度</w:t>
      </w:r>
      <w:r>
        <w:rPr>
          <w:bCs/>
          <w:color w:val="000000" w:themeColor="text1"/>
          <w:sz w:val="24"/>
        </w:rPr>
        <w:t>超过《工业企业设计卫生标准》（TJ36-1979）中的限值要求</w:t>
      </w:r>
      <w:r>
        <w:rPr>
          <w:color w:val="000000" w:themeColor="text1"/>
          <w:kern w:val="0"/>
          <w:sz w:val="24"/>
        </w:rPr>
        <w:t>。</w:t>
      </w:r>
    </w:p>
    <w:p>
      <w:pPr>
        <w:ind w:firstLine="480" w:firstLineChars="200"/>
        <w:rPr>
          <w:color w:val="000000" w:themeColor="text1"/>
          <w:kern w:val="0"/>
          <w:sz w:val="24"/>
        </w:rPr>
      </w:pPr>
      <w:bookmarkStart w:id="387" w:name="_Toc76439306"/>
      <w:bookmarkStart w:id="388" w:name="_Toc141752937"/>
      <w:bookmarkStart w:id="389" w:name="_Toc75504116"/>
      <w:r>
        <w:rPr>
          <w:rFonts w:hint="eastAsia"/>
          <w:color w:val="000000" w:themeColor="text1"/>
          <w:kern w:val="0"/>
          <w:sz w:val="24"/>
        </w:rPr>
        <w:t>（7）敏感点影响分析</w:t>
      </w:r>
    </w:p>
    <w:p>
      <w:pPr>
        <w:ind w:firstLine="480" w:firstLineChars="200"/>
        <w:rPr>
          <w:color w:val="000000" w:themeColor="text1"/>
          <w:kern w:val="0"/>
          <w:sz w:val="24"/>
        </w:rPr>
      </w:pPr>
      <w:r>
        <w:rPr>
          <w:rFonts w:hint="eastAsia"/>
          <w:color w:val="000000" w:themeColor="text1"/>
          <w:kern w:val="0"/>
          <w:sz w:val="24"/>
        </w:rPr>
        <w:t>项目排放的</w:t>
      </w:r>
      <w:r>
        <w:rPr>
          <w:color w:val="000000" w:themeColor="text1"/>
          <w:sz w:val="24"/>
        </w:rPr>
        <w:t>NH</w:t>
      </w:r>
      <w:r>
        <w:rPr>
          <w:color w:val="000000" w:themeColor="text1"/>
          <w:sz w:val="24"/>
          <w:vertAlign w:val="subscript"/>
        </w:rPr>
        <w:t>3</w:t>
      </w:r>
      <w:r>
        <w:rPr>
          <w:color w:val="000000" w:themeColor="text1"/>
          <w:sz w:val="24"/>
        </w:rPr>
        <w:t>、H</w:t>
      </w:r>
      <w:r>
        <w:rPr>
          <w:color w:val="000000" w:themeColor="text1"/>
          <w:sz w:val="24"/>
          <w:vertAlign w:val="subscript"/>
        </w:rPr>
        <w:t>2</w:t>
      </w:r>
      <w:r>
        <w:rPr>
          <w:color w:val="000000" w:themeColor="text1"/>
          <w:sz w:val="24"/>
        </w:rPr>
        <w:t>S对</w:t>
      </w:r>
      <w:r>
        <w:rPr>
          <w:rFonts w:hint="eastAsia"/>
          <w:color w:val="000000" w:themeColor="text1"/>
          <w:sz w:val="24"/>
        </w:rPr>
        <w:t>区域敏感点影响预测见表5.2-7。</w:t>
      </w:r>
    </w:p>
    <w:p>
      <w:pPr>
        <w:adjustRightInd w:val="0"/>
        <w:snapToGrid w:val="0"/>
        <w:spacing w:line="240" w:lineRule="auto"/>
        <w:jc w:val="center"/>
        <w:rPr>
          <w:b/>
          <w:color w:val="000000" w:themeColor="text1"/>
        </w:rPr>
      </w:pPr>
      <w:r>
        <w:rPr>
          <w:b/>
          <w:color w:val="000000" w:themeColor="text1"/>
        </w:rPr>
        <w:t>表5.2-</w:t>
      </w:r>
      <w:r>
        <w:rPr>
          <w:rFonts w:hint="eastAsia"/>
          <w:b/>
          <w:color w:val="000000" w:themeColor="text1"/>
        </w:rPr>
        <w:t xml:space="preserve">7  </w:t>
      </w:r>
      <w:r>
        <w:rPr>
          <w:b/>
          <w:color w:val="000000" w:themeColor="text1"/>
        </w:rPr>
        <w:t>敏感点</w:t>
      </w:r>
      <w:r>
        <w:rPr>
          <w:rFonts w:hint="eastAsia"/>
          <w:b/>
          <w:color w:val="000000" w:themeColor="text1"/>
        </w:rPr>
        <w:t>预测</w:t>
      </w:r>
    </w:p>
    <w:tbl>
      <w:tblPr>
        <w:tblStyle w:val="42"/>
        <w:tblW w:w="8500"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072"/>
        <w:gridCol w:w="361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2" w:hRule="atLeast"/>
          <w:tblHeader/>
        </w:trPr>
        <w:tc>
          <w:tcPr>
            <w:tcW w:w="1809" w:type="dxa"/>
            <w:vMerge w:val="restart"/>
            <w:tcBorders>
              <w:tl2br w:val="nil"/>
              <w:tr2bl w:val="nil"/>
            </w:tcBorders>
            <w:vAlign w:val="center"/>
          </w:tcPr>
          <w:p>
            <w:pPr>
              <w:adjustRightInd w:val="0"/>
              <w:snapToGrid w:val="0"/>
              <w:spacing w:line="240" w:lineRule="auto"/>
              <w:jc w:val="center"/>
              <w:rPr>
                <w:b/>
                <w:color w:val="000000" w:themeColor="text1"/>
                <w:kern w:val="0"/>
                <w:szCs w:val="21"/>
              </w:rPr>
            </w:pPr>
            <w:r>
              <w:rPr>
                <w:rFonts w:hint="eastAsia"/>
                <w:b/>
                <w:color w:val="000000" w:themeColor="text1"/>
                <w:kern w:val="0"/>
                <w:szCs w:val="21"/>
              </w:rPr>
              <w:t>敏感点</w:t>
            </w:r>
          </w:p>
        </w:tc>
        <w:tc>
          <w:tcPr>
            <w:tcW w:w="3072" w:type="dxa"/>
            <w:tcBorders>
              <w:tl2br w:val="nil"/>
              <w:tr2bl w:val="nil"/>
            </w:tcBorders>
            <w:vAlign w:val="center"/>
          </w:tcPr>
          <w:p>
            <w:pPr>
              <w:adjustRightInd w:val="0"/>
              <w:snapToGrid w:val="0"/>
              <w:spacing w:line="240" w:lineRule="auto"/>
              <w:jc w:val="center"/>
              <w:rPr>
                <w:b/>
                <w:color w:val="000000" w:themeColor="text1"/>
                <w:szCs w:val="21"/>
              </w:rPr>
            </w:pPr>
            <w:r>
              <w:rPr>
                <w:b/>
                <w:color w:val="000000" w:themeColor="text1"/>
                <w:szCs w:val="21"/>
              </w:rPr>
              <w:t>NH</w:t>
            </w:r>
            <w:r>
              <w:rPr>
                <w:b/>
                <w:color w:val="000000" w:themeColor="text1"/>
                <w:szCs w:val="21"/>
                <w:vertAlign w:val="subscript"/>
              </w:rPr>
              <w:t>3</w:t>
            </w:r>
          </w:p>
        </w:tc>
        <w:tc>
          <w:tcPr>
            <w:tcW w:w="3619" w:type="dxa"/>
            <w:tcBorders>
              <w:tl2br w:val="nil"/>
              <w:tr2bl w:val="nil"/>
            </w:tcBorders>
            <w:vAlign w:val="center"/>
          </w:tcPr>
          <w:p>
            <w:pPr>
              <w:adjustRightInd w:val="0"/>
              <w:snapToGrid w:val="0"/>
              <w:spacing w:line="240" w:lineRule="auto"/>
              <w:jc w:val="center"/>
              <w:rPr>
                <w:b/>
                <w:color w:val="000000" w:themeColor="text1"/>
                <w:szCs w:val="21"/>
                <w:vertAlign w:val="subscript"/>
              </w:rPr>
            </w:pPr>
            <w:r>
              <w:rPr>
                <w:b/>
                <w:color w:val="000000" w:themeColor="text1"/>
                <w:szCs w:val="21"/>
              </w:rPr>
              <w:t>H</w:t>
            </w:r>
            <w:r>
              <w:rPr>
                <w:b/>
                <w:color w:val="000000" w:themeColor="text1"/>
                <w:szCs w:val="21"/>
                <w:vertAlign w:val="subscript"/>
              </w:rPr>
              <w:t>2</w:t>
            </w:r>
            <w:r>
              <w:rPr>
                <w:b/>
                <w:color w:val="000000" w:themeColor="text1"/>
                <w:szCs w:val="21"/>
              </w:rPr>
              <w:t>S</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2" w:hRule="atLeast"/>
          <w:tblHeader/>
        </w:trPr>
        <w:tc>
          <w:tcPr>
            <w:tcW w:w="1809" w:type="dxa"/>
            <w:vMerge w:val="continue"/>
            <w:tcBorders>
              <w:tl2br w:val="nil"/>
              <w:tr2bl w:val="nil"/>
            </w:tcBorders>
            <w:vAlign w:val="center"/>
          </w:tcPr>
          <w:p>
            <w:pPr>
              <w:adjustRightInd w:val="0"/>
              <w:snapToGrid w:val="0"/>
              <w:spacing w:line="240" w:lineRule="auto"/>
              <w:jc w:val="center"/>
              <w:rPr>
                <w:b/>
                <w:color w:val="000000" w:themeColor="text1"/>
                <w:kern w:val="0"/>
                <w:szCs w:val="21"/>
              </w:rPr>
            </w:pPr>
          </w:p>
        </w:tc>
        <w:tc>
          <w:tcPr>
            <w:tcW w:w="3072" w:type="dxa"/>
            <w:tcBorders>
              <w:tl2br w:val="nil"/>
              <w:tr2bl w:val="nil"/>
            </w:tcBorders>
            <w:vAlign w:val="center"/>
          </w:tcPr>
          <w:p>
            <w:pPr>
              <w:adjustRightInd w:val="0"/>
              <w:snapToGrid w:val="0"/>
              <w:spacing w:line="240" w:lineRule="auto"/>
              <w:jc w:val="center"/>
              <w:rPr>
                <w:b/>
                <w:color w:val="000000" w:themeColor="text1"/>
                <w:szCs w:val="21"/>
              </w:rPr>
            </w:pPr>
            <w:r>
              <w:rPr>
                <w:b/>
                <w:color w:val="000000" w:themeColor="text1"/>
                <w:kern w:val="0"/>
                <w:szCs w:val="21"/>
              </w:rPr>
              <w:t>浓度(</w:t>
            </w:r>
            <w:r>
              <w:rPr>
                <w:rFonts w:hint="eastAsia"/>
                <w:b/>
                <w:color w:val="000000" w:themeColor="text1"/>
                <w:szCs w:val="21"/>
              </w:rPr>
              <w:t>μ</w:t>
            </w:r>
            <w:r>
              <w:rPr>
                <w:b/>
                <w:color w:val="000000" w:themeColor="text1"/>
                <w:kern w:val="0"/>
                <w:szCs w:val="21"/>
              </w:rPr>
              <w:t>g/m</w:t>
            </w:r>
            <w:r>
              <w:rPr>
                <w:b/>
                <w:color w:val="000000" w:themeColor="text1"/>
                <w:kern w:val="0"/>
                <w:szCs w:val="21"/>
                <w:vertAlign w:val="superscript"/>
              </w:rPr>
              <w:t>3</w:t>
            </w:r>
            <w:r>
              <w:rPr>
                <w:b/>
                <w:color w:val="000000" w:themeColor="text1"/>
                <w:kern w:val="0"/>
                <w:szCs w:val="21"/>
              </w:rPr>
              <w:t>)</w:t>
            </w:r>
          </w:p>
        </w:tc>
        <w:tc>
          <w:tcPr>
            <w:tcW w:w="3619" w:type="dxa"/>
            <w:tcBorders>
              <w:tl2br w:val="nil"/>
              <w:tr2bl w:val="nil"/>
            </w:tcBorders>
            <w:vAlign w:val="center"/>
          </w:tcPr>
          <w:p>
            <w:pPr>
              <w:adjustRightInd w:val="0"/>
              <w:snapToGrid w:val="0"/>
              <w:spacing w:line="240" w:lineRule="auto"/>
              <w:jc w:val="center"/>
              <w:rPr>
                <w:b/>
                <w:color w:val="000000" w:themeColor="text1"/>
                <w:kern w:val="0"/>
                <w:szCs w:val="21"/>
              </w:rPr>
            </w:pPr>
            <w:r>
              <w:rPr>
                <w:b/>
                <w:color w:val="000000" w:themeColor="text1"/>
                <w:kern w:val="0"/>
                <w:szCs w:val="21"/>
              </w:rPr>
              <w:t>浓度(</w:t>
            </w:r>
            <w:r>
              <w:rPr>
                <w:rFonts w:hint="eastAsia"/>
                <w:b/>
                <w:color w:val="000000" w:themeColor="text1"/>
                <w:szCs w:val="21"/>
              </w:rPr>
              <w:t>μ</w:t>
            </w:r>
            <w:r>
              <w:rPr>
                <w:b/>
                <w:color w:val="000000" w:themeColor="text1"/>
                <w:kern w:val="0"/>
                <w:szCs w:val="21"/>
              </w:rPr>
              <w:t>g/m</w:t>
            </w:r>
            <w:r>
              <w:rPr>
                <w:b/>
                <w:color w:val="000000" w:themeColor="text1"/>
                <w:kern w:val="0"/>
                <w:szCs w:val="21"/>
                <w:vertAlign w:val="superscript"/>
              </w:rPr>
              <w:t>3</w:t>
            </w:r>
            <w:r>
              <w:rPr>
                <w:b/>
                <w:color w:val="000000" w:themeColor="text1"/>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809" w:type="dxa"/>
            <w:tcBorders>
              <w:tl2br w:val="nil"/>
              <w:tr2bl w:val="nil"/>
            </w:tcBorders>
            <w:vAlign w:val="center"/>
          </w:tcPr>
          <w:p>
            <w:pPr>
              <w:spacing w:line="240" w:lineRule="auto"/>
              <w:jc w:val="center"/>
              <w:rPr>
                <w:color w:val="000000" w:themeColor="text1"/>
              </w:rPr>
            </w:pPr>
            <w:r>
              <w:rPr>
                <w:rFonts w:hint="eastAsia"/>
                <w:color w:val="000000" w:themeColor="text1"/>
              </w:rPr>
              <w:t>石头村</w:t>
            </w:r>
            <w:r>
              <w:rPr>
                <w:color w:val="000000" w:themeColor="text1"/>
              </w:rPr>
              <w:t>，</w:t>
            </w:r>
            <w:r>
              <w:rPr>
                <w:rFonts w:hint="eastAsia"/>
                <w:color w:val="000000" w:themeColor="text1"/>
              </w:rPr>
              <w:t>543</w:t>
            </w:r>
            <w:r>
              <w:rPr>
                <w:color w:val="000000" w:themeColor="text1"/>
              </w:rPr>
              <w:t>m</w:t>
            </w:r>
          </w:p>
        </w:tc>
        <w:tc>
          <w:tcPr>
            <w:tcW w:w="3072" w:type="dxa"/>
            <w:tcBorders>
              <w:tl2br w:val="nil"/>
              <w:tr2bl w:val="nil"/>
            </w:tcBorders>
            <w:vAlign w:val="center"/>
          </w:tcPr>
          <w:p>
            <w:pPr>
              <w:adjustRightInd w:val="0"/>
              <w:snapToGrid w:val="0"/>
              <w:spacing w:line="240" w:lineRule="auto"/>
              <w:jc w:val="center"/>
              <w:rPr>
                <w:color w:val="000000" w:themeColor="text1"/>
                <w:szCs w:val="21"/>
              </w:rPr>
            </w:pPr>
            <w:r>
              <w:rPr>
                <w:rFonts w:hint="eastAsia"/>
                <w:color w:val="000000" w:themeColor="text1"/>
              </w:rPr>
              <w:t>149.38</w:t>
            </w:r>
          </w:p>
        </w:tc>
        <w:tc>
          <w:tcPr>
            <w:tcW w:w="3619" w:type="dxa"/>
            <w:tcBorders>
              <w:tl2br w:val="nil"/>
              <w:tr2bl w:val="nil"/>
            </w:tcBorders>
            <w:vAlign w:val="center"/>
          </w:tcPr>
          <w:p>
            <w:pPr>
              <w:adjustRightInd w:val="0"/>
              <w:snapToGrid w:val="0"/>
              <w:spacing w:line="240" w:lineRule="auto"/>
              <w:jc w:val="center"/>
              <w:rPr>
                <w:color w:val="000000" w:themeColor="text1"/>
                <w:szCs w:val="21"/>
              </w:rPr>
            </w:pPr>
            <w:r>
              <w:rPr>
                <w:rFonts w:hint="eastAsia"/>
                <w:color w:val="000000" w:themeColor="text1"/>
              </w:rPr>
              <w:t>9.51</w:t>
            </w:r>
          </w:p>
        </w:tc>
      </w:tr>
    </w:tbl>
    <w:p>
      <w:pPr>
        <w:ind w:firstLine="480" w:firstLineChars="200"/>
        <w:rPr>
          <w:color w:val="000000" w:themeColor="text1"/>
          <w:kern w:val="0"/>
          <w:sz w:val="24"/>
        </w:rPr>
      </w:pPr>
      <w:r>
        <w:rPr>
          <w:bCs/>
          <w:color w:val="000000" w:themeColor="text1"/>
          <w:sz w:val="24"/>
        </w:rPr>
        <w:t>根据表5.2-</w:t>
      </w:r>
      <w:r>
        <w:rPr>
          <w:rFonts w:hint="eastAsia"/>
          <w:bCs/>
          <w:color w:val="000000" w:themeColor="text1"/>
          <w:sz w:val="24"/>
        </w:rPr>
        <w:t>8</w:t>
      </w:r>
      <w:r>
        <w:rPr>
          <w:bCs/>
          <w:color w:val="000000" w:themeColor="text1"/>
          <w:sz w:val="24"/>
        </w:rPr>
        <w:t>，</w:t>
      </w:r>
      <w:r>
        <w:rPr>
          <w:rFonts w:hint="eastAsia"/>
          <w:bCs/>
          <w:color w:val="000000" w:themeColor="text1"/>
          <w:sz w:val="24"/>
        </w:rPr>
        <w:t>项目</w:t>
      </w:r>
      <w:r>
        <w:rPr>
          <w:bCs/>
          <w:color w:val="000000" w:themeColor="text1"/>
          <w:sz w:val="24"/>
        </w:rPr>
        <w:t>排放</w:t>
      </w:r>
      <w:r>
        <w:rPr>
          <w:rFonts w:hint="eastAsia"/>
          <w:bCs/>
          <w:color w:val="000000" w:themeColor="text1"/>
          <w:sz w:val="24"/>
        </w:rPr>
        <w:t>的</w:t>
      </w:r>
      <w:r>
        <w:rPr>
          <w:color w:val="000000" w:themeColor="text1"/>
          <w:sz w:val="24"/>
        </w:rPr>
        <w:t>NH</w:t>
      </w:r>
      <w:r>
        <w:rPr>
          <w:color w:val="000000" w:themeColor="text1"/>
          <w:sz w:val="24"/>
          <w:vertAlign w:val="subscript"/>
        </w:rPr>
        <w:t>3</w:t>
      </w:r>
      <w:r>
        <w:rPr>
          <w:bCs/>
          <w:color w:val="000000" w:themeColor="text1"/>
          <w:sz w:val="24"/>
        </w:rPr>
        <w:t>、</w:t>
      </w:r>
      <w:r>
        <w:rPr>
          <w:color w:val="000000" w:themeColor="text1"/>
          <w:sz w:val="24"/>
        </w:rPr>
        <w:t>H</w:t>
      </w:r>
      <w:r>
        <w:rPr>
          <w:color w:val="000000" w:themeColor="text1"/>
          <w:sz w:val="24"/>
          <w:vertAlign w:val="subscript"/>
        </w:rPr>
        <w:t>2</w:t>
      </w:r>
      <w:r>
        <w:rPr>
          <w:color w:val="000000" w:themeColor="text1"/>
          <w:sz w:val="24"/>
        </w:rPr>
        <w:t>S</w:t>
      </w:r>
      <w:r>
        <w:rPr>
          <w:bCs/>
          <w:color w:val="000000" w:themeColor="text1"/>
          <w:sz w:val="24"/>
        </w:rPr>
        <w:t>不会导致敏感点环境空气质量中</w:t>
      </w:r>
      <w:r>
        <w:rPr>
          <w:color w:val="000000" w:themeColor="text1"/>
          <w:sz w:val="24"/>
        </w:rPr>
        <w:t>NH</w:t>
      </w:r>
      <w:r>
        <w:rPr>
          <w:color w:val="000000" w:themeColor="text1"/>
          <w:sz w:val="24"/>
          <w:vertAlign w:val="subscript"/>
        </w:rPr>
        <w:t>3</w:t>
      </w:r>
      <w:r>
        <w:rPr>
          <w:bCs/>
          <w:color w:val="000000" w:themeColor="text1"/>
          <w:sz w:val="24"/>
        </w:rPr>
        <w:t>、</w:t>
      </w:r>
      <w:r>
        <w:rPr>
          <w:color w:val="000000" w:themeColor="text1"/>
          <w:sz w:val="24"/>
        </w:rPr>
        <w:t>H</w:t>
      </w:r>
      <w:r>
        <w:rPr>
          <w:color w:val="000000" w:themeColor="text1"/>
          <w:sz w:val="24"/>
          <w:vertAlign w:val="subscript"/>
        </w:rPr>
        <w:t>2</w:t>
      </w:r>
      <w:r>
        <w:rPr>
          <w:color w:val="000000" w:themeColor="text1"/>
          <w:sz w:val="24"/>
        </w:rPr>
        <w:t>S</w:t>
      </w:r>
      <w:r>
        <w:rPr>
          <w:bCs/>
          <w:color w:val="000000" w:themeColor="text1"/>
          <w:sz w:val="24"/>
        </w:rPr>
        <w:t>超过《工业企业设计卫生标准》（TJ36-1979）中的限值</w:t>
      </w:r>
      <w:r>
        <w:rPr>
          <w:color w:val="000000" w:themeColor="text1"/>
          <w:kern w:val="0"/>
          <w:sz w:val="24"/>
        </w:rPr>
        <w:t>。</w:t>
      </w:r>
    </w:p>
    <w:p>
      <w:pPr>
        <w:autoSpaceDE w:val="0"/>
        <w:autoSpaceDN w:val="0"/>
        <w:adjustRightInd w:val="0"/>
        <w:ind w:firstLine="480" w:firstLineChars="200"/>
        <w:jc w:val="left"/>
        <w:rPr>
          <w:color w:val="000000" w:themeColor="text1"/>
          <w:sz w:val="24"/>
        </w:rPr>
      </w:pPr>
      <w:r>
        <w:rPr>
          <w:color w:val="000000" w:themeColor="text1"/>
          <w:sz w:val="24"/>
        </w:rPr>
        <w:t>（</w:t>
      </w:r>
      <w:r>
        <w:rPr>
          <w:rFonts w:hint="eastAsia"/>
          <w:color w:val="000000" w:themeColor="text1"/>
          <w:sz w:val="24"/>
        </w:rPr>
        <w:t>8</w:t>
      </w:r>
      <w:r>
        <w:rPr>
          <w:color w:val="000000" w:themeColor="text1"/>
          <w:sz w:val="24"/>
        </w:rPr>
        <w:t>）</w:t>
      </w:r>
      <w:r>
        <w:rPr>
          <w:rFonts w:hint="eastAsia"/>
          <w:color w:val="000000" w:themeColor="text1"/>
          <w:sz w:val="24"/>
        </w:rPr>
        <w:t>臭气影响分析</w:t>
      </w:r>
    </w:p>
    <w:p>
      <w:pPr>
        <w:autoSpaceDE w:val="0"/>
        <w:autoSpaceDN w:val="0"/>
        <w:adjustRightInd w:val="0"/>
        <w:ind w:firstLine="480" w:firstLineChars="200"/>
        <w:jc w:val="left"/>
        <w:rPr>
          <w:color w:val="000000" w:themeColor="text1"/>
          <w:sz w:val="24"/>
        </w:rPr>
      </w:pPr>
      <w:r>
        <w:rPr>
          <w:rFonts w:hint="eastAsia"/>
          <w:color w:val="000000" w:themeColor="text1"/>
          <w:sz w:val="24"/>
        </w:rPr>
        <w:t>日本于1972年5月开始实施《恶臭防止法》，调查结果表明，臭气的强度被认为是衡量其危害程度的尺度，故将其分为6个等级。</w:t>
      </w:r>
    </w:p>
    <w:p>
      <w:pPr>
        <w:pStyle w:val="132"/>
        <w:adjustRightInd w:val="0"/>
        <w:snapToGrid w:val="0"/>
        <w:spacing w:line="240" w:lineRule="auto"/>
        <w:ind w:firstLine="422"/>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表5.2-</w:t>
      </w:r>
      <w:r>
        <w:rPr>
          <w:rFonts w:hint="eastAsia" w:ascii="Times New Roman" w:hAnsi="Times New Roman" w:cs="Times New Roman"/>
          <w:b/>
          <w:color w:val="000000" w:themeColor="text1"/>
          <w:sz w:val="21"/>
          <w:szCs w:val="21"/>
        </w:rPr>
        <w:t>8  臭气强度表示方法</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88"/>
        <w:gridCol w:w="1135"/>
        <w:gridCol w:w="977"/>
        <w:gridCol w:w="1168"/>
        <w:gridCol w:w="1168"/>
        <w:gridCol w:w="1168"/>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71" w:hRule="atLeast"/>
        </w:trPr>
        <w:tc>
          <w:tcPr>
            <w:tcW w:w="949" w:type="pct"/>
            <w:vAlign w:val="center"/>
          </w:tcPr>
          <w:p>
            <w:pPr>
              <w:spacing w:line="240" w:lineRule="exact"/>
              <w:jc w:val="center"/>
              <w:rPr>
                <w:b/>
                <w:color w:val="000000" w:themeColor="text1"/>
                <w:szCs w:val="21"/>
              </w:rPr>
            </w:pPr>
            <w:r>
              <w:rPr>
                <w:rFonts w:hint="eastAsia"/>
                <w:b/>
                <w:color w:val="000000" w:themeColor="text1"/>
                <w:szCs w:val="21"/>
              </w:rPr>
              <w:t>臭气强度（级）</w:t>
            </w:r>
          </w:p>
        </w:tc>
        <w:tc>
          <w:tcPr>
            <w:tcW w:w="678" w:type="pct"/>
            <w:vAlign w:val="center"/>
          </w:tcPr>
          <w:p>
            <w:pPr>
              <w:spacing w:line="240" w:lineRule="exact"/>
              <w:jc w:val="center"/>
              <w:rPr>
                <w:b/>
                <w:color w:val="000000" w:themeColor="text1"/>
                <w:szCs w:val="21"/>
              </w:rPr>
            </w:pPr>
            <w:r>
              <w:rPr>
                <w:rFonts w:hint="eastAsia"/>
                <w:b/>
                <w:color w:val="000000" w:themeColor="text1"/>
                <w:szCs w:val="21"/>
              </w:rPr>
              <w:t>0</w:t>
            </w:r>
          </w:p>
        </w:tc>
        <w:tc>
          <w:tcPr>
            <w:tcW w:w="584" w:type="pct"/>
            <w:vAlign w:val="center"/>
          </w:tcPr>
          <w:p>
            <w:pPr>
              <w:spacing w:line="240" w:lineRule="exact"/>
              <w:jc w:val="center"/>
              <w:rPr>
                <w:b/>
                <w:color w:val="000000" w:themeColor="text1"/>
                <w:szCs w:val="21"/>
              </w:rPr>
            </w:pPr>
            <w:r>
              <w:rPr>
                <w:rFonts w:hint="eastAsia"/>
                <w:b/>
                <w:color w:val="000000" w:themeColor="text1"/>
                <w:szCs w:val="21"/>
              </w:rPr>
              <w:t>1</w:t>
            </w:r>
          </w:p>
        </w:tc>
        <w:tc>
          <w:tcPr>
            <w:tcW w:w="698" w:type="pct"/>
            <w:vAlign w:val="center"/>
          </w:tcPr>
          <w:p>
            <w:pPr>
              <w:spacing w:line="240" w:lineRule="exact"/>
              <w:jc w:val="center"/>
              <w:rPr>
                <w:b/>
                <w:color w:val="000000" w:themeColor="text1"/>
                <w:szCs w:val="21"/>
              </w:rPr>
            </w:pPr>
            <w:r>
              <w:rPr>
                <w:rFonts w:hint="eastAsia"/>
                <w:b/>
                <w:color w:val="000000" w:themeColor="text1"/>
                <w:szCs w:val="21"/>
              </w:rPr>
              <w:t>2</w:t>
            </w:r>
          </w:p>
        </w:tc>
        <w:tc>
          <w:tcPr>
            <w:tcW w:w="698" w:type="pct"/>
            <w:vAlign w:val="center"/>
          </w:tcPr>
          <w:p>
            <w:pPr>
              <w:spacing w:line="240" w:lineRule="exact"/>
              <w:jc w:val="center"/>
              <w:rPr>
                <w:b/>
                <w:color w:val="000000" w:themeColor="text1"/>
                <w:szCs w:val="21"/>
              </w:rPr>
            </w:pPr>
            <w:r>
              <w:rPr>
                <w:rFonts w:hint="eastAsia"/>
                <w:b/>
                <w:color w:val="000000" w:themeColor="text1"/>
                <w:szCs w:val="21"/>
              </w:rPr>
              <w:t>3</w:t>
            </w:r>
          </w:p>
        </w:tc>
        <w:tc>
          <w:tcPr>
            <w:tcW w:w="698" w:type="pct"/>
            <w:vAlign w:val="center"/>
          </w:tcPr>
          <w:p>
            <w:pPr>
              <w:spacing w:line="240" w:lineRule="exact"/>
              <w:jc w:val="center"/>
              <w:rPr>
                <w:b/>
                <w:color w:val="000000" w:themeColor="text1"/>
                <w:szCs w:val="21"/>
              </w:rPr>
            </w:pPr>
            <w:r>
              <w:rPr>
                <w:rFonts w:hint="eastAsia"/>
                <w:b/>
                <w:color w:val="000000" w:themeColor="text1"/>
                <w:szCs w:val="21"/>
              </w:rPr>
              <w:t>4</w:t>
            </w:r>
          </w:p>
        </w:tc>
        <w:tc>
          <w:tcPr>
            <w:tcW w:w="695" w:type="pct"/>
            <w:vAlign w:val="center"/>
          </w:tcPr>
          <w:p>
            <w:pPr>
              <w:spacing w:line="240" w:lineRule="exact"/>
              <w:jc w:val="center"/>
              <w:rPr>
                <w:b/>
                <w:color w:val="000000" w:themeColor="text1"/>
                <w:szCs w:val="21"/>
              </w:rPr>
            </w:pPr>
            <w:r>
              <w:rPr>
                <w:rFonts w:hint="eastAsia"/>
                <w:b/>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4" w:hRule="atLeast"/>
        </w:trPr>
        <w:tc>
          <w:tcPr>
            <w:tcW w:w="949" w:type="pct"/>
            <w:vAlign w:val="center"/>
          </w:tcPr>
          <w:p>
            <w:pPr>
              <w:spacing w:line="240" w:lineRule="exact"/>
              <w:jc w:val="center"/>
              <w:rPr>
                <w:color w:val="000000" w:themeColor="text1"/>
                <w:szCs w:val="21"/>
              </w:rPr>
            </w:pPr>
            <w:r>
              <w:rPr>
                <w:rFonts w:hint="eastAsia"/>
                <w:color w:val="000000" w:themeColor="text1"/>
                <w:szCs w:val="21"/>
              </w:rPr>
              <w:t>表示方法</w:t>
            </w:r>
          </w:p>
        </w:tc>
        <w:tc>
          <w:tcPr>
            <w:tcW w:w="678" w:type="pct"/>
            <w:vAlign w:val="center"/>
          </w:tcPr>
          <w:p>
            <w:pPr>
              <w:spacing w:line="240" w:lineRule="exact"/>
              <w:jc w:val="center"/>
              <w:rPr>
                <w:color w:val="000000" w:themeColor="text1"/>
                <w:szCs w:val="21"/>
              </w:rPr>
            </w:pPr>
            <w:r>
              <w:rPr>
                <w:rFonts w:hint="eastAsia"/>
                <w:color w:val="000000" w:themeColor="text1"/>
                <w:szCs w:val="21"/>
              </w:rPr>
              <w:t>无臭</w:t>
            </w:r>
          </w:p>
        </w:tc>
        <w:tc>
          <w:tcPr>
            <w:tcW w:w="584" w:type="pct"/>
            <w:vAlign w:val="center"/>
          </w:tcPr>
          <w:p>
            <w:pPr>
              <w:spacing w:line="240" w:lineRule="exact"/>
              <w:jc w:val="center"/>
              <w:rPr>
                <w:color w:val="000000" w:themeColor="text1"/>
                <w:szCs w:val="21"/>
              </w:rPr>
            </w:pPr>
            <w:r>
              <w:rPr>
                <w:rFonts w:hint="eastAsia"/>
                <w:color w:val="000000" w:themeColor="text1"/>
                <w:szCs w:val="21"/>
              </w:rPr>
              <w:t>勉强可感觉出的气味（检测阈值）</w:t>
            </w:r>
          </w:p>
        </w:tc>
        <w:tc>
          <w:tcPr>
            <w:tcW w:w="698" w:type="pct"/>
            <w:vAlign w:val="center"/>
          </w:tcPr>
          <w:p>
            <w:pPr>
              <w:spacing w:line="240" w:lineRule="exact"/>
              <w:jc w:val="center"/>
              <w:rPr>
                <w:color w:val="000000" w:themeColor="text1"/>
                <w:szCs w:val="21"/>
              </w:rPr>
            </w:pPr>
            <w:r>
              <w:rPr>
                <w:rFonts w:hint="eastAsia"/>
                <w:color w:val="000000" w:themeColor="text1"/>
                <w:szCs w:val="21"/>
              </w:rPr>
              <w:t>稍可感觉出的气味（认定阈值）</w:t>
            </w:r>
          </w:p>
        </w:tc>
        <w:tc>
          <w:tcPr>
            <w:tcW w:w="698" w:type="pct"/>
            <w:vAlign w:val="center"/>
          </w:tcPr>
          <w:p>
            <w:pPr>
              <w:spacing w:line="240" w:lineRule="exact"/>
              <w:jc w:val="center"/>
              <w:rPr>
                <w:color w:val="000000" w:themeColor="text1"/>
                <w:szCs w:val="21"/>
              </w:rPr>
            </w:pPr>
            <w:r>
              <w:rPr>
                <w:rFonts w:hint="eastAsia"/>
                <w:color w:val="000000" w:themeColor="text1"/>
                <w:szCs w:val="21"/>
              </w:rPr>
              <w:t>易感觉出的气味</w:t>
            </w:r>
          </w:p>
        </w:tc>
        <w:tc>
          <w:tcPr>
            <w:tcW w:w="698" w:type="pct"/>
            <w:vAlign w:val="center"/>
          </w:tcPr>
          <w:p>
            <w:pPr>
              <w:spacing w:line="240" w:lineRule="exact"/>
              <w:jc w:val="center"/>
              <w:rPr>
                <w:color w:val="000000" w:themeColor="text1"/>
                <w:szCs w:val="21"/>
              </w:rPr>
            </w:pPr>
            <w:r>
              <w:rPr>
                <w:rFonts w:hint="eastAsia"/>
                <w:color w:val="000000" w:themeColor="text1"/>
                <w:szCs w:val="21"/>
              </w:rPr>
              <w:t>较强的气味（强臭）</w:t>
            </w:r>
          </w:p>
        </w:tc>
        <w:tc>
          <w:tcPr>
            <w:tcW w:w="695" w:type="pct"/>
            <w:vAlign w:val="center"/>
          </w:tcPr>
          <w:p>
            <w:pPr>
              <w:spacing w:line="240" w:lineRule="exact"/>
              <w:jc w:val="center"/>
              <w:rPr>
                <w:color w:val="000000" w:themeColor="text1"/>
                <w:szCs w:val="21"/>
              </w:rPr>
            </w:pPr>
            <w:r>
              <w:rPr>
                <w:rFonts w:hint="eastAsia"/>
                <w:color w:val="000000" w:themeColor="text1"/>
                <w:szCs w:val="21"/>
              </w:rPr>
              <w:t>强烈的气味（剧臭）</w:t>
            </w:r>
          </w:p>
        </w:tc>
      </w:tr>
    </w:tbl>
    <w:p>
      <w:pPr>
        <w:autoSpaceDE w:val="0"/>
        <w:autoSpaceDN w:val="0"/>
        <w:adjustRightInd w:val="0"/>
        <w:ind w:firstLine="480" w:firstLineChars="200"/>
        <w:jc w:val="left"/>
        <w:rPr>
          <w:color w:val="000000" w:themeColor="text1"/>
          <w:sz w:val="24"/>
        </w:rPr>
      </w:pPr>
      <w:r>
        <w:rPr>
          <w:rFonts w:hint="eastAsia"/>
          <w:color w:val="000000" w:themeColor="text1"/>
          <w:sz w:val="24"/>
        </w:rPr>
        <w:t>日本的《恶臭防止法》中列出主要恶臭污染物的浓度与强度的关系（如表5.2-9所示）。</w:t>
      </w:r>
    </w:p>
    <w:p>
      <w:pPr>
        <w:pStyle w:val="132"/>
        <w:adjustRightInd w:val="0"/>
        <w:snapToGrid w:val="0"/>
        <w:spacing w:line="240" w:lineRule="auto"/>
        <w:ind w:firstLine="422"/>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表5.2-</w:t>
      </w:r>
      <w:r>
        <w:rPr>
          <w:rFonts w:hint="eastAsia" w:ascii="Times New Roman" w:hAnsi="Times New Roman" w:cs="Times New Roman"/>
          <w:b/>
          <w:color w:val="000000" w:themeColor="text1"/>
          <w:sz w:val="21"/>
          <w:szCs w:val="21"/>
        </w:rPr>
        <w:t>9  恶臭污染物浓度与恶臭强度关系</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95"/>
        <w:gridCol w:w="996"/>
        <w:gridCol w:w="859"/>
        <w:gridCol w:w="1026"/>
        <w:gridCol w:w="1026"/>
        <w:gridCol w:w="1026"/>
        <w:gridCol w:w="1021"/>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71" w:hRule="atLeast"/>
        </w:trPr>
        <w:tc>
          <w:tcPr>
            <w:tcW w:w="834" w:type="pct"/>
            <w:vMerge w:val="restart"/>
            <w:vAlign w:val="center"/>
          </w:tcPr>
          <w:p>
            <w:pPr>
              <w:spacing w:line="240" w:lineRule="exact"/>
              <w:jc w:val="center"/>
              <w:rPr>
                <w:b/>
                <w:color w:val="000000" w:themeColor="text1"/>
                <w:szCs w:val="21"/>
              </w:rPr>
            </w:pPr>
            <w:r>
              <w:rPr>
                <w:rFonts w:hint="eastAsia"/>
                <w:b/>
                <w:color w:val="000000" w:themeColor="text1"/>
                <w:szCs w:val="21"/>
              </w:rPr>
              <w:t>恶臭污染物</w:t>
            </w:r>
          </w:p>
        </w:tc>
        <w:tc>
          <w:tcPr>
            <w:tcW w:w="4166" w:type="pct"/>
            <w:gridSpan w:val="7"/>
            <w:vAlign w:val="center"/>
          </w:tcPr>
          <w:p>
            <w:pPr>
              <w:spacing w:line="240" w:lineRule="exact"/>
              <w:jc w:val="center"/>
              <w:rPr>
                <w:b/>
                <w:color w:val="000000" w:themeColor="text1"/>
                <w:szCs w:val="21"/>
              </w:rPr>
            </w:pPr>
            <w:r>
              <w:rPr>
                <w:rFonts w:hint="eastAsia"/>
                <w:b/>
                <w:color w:val="000000" w:themeColor="text1"/>
                <w:szCs w:val="21"/>
              </w:rPr>
              <w:t>臭气强度（级）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71" w:hRule="atLeast"/>
        </w:trPr>
        <w:tc>
          <w:tcPr>
            <w:tcW w:w="834" w:type="pct"/>
            <w:vMerge w:val="continue"/>
            <w:vAlign w:val="center"/>
          </w:tcPr>
          <w:p>
            <w:pPr>
              <w:spacing w:line="240" w:lineRule="exact"/>
              <w:jc w:val="center"/>
              <w:rPr>
                <w:b/>
                <w:color w:val="000000" w:themeColor="text1"/>
                <w:szCs w:val="21"/>
              </w:rPr>
            </w:pPr>
          </w:p>
        </w:tc>
        <w:tc>
          <w:tcPr>
            <w:tcW w:w="595" w:type="pct"/>
            <w:vAlign w:val="center"/>
          </w:tcPr>
          <w:p>
            <w:pPr>
              <w:spacing w:line="240" w:lineRule="exact"/>
              <w:jc w:val="center"/>
              <w:rPr>
                <w:b/>
                <w:color w:val="000000" w:themeColor="text1"/>
                <w:szCs w:val="21"/>
              </w:rPr>
            </w:pPr>
            <w:r>
              <w:rPr>
                <w:rFonts w:hint="eastAsia"/>
                <w:b/>
                <w:color w:val="000000" w:themeColor="text1"/>
                <w:szCs w:val="21"/>
              </w:rPr>
              <w:t>1</w:t>
            </w:r>
          </w:p>
        </w:tc>
        <w:tc>
          <w:tcPr>
            <w:tcW w:w="513" w:type="pct"/>
            <w:vAlign w:val="center"/>
          </w:tcPr>
          <w:p>
            <w:pPr>
              <w:spacing w:line="240" w:lineRule="exact"/>
              <w:jc w:val="center"/>
              <w:rPr>
                <w:b/>
                <w:color w:val="000000" w:themeColor="text1"/>
                <w:szCs w:val="21"/>
              </w:rPr>
            </w:pPr>
            <w:r>
              <w:rPr>
                <w:rFonts w:hint="eastAsia"/>
                <w:b/>
                <w:color w:val="000000" w:themeColor="text1"/>
                <w:szCs w:val="21"/>
              </w:rPr>
              <w:t>2</w:t>
            </w:r>
          </w:p>
        </w:tc>
        <w:tc>
          <w:tcPr>
            <w:tcW w:w="613" w:type="pct"/>
            <w:vAlign w:val="center"/>
          </w:tcPr>
          <w:p>
            <w:pPr>
              <w:spacing w:line="240" w:lineRule="exact"/>
              <w:jc w:val="center"/>
              <w:rPr>
                <w:b/>
                <w:color w:val="000000" w:themeColor="text1"/>
                <w:szCs w:val="21"/>
              </w:rPr>
            </w:pPr>
            <w:r>
              <w:rPr>
                <w:rFonts w:hint="eastAsia"/>
                <w:b/>
                <w:color w:val="000000" w:themeColor="text1"/>
                <w:szCs w:val="21"/>
              </w:rPr>
              <w:t>2.5</w:t>
            </w:r>
          </w:p>
        </w:tc>
        <w:tc>
          <w:tcPr>
            <w:tcW w:w="613" w:type="pct"/>
            <w:vAlign w:val="center"/>
          </w:tcPr>
          <w:p>
            <w:pPr>
              <w:spacing w:line="240" w:lineRule="exact"/>
              <w:jc w:val="center"/>
              <w:rPr>
                <w:b/>
                <w:color w:val="000000" w:themeColor="text1"/>
                <w:szCs w:val="21"/>
              </w:rPr>
            </w:pPr>
            <w:r>
              <w:rPr>
                <w:rFonts w:hint="eastAsia"/>
                <w:b/>
                <w:color w:val="000000" w:themeColor="text1"/>
                <w:szCs w:val="21"/>
              </w:rPr>
              <w:t>3</w:t>
            </w:r>
          </w:p>
        </w:tc>
        <w:tc>
          <w:tcPr>
            <w:tcW w:w="613" w:type="pct"/>
            <w:vAlign w:val="center"/>
          </w:tcPr>
          <w:p>
            <w:pPr>
              <w:spacing w:line="240" w:lineRule="exact"/>
              <w:jc w:val="center"/>
              <w:rPr>
                <w:b/>
                <w:color w:val="000000" w:themeColor="text1"/>
                <w:szCs w:val="21"/>
              </w:rPr>
            </w:pPr>
            <w:r>
              <w:rPr>
                <w:rFonts w:hint="eastAsia"/>
                <w:b/>
                <w:color w:val="000000" w:themeColor="text1"/>
                <w:szCs w:val="21"/>
              </w:rPr>
              <w:t>3.5</w:t>
            </w:r>
          </w:p>
        </w:tc>
        <w:tc>
          <w:tcPr>
            <w:tcW w:w="610" w:type="pct"/>
            <w:vAlign w:val="center"/>
          </w:tcPr>
          <w:p>
            <w:pPr>
              <w:spacing w:line="240" w:lineRule="exact"/>
              <w:jc w:val="center"/>
              <w:rPr>
                <w:b/>
                <w:color w:val="000000" w:themeColor="text1"/>
                <w:szCs w:val="21"/>
              </w:rPr>
            </w:pPr>
            <w:r>
              <w:rPr>
                <w:rFonts w:hint="eastAsia"/>
                <w:b/>
                <w:color w:val="000000" w:themeColor="text1"/>
                <w:szCs w:val="21"/>
              </w:rPr>
              <w:t>4</w:t>
            </w:r>
          </w:p>
        </w:tc>
        <w:tc>
          <w:tcPr>
            <w:tcW w:w="609" w:type="pct"/>
            <w:vAlign w:val="center"/>
          </w:tcPr>
          <w:p>
            <w:pPr>
              <w:spacing w:line="240" w:lineRule="exact"/>
              <w:jc w:val="center"/>
              <w:rPr>
                <w:b/>
                <w:color w:val="000000" w:themeColor="text1"/>
                <w:szCs w:val="21"/>
              </w:rPr>
            </w:pPr>
            <w:r>
              <w:rPr>
                <w:rFonts w:hint="eastAsia"/>
                <w:b/>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4" w:hRule="atLeast"/>
        </w:trPr>
        <w:tc>
          <w:tcPr>
            <w:tcW w:w="834" w:type="pct"/>
            <w:vAlign w:val="center"/>
          </w:tcPr>
          <w:p>
            <w:pPr>
              <w:spacing w:line="240" w:lineRule="exact"/>
              <w:jc w:val="center"/>
              <w:rPr>
                <w:color w:val="000000" w:themeColor="text1"/>
                <w:szCs w:val="21"/>
              </w:rPr>
            </w:pPr>
            <w:r>
              <w:rPr>
                <w:rFonts w:hint="eastAsia"/>
                <w:color w:val="000000" w:themeColor="text1"/>
                <w:szCs w:val="21"/>
              </w:rPr>
              <w:t>NH</w:t>
            </w:r>
            <w:r>
              <w:rPr>
                <w:rFonts w:hint="eastAsia"/>
                <w:color w:val="000000" w:themeColor="text1"/>
                <w:szCs w:val="21"/>
                <w:vertAlign w:val="subscript"/>
              </w:rPr>
              <w:t>3</w:t>
            </w:r>
            <w:r>
              <w:rPr>
                <w:rFonts w:hint="eastAsia"/>
                <w:color w:val="000000" w:themeColor="text1"/>
                <w:szCs w:val="21"/>
              </w:rPr>
              <w:t>（mg/m</w:t>
            </w:r>
            <w:r>
              <w:rPr>
                <w:rFonts w:hint="eastAsia"/>
                <w:color w:val="000000" w:themeColor="text1"/>
                <w:szCs w:val="21"/>
                <w:vertAlign w:val="superscript"/>
              </w:rPr>
              <w:t>3</w:t>
            </w:r>
            <w:r>
              <w:rPr>
                <w:rFonts w:hint="eastAsia"/>
                <w:color w:val="000000" w:themeColor="text1"/>
                <w:szCs w:val="21"/>
              </w:rPr>
              <w:t>）</w:t>
            </w:r>
          </w:p>
        </w:tc>
        <w:tc>
          <w:tcPr>
            <w:tcW w:w="595" w:type="pct"/>
            <w:vAlign w:val="center"/>
          </w:tcPr>
          <w:p>
            <w:pPr>
              <w:spacing w:line="240" w:lineRule="exact"/>
              <w:jc w:val="center"/>
              <w:rPr>
                <w:color w:val="000000" w:themeColor="text1"/>
                <w:szCs w:val="21"/>
              </w:rPr>
            </w:pPr>
            <w:r>
              <w:rPr>
                <w:rFonts w:hint="eastAsia"/>
                <w:color w:val="000000" w:themeColor="text1"/>
                <w:szCs w:val="21"/>
              </w:rPr>
              <w:t>0.0758</w:t>
            </w:r>
          </w:p>
        </w:tc>
        <w:tc>
          <w:tcPr>
            <w:tcW w:w="513" w:type="pct"/>
            <w:vAlign w:val="center"/>
          </w:tcPr>
          <w:p>
            <w:pPr>
              <w:spacing w:line="240" w:lineRule="exact"/>
              <w:jc w:val="center"/>
              <w:rPr>
                <w:color w:val="000000" w:themeColor="text1"/>
                <w:szCs w:val="21"/>
              </w:rPr>
            </w:pPr>
            <w:r>
              <w:rPr>
                <w:rFonts w:hint="eastAsia"/>
                <w:color w:val="000000" w:themeColor="text1"/>
                <w:szCs w:val="21"/>
              </w:rPr>
              <w:t>0.455</w:t>
            </w:r>
          </w:p>
        </w:tc>
        <w:tc>
          <w:tcPr>
            <w:tcW w:w="613" w:type="pct"/>
            <w:vAlign w:val="center"/>
          </w:tcPr>
          <w:p>
            <w:pPr>
              <w:spacing w:line="240" w:lineRule="exact"/>
              <w:jc w:val="center"/>
              <w:rPr>
                <w:color w:val="000000" w:themeColor="text1"/>
                <w:szCs w:val="21"/>
              </w:rPr>
            </w:pPr>
            <w:r>
              <w:rPr>
                <w:rFonts w:hint="eastAsia"/>
                <w:color w:val="000000" w:themeColor="text1"/>
                <w:szCs w:val="21"/>
              </w:rPr>
              <w:t>0.758</w:t>
            </w:r>
          </w:p>
        </w:tc>
        <w:tc>
          <w:tcPr>
            <w:tcW w:w="613" w:type="pct"/>
            <w:vAlign w:val="center"/>
          </w:tcPr>
          <w:p>
            <w:pPr>
              <w:spacing w:line="240" w:lineRule="exact"/>
              <w:jc w:val="center"/>
              <w:rPr>
                <w:color w:val="000000" w:themeColor="text1"/>
                <w:szCs w:val="21"/>
              </w:rPr>
            </w:pPr>
            <w:r>
              <w:rPr>
                <w:rFonts w:hint="eastAsia"/>
                <w:color w:val="000000" w:themeColor="text1"/>
                <w:szCs w:val="21"/>
              </w:rPr>
              <w:t>1.516</w:t>
            </w:r>
          </w:p>
        </w:tc>
        <w:tc>
          <w:tcPr>
            <w:tcW w:w="613" w:type="pct"/>
            <w:vAlign w:val="center"/>
          </w:tcPr>
          <w:p>
            <w:pPr>
              <w:spacing w:line="240" w:lineRule="exact"/>
              <w:jc w:val="center"/>
              <w:rPr>
                <w:color w:val="000000" w:themeColor="text1"/>
                <w:szCs w:val="21"/>
              </w:rPr>
            </w:pPr>
            <w:r>
              <w:rPr>
                <w:rFonts w:hint="eastAsia"/>
                <w:color w:val="000000" w:themeColor="text1"/>
                <w:szCs w:val="21"/>
              </w:rPr>
              <w:t>3.79</w:t>
            </w:r>
          </w:p>
        </w:tc>
        <w:tc>
          <w:tcPr>
            <w:tcW w:w="610" w:type="pct"/>
            <w:vAlign w:val="center"/>
          </w:tcPr>
          <w:p>
            <w:pPr>
              <w:spacing w:line="240" w:lineRule="exact"/>
              <w:jc w:val="center"/>
              <w:rPr>
                <w:color w:val="000000" w:themeColor="text1"/>
                <w:szCs w:val="21"/>
              </w:rPr>
            </w:pPr>
            <w:r>
              <w:rPr>
                <w:rFonts w:hint="eastAsia"/>
                <w:color w:val="000000" w:themeColor="text1"/>
                <w:szCs w:val="21"/>
              </w:rPr>
              <w:t>7.58</w:t>
            </w:r>
          </w:p>
        </w:tc>
        <w:tc>
          <w:tcPr>
            <w:tcW w:w="609" w:type="pct"/>
            <w:vAlign w:val="center"/>
          </w:tcPr>
          <w:p>
            <w:pPr>
              <w:spacing w:line="240" w:lineRule="exact"/>
              <w:jc w:val="center"/>
              <w:rPr>
                <w:color w:val="000000" w:themeColor="text1"/>
                <w:szCs w:val="21"/>
              </w:rPr>
            </w:pPr>
            <w:r>
              <w:rPr>
                <w:rFonts w:hint="eastAsia"/>
                <w:color w:val="000000" w:themeColor="text1"/>
                <w:szCs w:val="21"/>
              </w:rPr>
              <w:t>30.32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4" w:hRule="atLeast"/>
        </w:trPr>
        <w:tc>
          <w:tcPr>
            <w:tcW w:w="834" w:type="pct"/>
            <w:vAlign w:val="center"/>
          </w:tcPr>
          <w:p>
            <w:pPr>
              <w:spacing w:line="240" w:lineRule="exact"/>
              <w:jc w:val="center"/>
              <w:rPr>
                <w:color w:val="000000" w:themeColor="text1"/>
                <w:szCs w:val="21"/>
              </w:rPr>
            </w:pPr>
            <w:r>
              <w:rPr>
                <w:rFonts w:hint="eastAsia"/>
                <w:color w:val="000000" w:themeColor="text1"/>
                <w:szCs w:val="21"/>
              </w:rPr>
              <w:t>H</w:t>
            </w:r>
            <w:r>
              <w:rPr>
                <w:rFonts w:hint="eastAsia"/>
                <w:color w:val="000000" w:themeColor="text1"/>
                <w:szCs w:val="21"/>
                <w:vertAlign w:val="subscript"/>
              </w:rPr>
              <w:t>2</w:t>
            </w:r>
            <w:r>
              <w:rPr>
                <w:rFonts w:hint="eastAsia"/>
                <w:color w:val="000000" w:themeColor="text1"/>
                <w:szCs w:val="21"/>
              </w:rPr>
              <w:t>S（mg/m</w:t>
            </w:r>
            <w:r>
              <w:rPr>
                <w:rFonts w:hint="eastAsia"/>
                <w:color w:val="000000" w:themeColor="text1"/>
                <w:szCs w:val="21"/>
                <w:vertAlign w:val="superscript"/>
              </w:rPr>
              <w:t>3</w:t>
            </w:r>
            <w:r>
              <w:rPr>
                <w:rFonts w:hint="eastAsia"/>
                <w:color w:val="000000" w:themeColor="text1"/>
                <w:szCs w:val="21"/>
              </w:rPr>
              <w:t>）</w:t>
            </w:r>
          </w:p>
        </w:tc>
        <w:tc>
          <w:tcPr>
            <w:tcW w:w="595" w:type="pct"/>
            <w:vAlign w:val="center"/>
          </w:tcPr>
          <w:p>
            <w:pPr>
              <w:spacing w:line="240" w:lineRule="exact"/>
              <w:jc w:val="center"/>
              <w:rPr>
                <w:color w:val="000000" w:themeColor="text1"/>
                <w:szCs w:val="21"/>
              </w:rPr>
            </w:pPr>
            <w:r>
              <w:rPr>
                <w:rFonts w:hint="eastAsia"/>
                <w:color w:val="000000" w:themeColor="text1"/>
                <w:szCs w:val="21"/>
              </w:rPr>
              <w:t>0.0008</w:t>
            </w:r>
          </w:p>
        </w:tc>
        <w:tc>
          <w:tcPr>
            <w:tcW w:w="513" w:type="pct"/>
            <w:vAlign w:val="center"/>
          </w:tcPr>
          <w:p>
            <w:pPr>
              <w:spacing w:line="240" w:lineRule="exact"/>
              <w:jc w:val="center"/>
              <w:rPr>
                <w:color w:val="000000" w:themeColor="text1"/>
                <w:szCs w:val="21"/>
              </w:rPr>
            </w:pPr>
            <w:r>
              <w:rPr>
                <w:rFonts w:hint="eastAsia"/>
                <w:color w:val="000000" w:themeColor="text1"/>
                <w:szCs w:val="21"/>
              </w:rPr>
              <w:t>0.0091</w:t>
            </w:r>
          </w:p>
        </w:tc>
        <w:tc>
          <w:tcPr>
            <w:tcW w:w="613" w:type="pct"/>
            <w:vAlign w:val="center"/>
          </w:tcPr>
          <w:p>
            <w:pPr>
              <w:spacing w:line="240" w:lineRule="exact"/>
              <w:jc w:val="center"/>
              <w:rPr>
                <w:color w:val="000000" w:themeColor="text1"/>
                <w:szCs w:val="21"/>
              </w:rPr>
            </w:pPr>
            <w:r>
              <w:rPr>
                <w:rFonts w:hint="eastAsia"/>
                <w:color w:val="000000" w:themeColor="text1"/>
                <w:szCs w:val="21"/>
              </w:rPr>
              <w:t>0.0304</w:t>
            </w:r>
          </w:p>
        </w:tc>
        <w:tc>
          <w:tcPr>
            <w:tcW w:w="613" w:type="pct"/>
            <w:vAlign w:val="center"/>
          </w:tcPr>
          <w:p>
            <w:pPr>
              <w:spacing w:line="240" w:lineRule="exact"/>
              <w:jc w:val="center"/>
              <w:rPr>
                <w:color w:val="000000" w:themeColor="text1"/>
                <w:szCs w:val="21"/>
              </w:rPr>
            </w:pPr>
            <w:r>
              <w:rPr>
                <w:rFonts w:hint="eastAsia"/>
                <w:color w:val="000000" w:themeColor="text1"/>
                <w:szCs w:val="21"/>
              </w:rPr>
              <w:t>0.0911</w:t>
            </w:r>
          </w:p>
        </w:tc>
        <w:tc>
          <w:tcPr>
            <w:tcW w:w="613" w:type="pct"/>
            <w:vAlign w:val="center"/>
          </w:tcPr>
          <w:p>
            <w:pPr>
              <w:spacing w:line="240" w:lineRule="exact"/>
              <w:jc w:val="center"/>
              <w:rPr>
                <w:color w:val="000000" w:themeColor="text1"/>
                <w:szCs w:val="21"/>
              </w:rPr>
            </w:pPr>
            <w:r>
              <w:rPr>
                <w:rFonts w:hint="eastAsia"/>
                <w:color w:val="000000" w:themeColor="text1"/>
                <w:szCs w:val="21"/>
              </w:rPr>
              <w:t>0.3036</w:t>
            </w:r>
          </w:p>
        </w:tc>
        <w:tc>
          <w:tcPr>
            <w:tcW w:w="610" w:type="pct"/>
            <w:vAlign w:val="center"/>
          </w:tcPr>
          <w:p>
            <w:pPr>
              <w:spacing w:line="240" w:lineRule="exact"/>
              <w:jc w:val="center"/>
              <w:rPr>
                <w:color w:val="000000" w:themeColor="text1"/>
                <w:szCs w:val="21"/>
              </w:rPr>
            </w:pPr>
            <w:r>
              <w:rPr>
                <w:rFonts w:hint="eastAsia"/>
                <w:color w:val="000000" w:themeColor="text1"/>
                <w:szCs w:val="21"/>
              </w:rPr>
              <w:t>1.0626</w:t>
            </w:r>
          </w:p>
        </w:tc>
        <w:tc>
          <w:tcPr>
            <w:tcW w:w="609" w:type="pct"/>
            <w:vAlign w:val="center"/>
          </w:tcPr>
          <w:p>
            <w:pPr>
              <w:spacing w:line="240" w:lineRule="exact"/>
              <w:jc w:val="center"/>
              <w:rPr>
                <w:color w:val="000000" w:themeColor="text1"/>
                <w:szCs w:val="21"/>
              </w:rPr>
            </w:pPr>
            <w:r>
              <w:rPr>
                <w:rFonts w:hint="eastAsia"/>
                <w:color w:val="000000" w:themeColor="text1"/>
                <w:szCs w:val="21"/>
              </w:rPr>
              <w:t>12.144</w:t>
            </w:r>
          </w:p>
        </w:tc>
      </w:tr>
    </w:tbl>
    <w:p>
      <w:pPr>
        <w:autoSpaceDE w:val="0"/>
        <w:autoSpaceDN w:val="0"/>
        <w:adjustRightInd w:val="0"/>
        <w:ind w:firstLine="480" w:firstLineChars="200"/>
        <w:jc w:val="left"/>
        <w:rPr>
          <w:color w:val="000000" w:themeColor="text1"/>
          <w:sz w:val="24"/>
        </w:rPr>
      </w:pPr>
      <w:r>
        <w:rPr>
          <w:rFonts w:hint="eastAsia"/>
          <w:color w:val="000000" w:themeColor="text1"/>
          <w:sz w:val="24"/>
        </w:rPr>
        <w:t>项目厂界NH</w:t>
      </w:r>
      <w:r>
        <w:rPr>
          <w:rFonts w:hint="eastAsia"/>
          <w:color w:val="000000" w:themeColor="text1"/>
          <w:sz w:val="24"/>
          <w:vertAlign w:val="subscript"/>
        </w:rPr>
        <w:t>3</w:t>
      </w:r>
      <w:r>
        <w:rPr>
          <w:rFonts w:hint="eastAsia"/>
          <w:color w:val="000000" w:themeColor="text1"/>
          <w:sz w:val="24"/>
        </w:rPr>
        <w:t>最大浓度为0.0085mg/m</w:t>
      </w:r>
      <w:r>
        <w:rPr>
          <w:rFonts w:hint="eastAsia"/>
          <w:color w:val="000000" w:themeColor="text1"/>
          <w:sz w:val="24"/>
          <w:vertAlign w:val="superscript"/>
        </w:rPr>
        <w:t>3</w:t>
      </w:r>
      <w:r>
        <w:rPr>
          <w:rFonts w:hint="eastAsia"/>
          <w:color w:val="000000" w:themeColor="text1"/>
          <w:sz w:val="24"/>
        </w:rPr>
        <w:t>，臭气强度小于1，厂界H</w:t>
      </w:r>
      <w:r>
        <w:rPr>
          <w:rFonts w:hint="eastAsia"/>
          <w:color w:val="000000" w:themeColor="text1"/>
          <w:sz w:val="24"/>
          <w:vertAlign w:val="subscript"/>
        </w:rPr>
        <w:t>2</w:t>
      </w:r>
      <w:r>
        <w:rPr>
          <w:rFonts w:hint="eastAsia"/>
          <w:color w:val="000000" w:themeColor="text1"/>
          <w:sz w:val="24"/>
        </w:rPr>
        <w:t>S最大浓度为</w:t>
      </w:r>
      <w:r>
        <w:rPr>
          <w:color w:val="000000" w:themeColor="text1"/>
          <w:sz w:val="24"/>
        </w:rPr>
        <w:t>0.000</w:t>
      </w:r>
      <w:r>
        <w:rPr>
          <w:rFonts w:hint="eastAsia"/>
          <w:color w:val="000000" w:themeColor="text1"/>
          <w:sz w:val="24"/>
        </w:rPr>
        <w:t>47mg/m</w:t>
      </w:r>
      <w:r>
        <w:rPr>
          <w:rFonts w:hint="eastAsia"/>
          <w:color w:val="000000" w:themeColor="text1"/>
          <w:sz w:val="24"/>
          <w:vertAlign w:val="superscript"/>
        </w:rPr>
        <w:t>3</w:t>
      </w:r>
      <w:r>
        <w:rPr>
          <w:rFonts w:hint="eastAsia"/>
          <w:color w:val="000000" w:themeColor="text1"/>
          <w:sz w:val="24"/>
        </w:rPr>
        <w:t>，臭气强度小于1。项目厂界臭气强度小于1，即勉强可感觉出的气味（检测阈值），因此项目厂界臭气浓度能够达到</w:t>
      </w:r>
      <w:r>
        <w:rPr>
          <w:color w:val="000000" w:themeColor="text1"/>
          <w:sz w:val="24"/>
        </w:rPr>
        <w:t>《畜禽养殖业污染物排放标准》</w:t>
      </w:r>
      <w:r>
        <w:rPr>
          <w:rFonts w:hint="eastAsia"/>
          <w:color w:val="000000" w:themeColor="text1"/>
          <w:sz w:val="24"/>
        </w:rPr>
        <w:t>（</w:t>
      </w:r>
      <w:r>
        <w:rPr>
          <w:color w:val="000000" w:themeColor="text1"/>
          <w:sz w:val="24"/>
        </w:rPr>
        <w:t>GB18596-2001</w:t>
      </w:r>
      <w:r>
        <w:rPr>
          <w:rFonts w:hint="eastAsia"/>
          <w:color w:val="000000" w:themeColor="text1"/>
          <w:sz w:val="24"/>
        </w:rPr>
        <w:t>）</w:t>
      </w:r>
      <w:r>
        <w:rPr>
          <w:color w:val="000000" w:themeColor="text1"/>
          <w:sz w:val="24"/>
        </w:rPr>
        <w:t>表7中的要求</w:t>
      </w:r>
      <w:r>
        <w:rPr>
          <w:rFonts w:hint="eastAsia"/>
          <w:color w:val="000000" w:themeColor="text1"/>
          <w:sz w:val="24"/>
        </w:rPr>
        <w:t>。</w:t>
      </w:r>
    </w:p>
    <w:p>
      <w:pPr>
        <w:autoSpaceDE w:val="0"/>
        <w:autoSpaceDN w:val="0"/>
        <w:adjustRightInd w:val="0"/>
        <w:ind w:firstLine="480" w:firstLineChars="200"/>
        <w:jc w:val="left"/>
        <w:rPr>
          <w:color w:val="000000" w:themeColor="text1"/>
          <w:sz w:val="24"/>
        </w:rPr>
      </w:pPr>
      <w:r>
        <w:rPr>
          <w:rFonts w:hint="eastAsia"/>
          <w:color w:val="000000" w:themeColor="text1"/>
          <w:sz w:val="24"/>
        </w:rPr>
        <w:t>项目评价范围内敏感点NH</w:t>
      </w:r>
      <w:r>
        <w:rPr>
          <w:rFonts w:hint="eastAsia"/>
          <w:color w:val="000000" w:themeColor="text1"/>
          <w:sz w:val="24"/>
          <w:vertAlign w:val="subscript"/>
        </w:rPr>
        <w:t>3</w:t>
      </w:r>
      <w:r>
        <w:rPr>
          <w:rFonts w:hint="eastAsia"/>
          <w:color w:val="000000" w:themeColor="text1"/>
          <w:sz w:val="24"/>
        </w:rPr>
        <w:t>最大浓度为0.149mg/m</w:t>
      </w:r>
      <w:r>
        <w:rPr>
          <w:rFonts w:hint="eastAsia"/>
          <w:color w:val="000000" w:themeColor="text1"/>
          <w:sz w:val="24"/>
          <w:vertAlign w:val="superscript"/>
        </w:rPr>
        <w:t>3</w:t>
      </w:r>
      <w:r>
        <w:rPr>
          <w:rFonts w:hint="eastAsia"/>
          <w:color w:val="000000" w:themeColor="text1"/>
          <w:sz w:val="24"/>
        </w:rPr>
        <w:t>，臭气强度小于2，H</w:t>
      </w:r>
      <w:r>
        <w:rPr>
          <w:rFonts w:hint="eastAsia"/>
          <w:color w:val="000000" w:themeColor="text1"/>
          <w:sz w:val="24"/>
          <w:vertAlign w:val="subscript"/>
        </w:rPr>
        <w:t>2</w:t>
      </w:r>
      <w:r>
        <w:rPr>
          <w:rFonts w:hint="eastAsia"/>
          <w:color w:val="000000" w:themeColor="text1"/>
          <w:sz w:val="24"/>
        </w:rPr>
        <w:t>S最大浓度为0.00951mg/m</w:t>
      </w:r>
      <w:r>
        <w:rPr>
          <w:rFonts w:hint="eastAsia"/>
          <w:color w:val="000000" w:themeColor="text1"/>
          <w:sz w:val="24"/>
          <w:vertAlign w:val="superscript"/>
        </w:rPr>
        <w:t>3</w:t>
      </w:r>
      <w:r>
        <w:rPr>
          <w:rFonts w:hint="eastAsia"/>
          <w:color w:val="000000" w:themeColor="text1"/>
          <w:sz w:val="24"/>
        </w:rPr>
        <w:t>，臭气强度小于2.5。项目最近敏感点石头村臭气强度小于3，即稍可感觉出的气味（认定阈值）。石头村位于项目区主导风向侧风向，且与项目场地之间有林地阻隔，项目臭气对石头村环境空气质量影响小。</w:t>
      </w:r>
    </w:p>
    <w:p>
      <w:pPr>
        <w:autoSpaceDE w:val="0"/>
        <w:autoSpaceDN w:val="0"/>
        <w:adjustRightInd w:val="0"/>
        <w:ind w:firstLine="480" w:firstLineChars="200"/>
        <w:jc w:val="left"/>
        <w:rPr>
          <w:color w:val="000000" w:themeColor="text1"/>
          <w:sz w:val="24"/>
        </w:rPr>
      </w:pPr>
      <w:r>
        <w:rPr>
          <w:rFonts w:hint="eastAsia"/>
          <w:color w:val="000000" w:themeColor="text1"/>
          <w:sz w:val="24"/>
        </w:rPr>
        <w:t>（9）</w:t>
      </w:r>
      <w:r>
        <w:rPr>
          <w:color w:val="000000" w:themeColor="text1"/>
          <w:sz w:val="24"/>
        </w:rPr>
        <w:t>大气环境防护距离</w:t>
      </w:r>
    </w:p>
    <w:p>
      <w:pPr>
        <w:autoSpaceDE w:val="0"/>
        <w:autoSpaceDN w:val="0"/>
        <w:adjustRightInd w:val="0"/>
        <w:ind w:firstLine="480" w:firstLineChars="200"/>
        <w:jc w:val="left"/>
        <w:rPr>
          <w:color w:val="000000" w:themeColor="text1"/>
          <w:sz w:val="24"/>
        </w:rPr>
      </w:pPr>
      <w:r>
        <w:rPr>
          <w:color w:val="000000" w:themeColor="text1"/>
          <w:sz w:val="24"/>
        </w:rPr>
        <w:t>根据《环境影响评价技术导则-大气环境》（HJ2.2-20</w:t>
      </w:r>
      <w:r>
        <w:rPr>
          <w:rFonts w:hint="eastAsia"/>
          <w:color w:val="000000" w:themeColor="text1"/>
          <w:sz w:val="24"/>
        </w:rPr>
        <w:t>1</w:t>
      </w:r>
      <w:r>
        <w:rPr>
          <w:color w:val="000000" w:themeColor="text1"/>
          <w:sz w:val="24"/>
        </w:rPr>
        <w:t>8）的相关要求，</w:t>
      </w:r>
      <w:r>
        <w:rPr>
          <w:rFonts w:hint="eastAsia"/>
          <w:color w:val="000000" w:themeColor="text1"/>
          <w:sz w:val="24"/>
        </w:rPr>
        <w:t>项目厂界NH</w:t>
      </w:r>
      <w:r>
        <w:rPr>
          <w:rFonts w:hint="eastAsia"/>
          <w:color w:val="000000" w:themeColor="text1"/>
          <w:sz w:val="24"/>
          <w:vertAlign w:val="subscript"/>
        </w:rPr>
        <w:t>3</w:t>
      </w:r>
      <w:r>
        <w:rPr>
          <w:rFonts w:hint="eastAsia"/>
          <w:color w:val="000000" w:themeColor="text1"/>
          <w:sz w:val="24"/>
        </w:rPr>
        <w:t>最大浓度为0.0085mg/m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vertAlign w:val="subscript"/>
        </w:rPr>
        <w:t>2</w:t>
      </w:r>
      <w:r>
        <w:rPr>
          <w:rFonts w:hint="eastAsia"/>
          <w:color w:val="000000" w:themeColor="text1"/>
          <w:sz w:val="24"/>
        </w:rPr>
        <w:t>S最大浓度为</w:t>
      </w:r>
      <w:r>
        <w:rPr>
          <w:color w:val="000000" w:themeColor="text1"/>
          <w:sz w:val="24"/>
        </w:rPr>
        <w:t>0.000</w:t>
      </w:r>
      <w:r>
        <w:rPr>
          <w:rFonts w:hint="eastAsia"/>
          <w:color w:val="000000" w:themeColor="text1"/>
          <w:sz w:val="24"/>
        </w:rPr>
        <w:t>47mg/m</w:t>
      </w:r>
      <w:r>
        <w:rPr>
          <w:rFonts w:hint="eastAsia"/>
          <w:color w:val="000000" w:themeColor="text1"/>
          <w:sz w:val="24"/>
          <w:vertAlign w:val="superscript"/>
        </w:rPr>
        <w:t>3</w:t>
      </w:r>
      <w:r>
        <w:rPr>
          <w:rFonts w:hint="eastAsia"/>
          <w:color w:val="000000" w:themeColor="text1"/>
          <w:sz w:val="24"/>
        </w:rPr>
        <w:t>，满足</w:t>
      </w:r>
      <w:r>
        <w:rPr>
          <w:color w:val="000000" w:themeColor="text1"/>
          <w:sz w:val="24"/>
        </w:rPr>
        <w:t>《恶臭污染物排放标准》（GB14554-93）中恶臭污染物厂界标准限值二级标准</w:t>
      </w:r>
      <w:r>
        <w:rPr>
          <w:rFonts w:hint="eastAsia"/>
          <w:color w:val="000000" w:themeColor="text1"/>
          <w:sz w:val="24"/>
        </w:rPr>
        <w:t>，即</w:t>
      </w:r>
      <w:r>
        <w:rPr>
          <w:color w:val="000000" w:themeColor="text1"/>
          <w:sz w:val="24"/>
        </w:rPr>
        <w:t>NH</w:t>
      </w:r>
      <w:r>
        <w:rPr>
          <w:color w:val="000000" w:themeColor="text1"/>
          <w:sz w:val="24"/>
          <w:vertAlign w:val="subscript"/>
        </w:rPr>
        <w:t>3</w:t>
      </w:r>
      <w:r>
        <w:rPr>
          <w:color w:val="000000" w:themeColor="text1"/>
          <w:sz w:val="24"/>
        </w:rPr>
        <w:t>≤1.5 mg/m</w:t>
      </w:r>
      <w:r>
        <w:rPr>
          <w:color w:val="000000" w:themeColor="text1"/>
          <w:sz w:val="24"/>
          <w:vertAlign w:val="superscript"/>
        </w:rPr>
        <w:t>3</w:t>
      </w:r>
      <w:r>
        <w:rPr>
          <w:color w:val="000000" w:themeColor="text1"/>
          <w:sz w:val="24"/>
        </w:rPr>
        <w:t>、H</w:t>
      </w:r>
      <w:r>
        <w:rPr>
          <w:color w:val="000000" w:themeColor="text1"/>
          <w:sz w:val="24"/>
          <w:vertAlign w:val="subscript"/>
        </w:rPr>
        <w:t>2</w:t>
      </w:r>
      <w:r>
        <w:rPr>
          <w:color w:val="000000" w:themeColor="text1"/>
          <w:sz w:val="24"/>
        </w:rPr>
        <w:t>S≤</w:t>
      </w:r>
      <w:r>
        <w:rPr>
          <w:rFonts w:hint="eastAsia"/>
          <w:color w:val="000000" w:themeColor="text1"/>
          <w:sz w:val="24"/>
        </w:rPr>
        <w:t>0.06</w:t>
      </w:r>
      <w:r>
        <w:rPr>
          <w:color w:val="000000" w:themeColor="text1"/>
          <w:sz w:val="24"/>
        </w:rPr>
        <w:t xml:space="preserve"> mg/m</w:t>
      </w:r>
      <w:r>
        <w:rPr>
          <w:rFonts w:hint="eastAsia"/>
          <w:color w:val="000000" w:themeColor="text1"/>
          <w:sz w:val="24"/>
          <w:vertAlign w:val="superscript"/>
        </w:rPr>
        <w:t>3</w:t>
      </w:r>
      <w:r>
        <w:rPr>
          <w:rFonts w:hint="eastAsia"/>
          <w:color w:val="000000" w:themeColor="text1"/>
          <w:sz w:val="24"/>
        </w:rPr>
        <w:t>。</w:t>
      </w:r>
    </w:p>
    <w:p>
      <w:pPr>
        <w:autoSpaceDE w:val="0"/>
        <w:autoSpaceDN w:val="0"/>
        <w:adjustRightInd w:val="0"/>
        <w:ind w:firstLine="480" w:firstLineChars="200"/>
        <w:jc w:val="left"/>
        <w:rPr>
          <w:color w:val="000000" w:themeColor="text1"/>
          <w:sz w:val="24"/>
        </w:rPr>
      </w:pPr>
      <w:r>
        <w:rPr>
          <w:rFonts w:hint="eastAsia"/>
          <w:color w:val="000000" w:themeColor="text1"/>
          <w:sz w:val="24"/>
        </w:rPr>
        <w:t>厂界外NH</w:t>
      </w:r>
      <w:r>
        <w:rPr>
          <w:rFonts w:hint="eastAsia"/>
          <w:color w:val="000000" w:themeColor="text1"/>
          <w:sz w:val="24"/>
          <w:vertAlign w:val="subscript"/>
        </w:rPr>
        <w:t>3</w:t>
      </w:r>
      <w:r>
        <w:rPr>
          <w:rFonts w:hint="eastAsia"/>
          <w:color w:val="000000" w:themeColor="text1"/>
          <w:sz w:val="24"/>
        </w:rPr>
        <w:t>最大浓度为0.01380mg/m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vertAlign w:val="subscript"/>
        </w:rPr>
        <w:t>2</w:t>
      </w:r>
      <w:r>
        <w:rPr>
          <w:rFonts w:hint="eastAsia"/>
          <w:color w:val="000000" w:themeColor="text1"/>
          <w:sz w:val="24"/>
        </w:rPr>
        <w:t>S最大浓度为</w:t>
      </w:r>
      <w:r>
        <w:rPr>
          <w:color w:val="000000" w:themeColor="text1"/>
          <w:sz w:val="24"/>
        </w:rPr>
        <w:t>0.000</w:t>
      </w:r>
      <w:r>
        <w:rPr>
          <w:rFonts w:hint="eastAsia"/>
          <w:color w:val="000000" w:themeColor="text1"/>
          <w:sz w:val="24"/>
        </w:rPr>
        <w:t>77mg/m</w:t>
      </w:r>
      <w:r>
        <w:rPr>
          <w:rFonts w:hint="eastAsia"/>
          <w:color w:val="000000" w:themeColor="text1"/>
          <w:sz w:val="24"/>
          <w:vertAlign w:val="superscript"/>
        </w:rPr>
        <w:t>3</w:t>
      </w:r>
      <w:r>
        <w:rPr>
          <w:rFonts w:hint="eastAsia"/>
          <w:color w:val="000000" w:themeColor="text1"/>
          <w:sz w:val="24"/>
        </w:rPr>
        <w:t>，厂界外短期浓度（1小时浓度）不超过</w:t>
      </w:r>
      <w:r>
        <w:rPr>
          <w:bCs/>
          <w:color w:val="000000" w:themeColor="text1"/>
          <w:sz w:val="24"/>
        </w:rPr>
        <w:t>《工业企业设计卫生标准》（TJ36-1979）中的限值</w:t>
      </w:r>
      <w:r>
        <w:rPr>
          <w:rFonts w:hint="eastAsia"/>
          <w:bCs/>
          <w:color w:val="000000" w:themeColor="text1"/>
          <w:sz w:val="24"/>
        </w:rPr>
        <w:t>，即</w:t>
      </w:r>
      <w:r>
        <w:rPr>
          <w:color w:val="000000" w:themeColor="text1"/>
          <w:sz w:val="24"/>
        </w:rPr>
        <w:t>NH</w:t>
      </w:r>
      <w:r>
        <w:rPr>
          <w:color w:val="000000" w:themeColor="text1"/>
          <w:sz w:val="24"/>
          <w:vertAlign w:val="subscript"/>
        </w:rPr>
        <w:t>3</w:t>
      </w:r>
      <w:r>
        <w:rPr>
          <w:color w:val="000000" w:themeColor="text1"/>
          <w:sz w:val="24"/>
        </w:rPr>
        <w:t>≤</w:t>
      </w:r>
      <w:r>
        <w:rPr>
          <w:rFonts w:hint="eastAsia"/>
          <w:color w:val="000000" w:themeColor="text1"/>
          <w:sz w:val="24"/>
        </w:rPr>
        <w:t>0.2</w:t>
      </w:r>
      <w:r>
        <w:rPr>
          <w:color w:val="000000" w:themeColor="text1"/>
          <w:sz w:val="24"/>
        </w:rPr>
        <w:t xml:space="preserve"> mg/m</w:t>
      </w:r>
      <w:r>
        <w:rPr>
          <w:color w:val="000000" w:themeColor="text1"/>
          <w:sz w:val="24"/>
          <w:vertAlign w:val="superscript"/>
        </w:rPr>
        <w:t>3</w:t>
      </w:r>
      <w:r>
        <w:rPr>
          <w:color w:val="000000" w:themeColor="text1"/>
          <w:sz w:val="24"/>
        </w:rPr>
        <w:t>、H</w:t>
      </w:r>
      <w:r>
        <w:rPr>
          <w:color w:val="000000" w:themeColor="text1"/>
          <w:sz w:val="24"/>
          <w:vertAlign w:val="subscript"/>
        </w:rPr>
        <w:t>2</w:t>
      </w:r>
      <w:r>
        <w:rPr>
          <w:color w:val="000000" w:themeColor="text1"/>
          <w:sz w:val="24"/>
        </w:rPr>
        <w:t>S≤</w:t>
      </w:r>
      <w:r>
        <w:rPr>
          <w:rFonts w:hint="eastAsia"/>
          <w:color w:val="000000" w:themeColor="text1"/>
          <w:sz w:val="24"/>
        </w:rPr>
        <w:t>0.01</w:t>
      </w:r>
      <w:r>
        <w:rPr>
          <w:color w:val="000000" w:themeColor="text1"/>
          <w:sz w:val="24"/>
        </w:rPr>
        <w:t>mg/m</w:t>
      </w:r>
      <w:r>
        <w:rPr>
          <w:rFonts w:hint="eastAsia"/>
          <w:color w:val="000000" w:themeColor="text1"/>
          <w:sz w:val="24"/>
          <w:vertAlign w:val="superscript"/>
        </w:rPr>
        <w:t>3</w:t>
      </w:r>
      <w:r>
        <w:rPr>
          <w:rFonts w:hint="eastAsia"/>
          <w:color w:val="000000" w:themeColor="text1"/>
          <w:sz w:val="24"/>
        </w:rPr>
        <w:t>。因此，项目</w:t>
      </w:r>
      <w:r>
        <w:rPr>
          <w:color w:val="000000" w:themeColor="text1"/>
          <w:sz w:val="24"/>
        </w:rPr>
        <w:t>不设置大气环境防护距离。</w:t>
      </w:r>
    </w:p>
    <w:p>
      <w:pPr>
        <w:autoSpaceDE w:val="0"/>
        <w:autoSpaceDN w:val="0"/>
        <w:adjustRightInd w:val="0"/>
        <w:ind w:firstLine="480" w:firstLineChars="200"/>
        <w:jc w:val="left"/>
        <w:rPr>
          <w:color w:val="000000" w:themeColor="text1"/>
          <w:kern w:val="0"/>
          <w:sz w:val="24"/>
        </w:rPr>
      </w:pPr>
      <w:r>
        <w:rPr>
          <w:color w:val="000000" w:themeColor="text1"/>
          <w:kern w:val="0"/>
          <w:sz w:val="24"/>
        </w:rPr>
        <w:t>（</w:t>
      </w:r>
      <w:r>
        <w:rPr>
          <w:rFonts w:hint="eastAsia"/>
          <w:color w:val="000000" w:themeColor="text1"/>
          <w:kern w:val="0"/>
          <w:sz w:val="24"/>
        </w:rPr>
        <w:t>10</w:t>
      </w:r>
      <w:r>
        <w:rPr>
          <w:color w:val="000000" w:themeColor="text1"/>
          <w:kern w:val="0"/>
          <w:sz w:val="24"/>
        </w:rPr>
        <w:t>）</w:t>
      </w:r>
      <w:r>
        <w:rPr>
          <w:rFonts w:hint="eastAsia"/>
          <w:color w:val="000000" w:themeColor="text1"/>
          <w:kern w:val="0"/>
          <w:sz w:val="24"/>
        </w:rPr>
        <w:t>污染物排放量核算</w:t>
      </w:r>
    </w:p>
    <w:p>
      <w:pPr>
        <w:autoSpaceDE w:val="0"/>
        <w:autoSpaceDN w:val="0"/>
        <w:adjustRightInd w:val="0"/>
        <w:ind w:firstLine="480" w:firstLineChars="200"/>
        <w:jc w:val="left"/>
        <w:rPr>
          <w:color w:val="000000" w:themeColor="text1"/>
          <w:kern w:val="0"/>
          <w:sz w:val="24"/>
        </w:rPr>
      </w:pPr>
      <w:r>
        <w:rPr>
          <w:rFonts w:hint="eastAsia"/>
          <w:color w:val="000000" w:themeColor="text1"/>
          <w:kern w:val="0"/>
          <w:sz w:val="24"/>
        </w:rPr>
        <w:t>①无组织排放量</w:t>
      </w:r>
    </w:p>
    <w:p>
      <w:pPr>
        <w:autoSpaceDE w:val="0"/>
        <w:autoSpaceDN w:val="0"/>
        <w:adjustRightInd w:val="0"/>
        <w:ind w:firstLine="480" w:firstLineChars="200"/>
        <w:jc w:val="left"/>
        <w:rPr>
          <w:color w:val="000000" w:themeColor="text1"/>
          <w:kern w:val="0"/>
          <w:sz w:val="24"/>
        </w:rPr>
      </w:pPr>
      <w:r>
        <w:rPr>
          <w:rFonts w:hint="eastAsia"/>
          <w:color w:val="000000" w:themeColor="text1"/>
          <w:kern w:val="0"/>
          <w:sz w:val="24"/>
        </w:rPr>
        <w:t>项目无组织废气排放核算见表5.2-10。</w:t>
      </w:r>
    </w:p>
    <w:p>
      <w:pPr>
        <w:autoSpaceDE w:val="0"/>
        <w:autoSpaceDN w:val="0"/>
        <w:adjustRightInd w:val="0"/>
        <w:ind w:firstLine="480" w:firstLineChars="200"/>
        <w:jc w:val="left"/>
        <w:rPr>
          <w:color w:val="000000" w:themeColor="text1"/>
          <w:kern w:val="0"/>
          <w:sz w:val="24"/>
        </w:rPr>
      </w:pPr>
    </w:p>
    <w:p>
      <w:pPr>
        <w:pStyle w:val="158"/>
        <w:spacing w:line="240" w:lineRule="auto"/>
        <w:rPr>
          <w:color w:val="000000" w:themeColor="text1"/>
          <w:sz w:val="21"/>
          <w:szCs w:val="21"/>
        </w:rPr>
      </w:pPr>
      <w:r>
        <w:rPr>
          <w:color w:val="000000" w:themeColor="text1"/>
          <w:sz w:val="21"/>
          <w:szCs w:val="21"/>
        </w:rPr>
        <w:t>表</w:t>
      </w:r>
      <w:r>
        <w:rPr>
          <w:rFonts w:hint="eastAsia"/>
          <w:color w:val="000000" w:themeColor="text1"/>
          <w:sz w:val="21"/>
          <w:szCs w:val="21"/>
        </w:rPr>
        <w:t>5.2-10  无有组织排放核算表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9"/>
        <w:gridCol w:w="3282"/>
        <w:gridCol w:w="3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pct"/>
            <w:vAlign w:val="center"/>
          </w:tcPr>
          <w:p>
            <w:pPr>
              <w:pStyle w:val="115"/>
              <w:spacing w:line="240" w:lineRule="auto"/>
              <w:rPr>
                <w:rFonts w:ascii="Times New Roman" w:hAnsi="Times New Roman" w:cs="Times New Roman"/>
                <w:color w:val="000000" w:themeColor="text1"/>
              </w:rPr>
            </w:pPr>
            <w:r>
              <w:rPr>
                <w:rFonts w:hint="eastAsia" w:ascii="Times New Roman" w:hAnsi="Times New Roman" w:cs="Times New Roman"/>
                <w:color w:val="000000" w:themeColor="text1"/>
              </w:rPr>
              <w:t>序号</w:t>
            </w:r>
          </w:p>
        </w:tc>
        <w:tc>
          <w:tcPr>
            <w:tcW w:w="1924" w:type="pct"/>
            <w:vAlign w:val="center"/>
          </w:tcPr>
          <w:p>
            <w:pPr>
              <w:pStyle w:val="115"/>
              <w:spacing w:line="240" w:lineRule="auto"/>
              <w:rPr>
                <w:rFonts w:ascii="Times New Roman" w:hAnsi="Times New Roman" w:cs="Times New Roman"/>
                <w:color w:val="000000" w:themeColor="text1"/>
              </w:rPr>
            </w:pPr>
            <w:r>
              <w:rPr>
                <w:rFonts w:hint="eastAsia" w:ascii="Times New Roman" w:hAnsi="Times New Roman" w:cs="Times New Roman"/>
                <w:color w:val="000000" w:themeColor="text1"/>
              </w:rPr>
              <w:t>污染物</w:t>
            </w:r>
          </w:p>
        </w:tc>
        <w:tc>
          <w:tcPr>
            <w:tcW w:w="1839" w:type="pct"/>
            <w:vAlign w:val="center"/>
          </w:tcPr>
          <w:p>
            <w:pPr>
              <w:pStyle w:val="115"/>
              <w:spacing w:line="240" w:lineRule="auto"/>
              <w:rPr>
                <w:rFonts w:ascii="Times New Roman" w:hAnsi="Times New Roman" w:cs="Times New Roman"/>
                <w:color w:val="000000" w:themeColor="text1"/>
              </w:rPr>
            </w:pPr>
            <w:r>
              <w:rPr>
                <w:rFonts w:hint="eastAsia" w:ascii="Times New Roman" w:hAnsi="Times New Roman" w:cs="Times New Roman"/>
                <w:color w:val="000000" w:themeColor="text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pct"/>
            <w:vAlign w:val="center"/>
          </w:tcPr>
          <w:p>
            <w:pPr>
              <w:pStyle w:val="115"/>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1</w:t>
            </w:r>
          </w:p>
        </w:tc>
        <w:tc>
          <w:tcPr>
            <w:tcW w:w="1924" w:type="pct"/>
            <w:vAlign w:val="center"/>
          </w:tcPr>
          <w:p>
            <w:pPr>
              <w:pStyle w:val="115"/>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NH</w:t>
            </w:r>
            <w:r>
              <w:rPr>
                <w:rFonts w:hint="eastAsia" w:ascii="Times New Roman" w:hAnsi="Times New Roman" w:cs="Times New Roman"/>
                <w:b w:val="0"/>
                <w:color w:val="000000" w:themeColor="text1"/>
                <w:vertAlign w:val="subscript"/>
              </w:rPr>
              <w:t>3</w:t>
            </w:r>
          </w:p>
        </w:tc>
        <w:tc>
          <w:tcPr>
            <w:tcW w:w="1839" w:type="pct"/>
            <w:vAlign w:val="center"/>
          </w:tcPr>
          <w:p>
            <w:pPr>
              <w:pStyle w:val="115"/>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pct"/>
            <w:vAlign w:val="center"/>
          </w:tcPr>
          <w:p>
            <w:pPr>
              <w:pStyle w:val="115"/>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2</w:t>
            </w:r>
          </w:p>
        </w:tc>
        <w:tc>
          <w:tcPr>
            <w:tcW w:w="1924" w:type="pct"/>
            <w:vAlign w:val="center"/>
          </w:tcPr>
          <w:p>
            <w:pPr>
              <w:pStyle w:val="115"/>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H</w:t>
            </w:r>
            <w:r>
              <w:rPr>
                <w:rFonts w:hint="eastAsia" w:ascii="Times New Roman" w:hAnsi="Times New Roman" w:cs="Times New Roman"/>
                <w:b w:val="0"/>
                <w:color w:val="000000" w:themeColor="text1"/>
                <w:vertAlign w:val="subscript"/>
              </w:rPr>
              <w:t>2</w:t>
            </w:r>
            <w:r>
              <w:rPr>
                <w:rFonts w:hint="eastAsia" w:ascii="Times New Roman" w:hAnsi="Times New Roman" w:cs="Times New Roman"/>
                <w:b w:val="0"/>
                <w:color w:val="000000" w:themeColor="text1"/>
              </w:rPr>
              <w:t>S</w:t>
            </w:r>
          </w:p>
        </w:tc>
        <w:tc>
          <w:tcPr>
            <w:tcW w:w="1839" w:type="pct"/>
            <w:vAlign w:val="center"/>
          </w:tcPr>
          <w:p>
            <w:pPr>
              <w:pStyle w:val="115"/>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0.09</w:t>
            </w:r>
          </w:p>
        </w:tc>
      </w:tr>
    </w:tbl>
    <w:p>
      <w:pPr>
        <w:autoSpaceDE w:val="0"/>
        <w:autoSpaceDN w:val="0"/>
        <w:adjustRightInd w:val="0"/>
        <w:ind w:firstLine="480" w:firstLineChars="200"/>
        <w:jc w:val="left"/>
        <w:rPr>
          <w:color w:val="000000" w:themeColor="text1"/>
          <w:kern w:val="0"/>
          <w:sz w:val="24"/>
        </w:rPr>
      </w:pPr>
      <w:r>
        <w:rPr>
          <w:rFonts w:hint="eastAsia" w:ascii="宋体" w:hAnsi="宋体" w:cs="宋体"/>
          <w:color w:val="000000" w:themeColor="text1"/>
          <w:kern w:val="0"/>
          <w:sz w:val="24"/>
        </w:rPr>
        <w:t>②</w:t>
      </w:r>
      <w:r>
        <w:rPr>
          <w:rFonts w:hint="eastAsia"/>
          <w:color w:val="000000" w:themeColor="text1"/>
          <w:kern w:val="0"/>
          <w:sz w:val="24"/>
        </w:rPr>
        <w:t>有组织排放量</w:t>
      </w:r>
    </w:p>
    <w:p>
      <w:pPr>
        <w:autoSpaceDE w:val="0"/>
        <w:autoSpaceDN w:val="0"/>
        <w:adjustRightInd w:val="0"/>
        <w:ind w:firstLine="480" w:firstLineChars="200"/>
        <w:jc w:val="left"/>
        <w:rPr>
          <w:color w:val="000000" w:themeColor="text1"/>
          <w:kern w:val="0"/>
          <w:sz w:val="24"/>
        </w:rPr>
      </w:pPr>
      <w:r>
        <w:rPr>
          <w:rFonts w:hint="eastAsia"/>
          <w:color w:val="000000" w:themeColor="text1"/>
          <w:kern w:val="0"/>
          <w:sz w:val="24"/>
        </w:rPr>
        <w:t>项目有组织废气非正常排放核算见表5.2-11。</w:t>
      </w:r>
    </w:p>
    <w:p>
      <w:pPr>
        <w:pStyle w:val="158"/>
        <w:spacing w:line="240" w:lineRule="auto"/>
        <w:rPr>
          <w:color w:val="000000" w:themeColor="text1"/>
          <w:sz w:val="21"/>
          <w:szCs w:val="21"/>
        </w:rPr>
      </w:pPr>
      <w:r>
        <w:rPr>
          <w:color w:val="000000" w:themeColor="text1"/>
          <w:sz w:val="21"/>
          <w:szCs w:val="21"/>
        </w:rPr>
        <w:t>表</w:t>
      </w:r>
      <w:r>
        <w:rPr>
          <w:rFonts w:hint="eastAsia"/>
          <w:color w:val="000000" w:themeColor="text1"/>
          <w:sz w:val="21"/>
          <w:szCs w:val="21"/>
        </w:rPr>
        <w:t>5.2-11  有组织排放核算表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7"/>
        <w:gridCol w:w="3130"/>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pct"/>
            <w:vAlign w:val="center"/>
          </w:tcPr>
          <w:p>
            <w:pPr>
              <w:pStyle w:val="115"/>
              <w:spacing w:line="240" w:lineRule="auto"/>
              <w:rPr>
                <w:rFonts w:ascii="Times New Roman" w:hAnsi="Times New Roman" w:cs="Times New Roman"/>
                <w:color w:val="000000" w:themeColor="text1"/>
              </w:rPr>
            </w:pPr>
            <w:r>
              <w:rPr>
                <w:rFonts w:hint="eastAsia" w:ascii="Times New Roman" w:hAnsi="Times New Roman" w:cs="Times New Roman"/>
                <w:color w:val="000000" w:themeColor="text1"/>
              </w:rPr>
              <w:t>污染源</w:t>
            </w:r>
          </w:p>
        </w:tc>
        <w:tc>
          <w:tcPr>
            <w:tcW w:w="1835" w:type="pct"/>
            <w:vAlign w:val="center"/>
          </w:tcPr>
          <w:p>
            <w:pPr>
              <w:pStyle w:val="115"/>
              <w:spacing w:line="240" w:lineRule="auto"/>
              <w:rPr>
                <w:rFonts w:ascii="Times New Roman" w:hAnsi="Times New Roman" w:cs="Times New Roman"/>
                <w:color w:val="000000" w:themeColor="text1"/>
              </w:rPr>
            </w:pPr>
            <w:r>
              <w:rPr>
                <w:rFonts w:hint="eastAsia" w:ascii="Times New Roman" w:hAnsi="Times New Roman" w:cs="Times New Roman"/>
                <w:color w:val="000000" w:themeColor="text1"/>
              </w:rPr>
              <w:t>污染物</w:t>
            </w:r>
          </w:p>
        </w:tc>
        <w:tc>
          <w:tcPr>
            <w:tcW w:w="1836" w:type="pct"/>
            <w:vAlign w:val="center"/>
          </w:tcPr>
          <w:p>
            <w:pPr>
              <w:pStyle w:val="115"/>
              <w:spacing w:line="240" w:lineRule="auto"/>
              <w:rPr>
                <w:rFonts w:ascii="Times New Roman" w:hAnsi="Times New Roman" w:cs="Times New Roman"/>
                <w:color w:val="000000" w:themeColor="text1"/>
              </w:rPr>
            </w:pPr>
            <w:r>
              <w:rPr>
                <w:rFonts w:hint="eastAsia" w:ascii="Times New Roman" w:hAnsi="Times New Roman" w:cs="Times New Roman"/>
                <w:color w:val="000000" w:themeColor="text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pct"/>
            <w:vMerge w:val="restart"/>
            <w:vAlign w:val="center"/>
          </w:tcPr>
          <w:p>
            <w:pPr>
              <w:pStyle w:val="115"/>
              <w:spacing w:line="240" w:lineRule="auto"/>
              <w:rPr>
                <w:rFonts w:ascii="Times New Roman" w:hAnsi="Times New Roman" w:cs="Times New Roman"/>
                <w:b w:val="0"/>
                <w:color w:val="000000" w:themeColor="text1"/>
              </w:rPr>
            </w:pPr>
            <w:r>
              <w:rPr>
                <w:rFonts w:hint="eastAsia" w:ascii="Times New Roman" w:hAnsi="Times New Roman" w:cs="Times New Roman"/>
                <w:b w:val="0"/>
                <w:color w:val="000000" w:themeColor="text1"/>
              </w:rPr>
              <w:t>沼气发电机</w:t>
            </w:r>
          </w:p>
        </w:tc>
        <w:tc>
          <w:tcPr>
            <w:tcW w:w="1835" w:type="pct"/>
            <w:vAlign w:val="center"/>
          </w:tcPr>
          <w:p>
            <w:pPr>
              <w:pStyle w:val="115"/>
              <w:spacing w:line="240" w:lineRule="auto"/>
              <w:rPr>
                <w:rFonts w:ascii="Times New Roman" w:hAnsi="Times New Roman" w:cs="Times New Roman"/>
                <w:b w:val="0"/>
                <w:color w:val="000000" w:themeColor="text1"/>
              </w:rPr>
            </w:pPr>
            <w:r>
              <w:rPr>
                <w:rFonts w:ascii="Times New Roman" w:hAnsi="Times New Roman" w:cs="Times New Roman"/>
                <w:b w:val="0"/>
                <w:color w:val="000000" w:themeColor="text1"/>
              </w:rPr>
              <w:t>SO</w:t>
            </w:r>
            <w:r>
              <w:rPr>
                <w:rFonts w:ascii="Times New Roman" w:hAnsi="Times New Roman" w:cs="Times New Roman"/>
                <w:b w:val="0"/>
                <w:color w:val="000000" w:themeColor="text1"/>
                <w:vertAlign w:val="subscript"/>
              </w:rPr>
              <w:t>2</w:t>
            </w:r>
          </w:p>
        </w:tc>
        <w:tc>
          <w:tcPr>
            <w:tcW w:w="1836" w:type="pct"/>
            <w:vAlign w:val="center"/>
          </w:tcPr>
          <w:p>
            <w:pPr>
              <w:pStyle w:val="115"/>
              <w:spacing w:line="240" w:lineRule="auto"/>
              <w:rPr>
                <w:rFonts w:ascii="Times New Roman" w:hAnsi="Times New Roman" w:cs="Times New Roman"/>
                <w:b w:val="0"/>
                <w:color w:val="000000" w:themeColor="text1"/>
              </w:rPr>
            </w:pPr>
            <w:r>
              <w:rPr>
                <w:rFonts w:ascii="Times New Roman" w:hAnsi="Times New Roman" w:cs="Times New Roman"/>
                <w:b w:val="0"/>
                <w:color w:val="000000" w:themeColor="text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pct"/>
            <w:vMerge w:val="continue"/>
            <w:vAlign w:val="center"/>
          </w:tcPr>
          <w:p>
            <w:pPr>
              <w:pStyle w:val="115"/>
              <w:spacing w:line="240" w:lineRule="auto"/>
              <w:rPr>
                <w:rFonts w:ascii="Times New Roman" w:hAnsi="Times New Roman" w:cs="Times New Roman"/>
                <w:b w:val="0"/>
                <w:color w:val="000000" w:themeColor="text1"/>
              </w:rPr>
            </w:pPr>
          </w:p>
        </w:tc>
        <w:tc>
          <w:tcPr>
            <w:tcW w:w="1835" w:type="pct"/>
            <w:vAlign w:val="center"/>
          </w:tcPr>
          <w:p>
            <w:pPr>
              <w:pStyle w:val="115"/>
              <w:spacing w:line="240" w:lineRule="auto"/>
              <w:rPr>
                <w:rFonts w:ascii="Times New Roman" w:hAnsi="Times New Roman" w:cs="Times New Roman"/>
                <w:b w:val="0"/>
                <w:color w:val="000000" w:themeColor="text1"/>
              </w:rPr>
            </w:pPr>
            <w:r>
              <w:rPr>
                <w:rFonts w:ascii="Times New Roman" w:hAnsi="Times New Roman" w:cs="Times New Roman"/>
                <w:b w:val="0"/>
                <w:color w:val="000000" w:themeColor="text1"/>
              </w:rPr>
              <w:t>NOx</w:t>
            </w:r>
          </w:p>
        </w:tc>
        <w:tc>
          <w:tcPr>
            <w:tcW w:w="1836" w:type="pct"/>
            <w:vAlign w:val="center"/>
          </w:tcPr>
          <w:p>
            <w:pPr>
              <w:pStyle w:val="115"/>
              <w:spacing w:line="240" w:lineRule="auto"/>
              <w:rPr>
                <w:rFonts w:ascii="Times New Roman" w:hAnsi="Times New Roman" w:cs="Times New Roman"/>
                <w:b w:val="0"/>
                <w:color w:val="000000" w:themeColor="text1"/>
              </w:rPr>
            </w:pPr>
            <w:r>
              <w:rPr>
                <w:rFonts w:ascii="Times New Roman" w:hAnsi="Times New Roman" w:cs="Times New Roman"/>
                <w:b w:val="0"/>
                <w:color w:val="000000" w:themeColor="text1"/>
                <w:szCs w:val="21"/>
              </w:rPr>
              <w:t>0.008</w:t>
            </w:r>
          </w:p>
        </w:tc>
      </w:tr>
    </w:tbl>
    <w:p>
      <w:pPr>
        <w:autoSpaceDE w:val="0"/>
        <w:autoSpaceDN w:val="0"/>
        <w:adjustRightInd w:val="0"/>
        <w:ind w:firstLine="480" w:firstLineChars="200"/>
        <w:jc w:val="left"/>
        <w:rPr>
          <w:color w:val="000000" w:themeColor="text1"/>
          <w:kern w:val="0"/>
          <w:sz w:val="24"/>
        </w:rPr>
      </w:pPr>
      <w:r>
        <w:rPr>
          <w:color w:val="000000" w:themeColor="text1"/>
          <w:kern w:val="0"/>
          <w:sz w:val="24"/>
        </w:rPr>
        <w:t>（</w:t>
      </w:r>
      <w:r>
        <w:rPr>
          <w:rFonts w:hint="eastAsia"/>
          <w:color w:val="000000" w:themeColor="text1"/>
          <w:kern w:val="0"/>
          <w:sz w:val="24"/>
        </w:rPr>
        <w:t>11</w:t>
      </w:r>
      <w:r>
        <w:rPr>
          <w:color w:val="000000" w:themeColor="text1"/>
          <w:kern w:val="0"/>
          <w:sz w:val="24"/>
        </w:rPr>
        <w:t>）卫生防护距离</w:t>
      </w:r>
    </w:p>
    <w:p>
      <w:pPr>
        <w:autoSpaceDE w:val="0"/>
        <w:autoSpaceDN w:val="0"/>
        <w:adjustRightInd w:val="0"/>
        <w:ind w:firstLine="480" w:firstLineChars="200"/>
        <w:jc w:val="left"/>
        <w:rPr>
          <w:color w:val="000000" w:themeColor="text1"/>
          <w:kern w:val="0"/>
          <w:sz w:val="24"/>
        </w:rPr>
      </w:pPr>
      <w:r>
        <w:rPr>
          <w:color w:val="000000" w:themeColor="text1"/>
          <w:kern w:val="0"/>
          <w:sz w:val="24"/>
        </w:rPr>
        <w:t>按照《畜禽养殖业污染防治技术规范》</w:t>
      </w:r>
      <w:r>
        <w:rPr>
          <w:rFonts w:hint="eastAsia"/>
          <w:color w:val="000000" w:themeColor="text1"/>
          <w:kern w:val="0"/>
          <w:sz w:val="24"/>
        </w:rPr>
        <w:t>（</w:t>
      </w:r>
      <w:r>
        <w:rPr>
          <w:color w:val="000000" w:themeColor="text1"/>
          <w:kern w:val="0"/>
          <w:sz w:val="24"/>
        </w:rPr>
        <w:t>HJ/T81-2001</w:t>
      </w:r>
      <w:r>
        <w:rPr>
          <w:rFonts w:hint="eastAsia"/>
          <w:color w:val="000000" w:themeColor="text1"/>
          <w:kern w:val="0"/>
          <w:sz w:val="24"/>
        </w:rPr>
        <w:t>）</w:t>
      </w:r>
      <w:r>
        <w:rPr>
          <w:color w:val="000000" w:themeColor="text1"/>
          <w:kern w:val="0"/>
          <w:sz w:val="24"/>
        </w:rPr>
        <w:t>中的要求，选址要求禁止在下列区域内建设畜禽养殖场：</w:t>
      </w:r>
    </w:p>
    <w:p>
      <w:pPr>
        <w:autoSpaceDE w:val="0"/>
        <w:autoSpaceDN w:val="0"/>
        <w:adjustRightInd w:val="0"/>
        <w:ind w:firstLine="480" w:firstLineChars="200"/>
        <w:jc w:val="left"/>
        <w:rPr>
          <w:color w:val="000000" w:themeColor="text1"/>
          <w:kern w:val="0"/>
          <w:sz w:val="24"/>
        </w:rPr>
      </w:pPr>
      <w:r>
        <w:rPr>
          <w:rFonts w:hint="eastAsia" w:ascii="宋体" w:hAnsi="宋体" w:cs="宋体"/>
          <w:color w:val="000000" w:themeColor="text1"/>
          <w:kern w:val="0"/>
          <w:sz w:val="24"/>
        </w:rPr>
        <w:t>①</w:t>
      </w:r>
      <w:r>
        <w:rPr>
          <w:color w:val="000000" w:themeColor="text1"/>
          <w:kern w:val="0"/>
          <w:sz w:val="24"/>
        </w:rPr>
        <w:t>生活饮用水水源保护区、风景名胜区、自然保护区的核心区及缓冲区；</w:t>
      </w:r>
    </w:p>
    <w:p>
      <w:pPr>
        <w:autoSpaceDE w:val="0"/>
        <w:autoSpaceDN w:val="0"/>
        <w:adjustRightInd w:val="0"/>
        <w:ind w:firstLine="480" w:firstLineChars="200"/>
        <w:jc w:val="left"/>
        <w:rPr>
          <w:color w:val="000000" w:themeColor="text1"/>
          <w:kern w:val="0"/>
          <w:sz w:val="24"/>
        </w:rPr>
      </w:pPr>
      <w:r>
        <w:rPr>
          <w:rFonts w:hint="eastAsia" w:ascii="宋体" w:hAnsi="宋体" w:cs="宋体"/>
          <w:color w:val="000000" w:themeColor="text1"/>
          <w:kern w:val="0"/>
          <w:sz w:val="24"/>
        </w:rPr>
        <w:t>②</w:t>
      </w:r>
      <w:r>
        <w:rPr>
          <w:color w:val="000000" w:themeColor="text1"/>
          <w:kern w:val="0"/>
          <w:sz w:val="24"/>
        </w:rPr>
        <w:t>城市和城镇居民区，包括文教科研区、医疗区、商业区、工业区、游览区等人口集中地区；</w:t>
      </w:r>
    </w:p>
    <w:p>
      <w:pPr>
        <w:autoSpaceDE w:val="0"/>
        <w:autoSpaceDN w:val="0"/>
        <w:adjustRightInd w:val="0"/>
        <w:ind w:firstLine="480" w:firstLineChars="200"/>
        <w:jc w:val="left"/>
        <w:rPr>
          <w:color w:val="000000" w:themeColor="text1"/>
          <w:kern w:val="0"/>
          <w:sz w:val="24"/>
        </w:rPr>
      </w:pPr>
      <w:r>
        <w:rPr>
          <w:rFonts w:hint="eastAsia" w:ascii="宋体" w:hAnsi="宋体" w:cs="宋体"/>
          <w:color w:val="000000" w:themeColor="text1"/>
          <w:kern w:val="0"/>
          <w:sz w:val="24"/>
        </w:rPr>
        <w:t>③</w:t>
      </w:r>
      <w:r>
        <w:rPr>
          <w:color w:val="000000" w:themeColor="text1"/>
          <w:kern w:val="0"/>
          <w:sz w:val="24"/>
        </w:rPr>
        <w:t>县级人民政府依法划定的禁养区域；</w:t>
      </w:r>
    </w:p>
    <w:p>
      <w:pPr>
        <w:autoSpaceDE w:val="0"/>
        <w:autoSpaceDN w:val="0"/>
        <w:adjustRightInd w:val="0"/>
        <w:ind w:firstLine="480" w:firstLineChars="200"/>
        <w:jc w:val="left"/>
        <w:rPr>
          <w:color w:val="000000" w:themeColor="text1"/>
          <w:kern w:val="0"/>
          <w:sz w:val="24"/>
        </w:rPr>
      </w:pPr>
      <w:r>
        <w:rPr>
          <w:rFonts w:hint="eastAsia" w:ascii="宋体" w:hAnsi="宋体" w:cs="宋体"/>
          <w:color w:val="000000" w:themeColor="text1"/>
          <w:kern w:val="0"/>
          <w:sz w:val="24"/>
        </w:rPr>
        <w:t>④</w:t>
      </w:r>
      <w:r>
        <w:rPr>
          <w:color w:val="000000" w:themeColor="text1"/>
          <w:kern w:val="0"/>
          <w:sz w:val="24"/>
        </w:rPr>
        <w:t>国家或地方法律、法规规定需特殊保护的其它区域；</w:t>
      </w:r>
    </w:p>
    <w:p>
      <w:pPr>
        <w:autoSpaceDE w:val="0"/>
        <w:autoSpaceDN w:val="0"/>
        <w:adjustRightInd w:val="0"/>
        <w:ind w:firstLine="480" w:firstLineChars="200"/>
        <w:jc w:val="left"/>
        <w:rPr>
          <w:color w:val="000000" w:themeColor="text1"/>
          <w:kern w:val="0"/>
          <w:sz w:val="24"/>
        </w:rPr>
      </w:pPr>
      <w:r>
        <w:rPr>
          <w:rFonts w:hint="eastAsia" w:ascii="宋体" w:hAnsi="宋体" w:cs="宋体"/>
          <w:color w:val="000000" w:themeColor="text1"/>
          <w:kern w:val="0"/>
          <w:sz w:val="24"/>
        </w:rPr>
        <w:t>⑤</w:t>
      </w:r>
      <w:r>
        <w:rPr>
          <w:color w:val="000000" w:themeColor="text1"/>
          <w:kern w:val="0"/>
          <w:sz w:val="24"/>
        </w:rPr>
        <w:t>新建改建、扩建的畜禽养殖场选址应避开以上规定的禁建区域，在禁建区域附近建设的，应设在以上规定的禁建区域常年主导风向的下风向或侧风向处，场界与禁建区域边界的最小距离不得小于500m。</w:t>
      </w:r>
    </w:p>
    <w:p>
      <w:pPr>
        <w:autoSpaceDE w:val="0"/>
        <w:autoSpaceDN w:val="0"/>
        <w:adjustRightInd w:val="0"/>
        <w:ind w:firstLine="480" w:firstLineChars="200"/>
        <w:jc w:val="left"/>
        <w:rPr>
          <w:color w:val="000000" w:themeColor="text1"/>
          <w:kern w:val="0"/>
          <w:sz w:val="24"/>
        </w:rPr>
      </w:pPr>
      <w:r>
        <w:rPr>
          <w:color w:val="000000" w:themeColor="text1"/>
          <w:kern w:val="0"/>
          <w:sz w:val="24"/>
        </w:rPr>
        <w:t>本项目属于新建畜禽养殖场，选址在</w:t>
      </w:r>
      <w:r>
        <w:rPr>
          <w:rFonts w:hint="eastAsia"/>
          <w:color w:val="000000" w:themeColor="text1"/>
          <w:kern w:val="0"/>
          <w:sz w:val="24"/>
        </w:rPr>
        <w:t>石头</w:t>
      </w:r>
      <w:r>
        <w:rPr>
          <w:color w:val="000000" w:themeColor="text1"/>
          <w:kern w:val="0"/>
          <w:sz w:val="24"/>
        </w:rPr>
        <w:t>村</w:t>
      </w:r>
      <w:r>
        <w:rPr>
          <w:rFonts w:hint="eastAsia"/>
          <w:color w:val="000000" w:themeColor="text1"/>
          <w:kern w:val="0"/>
          <w:sz w:val="24"/>
        </w:rPr>
        <w:t>东南</w:t>
      </w:r>
      <w:r>
        <w:rPr>
          <w:color w:val="000000" w:themeColor="text1"/>
          <w:kern w:val="0"/>
          <w:sz w:val="24"/>
        </w:rPr>
        <w:t>侧</w:t>
      </w:r>
      <w:r>
        <w:rPr>
          <w:rFonts w:hint="eastAsia"/>
          <w:color w:val="000000" w:themeColor="text1"/>
          <w:kern w:val="0"/>
          <w:sz w:val="24"/>
        </w:rPr>
        <w:t>543</w:t>
      </w:r>
      <w:r>
        <w:rPr>
          <w:color w:val="000000" w:themeColor="text1"/>
          <w:kern w:val="0"/>
          <w:sz w:val="24"/>
        </w:rPr>
        <w:t>m处。综合考虑《畜禽养殖业污染防治技术规范》（HJ/T81-2001）中的要求，本项目卫生防护距离确定为500m。项目卫生防护距离内无居民点分布。</w:t>
      </w:r>
    </w:p>
    <w:p>
      <w:pPr>
        <w:ind w:firstLine="480" w:firstLineChars="200"/>
        <w:rPr>
          <w:color w:val="000000" w:themeColor="text1"/>
          <w:sz w:val="24"/>
        </w:rPr>
      </w:pPr>
      <w:r>
        <w:rPr>
          <w:color w:val="000000" w:themeColor="text1"/>
          <w:sz w:val="24"/>
        </w:rPr>
        <w:t>（</w:t>
      </w:r>
      <w:r>
        <w:rPr>
          <w:rFonts w:hint="eastAsia"/>
          <w:color w:val="000000" w:themeColor="text1"/>
          <w:sz w:val="24"/>
        </w:rPr>
        <w:t>12</w:t>
      </w:r>
      <w:r>
        <w:rPr>
          <w:color w:val="000000" w:themeColor="text1"/>
          <w:sz w:val="24"/>
        </w:rPr>
        <w:t>）油烟</w:t>
      </w:r>
    </w:p>
    <w:p>
      <w:pPr>
        <w:ind w:firstLine="480" w:firstLineChars="200"/>
        <w:rPr>
          <w:color w:val="000000" w:themeColor="text1"/>
          <w:sz w:val="24"/>
        </w:rPr>
      </w:pPr>
      <w:r>
        <w:rPr>
          <w:color w:val="000000" w:themeColor="text1"/>
          <w:sz w:val="24"/>
        </w:rPr>
        <w:t>食堂安装国家认证合格的油烟净化设备并设置内置排烟道，餐厨油烟废气可达到《饮食业油烟排放标准（试行）》（GB18483-2001）标准，油烟对周边的环境影响较小。</w:t>
      </w:r>
    </w:p>
    <w:p>
      <w:pPr>
        <w:ind w:firstLine="480" w:firstLineChars="200"/>
        <w:rPr>
          <w:color w:val="000000" w:themeColor="text1"/>
          <w:sz w:val="24"/>
        </w:rPr>
      </w:pPr>
      <w:r>
        <w:rPr>
          <w:color w:val="000000" w:themeColor="text1"/>
          <w:sz w:val="24"/>
        </w:rPr>
        <w:t>（</w:t>
      </w:r>
      <w:r>
        <w:rPr>
          <w:rFonts w:hint="eastAsia"/>
          <w:color w:val="000000" w:themeColor="text1"/>
          <w:sz w:val="24"/>
        </w:rPr>
        <w:t>13</w:t>
      </w:r>
      <w:r>
        <w:rPr>
          <w:color w:val="000000" w:themeColor="text1"/>
          <w:sz w:val="24"/>
        </w:rPr>
        <w:t>）</w:t>
      </w:r>
      <w:r>
        <w:rPr>
          <w:rFonts w:hint="eastAsia"/>
          <w:color w:val="000000" w:themeColor="text1"/>
          <w:sz w:val="24"/>
        </w:rPr>
        <w:t>沼气</w:t>
      </w:r>
      <w:r>
        <w:rPr>
          <w:color w:val="000000" w:themeColor="text1"/>
          <w:sz w:val="24"/>
        </w:rPr>
        <w:t>发电机废气</w:t>
      </w:r>
    </w:p>
    <w:p>
      <w:pPr>
        <w:ind w:firstLine="480" w:firstLineChars="200"/>
        <w:rPr>
          <w:color w:val="000000" w:themeColor="text1"/>
          <w:sz w:val="24"/>
        </w:rPr>
      </w:pPr>
      <w:r>
        <w:rPr>
          <w:color w:val="000000" w:themeColor="text1"/>
          <w:sz w:val="24"/>
        </w:rPr>
        <w:t>项目设置一台</w:t>
      </w:r>
      <w:r>
        <w:rPr>
          <w:rFonts w:hint="eastAsia"/>
          <w:color w:val="000000" w:themeColor="text1"/>
          <w:sz w:val="24"/>
        </w:rPr>
        <w:t>1</w:t>
      </w:r>
      <w:r>
        <w:rPr>
          <w:color w:val="000000" w:themeColor="text1"/>
          <w:sz w:val="24"/>
        </w:rPr>
        <w:t>00kW的</w:t>
      </w:r>
      <w:r>
        <w:rPr>
          <w:rFonts w:hint="eastAsia"/>
          <w:color w:val="000000" w:themeColor="text1"/>
          <w:sz w:val="24"/>
        </w:rPr>
        <w:t>沼气</w:t>
      </w:r>
      <w:r>
        <w:rPr>
          <w:color w:val="000000" w:themeColor="text1"/>
          <w:sz w:val="24"/>
        </w:rPr>
        <w:t>发电机，沼气发电机房设置于配电房间内，沼气属于清洁能源，发电机使用时产生的污染物主要为NOx、SO</w:t>
      </w:r>
      <w:r>
        <w:rPr>
          <w:color w:val="000000" w:themeColor="text1"/>
          <w:sz w:val="24"/>
          <w:vertAlign w:val="subscript"/>
        </w:rPr>
        <w:t>2</w:t>
      </w:r>
      <w:r>
        <w:rPr>
          <w:color w:val="000000" w:themeColor="text1"/>
          <w:sz w:val="24"/>
        </w:rPr>
        <w:t>，沼气发电机废气通过1根15m高排气筒放，SO</w:t>
      </w:r>
      <w:r>
        <w:rPr>
          <w:color w:val="000000" w:themeColor="text1"/>
          <w:sz w:val="24"/>
          <w:vertAlign w:val="subscript"/>
        </w:rPr>
        <w:t>2</w:t>
      </w:r>
      <w:r>
        <w:rPr>
          <w:rFonts w:hint="eastAsia"/>
          <w:color w:val="000000" w:themeColor="text1"/>
          <w:sz w:val="24"/>
        </w:rPr>
        <w:t>排放浓度为4.82</w:t>
      </w:r>
      <w:r>
        <w:rPr>
          <w:color w:val="000000" w:themeColor="text1"/>
          <w:sz w:val="24"/>
        </w:rPr>
        <w:t>mg/m</w:t>
      </w:r>
      <w:r>
        <w:rPr>
          <w:color w:val="000000" w:themeColor="text1"/>
          <w:sz w:val="24"/>
          <w:vertAlign w:val="superscript"/>
        </w:rPr>
        <w:t>3</w:t>
      </w:r>
      <w:r>
        <w:rPr>
          <w:rFonts w:hint="eastAsia"/>
          <w:color w:val="000000" w:themeColor="text1"/>
          <w:sz w:val="24"/>
        </w:rPr>
        <w:t>，</w:t>
      </w:r>
      <w:r>
        <w:rPr>
          <w:color w:val="000000" w:themeColor="text1"/>
          <w:sz w:val="24"/>
        </w:rPr>
        <w:t>NOx</w:t>
      </w:r>
      <w:r>
        <w:rPr>
          <w:rFonts w:hint="eastAsia"/>
          <w:color w:val="000000" w:themeColor="text1"/>
          <w:sz w:val="24"/>
        </w:rPr>
        <w:t>排放浓度为9.64</w:t>
      </w:r>
      <w:r>
        <w:rPr>
          <w:color w:val="000000" w:themeColor="text1"/>
          <w:sz w:val="24"/>
        </w:rPr>
        <w:t>mg/m</w:t>
      </w:r>
      <w:r>
        <w:rPr>
          <w:color w:val="000000" w:themeColor="text1"/>
          <w:sz w:val="24"/>
          <w:vertAlign w:val="superscript"/>
        </w:rPr>
        <w:t>3</w:t>
      </w:r>
      <w:r>
        <w:rPr>
          <w:rFonts w:hint="eastAsia"/>
          <w:color w:val="000000" w:themeColor="text1"/>
          <w:sz w:val="24"/>
        </w:rPr>
        <w:t>，</w:t>
      </w:r>
      <w:r>
        <w:rPr>
          <w:color w:val="000000" w:themeColor="text1"/>
          <w:sz w:val="24"/>
        </w:rPr>
        <w:t>能够满足《火电厂大气污染物排放标准》（GB13223-2011）表1相关标准，即SO</w:t>
      </w:r>
      <w:r>
        <w:rPr>
          <w:color w:val="000000" w:themeColor="text1"/>
          <w:sz w:val="24"/>
          <w:vertAlign w:val="subscript"/>
        </w:rPr>
        <w:t>2</w:t>
      </w:r>
      <w:r>
        <w:rPr>
          <w:color w:val="000000" w:themeColor="text1"/>
          <w:sz w:val="24"/>
        </w:rPr>
        <w:t>≤35 mg/m</w:t>
      </w:r>
      <w:r>
        <w:rPr>
          <w:color w:val="000000" w:themeColor="text1"/>
          <w:sz w:val="24"/>
          <w:vertAlign w:val="superscript"/>
        </w:rPr>
        <w:t>3</w:t>
      </w:r>
      <w:r>
        <w:rPr>
          <w:color w:val="000000" w:themeColor="text1"/>
          <w:sz w:val="24"/>
        </w:rPr>
        <w:t>、NO</w:t>
      </w:r>
      <w:r>
        <w:rPr>
          <w:color w:val="000000" w:themeColor="text1"/>
          <w:sz w:val="24"/>
          <w:vertAlign w:val="subscript"/>
        </w:rPr>
        <w:t>X</w:t>
      </w:r>
      <w:r>
        <w:rPr>
          <w:color w:val="000000" w:themeColor="text1"/>
          <w:sz w:val="24"/>
        </w:rPr>
        <w:t>≤50mg/m</w:t>
      </w:r>
      <w:r>
        <w:rPr>
          <w:color w:val="000000" w:themeColor="text1"/>
          <w:sz w:val="24"/>
          <w:vertAlign w:val="superscript"/>
        </w:rPr>
        <w:t>3</w:t>
      </w:r>
      <w:r>
        <w:rPr>
          <w:rFonts w:hint="eastAsia"/>
          <w:color w:val="000000" w:themeColor="text1"/>
          <w:sz w:val="24"/>
        </w:rPr>
        <w:t>，</w:t>
      </w:r>
      <w:r>
        <w:rPr>
          <w:color w:val="000000" w:themeColor="text1"/>
          <w:sz w:val="24"/>
        </w:rPr>
        <w:t>对环境影响小。</w:t>
      </w:r>
    </w:p>
    <w:p>
      <w:pPr>
        <w:pStyle w:val="4"/>
        <w:spacing w:before="0" w:after="0" w:line="360" w:lineRule="auto"/>
        <w:rPr>
          <w:color w:val="000000" w:themeColor="text1"/>
        </w:rPr>
      </w:pPr>
      <w:bookmarkStart w:id="390" w:name="_Toc76439304"/>
      <w:bookmarkStart w:id="391" w:name="_Toc504403852"/>
      <w:bookmarkStart w:id="392" w:name="_Toc141752931"/>
      <w:bookmarkStart w:id="393" w:name="_Toc510547327"/>
      <w:r>
        <w:rPr>
          <w:color w:val="000000" w:themeColor="text1"/>
        </w:rPr>
        <w:t>5.2.2地表水环境影响分析</w:t>
      </w:r>
      <w:bookmarkEnd w:id="390"/>
      <w:bookmarkEnd w:id="391"/>
      <w:bookmarkEnd w:id="392"/>
      <w:bookmarkEnd w:id="393"/>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（1）污水处理方案</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根据项目产生废水的特点，以及《畜禽养殖业污染防治技术规范》（HJ/T81-2001）要求：畜禽养殖过程中产生的污水应坚持种养结合的原则，经无害化处理后，尽量充分还田，实现污水资源化利用</w:t>
      </w:r>
      <w:r>
        <w:rPr>
          <w:rFonts w:hint="eastAsia" w:ascii="Times New Roman" w:hAnsi="Times New Roman" w:cs="Times New Roman"/>
          <w:color w:val="000000" w:themeColor="text1"/>
        </w:rPr>
        <w:t>；进行沼气发酵，对沼渣、沼液应尽可能实现综合利用，同时要避免产生新的污染，沼渣及时清运至粪便贮存场所，沼液尽可能进行还田利用</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据建设单位提供资料，建设单位拟计划采用《畜禽养殖业污染治理工程技术规范》（HJ497-2009）中模式</w:t>
      </w:r>
      <w:r>
        <w:rPr>
          <w:rFonts w:hint="eastAsia" w:ascii="宋体" w:hAnsi="宋体" w:cs="宋体"/>
          <w:color w:val="000000" w:themeColor="text1"/>
        </w:rPr>
        <w:t>Ⅰ</w:t>
      </w:r>
      <w:r>
        <w:rPr>
          <w:rFonts w:ascii="Times New Roman" w:hAnsi="Times New Roman" w:cs="Times New Roman"/>
          <w:color w:val="000000" w:themeColor="text1"/>
        </w:rPr>
        <w:t>处理方式对项目养殖场废水进行综合处理，即污水经过预处理后进行完全混合式厌氧反应发酵(CSTR)</w:t>
      </w:r>
      <w:r>
        <w:rPr>
          <w:rFonts w:hint="eastAsia" w:ascii="Times New Roman" w:hAnsi="Times New Roman" w:cs="Times New Roman"/>
          <w:color w:val="000000" w:themeColor="text1"/>
        </w:rPr>
        <w:t>，沼液一部分用于种植区施肥，剩余部分进入异位发酵车间发酵处理</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项目采取“雨污分流”制，生活污水经项目区内隔油池处理后与猪尿、猪舍冲洗水、消毒废水一并处理，废水处理工艺拟采用预处理完全混合式厌氧反应发酵(CSTR)处理工艺，处理后</w:t>
      </w:r>
      <w:r>
        <w:rPr>
          <w:rFonts w:hint="eastAsia" w:ascii="Times New Roman" w:hAnsi="Times New Roman" w:cs="Times New Roman"/>
          <w:color w:val="000000" w:themeColor="text1"/>
        </w:rPr>
        <w:t>沼液一部分用于种植区施肥，剩余部分进入异位发酵车间发酵处理</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（2）处理规模</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本项目产生的废水量为</w:t>
      </w:r>
      <w:r>
        <w:rPr>
          <w:rFonts w:hint="eastAsia" w:ascii="Times New Roman" w:hAnsi="Times New Roman" w:cs="Times New Roman"/>
          <w:color w:val="000000" w:themeColor="text1"/>
        </w:rPr>
        <w:t>63.2</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/d</w:t>
      </w:r>
      <w:r>
        <w:rPr>
          <w:rFonts w:hint="eastAsia" w:ascii="Times New Roman" w:hAnsi="Times New Roman" w:cs="Times New Roman"/>
          <w:color w:val="000000" w:themeColor="text1"/>
        </w:rPr>
        <w:t>，中温厌氧消化罐处理能力为70</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/d</w:t>
      </w:r>
      <w:r>
        <w:rPr>
          <w:rFonts w:hint="eastAsia" w:ascii="Times New Roman" w:hAnsi="Times New Roman" w:cs="Times New Roman"/>
          <w:color w:val="000000" w:themeColor="text1"/>
        </w:rPr>
        <w:t>，处理能力满足项目排水需求</w:t>
      </w:r>
      <w:r>
        <w:rPr>
          <w:rFonts w:ascii="Times New Roman" w:hAnsi="Times New Roman" w:cs="Times New Roman"/>
          <w:color w:val="000000" w:themeColor="text1"/>
        </w:rPr>
        <w:t>。</w:t>
      </w:r>
      <w:r>
        <w:rPr>
          <w:rFonts w:hint="eastAsia" w:ascii="Times New Roman" w:hAnsi="Times New Roman" w:cs="Times New Roman"/>
          <w:color w:val="000000" w:themeColor="text1"/>
        </w:rPr>
        <w:t>厌氧反应罐停留时间为21d，厌氧罐容积为1500m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，厌氧罐容积满足停留时间要求</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沼液储存池容积为800m</w:t>
      </w:r>
      <w:r>
        <w:rPr>
          <w:rFonts w:hint="eastAsia" w:ascii="Times New Roman" w:hAnsi="Times New Roman" w:cs="Times New Roman"/>
          <w:color w:val="000000" w:themeColor="text1"/>
          <w:vertAlign w:val="superscript"/>
        </w:rPr>
        <w:t>3</w:t>
      </w:r>
      <w:r>
        <w:rPr>
          <w:rFonts w:ascii="Times New Roman" w:hAnsi="Times New Roman" w:cs="Times New Roman"/>
          <w:color w:val="000000" w:themeColor="text1"/>
          <w:szCs w:val="21"/>
        </w:rPr>
        <w:t>，可至少储存</w:t>
      </w:r>
      <w:r>
        <w:rPr>
          <w:rFonts w:hint="eastAsia" w:ascii="Times New Roman" w:hAnsi="Times New Roman" w:cs="Times New Roman"/>
          <w:color w:val="000000" w:themeColor="text1"/>
          <w:szCs w:val="21"/>
        </w:rPr>
        <w:t>12</w:t>
      </w:r>
      <w:r>
        <w:rPr>
          <w:rFonts w:ascii="Times New Roman" w:hAnsi="Times New Roman" w:cs="Times New Roman"/>
          <w:color w:val="000000" w:themeColor="text1"/>
          <w:szCs w:val="21"/>
        </w:rPr>
        <w:t>d的污水量。</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w:t>
      </w:r>
      <w:r>
        <w:rPr>
          <w:rFonts w:hint="eastAsia" w:ascii="Times New Roman" w:hAnsi="Times New Roman" w:cs="Times New Roman"/>
          <w:color w:val="000000" w:themeColor="text1"/>
        </w:rPr>
        <w:t>3</w:t>
      </w:r>
      <w:r>
        <w:rPr>
          <w:rFonts w:ascii="Times New Roman" w:hAnsi="Times New Roman" w:cs="Times New Roman"/>
          <w:color w:val="000000" w:themeColor="text1"/>
        </w:rPr>
        <w:t>）</w:t>
      </w:r>
      <w:r>
        <w:rPr>
          <w:rFonts w:hint="eastAsia" w:ascii="Times New Roman" w:hAnsi="Times New Roman" w:cs="Times New Roman"/>
          <w:color w:val="000000" w:themeColor="text1"/>
        </w:rPr>
        <w:t>异位发酵可行性分析</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①工艺可行性</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异位发酵床工艺已十余年， 并在福建、江苏、江西、浙江、东三省等沿海发达地区得到推广普及。该工艺为湖泊生态环境保护系列技术指南中的《畜禽养殖污染发酵床治理工程技术指南（试行）》中推荐的“厌氧沼气加异位发酵床工程控制技术”，该工艺具有以下优点：</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a.零排放</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养殖场无需设置污水排污口，可真正实现的零污水排放。</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b.无蚊蝇、阻断病原菌传播</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通过洛东U 洁菌持续发酵使垫料维持高温（60-78℃)，有害病原菌及蚊蝇虫卵在垫料中均被灭活、无法生存。</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c. 实现废弃物资源化利用</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粪污经异位发酵床处理后，可全部转化为固态有机肥原料，且各项检测因子均能满足《有机肥料》（NY525-2012）规定的技术要求。</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②类似案例</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a.莆田市南山达盛养殖有限公司</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存栏3000头，猪场粪污微生物异位发酵舍建设面积670m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，2014年投入运行，于2015 年5 月通过环评验收，并获得排污许可证，该项目的成功运行得到莆田市相关政府部门高度认可。</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b.福清市畜牧推广</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2015年，福清农业局根据市政府要求。组织各镇（街）、农场对本辖区上报的拟保留猪场进行核查，经公示无异议后，报市政府确认了70家拟保留猪场。从2016年起，该局对保留下来的畜禽养殖场全部组织实施标准化改造，2016年应改造的59家猪场中有26 家采取了异位发酵床处理方案，并于10月16日通过了福清市农业局组织的实施方案项目评审。</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c.江山市石明畜业有限公司</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江山市石明畜业有限公司主要养殖生猪，存栏生猪5500头，年出栏10000头，采用“生猪养殖+异位发酵+有机肥+种植（果苗茶牧草）”模式，建有异位发酵车间1560m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，每天处理粪污水50t，实现污水零排放。</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d.福建晟丰农牧发展有限公司</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福建晟丰农牧发展有限公司主要养殖生猪，年出栏10000头，采用“生猪养殖+沼气发酵+异位发酵+有机肥”模式，2017年4月将原有粪污处理工艺升级改造为异位发酵处理系统，保留沼气发酵工序，建有异位发酵车间1500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，每天处理粪污水33t，实现污水零排放。项目与2017年12月进行验收。</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③规模可行性</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根据异位发酵床工艺技术要求，发酵床规模应根据猪只按存栏量，按每头猪（成年猪）0.4~0.6m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规模配置发酵床。本项目存栏猪10000头，按每头猪配置发酵床规模0.4m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计算，应配置4000m</w:t>
      </w:r>
      <w:r>
        <w:rPr>
          <w:rFonts w:hint="eastAsia" w:ascii="Times New Roman" w:hAnsi="Times New Roman" w:cs="Times New Roman"/>
          <w:color w:val="000000" w:themeColor="text1"/>
          <w:vertAlign w:val="superscript"/>
        </w:rPr>
        <w:t xml:space="preserve">3 </w:t>
      </w:r>
      <w:r>
        <w:rPr>
          <w:rFonts w:hint="eastAsia" w:ascii="Times New Roman" w:hAnsi="Times New Roman" w:cs="Times New Roman"/>
          <w:color w:val="000000" w:themeColor="text1"/>
        </w:rPr>
        <w:t>规模的发酵床。另根据异位发酵床工艺技术要求，每立方发酵基质喷淋粪污量不超过30kg/d ，项目建成后每天产生粪污量为76.34t（沼液63.2t、猪粪10.7t、饲料渣0.3t、沼渣2.14t），则至少应需要基质2545m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（发酵床规模应大于此规模）。</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本项目发酵车间设发酵槽5条，</w:t>
      </w:r>
      <w:r>
        <w:rPr>
          <w:rFonts w:ascii="Times New Roman" w:hAnsi="Times New Roman" w:cs="Times New Roman"/>
          <w:color w:val="000000" w:themeColor="text1"/>
        </w:rPr>
        <w:t>单条长</w:t>
      </w:r>
      <w:r>
        <w:rPr>
          <w:rFonts w:hint="eastAsia" w:ascii="Times New Roman" w:hAnsi="Times New Roman" w:cs="Times New Roman"/>
          <w:color w:val="000000" w:themeColor="text1"/>
        </w:rPr>
        <w:t>10</w:t>
      </w:r>
      <w:r>
        <w:rPr>
          <w:rFonts w:ascii="Times New Roman" w:hAnsi="Times New Roman" w:cs="Times New Roman"/>
          <w:color w:val="000000" w:themeColor="text1"/>
        </w:rPr>
        <w:t>0m×宽</w:t>
      </w:r>
      <w:r>
        <w:rPr>
          <w:rFonts w:hint="eastAsia" w:ascii="Times New Roman" w:hAnsi="Times New Roman" w:cs="Times New Roman"/>
          <w:color w:val="000000" w:themeColor="text1"/>
        </w:rPr>
        <w:t>5</w:t>
      </w:r>
      <w:r>
        <w:rPr>
          <w:rFonts w:ascii="Times New Roman" w:hAnsi="Times New Roman" w:cs="Times New Roman"/>
          <w:color w:val="000000" w:themeColor="text1"/>
        </w:rPr>
        <w:t>m×深1.65m</w:t>
      </w:r>
      <w:r>
        <w:rPr>
          <w:rFonts w:hint="eastAsia" w:ascii="Times New Roman" w:hAnsi="Times New Roman" w:cs="Times New Roman"/>
          <w:color w:val="000000" w:themeColor="text1"/>
        </w:rPr>
        <w:t>，合计发酵床规模为4125m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，其规模大于理论规模4000m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，因此完全可满足本项目需要。</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根据环境保护部发布的“关于印发《"十二五"主要污染物总量减排核算细则》的通知”文件中的规定设计，一般情况下，每10头猪（出栏）粪便堆场所所需容积约为1m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。项目年出栏生猪25000头，则项目发酵车间发酵槽容积不得小于2500m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。项目单条发酵槽容积为825m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，工设置发酵床5套，总容积为4125m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，发酵槽总容积满足“关于印发《"十二五"主要污染物总量减排核算细则》的通知”文件要求。</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w:t>
      </w:r>
      <w:r>
        <w:rPr>
          <w:rFonts w:hint="eastAsia" w:ascii="Times New Roman" w:hAnsi="Times New Roman" w:cs="Times New Roman"/>
          <w:color w:val="000000" w:themeColor="text1"/>
        </w:rPr>
        <w:t>4</w:t>
      </w:r>
      <w:r>
        <w:rPr>
          <w:rFonts w:ascii="Times New Roman" w:hAnsi="Times New Roman" w:cs="Times New Roman"/>
          <w:color w:val="000000" w:themeColor="text1"/>
        </w:rPr>
        <w:t>）</w:t>
      </w:r>
      <w:r>
        <w:rPr>
          <w:rFonts w:hint="eastAsia" w:ascii="Times New Roman" w:hAnsi="Times New Roman" w:cs="Times New Roman"/>
          <w:color w:val="000000" w:themeColor="text1"/>
        </w:rPr>
        <w:t>沼液施肥</w:t>
      </w:r>
      <w:r>
        <w:rPr>
          <w:rFonts w:ascii="Times New Roman" w:hAnsi="Times New Roman" w:cs="Times New Roman"/>
          <w:color w:val="000000" w:themeColor="text1"/>
        </w:rPr>
        <w:t>可行性</w:t>
      </w:r>
    </w:p>
    <w:p>
      <w:pPr>
        <w:pStyle w:val="132"/>
        <w:ind w:firstLine="480"/>
        <w:rPr>
          <w:rFonts w:ascii="宋体" w:hAnsi="宋体" w:cs="宋体"/>
          <w:color w:val="000000" w:themeColor="text1"/>
        </w:rPr>
      </w:pPr>
      <w:r>
        <w:rPr>
          <w:rFonts w:hint="eastAsia"/>
          <w:color w:val="000000" w:themeColor="text1"/>
        </w:rPr>
        <w:t>本项目采取“种养结合”方式，养殖场配套种植区，种</w:t>
      </w:r>
      <w:r>
        <w:rPr>
          <w:rFonts w:ascii="Times New Roman" w:hAnsi="Times New Roman" w:cs="Times New Roman"/>
          <w:color w:val="000000" w:themeColor="text1"/>
        </w:rPr>
        <w:t>植区占地面积154000m</w:t>
      </w:r>
      <w:r>
        <w:rPr>
          <w:rFonts w:ascii="Times New Roman" w:hAnsi="Times New Roman" w:cs="Times New Roman"/>
          <w:color w:val="000000" w:themeColor="text1"/>
          <w:vertAlign w:val="superscript"/>
        </w:rPr>
        <w:t>2</w:t>
      </w:r>
      <w:r>
        <w:rPr>
          <w:rFonts w:hint="eastAsia"/>
          <w:color w:val="000000" w:themeColor="text1"/>
        </w:rPr>
        <w:t>（231亩）。种植区分布在项目养殖场南侧，租用现有旱地进行种植，主要种植果树，果树施肥利用项目沼气工程产生的沼液，实现种养结合、生态循环。</w:t>
      </w:r>
    </w:p>
    <w:p>
      <w:pPr>
        <w:pStyle w:val="132"/>
        <w:ind w:firstLine="480"/>
        <w:rPr>
          <w:rFonts w:ascii="宋体" w:hAnsi="宋体" w:cs="宋体"/>
          <w:color w:val="000000" w:themeColor="text1"/>
        </w:rPr>
      </w:pPr>
      <w:r>
        <w:rPr>
          <w:rFonts w:hint="eastAsia" w:ascii="宋体" w:hAnsi="宋体" w:cs="宋体"/>
          <w:color w:val="000000" w:themeColor="text1"/>
        </w:rPr>
        <w:t>①沼液施肥可行性</w:t>
      </w:r>
    </w:p>
    <w:p>
      <w:pPr>
        <w:pStyle w:val="132"/>
        <w:ind w:firstLine="480"/>
        <w:rPr>
          <w:rFonts w:ascii="宋体" w:hAnsi="宋体" w:cs="宋体"/>
          <w:color w:val="000000" w:themeColor="text1"/>
        </w:rPr>
      </w:pPr>
      <w:r>
        <w:rPr>
          <w:rFonts w:hint="eastAsia" w:ascii="Times New Roman" w:hAnsi="Times New Roman" w:cs="Times New Roman"/>
          <w:color w:val="000000" w:themeColor="text1"/>
        </w:rPr>
        <w:t>《畜禽养殖业污染治理工程技术规范》（HJ497-2009）规定，分离的固体废弃物运至堆粪场堆肥腐化后形成有机肥还田，沼液一部分用于种植区施肥，另一部分进入异位发酵车间生产有机肥。</w:t>
      </w:r>
    </w:p>
    <w:p>
      <w:pPr>
        <w:pStyle w:val="132"/>
        <w:ind w:firstLine="480"/>
        <w:rPr>
          <w:rFonts w:ascii="宋体" w:hAnsi="宋体" w:cs="宋体"/>
          <w:color w:val="000000" w:themeColor="text1"/>
        </w:rPr>
      </w:pPr>
      <w:r>
        <w:rPr>
          <w:rFonts w:hint="eastAsia" w:ascii="宋体" w:hAnsi="宋体" w:cs="宋体"/>
          <w:color w:val="000000" w:themeColor="text1"/>
        </w:rPr>
        <w:t>沼气池发酵过程中，发酵料液中的可溶物主要由分子量不等的有机物及各种离子组成。沼渣、沼液中含有氮、磷、钾等营养元素，以及氨基酸、维生素、蛋白质、赤霉素、生长素、糖类、核酸等对作物及畜禽的生长发育有调控作用“生理活性物质”，还含有钙、磷、铁、锌、钼等刺激作物发芽和生长的离子。</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为避免出现废水浓度过高发生烧苗和情况，沼液施用量须根据农作物种类、种植方式考虑。参考《沼气工程</w:t>
      </w:r>
      <w:r>
        <w:rPr>
          <w:rFonts w:ascii="Times New Roman" w:hAnsi="Times New Roman" w:cs="Times New Roman"/>
          <w:color w:val="000000" w:themeColor="text1"/>
        </w:rPr>
        <w:t>沼液沼渣后处理技术规范</w:t>
      </w:r>
      <w:r>
        <w:rPr>
          <w:rFonts w:hint="eastAsia" w:ascii="宋体" w:hAnsi="宋体" w:cs="宋体"/>
          <w:color w:val="000000" w:themeColor="text1"/>
        </w:rPr>
        <w:t>》</w:t>
      </w:r>
      <w:r>
        <w:rPr>
          <w:rFonts w:hint="eastAsia" w:ascii="Times New Roman" w:hAnsi="Times New Roman" w:cs="Times New Roman"/>
          <w:color w:val="000000" w:themeColor="text1"/>
        </w:rPr>
        <w:t>（</w:t>
      </w:r>
      <w:r>
        <w:rPr>
          <w:rFonts w:ascii="Times New Roman" w:hAnsi="Times New Roman" w:cs="Times New Roman"/>
          <w:color w:val="000000" w:themeColor="text1"/>
        </w:rPr>
        <w:t>NY/T 2374-2013</w:t>
      </w:r>
      <w:r>
        <w:rPr>
          <w:rFonts w:hint="eastAsia" w:ascii="Times New Roman" w:hAnsi="Times New Roman" w:cs="Times New Roman"/>
          <w:color w:val="000000" w:themeColor="text1"/>
        </w:rPr>
        <w:t>），沼液追肥施用量为18000kg/hm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~32500kg/hm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，则种植区平均追肥用</w:t>
      </w:r>
      <w:r>
        <w:rPr>
          <w:rFonts w:ascii="Times New Roman" w:hAnsi="Times New Roman" w:cs="Times New Roman"/>
          <w:color w:val="000000" w:themeColor="text1"/>
        </w:rPr>
        <w:t>量为</w:t>
      </w:r>
      <w:r>
        <w:rPr>
          <w:rFonts w:hint="eastAsia" w:ascii="Times New Roman" w:hAnsi="Times New Roman" w:cs="Times New Roman"/>
          <w:color w:val="000000" w:themeColor="text1"/>
        </w:rPr>
        <w:t>380</w:t>
      </w:r>
      <w:r>
        <w:rPr>
          <w:rFonts w:ascii="Times New Roman" w:hAnsi="Times New Roman" w:cs="Times New Roman"/>
          <w:color w:val="000000" w:themeColor="text1"/>
        </w:rPr>
        <w:t>t/</w:t>
      </w:r>
      <w:r>
        <w:rPr>
          <w:rFonts w:hint="eastAsia" w:ascii="Times New Roman" w:hAnsi="Times New Roman" w:cs="Times New Roman"/>
          <w:color w:val="000000" w:themeColor="text1"/>
        </w:rPr>
        <w:t>次（约380</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hint="eastAsia" w:ascii="Times New Roman" w:hAnsi="Times New Roman" w:cs="Times New Roman"/>
          <w:color w:val="000000" w:themeColor="text1"/>
        </w:rPr>
        <w:t xml:space="preserve"> /次）。项目种植区果树追肥频次按照2次/年计算，则平均追肥用量为760 t/a（约760</w:t>
      </w:r>
      <w:r>
        <w:rPr>
          <w:rFonts w:ascii="Times New Roman" w:hAnsi="Times New Roman" w:cs="Times New Roman"/>
          <w:color w:val="000000" w:themeColor="text1"/>
        </w:rPr>
        <w:t xml:space="preserve"> m</w:t>
      </w:r>
      <w:r>
        <w:rPr>
          <w:rFonts w:ascii="Times New Roman" w:hAnsi="Times New Roman" w:cs="Times New Roman"/>
          <w:color w:val="000000" w:themeColor="text1"/>
          <w:vertAlign w:val="superscript"/>
        </w:rPr>
        <w:t>3</w:t>
      </w:r>
      <w:r>
        <w:rPr>
          <w:rFonts w:hint="eastAsia" w:ascii="Times New Roman" w:hAnsi="Times New Roman" w:cs="Times New Roman"/>
          <w:color w:val="000000" w:themeColor="text1"/>
        </w:rPr>
        <w:t>/a）。</w:t>
      </w:r>
    </w:p>
    <w:p>
      <w:pPr>
        <w:pStyle w:val="132"/>
        <w:ind w:firstLine="480"/>
        <w:rPr>
          <w:rFonts w:ascii="宋体" w:hAnsi="宋体" w:cs="宋体"/>
          <w:color w:val="000000" w:themeColor="text1"/>
        </w:rPr>
      </w:pPr>
      <w:r>
        <w:rPr>
          <w:rFonts w:hint="eastAsia" w:ascii="宋体" w:hAnsi="宋体" w:cs="宋体"/>
          <w:color w:val="000000" w:themeColor="text1"/>
        </w:rPr>
        <w:t>②</w:t>
      </w:r>
      <w:r>
        <w:rPr>
          <w:rFonts w:hint="eastAsia" w:ascii="Times New Roman" w:hAnsi="Times New Roman" w:cs="Times New Roman"/>
          <w:color w:val="000000" w:themeColor="text1"/>
        </w:rPr>
        <w:t>沼液输送</w:t>
      </w:r>
      <w:r>
        <w:rPr>
          <w:rFonts w:ascii="Times New Roman" w:hAnsi="Times New Roman" w:cs="Times New Roman"/>
          <w:color w:val="000000" w:themeColor="text1"/>
        </w:rPr>
        <w:t>方式</w:t>
      </w:r>
    </w:p>
    <w:p>
      <w:pPr>
        <w:ind w:firstLine="480" w:firstLineChars="200"/>
        <w:jc w:val="left"/>
        <w:rPr>
          <w:color w:val="000000" w:themeColor="text1"/>
          <w:sz w:val="24"/>
        </w:rPr>
      </w:pPr>
      <w:r>
        <w:rPr>
          <w:rFonts w:hint="eastAsia"/>
          <w:color w:val="000000" w:themeColor="text1"/>
          <w:sz w:val="24"/>
        </w:rPr>
        <w:t>养殖场建设1个800m</w:t>
      </w:r>
      <w:r>
        <w:rPr>
          <w:rFonts w:hint="eastAsia"/>
          <w:color w:val="000000" w:themeColor="text1"/>
          <w:sz w:val="24"/>
          <w:vertAlign w:val="superscript"/>
        </w:rPr>
        <w:t>3</w:t>
      </w:r>
      <w:r>
        <w:rPr>
          <w:rFonts w:hint="eastAsia"/>
          <w:color w:val="000000" w:themeColor="text1"/>
          <w:sz w:val="24"/>
        </w:rPr>
        <w:t>的沼液贮存池，敷设管道至种植区，并在种植区建设沼液暂存池。沼液通过重力输送至种植区沼液贮存池，用于果树施肥。种植区拟建设6个12m</w:t>
      </w:r>
      <w:r>
        <w:rPr>
          <w:rFonts w:hint="eastAsia"/>
          <w:color w:val="000000" w:themeColor="text1"/>
          <w:sz w:val="24"/>
          <w:vertAlign w:val="superscript"/>
        </w:rPr>
        <w:t>3</w:t>
      </w:r>
      <w:r>
        <w:rPr>
          <w:rFonts w:hint="eastAsia"/>
          <w:color w:val="000000" w:themeColor="text1"/>
          <w:sz w:val="24"/>
        </w:rPr>
        <w:t>的沼液暂存池，敷设管道约3km。</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项目建设异位发酵车间对沼液、猪粪、沼渣进行发酵处理，沼液储存池主要用于作为异位发酵车间沼液调节池。种植区施肥时可从沼液储存池中调用，通过管道输送至种植区暂存池。种植区</w:t>
      </w:r>
      <w:r>
        <w:rPr>
          <w:rFonts w:hint="eastAsia"/>
          <w:color w:val="000000" w:themeColor="text1"/>
        </w:rPr>
        <w:t>沼液</w:t>
      </w:r>
      <w:r>
        <w:rPr>
          <w:rFonts w:hint="eastAsia" w:ascii="Times New Roman" w:hAnsi="Times New Roman" w:cs="Times New Roman"/>
          <w:color w:val="000000" w:themeColor="text1"/>
        </w:rPr>
        <w:t>暂存池仅作为施肥时沼液贮存。</w:t>
      </w:r>
    </w:p>
    <w:p>
      <w:pPr>
        <w:pStyle w:val="132"/>
        <w:ind w:firstLine="480"/>
        <w:rPr>
          <w:rFonts w:ascii="Times New Roman" w:hAnsi="Times New Roman" w:cs="Times New Roman"/>
          <w:bCs/>
          <w:color w:val="000000" w:themeColor="text1"/>
        </w:rPr>
      </w:pPr>
      <w:r>
        <w:rPr>
          <w:rFonts w:hint="eastAsia" w:ascii="宋体" w:hAnsi="宋体" w:cs="宋体"/>
          <w:color w:val="000000" w:themeColor="text1"/>
        </w:rPr>
        <w:t>③</w:t>
      </w:r>
      <w:r>
        <w:rPr>
          <w:rFonts w:ascii="Times New Roman" w:hAnsi="Times New Roman" w:cs="Times New Roman"/>
          <w:color w:val="000000" w:themeColor="text1"/>
        </w:rPr>
        <w:t>周围土地对猪尿、废水及猪粪的承载能力分析</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云南省环保厅《关于规模化畜禽养殖主要污染物减排量认定条件的函（云环函[2012]343号）》中的规定，采取尿液沼气处理、粪便堆肥等有效处理处置措施直接还田、废弃物还田量不能超过土地承载力，原则上每亩土地消纳污水/尿液量不超过5头猪（出栏成年猪）废弃物量。</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w:t>
      </w:r>
      <w:r>
        <w:rPr>
          <w:rFonts w:hint="eastAsia" w:ascii="Times New Roman" w:hAnsi="Times New Roman" w:cs="Times New Roman"/>
          <w:color w:val="000000" w:themeColor="text1"/>
        </w:rPr>
        <w:t>种植区面积为231亩，</w:t>
      </w:r>
      <w:r>
        <w:rPr>
          <w:rFonts w:ascii="Times New Roman" w:hAnsi="Times New Roman" w:cs="Times New Roman"/>
          <w:color w:val="000000" w:themeColor="text1"/>
        </w:rPr>
        <w:t>消纳污水/尿液量不超过</w:t>
      </w:r>
      <w:r>
        <w:rPr>
          <w:rFonts w:hint="eastAsia" w:ascii="Times New Roman" w:hAnsi="Times New Roman" w:cs="Times New Roman"/>
          <w:color w:val="000000" w:themeColor="text1"/>
        </w:rPr>
        <w:t>1155</w:t>
      </w:r>
      <w:r>
        <w:rPr>
          <w:rFonts w:ascii="Times New Roman" w:hAnsi="Times New Roman" w:cs="Times New Roman"/>
          <w:color w:val="000000" w:themeColor="text1"/>
        </w:rPr>
        <w:t>头猪（出栏成年猪）废弃物量</w:t>
      </w:r>
      <w:r>
        <w:rPr>
          <w:rFonts w:hint="eastAsia" w:ascii="Times New Roman" w:hAnsi="Times New Roman" w:cs="Times New Roman"/>
          <w:color w:val="000000" w:themeColor="text1"/>
        </w:rPr>
        <w:t>。项目年出栏生猪25000头，粪污（污水+猪粪）产生量16716t，则项目种植区施肥用量不得超过773t。根据计算，项目年沼液施用量为760t，不超过</w:t>
      </w:r>
      <w:r>
        <w:rPr>
          <w:rFonts w:ascii="Times New Roman" w:hAnsi="Times New Roman" w:cs="Times New Roman"/>
          <w:color w:val="000000" w:themeColor="text1"/>
        </w:rPr>
        <w:t>土地承载力</w:t>
      </w:r>
      <w:r>
        <w:rPr>
          <w:rFonts w:hint="eastAsia" w:ascii="Times New Roman" w:hAnsi="Times New Roman" w:cs="Times New Roman"/>
          <w:color w:val="000000" w:themeColor="text1"/>
        </w:rPr>
        <w:t>要求。</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由于本项目产生的猪粪和猪尿是农作物的绿色农家肥，而项目区土壤自身肥力较差，且种植的又是对肥料需求很高的农作物。据调查，</w:t>
      </w:r>
      <w:r>
        <w:rPr>
          <w:rFonts w:hint="eastAsia" w:ascii="Times New Roman" w:hAnsi="Times New Roman" w:cs="Times New Roman"/>
          <w:color w:val="000000" w:themeColor="text1"/>
        </w:rPr>
        <w:t>白鹤</w:t>
      </w:r>
      <w:r>
        <w:rPr>
          <w:rFonts w:ascii="Times New Roman" w:hAnsi="Times New Roman" w:cs="Times New Roman"/>
          <w:color w:val="000000" w:themeColor="text1"/>
        </w:rPr>
        <w:t>村</w:t>
      </w:r>
      <w:r>
        <w:rPr>
          <w:rFonts w:hint="eastAsia" w:ascii="Times New Roman" w:hAnsi="Times New Roman" w:cs="Times New Roman"/>
          <w:color w:val="000000" w:themeColor="text1"/>
        </w:rPr>
        <w:t>委会</w:t>
      </w:r>
      <w:r>
        <w:rPr>
          <w:rFonts w:ascii="Times New Roman" w:hAnsi="Times New Roman" w:cs="Times New Roman"/>
          <w:color w:val="000000" w:themeColor="text1"/>
        </w:rPr>
        <w:t>辖区内的耕地近年以施用化肥为主，而长期施用化肥造成的不良影响主要表现为：a.使土壤中的重金属和有毒元素增加，从而间接危害人体健康；b.使土壤中的微生物活性降低，土壤中的有机物将得不到转化和降解，而无法为植物提供养分；c.造成土壤营养失调，加剧土壤P、K的耗竭，导致硝酸盐累积，从而危害人体健康；d.造成土壤酸化，进而加速Ca、M从耕作层淋溶，从而降低盐基饱和度和土壤肥力。</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长期使用沼液能促进土壤团粒结构的形成，增强土壤保水保肥能力，改善土壤理化特性， 提高土温和土壤中有机质、全氮、全磷及有效磷等养分， 同时减少污染，降低用肥成本。</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④</w:t>
      </w:r>
      <w:r>
        <w:rPr>
          <w:rFonts w:ascii="Times New Roman" w:hAnsi="Times New Roman" w:cs="Times New Roman"/>
          <w:bCs/>
          <w:color w:val="000000" w:themeColor="text1"/>
        </w:rPr>
        <w:t>非正常排放影响分析</w:t>
      </w:r>
    </w:p>
    <w:p>
      <w:pPr>
        <w:pStyle w:val="132"/>
        <w:ind w:firstLine="480"/>
        <w:rPr>
          <w:rFonts w:ascii="Times New Roman" w:hAnsi="Times New Roman" w:cs="Times New Roman"/>
          <w:bCs/>
          <w:color w:val="000000" w:themeColor="text1"/>
        </w:rPr>
      </w:pPr>
      <w:r>
        <w:rPr>
          <w:rFonts w:hint="eastAsia" w:ascii="Times New Roman" w:hAnsi="Times New Roman" w:cs="Times New Roman"/>
          <w:bCs/>
          <w:color w:val="000000" w:themeColor="text1"/>
        </w:rPr>
        <w:t>项目沼气工程</w:t>
      </w:r>
      <w:r>
        <w:rPr>
          <w:rFonts w:ascii="Times New Roman" w:hAnsi="Times New Roman" w:cs="Times New Roman"/>
          <w:bCs/>
          <w:color w:val="000000" w:themeColor="text1"/>
        </w:rPr>
        <w:t>最主要的事故工况为设备损坏导致某一处理单元停止运行，引起处理效率下降，设备维修完善后即可恢复正常运行，处理厂设有专人维护检修，在设备维修和更换期间，须延长污水停留时间，以降低污水超标排放的风险，最严重的事故工况为由于停电等原因导致全厂停运。</w:t>
      </w:r>
    </w:p>
    <w:p>
      <w:pPr>
        <w:pStyle w:val="132"/>
        <w:ind w:firstLine="480"/>
        <w:rPr>
          <w:rFonts w:ascii="Times New Roman" w:hAnsi="Times New Roman" w:cs="Times New Roman"/>
          <w:bCs/>
          <w:color w:val="000000" w:themeColor="text1"/>
        </w:rPr>
      </w:pPr>
      <w:r>
        <w:rPr>
          <w:rFonts w:hint="eastAsia" w:ascii="Times New Roman" w:hAnsi="Times New Roman" w:cs="Times New Roman"/>
          <w:bCs/>
          <w:color w:val="000000" w:themeColor="text1"/>
        </w:rPr>
        <w:t>区西侧设置1座500m</w:t>
      </w:r>
      <w:r>
        <w:rPr>
          <w:rFonts w:hint="eastAsia" w:ascii="Times New Roman" w:hAnsi="Times New Roman" w:cs="Times New Roman"/>
          <w:bCs/>
          <w:color w:val="000000" w:themeColor="text1"/>
          <w:vertAlign w:val="superscript"/>
        </w:rPr>
        <w:t>3</w:t>
      </w:r>
      <w:r>
        <w:rPr>
          <w:rFonts w:hint="eastAsia" w:ascii="Times New Roman" w:hAnsi="Times New Roman" w:cs="Times New Roman"/>
          <w:bCs/>
          <w:color w:val="000000" w:themeColor="text1"/>
        </w:rPr>
        <w:t>的事故池。</w:t>
      </w:r>
      <w:r>
        <w:rPr>
          <w:rFonts w:ascii="Times New Roman" w:hAnsi="Times New Roman" w:cs="Times New Roman"/>
          <w:bCs/>
          <w:color w:val="000000" w:themeColor="text1"/>
        </w:rPr>
        <w:t>项目污水产生量为</w:t>
      </w:r>
      <w:r>
        <w:rPr>
          <w:rFonts w:hint="eastAsia" w:ascii="Times New Roman" w:hAnsi="Times New Roman" w:cs="Times New Roman"/>
          <w:bCs/>
          <w:color w:val="000000" w:themeColor="text1"/>
        </w:rPr>
        <w:t>63.2</w:t>
      </w:r>
      <w:r>
        <w:rPr>
          <w:rFonts w:ascii="Times New Roman" w:hAnsi="Times New Roman" w:cs="Times New Roman"/>
          <w:bCs/>
          <w:color w:val="000000" w:themeColor="text1"/>
        </w:rPr>
        <w:t>m</w:t>
      </w:r>
      <w:r>
        <w:rPr>
          <w:rFonts w:ascii="Times New Roman" w:hAnsi="Times New Roman" w:cs="Times New Roman"/>
          <w:bCs/>
          <w:color w:val="000000" w:themeColor="text1"/>
          <w:vertAlign w:val="superscript"/>
        </w:rPr>
        <w:t>3</w:t>
      </w:r>
      <w:r>
        <w:rPr>
          <w:rFonts w:ascii="Times New Roman" w:hAnsi="Times New Roman" w:cs="Times New Roman"/>
          <w:bCs/>
          <w:color w:val="000000" w:themeColor="text1"/>
        </w:rPr>
        <w:t>/d，可以储存至少</w:t>
      </w:r>
      <w:r>
        <w:rPr>
          <w:rFonts w:hint="eastAsia" w:ascii="Times New Roman" w:hAnsi="Times New Roman" w:cs="Times New Roman"/>
          <w:bCs/>
          <w:color w:val="000000" w:themeColor="text1"/>
        </w:rPr>
        <w:t>7</w:t>
      </w:r>
      <w:r>
        <w:rPr>
          <w:rFonts w:ascii="Times New Roman" w:hAnsi="Times New Roman" w:cs="Times New Roman"/>
          <w:bCs/>
          <w:color w:val="000000" w:themeColor="text1"/>
        </w:rPr>
        <w:t>天的污水量。由于停电原因导致全厂停运情况下，污水可暂存于</w:t>
      </w:r>
      <w:r>
        <w:rPr>
          <w:rFonts w:hint="eastAsia" w:ascii="Times New Roman" w:hAnsi="Times New Roman" w:cs="Times New Roman"/>
          <w:bCs/>
          <w:color w:val="000000" w:themeColor="text1"/>
        </w:rPr>
        <w:t>事故池</w:t>
      </w:r>
      <w:r>
        <w:rPr>
          <w:rFonts w:ascii="Times New Roman" w:hAnsi="Times New Roman" w:cs="Times New Roman"/>
          <w:bCs/>
          <w:color w:val="000000" w:themeColor="text1"/>
        </w:rPr>
        <w:t>中，确保污水不外排。</w:t>
      </w:r>
    </w:p>
    <w:p>
      <w:pPr>
        <w:pStyle w:val="132"/>
        <w:ind w:firstLine="480"/>
        <w:rPr>
          <w:rFonts w:ascii="Times New Roman" w:hAnsi="Times New Roman" w:cs="Times New Roman"/>
          <w:bCs/>
          <w:color w:val="000000" w:themeColor="text1"/>
        </w:rPr>
      </w:pPr>
      <w:r>
        <w:rPr>
          <w:rFonts w:hint="eastAsia" w:ascii="Times New Roman" w:hAnsi="Times New Roman" w:cs="Times New Roman"/>
          <w:bCs/>
          <w:color w:val="000000" w:themeColor="text1"/>
        </w:rPr>
        <w:t>（4）地表水环境影响</w:t>
      </w:r>
    </w:p>
    <w:p>
      <w:pPr>
        <w:pStyle w:val="132"/>
        <w:ind w:firstLine="480"/>
        <w:rPr>
          <w:rFonts w:ascii="Times New Roman" w:hAnsi="Times New Roman" w:cs="Times New Roman"/>
          <w:bCs/>
          <w:color w:val="000000" w:themeColor="text1"/>
        </w:rPr>
      </w:pPr>
      <w:r>
        <w:rPr>
          <w:rFonts w:hint="eastAsia" w:ascii="Times New Roman" w:hAnsi="Times New Roman" w:cs="Times New Roman"/>
          <w:bCs/>
          <w:color w:val="000000" w:themeColor="text1"/>
        </w:rPr>
        <w:t>本项目采用异位发酵床处理粪污水，将养殖的排泄物收集后，通过搅拌、翻耙等，与谷壳、木屑等按一定比例充分混合，加入适宜的专用菌种，进行充分发酵，中心发酵层温度可达50 ℃以上，通过水分蒸发、有机物分解成气体，使猪粪、尿等有机物质得到充分的分解和转化，实现废水零排放。</w:t>
      </w:r>
    </w:p>
    <w:p>
      <w:pPr>
        <w:pStyle w:val="132"/>
        <w:ind w:firstLine="480"/>
        <w:rPr>
          <w:rFonts w:ascii="Times New Roman" w:hAnsi="Times New Roman" w:cs="Times New Roman"/>
          <w:bCs/>
          <w:color w:val="000000" w:themeColor="text1"/>
        </w:rPr>
      </w:pPr>
      <w:r>
        <w:rPr>
          <w:rFonts w:hint="eastAsia" w:ascii="Times New Roman" w:hAnsi="Times New Roman" w:cs="Times New Roman"/>
          <w:bCs/>
          <w:color w:val="000000" w:themeColor="text1"/>
        </w:rPr>
        <w:t>种植区采用沼液施肥，经土壤吸附、降解后对周围地表水环境产生影响小。</w:t>
      </w:r>
    </w:p>
    <w:p>
      <w:pPr>
        <w:pStyle w:val="132"/>
        <w:ind w:firstLine="480"/>
        <w:rPr>
          <w:rFonts w:ascii="Times New Roman" w:hAnsi="Times New Roman" w:cs="Times New Roman"/>
          <w:bCs/>
          <w:color w:val="000000" w:themeColor="text1"/>
        </w:rPr>
      </w:pPr>
      <w:r>
        <w:rPr>
          <w:rFonts w:ascii="Times New Roman" w:hAnsi="Times New Roman" w:cs="Times New Roman"/>
          <w:bCs/>
          <w:color w:val="000000" w:themeColor="text1"/>
        </w:rPr>
        <w:t>养殖区场地西北侧水塘</w:t>
      </w:r>
      <w:r>
        <w:rPr>
          <w:rFonts w:ascii="Times New Roman" w:hAnsi="Times New Roman" w:cs="Times New Roman"/>
          <w:snapToGrid w:val="0"/>
          <w:color w:val="000000" w:themeColor="text1"/>
          <w:kern w:val="0"/>
        </w:rPr>
        <w:t>主要功能为灌溉及养鱼，无饮用功能，水塘高程1836m，项目区位于水塘下游</w:t>
      </w:r>
      <w:r>
        <w:rPr>
          <w:rFonts w:hint="eastAsia" w:ascii="Times New Roman" w:hAnsi="Times New Roman" w:cs="Times New Roman"/>
          <w:snapToGrid w:val="0"/>
          <w:color w:val="000000" w:themeColor="text1"/>
          <w:kern w:val="0"/>
        </w:rPr>
        <w:t>，不在水塘汇水区范围。项目运营期对水塘无影响。</w:t>
      </w:r>
    </w:p>
    <w:p>
      <w:pPr>
        <w:pStyle w:val="132"/>
        <w:ind w:firstLine="480"/>
        <w:rPr>
          <w:rFonts w:ascii="Times New Roman" w:hAnsi="Times New Roman" w:cs="Times New Roman"/>
          <w:bCs/>
          <w:color w:val="000000" w:themeColor="text1"/>
        </w:rPr>
      </w:pPr>
      <w:r>
        <w:rPr>
          <w:rFonts w:hint="eastAsia" w:ascii="Times New Roman" w:hAnsi="Times New Roman" w:cs="Times New Roman"/>
          <w:bCs/>
          <w:color w:val="000000" w:themeColor="text1"/>
        </w:rPr>
        <w:t>（5）雨水收集</w:t>
      </w:r>
    </w:p>
    <w:p>
      <w:pPr>
        <w:pStyle w:val="132"/>
        <w:ind w:firstLine="480"/>
        <w:rPr>
          <w:rFonts w:ascii="Times New Roman" w:hAnsi="Times New Roman" w:cs="Times New Roman"/>
          <w:bCs/>
          <w:color w:val="000000" w:themeColor="text1"/>
        </w:rPr>
      </w:pPr>
      <w:r>
        <w:rPr>
          <w:rFonts w:hint="eastAsia" w:ascii="Times New Roman" w:hAnsi="Times New Roman" w:cs="Times New Roman"/>
          <w:bCs/>
          <w:color w:val="000000" w:themeColor="text1"/>
        </w:rPr>
        <w:t>项目设置1个</w:t>
      </w:r>
      <w:r>
        <w:rPr>
          <w:rFonts w:ascii="Times New Roman" w:hAnsi="Times New Roman" w:cs="Times New Roman"/>
          <w:color w:val="000000" w:themeColor="text1"/>
        </w:rPr>
        <w:t>800m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雨水收集池</w:t>
      </w:r>
      <w:r>
        <w:rPr>
          <w:rFonts w:hint="eastAsia" w:ascii="Times New Roman" w:hAnsi="Times New Roman" w:cs="Times New Roman"/>
          <w:color w:val="000000" w:themeColor="text1"/>
        </w:rPr>
        <w:t>，用于收集厂区初期雨水。根据计算，</w:t>
      </w:r>
      <w:r>
        <w:rPr>
          <w:rFonts w:ascii="Times New Roman" w:hAnsi="Times New Roman" w:cs="Times New Roman"/>
          <w:color w:val="000000" w:themeColor="text1"/>
        </w:rPr>
        <w:t>项目厂区</w:t>
      </w:r>
      <w:r>
        <w:rPr>
          <w:rFonts w:hint="eastAsia" w:ascii="Times New Roman" w:hAnsi="Times New Roman" w:cs="Times New Roman"/>
          <w:color w:val="000000" w:themeColor="text1"/>
        </w:rPr>
        <w:t>30</w:t>
      </w:r>
      <w:r>
        <w:rPr>
          <w:rFonts w:ascii="Times New Roman" w:hAnsi="Times New Roman" w:cs="Times New Roman"/>
          <w:color w:val="000000" w:themeColor="text1"/>
        </w:rPr>
        <w:t>分钟雨水最大产生量为</w:t>
      </w:r>
      <w:r>
        <w:rPr>
          <w:rFonts w:hint="eastAsia" w:ascii="Times New Roman" w:hAnsi="Times New Roman" w:cs="Times New Roman"/>
          <w:color w:val="000000" w:themeColor="text1"/>
        </w:rPr>
        <w:t>75.8</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hint="eastAsia" w:ascii="Times New Roman" w:hAnsi="Times New Roman" w:cs="Times New Roman"/>
          <w:color w:val="000000" w:themeColor="text1"/>
        </w:rPr>
        <w:t>，雨水收集池容积能够满足初期雨水收集要求。初期雨水经收集后</w:t>
      </w:r>
      <w:r>
        <w:rPr>
          <w:rFonts w:ascii="Times New Roman" w:hAnsi="Times New Roman" w:cs="Times New Roman"/>
          <w:color w:val="000000" w:themeColor="text1"/>
        </w:rPr>
        <w:t>用于猪舍冲洗</w:t>
      </w:r>
      <w:r>
        <w:rPr>
          <w:rFonts w:hint="eastAsia" w:ascii="Times New Roman" w:hAnsi="Times New Roman" w:cs="Times New Roman"/>
          <w:color w:val="000000" w:themeColor="text1"/>
        </w:rPr>
        <w:t>，降低初期雨水排放对周围地表水环境的不利影响。</w:t>
      </w:r>
    </w:p>
    <w:p>
      <w:pPr>
        <w:pStyle w:val="4"/>
        <w:spacing w:before="0" w:after="0" w:line="360" w:lineRule="auto"/>
        <w:rPr>
          <w:color w:val="000000" w:themeColor="text1"/>
        </w:rPr>
      </w:pPr>
      <w:bookmarkStart w:id="394" w:name="_Toc510547328"/>
      <w:r>
        <w:rPr>
          <w:color w:val="000000" w:themeColor="text1"/>
        </w:rPr>
        <w:t>5.2.3地下水环境影响分析</w:t>
      </w:r>
      <w:bookmarkEnd w:id="394"/>
    </w:p>
    <w:p>
      <w:pPr>
        <w:pStyle w:val="9"/>
        <w:wordWrap/>
        <w:ind w:firstLine="470" w:firstLineChars="196"/>
        <w:jc w:val="left"/>
        <w:rPr>
          <w:color w:val="000000" w:themeColor="text1"/>
        </w:rPr>
      </w:pPr>
      <w:r>
        <w:rPr>
          <w:color w:val="000000" w:themeColor="text1"/>
        </w:rPr>
        <w:t>（1）水文地质条件</w:t>
      </w:r>
    </w:p>
    <w:p>
      <w:pPr>
        <w:ind w:firstLine="470" w:firstLineChars="196"/>
        <w:rPr>
          <w:bCs/>
          <w:color w:val="000000" w:themeColor="text1"/>
          <w:sz w:val="24"/>
        </w:rPr>
      </w:pPr>
      <w:r>
        <w:rPr>
          <w:bCs/>
          <w:color w:val="000000" w:themeColor="text1"/>
          <w:sz w:val="24"/>
        </w:rPr>
        <w:t>根据区域水文地质资料，本项目场地将岩土层分为三层，分别为素填土层、粉质粘土层和全风化粉砂质泥岩层</w:t>
      </w:r>
      <w:r>
        <w:rPr>
          <w:rFonts w:hint="eastAsia"/>
          <w:bCs/>
          <w:color w:val="000000" w:themeColor="text1"/>
          <w:sz w:val="24"/>
        </w:rPr>
        <w:t>。</w:t>
      </w:r>
      <w:r>
        <w:rPr>
          <w:rFonts w:hint="eastAsia"/>
          <w:color w:val="000000" w:themeColor="text1"/>
          <w:spacing w:val="6"/>
          <w:sz w:val="24"/>
        </w:rPr>
        <w:t>其中</w:t>
      </w:r>
      <w:r>
        <w:rPr>
          <w:color w:val="000000" w:themeColor="text1"/>
          <w:spacing w:val="6"/>
          <w:sz w:val="24"/>
        </w:rPr>
        <w:t>第</w:t>
      </w:r>
      <w:r>
        <w:rPr>
          <w:rFonts w:hint="eastAsia" w:ascii="宋体" w:hAnsi="宋体" w:cs="宋体"/>
          <w:color w:val="000000" w:themeColor="text1"/>
          <w:spacing w:val="6"/>
          <w:sz w:val="24"/>
        </w:rPr>
        <w:t>②</w:t>
      </w:r>
      <w:r>
        <w:rPr>
          <w:color w:val="000000" w:themeColor="text1"/>
          <w:spacing w:val="6"/>
          <w:sz w:val="24"/>
        </w:rPr>
        <w:t>层粉质黏土属相对隔水层，第</w:t>
      </w:r>
      <w:r>
        <w:rPr>
          <w:rFonts w:hint="eastAsia" w:ascii="宋体" w:hAnsi="宋体" w:cs="宋体"/>
          <w:color w:val="000000" w:themeColor="text1"/>
          <w:spacing w:val="6"/>
          <w:sz w:val="24"/>
        </w:rPr>
        <w:t>①</w:t>
      </w:r>
      <w:r>
        <w:rPr>
          <w:color w:val="000000" w:themeColor="text1"/>
          <w:spacing w:val="6"/>
          <w:sz w:val="24"/>
        </w:rPr>
        <w:t>层素填土及第</w:t>
      </w:r>
      <w:r>
        <w:rPr>
          <w:rFonts w:hint="eastAsia" w:ascii="宋体" w:hAnsi="宋体" w:cs="宋体"/>
          <w:color w:val="000000" w:themeColor="text1"/>
          <w:spacing w:val="6"/>
          <w:sz w:val="24"/>
        </w:rPr>
        <w:t>③</w:t>
      </w:r>
      <w:r>
        <w:rPr>
          <w:color w:val="000000" w:themeColor="text1"/>
          <w:sz w:val="24"/>
        </w:rPr>
        <w:t>全风化粉砂质泥岩</w:t>
      </w:r>
      <w:r>
        <w:rPr>
          <w:color w:val="000000" w:themeColor="text1"/>
          <w:spacing w:val="6"/>
          <w:sz w:val="24"/>
        </w:rPr>
        <w:t>属于裂隙透水层。</w:t>
      </w:r>
    </w:p>
    <w:p>
      <w:pPr>
        <w:ind w:firstLine="483" w:firstLineChars="192"/>
        <w:rPr>
          <w:color w:val="000000" w:themeColor="text1"/>
          <w:spacing w:val="6"/>
          <w:sz w:val="24"/>
        </w:rPr>
      </w:pPr>
      <w:r>
        <w:rPr>
          <w:color w:val="000000" w:themeColor="text1"/>
          <w:spacing w:val="6"/>
          <w:sz w:val="24"/>
        </w:rPr>
        <w:t>项目厂区地下水类型为</w:t>
      </w:r>
      <w:r>
        <w:rPr>
          <w:rFonts w:hint="eastAsia"/>
          <w:color w:val="000000" w:themeColor="text1"/>
          <w:spacing w:val="6"/>
          <w:sz w:val="24"/>
        </w:rPr>
        <w:t>基岩裂隙</w:t>
      </w:r>
      <w:r>
        <w:rPr>
          <w:color w:val="000000" w:themeColor="text1"/>
          <w:spacing w:val="6"/>
          <w:sz w:val="24"/>
        </w:rPr>
        <w:t>水。含水层组主要由P1q、P1m等组组成。岩性主要为凝灰质砂岩，气孔、杏仁状玄武岩。这些岩层岩溶发育，富水性强。</w:t>
      </w:r>
    </w:p>
    <w:p>
      <w:pPr>
        <w:pStyle w:val="9"/>
        <w:wordWrap/>
        <w:ind w:firstLine="470" w:firstLineChars="196"/>
        <w:jc w:val="left"/>
        <w:rPr>
          <w:color w:val="000000" w:themeColor="text1"/>
        </w:rPr>
      </w:pPr>
      <w:r>
        <w:rPr>
          <w:color w:val="000000" w:themeColor="text1"/>
        </w:rPr>
        <w:t>（2）地下水补、径、排关系</w:t>
      </w:r>
    </w:p>
    <w:p>
      <w:pPr>
        <w:autoSpaceDE w:val="0"/>
        <w:autoSpaceDN w:val="0"/>
        <w:adjustRightInd w:val="0"/>
        <w:ind w:firstLine="480" w:firstLineChars="200"/>
        <w:jc w:val="left"/>
        <w:rPr>
          <w:color w:val="000000" w:themeColor="text1"/>
          <w:sz w:val="24"/>
        </w:rPr>
      </w:pPr>
      <w:r>
        <w:rPr>
          <w:rFonts w:hint="eastAsia"/>
          <w:color w:val="000000" w:themeColor="text1"/>
          <w:sz w:val="24"/>
        </w:rPr>
        <w:t>项目区域地下水类型表现为潜水，地下水主要靠大气降雨入渗补给。项目区内无断裂构造通过，降水补给主要依靠降水形成地表径流，地表径流主要通过沟壑、断裂带或山箐等地质构造逐渐下渗，以及靠塘、坝、水坑等人工建筑积存长时间下渗来补充地下水。</w:t>
      </w:r>
    </w:p>
    <w:p>
      <w:pPr>
        <w:autoSpaceDE w:val="0"/>
        <w:autoSpaceDN w:val="0"/>
        <w:adjustRightInd w:val="0"/>
        <w:ind w:firstLine="480" w:firstLineChars="200"/>
        <w:jc w:val="left"/>
        <w:rPr>
          <w:color w:val="000000" w:themeColor="text1"/>
          <w:sz w:val="24"/>
        </w:rPr>
      </w:pPr>
      <w:r>
        <w:rPr>
          <w:rFonts w:hint="eastAsia"/>
          <w:color w:val="000000" w:themeColor="text1"/>
          <w:sz w:val="24"/>
        </w:rPr>
        <w:t>项目区域地下水排泄方式以地下迳流为主，评价区域总体地势北高南低，地下水由北向南排泄至康之康河。</w:t>
      </w:r>
    </w:p>
    <w:p>
      <w:pPr>
        <w:autoSpaceDE w:val="0"/>
        <w:autoSpaceDN w:val="0"/>
        <w:adjustRightInd w:val="0"/>
        <w:ind w:firstLine="480" w:firstLineChars="200"/>
        <w:jc w:val="left"/>
        <w:rPr>
          <w:color w:val="000000" w:themeColor="text1"/>
          <w:kern w:val="0"/>
          <w:sz w:val="24"/>
        </w:rPr>
      </w:pPr>
      <w:r>
        <w:rPr>
          <w:rFonts w:hint="eastAsia"/>
          <w:color w:val="000000" w:themeColor="text1"/>
          <w:sz w:val="24"/>
        </w:rPr>
        <w:t>项目地下水评价范围内无出露泉点。</w:t>
      </w:r>
    </w:p>
    <w:p>
      <w:pPr>
        <w:pStyle w:val="9"/>
        <w:wordWrap/>
        <w:ind w:firstLine="470" w:firstLineChars="196"/>
        <w:jc w:val="left"/>
        <w:rPr>
          <w:color w:val="000000" w:themeColor="text1"/>
        </w:rPr>
      </w:pPr>
      <w:r>
        <w:rPr>
          <w:color w:val="000000" w:themeColor="text1"/>
        </w:rPr>
        <w:t>（3）周边居民用水现状</w:t>
      </w:r>
    </w:p>
    <w:p>
      <w:pPr>
        <w:autoSpaceDE w:val="0"/>
        <w:autoSpaceDN w:val="0"/>
        <w:adjustRightInd w:val="0"/>
        <w:ind w:firstLine="480" w:firstLineChars="200"/>
        <w:jc w:val="left"/>
        <w:rPr>
          <w:color w:val="000000" w:themeColor="text1"/>
          <w:kern w:val="0"/>
          <w:sz w:val="24"/>
        </w:rPr>
      </w:pPr>
      <w:r>
        <w:rPr>
          <w:color w:val="000000" w:themeColor="text1"/>
          <w:kern w:val="0"/>
          <w:sz w:val="24"/>
        </w:rPr>
        <w:t>地下水评价范围内居民点有</w:t>
      </w:r>
      <w:r>
        <w:rPr>
          <w:rFonts w:hint="eastAsia"/>
          <w:color w:val="000000" w:themeColor="text1"/>
          <w:kern w:val="0"/>
          <w:sz w:val="24"/>
        </w:rPr>
        <w:t>石头</w:t>
      </w:r>
      <w:r>
        <w:rPr>
          <w:color w:val="000000" w:themeColor="text1"/>
          <w:kern w:val="0"/>
          <w:sz w:val="24"/>
        </w:rPr>
        <w:t>村。</w:t>
      </w:r>
      <w:r>
        <w:rPr>
          <w:rFonts w:hint="eastAsia"/>
          <w:color w:val="000000" w:themeColor="text1"/>
          <w:kern w:val="0"/>
          <w:sz w:val="24"/>
        </w:rPr>
        <w:t>根据</w:t>
      </w:r>
      <w:r>
        <w:rPr>
          <w:color w:val="000000" w:themeColor="text1"/>
          <w:kern w:val="0"/>
          <w:sz w:val="24"/>
        </w:rPr>
        <w:t>调查，</w:t>
      </w:r>
      <w:r>
        <w:rPr>
          <w:rFonts w:hint="eastAsia"/>
          <w:color w:val="000000" w:themeColor="text1"/>
          <w:kern w:val="0"/>
          <w:sz w:val="24"/>
        </w:rPr>
        <w:t>石头</w:t>
      </w:r>
      <w:r>
        <w:rPr>
          <w:color w:val="000000" w:themeColor="text1"/>
          <w:kern w:val="0"/>
          <w:sz w:val="24"/>
        </w:rPr>
        <w:t>村村民生活用水</w:t>
      </w:r>
      <w:r>
        <w:rPr>
          <w:rFonts w:hint="eastAsia"/>
          <w:color w:val="000000" w:themeColor="text1"/>
          <w:kern w:val="0"/>
          <w:sz w:val="24"/>
        </w:rPr>
        <w:t>取自西北侧山间溪水，不在项目场地地表水汇水区，同时</w:t>
      </w:r>
      <w:r>
        <w:rPr>
          <w:color w:val="000000" w:themeColor="text1"/>
          <w:kern w:val="0"/>
          <w:sz w:val="24"/>
        </w:rPr>
        <w:t>根据水文地质图，</w:t>
      </w:r>
      <w:r>
        <w:rPr>
          <w:color w:val="000000" w:themeColor="text1"/>
          <w:sz w:val="24"/>
        </w:rPr>
        <w:t>项目区域地下水排泄方向为由北向南排泄。</w:t>
      </w:r>
      <w:r>
        <w:rPr>
          <w:rFonts w:hint="eastAsia"/>
          <w:color w:val="000000" w:themeColor="text1"/>
          <w:kern w:val="0"/>
          <w:sz w:val="24"/>
        </w:rPr>
        <w:t>石头</w:t>
      </w:r>
      <w:r>
        <w:rPr>
          <w:color w:val="000000" w:themeColor="text1"/>
          <w:kern w:val="0"/>
          <w:sz w:val="24"/>
        </w:rPr>
        <w:t>村村民生活用水</w:t>
      </w:r>
      <w:r>
        <w:rPr>
          <w:rFonts w:hint="eastAsia"/>
          <w:color w:val="000000" w:themeColor="text1"/>
          <w:kern w:val="0"/>
          <w:sz w:val="24"/>
        </w:rPr>
        <w:t>取水点在</w:t>
      </w:r>
      <w:r>
        <w:rPr>
          <w:color w:val="000000" w:themeColor="text1"/>
          <w:sz w:val="24"/>
        </w:rPr>
        <w:t>项目区地下水排泄途径上</w:t>
      </w:r>
      <w:r>
        <w:rPr>
          <w:rFonts w:hint="eastAsia"/>
          <w:color w:val="000000" w:themeColor="text1"/>
          <w:sz w:val="24"/>
        </w:rPr>
        <w:t>游</w:t>
      </w:r>
      <w:r>
        <w:rPr>
          <w:color w:val="000000" w:themeColor="text1"/>
          <w:sz w:val="24"/>
        </w:rPr>
        <w:t>。</w:t>
      </w:r>
    </w:p>
    <w:p>
      <w:pPr>
        <w:pStyle w:val="9"/>
        <w:wordWrap/>
        <w:ind w:firstLine="470" w:firstLineChars="196"/>
        <w:jc w:val="left"/>
        <w:rPr>
          <w:color w:val="000000" w:themeColor="text1"/>
        </w:rPr>
      </w:pPr>
      <w:r>
        <w:rPr>
          <w:color w:val="000000" w:themeColor="text1"/>
        </w:rPr>
        <w:t>（</w:t>
      </w:r>
      <w:r>
        <w:rPr>
          <w:rFonts w:hint="eastAsia"/>
          <w:color w:val="000000" w:themeColor="text1"/>
        </w:rPr>
        <w:t>4</w:t>
      </w:r>
      <w:r>
        <w:rPr>
          <w:color w:val="000000" w:themeColor="text1"/>
        </w:rPr>
        <w:t>）污染源调查</w:t>
      </w:r>
    </w:p>
    <w:p>
      <w:pPr>
        <w:pStyle w:val="9"/>
        <w:ind w:firstLine="470" w:firstLineChars="196"/>
        <w:jc w:val="left"/>
        <w:rPr>
          <w:color w:val="000000" w:themeColor="text1"/>
        </w:rPr>
      </w:pPr>
      <w:r>
        <w:rPr>
          <w:color w:val="000000" w:themeColor="text1"/>
        </w:rPr>
        <w:t>由于地下水评价范围内主要为</w:t>
      </w:r>
      <w:r>
        <w:rPr>
          <w:rFonts w:hint="eastAsia"/>
          <w:color w:val="000000" w:themeColor="text1"/>
        </w:rPr>
        <w:t>耕地</w:t>
      </w:r>
      <w:r>
        <w:rPr>
          <w:color w:val="000000" w:themeColor="text1"/>
        </w:rPr>
        <w:t>，无污染性的工业企业</w:t>
      </w:r>
      <w:r>
        <w:rPr>
          <w:rFonts w:hint="eastAsia"/>
          <w:color w:val="000000" w:themeColor="text1"/>
        </w:rPr>
        <w:t>，地下水污染源主要为生活污水及农业面源废水</w:t>
      </w:r>
      <w:r>
        <w:rPr>
          <w:color w:val="000000" w:themeColor="text1"/>
        </w:rPr>
        <w:t>。</w:t>
      </w:r>
    </w:p>
    <w:p>
      <w:pPr>
        <w:pStyle w:val="9"/>
        <w:wordWrap/>
        <w:ind w:firstLine="470" w:firstLineChars="196"/>
        <w:jc w:val="left"/>
        <w:rPr>
          <w:color w:val="000000" w:themeColor="text1"/>
        </w:rPr>
      </w:pPr>
      <w:r>
        <w:rPr>
          <w:color w:val="000000" w:themeColor="text1"/>
        </w:rPr>
        <w:t>（</w:t>
      </w:r>
      <w:r>
        <w:rPr>
          <w:rFonts w:hint="eastAsia"/>
          <w:color w:val="000000" w:themeColor="text1"/>
        </w:rPr>
        <w:t>5</w:t>
      </w:r>
      <w:r>
        <w:rPr>
          <w:color w:val="000000" w:themeColor="text1"/>
        </w:rPr>
        <w:t>）地下水污染途径</w:t>
      </w:r>
    </w:p>
    <w:p>
      <w:pPr>
        <w:autoSpaceDE w:val="0"/>
        <w:autoSpaceDN w:val="0"/>
        <w:adjustRightInd w:val="0"/>
        <w:ind w:firstLine="480" w:firstLineChars="200"/>
        <w:jc w:val="left"/>
        <w:rPr>
          <w:color w:val="000000" w:themeColor="text1"/>
          <w:kern w:val="0"/>
          <w:sz w:val="24"/>
        </w:rPr>
      </w:pPr>
      <w:r>
        <w:rPr>
          <w:color w:val="000000" w:themeColor="text1"/>
          <w:kern w:val="0"/>
          <w:sz w:val="24"/>
        </w:rPr>
        <w:t>根据地下水地质条件、地下水补给、径流条件等特点，分析本工程废水储存情况，可能造成地下水污染途径有以下几种途径：</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①</w:t>
      </w:r>
      <w:r>
        <w:rPr>
          <w:color w:val="000000" w:themeColor="text1"/>
          <w:sz w:val="24"/>
        </w:rPr>
        <w:t>污水处理</w:t>
      </w:r>
      <w:r>
        <w:rPr>
          <w:rFonts w:hint="eastAsia"/>
          <w:color w:val="000000" w:themeColor="text1"/>
          <w:sz w:val="24"/>
        </w:rPr>
        <w:t>设施</w:t>
      </w:r>
      <w:r>
        <w:rPr>
          <w:color w:val="000000" w:themeColor="text1"/>
          <w:sz w:val="24"/>
        </w:rPr>
        <w:t>、集污管道</w:t>
      </w:r>
      <w:r>
        <w:rPr>
          <w:rFonts w:hint="eastAsia"/>
          <w:color w:val="000000" w:themeColor="text1"/>
          <w:sz w:val="24"/>
        </w:rPr>
        <w:t>、沼液储存池等</w:t>
      </w:r>
      <w:r>
        <w:rPr>
          <w:color w:val="000000" w:themeColor="text1"/>
          <w:sz w:val="24"/>
        </w:rPr>
        <w:t>防渗措施不足，而造成废水渗漏污染；</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②</w:t>
      </w:r>
      <w:r>
        <w:rPr>
          <w:color w:val="000000" w:themeColor="text1"/>
          <w:sz w:val="24"/>
        </w:rPr>
        <w:t>发酵间防渗措施不足，而造成</w:t>
      </w:r>
      <w:r>
        <w:rPr>
          <w:rFonts w:hint="eastAsia"/>
          <w:color w:val="000000" w:themeColor="text1"/>
          <w:sz w:val="24"/>
        </w:rPr>
        <w:t>物料洒落后污染</w:t>
      </w:r>
      <w:r>
        <w:rPr>
          <w:color w:val="000000" w:themeColor="text1"/>
          <w:sz w:val="24"/>
        </w:rPr>
        <w:t>地下水；</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③</w:t>
      </w:r>
      <w:r>
        <w:rPr>
          <w:color w:val="000000" w:themeColor="text1"/>
          <w:sz w:val="24"/>
        </w:rPr>
        <w:t>生产设施（如猪舍）因基础防渗不足，废水通过下渗污染地下水。</w:t>
      </w:r>
    </w:p>
    <w:p>
      <w:pPr>
        <w:pStyle w:val="9"/>
        <w:wordWrap/>
        <w:ind w:firstLine="470" w:firstLineChars="196"/>
        <w:jc w:val="left"/>
        <w:rPr>
          <w:color w:val="000000" w:themeColor="text1"/>
        </w:rPr>
      </w:pPr>
      <w:bookmarkStart w:id="395" w:name="_Toc24306"/>
      <w:r>
        <w:rPr>
          <w:color w:val="000000" w:themeColor="text1"/>
        </w:rPr>
        <w:t>（</w:t>
      </w:r>
      <w:r>
        <w:rPr>
          <w:rFonts w:hint="eastAsia"/>
          <w:color w:val="000000" w:themeColor="text1"/>
        </w:rPr>
        <w:t>6</w:t>
      </w:r>
      <w:r>
        <w:rPr>
          <w:color w:val="000000" w:themeColor="text1"/>
        </w:rPr>
        <w:t>）地下水环境影响</w:t>
      </w:r>
      <w:bookmarkEnd w:id="395"/>
      <w:r>
        <w:rPr>
          <w:color w:val="000000" w:themeColor="text1"/>
        </w:rPr>
        <w:t>及污染防治措施</w:t>
      </w:r>
    </w:p>
    <w:p>
      <w:pPr>
        <w:adjustRightInd w:val="0"/>
        <w:snapToGrid w:val="0"/>
        <w:ind w:firstLine="480" w:firstLineChars="200"/>
        <w:jc w:val="left"/>
        <w:rPr>
          <w:color w:val="000000" w:themeColor="text1"/>
          <w:kern w:val="0"/>
          <w:sz w:val="24"/>
          <w:szCs w:val="20"/>
        </w:rPr>
      </w:pPr>
      <w:r>
        <w:rPr>
          <w:rFonts w:hint="eastAsia" w:ascii="宋体" w:hAnsi="宋体" w:cs="宋体"/>
          <w:color w:val="000000" w:themeColor="text1"/>
          <w:kern w:val="0"/>
          <w:sz w:val="24"/>
          <w:szCs w:val="20"/>
        </w:rPr>
        <w:t>①</w:t>
      </w:r>
      <w:r>
        <w:rPr>
          <w:color w:val="000000" w:themeColor="text1"/>
          <w:kern w:val="0"/>
          <w:sz w:val="24"/>
          <w:szCs w:val="20"/>
        </w:rPr>
        <w:t>污水处理设施对地下水水质的影响及污染防治措施</w:t>
      </w:r>
    </w:p>
    <w:p>
      <w:pPr>
        <w:adjustRightInd w:val="0"/>
        <w:snapToGrid w:val="0"/>
        <w:ind w:firstLine="480" w:firstLineChars="200"/>
        <w:jc w:val="left"/>
        <w:rPr>
          <w:color w:val="000000" w:themeColor="text1"/>
          <w:kern w:val="0"/>
          <w:sz w:val="24"/>
        </w:rPr>
      </w:pPr>
      <w:r>
        <w:rPr>
          <w:color w:val="000000" w:themeColor="text1"/>
          <w:kern w:val="0"/>
          <w:sz w:val="24"/>
          <w:szCs w:val="20"/>
        </w:rPr>
        <w:t>项目污水</w:t>
      </w:r>
      <w:r>
        <w:rPr>
          <w:rFonts w:hint="eastAsia"/>
          <w:color w:val="000000" w:themeColor="text1"/>
          <w:kern w:val="0"/>
          <w:sz w:val="24"/>
          <w:szCs w:val="20"/>
        </w:rPr>
        <w:t>预处理池</w:t>
      </w:r>
      <w:r>
        <w:rPr>
          <w:color w:val="000000" w:themeColor="text1"/>
          <w:kern w:val="0"/>
          <w:sz w:val="24"/>
        </w:rPr>
        <w:t>、</w:t>
      </w:r>
      <w:r>
        <w:rPr>
          <w:rFonts w:hint="eastAsia"/>
          <w:color w:val="000000" w:themeColor="text1"/>
          <w:kern w:val="0"/>
          <w:sz w:val="24"/>
        </w:rPr>
        <w:t>沼液储存池</w:t>
      </w:r>
      <w:r>
        <w:rPr>
          <w:color w:val="000000" w:themeColor="text1"/>
          <w:kern w:val="0"/>
          <w:sz w:val="24"/>
        </w:rPr>
        <w:t>、集污管道采取防渗措施后，各单元防渗层渗透系数≤10</w:t>
      </w:r>
      <w:r>
        <w:rPr>
          <w:color w:val="000000" w:themeColor="text1"/>
          <w:kern w:val="0"/>
          <w:sz w:val="24"/>
          <w:vertAlign w:val="superscript"/>
        </w:rPr>
        <w:t>-7</w:t>
      </w:r>
      <w:r>
        <w:rPr>
          <w:color w:val="000000" w:themeColor="text1"/>
          <w:kern w:val="0"/>
          <w:sz w:val="24"/>
        </w:rPr>
        <w:t>cm/s，可有效避免污水集输、处理系统渗漏污染地下水。</w:t>
      </w:r>
    </w:p>
    <w:p>
      <w:pPr>
        <w:adjustRightInd w:val="0"/>
        <w:snapToGrid w:val="0"/>
        <w:ind w:firstLine="480" w:firstLineChars="200"/>
        <w:jc w:val="left"/>
        <w:rPr>
          <w:color w:val="000000" w:themeColor="text1"/>
          <w:kern w:val="0"/>
          <w:sz w:val="24"/>
        </w:rPr>
      </w:pPr>
      <w:r>
        <w:rPr>
          <w:color w:val="000000" w:themeColor="text1"/>
          <w:kern w:val="0"/>
          <w:sz w:val="24"/>
        </w:rPr>
        <w:t>项目设置1个事故应急池，确保废水不溢出，进一步降低污水外溢下渗后污染地下水风险。</w:t>
      </w:r>
    </w:p>
    <w:p>
      <w:pPr>
        <w:adjustRightInd w:val="0"/>
        <w:snapToGrid w:val="0"/>
        <w:ind w:firstLine="480" w:firstLineChars="200"/>
        <w:jc w:val="left"/>
        <w:rPr>
          <w:color w:val="000000" w:themeColor="text1"/>
          <w:kern w:val="0"/>
          <w:sz w:val="24"/>
        </w:rPr>
      </w:pPr>
      <w:r>
        <w:rPr>
          <w:rFonts w:hint="eastAsia" w:ascii="宋体" w:hAnsi="宋体" w:cs="宋体"/>
          <w:color w:val="000000" w:themeColor="text1"/>
          <w:kern w:val="0"/>
          <w:sz w:val="24"/>
        </w:rPr>
        <w:t>②异位</w:t>
      </w:r>
      <w:r>
        <w:rPr>
          <w:color w:val="000000" w:themeColor="text1"/>
          <w:kern w:val="0"/>
          <w:sz w:val="24"/>
        </w:rPr>
        <w:t>发酵间对地下水水质的影响</w:t>
      </w:r>
      <w:r>
        <w:rPr>
          <w:color w:val="000000" w:themeColor="text1"/>
          <w:sz w:val="24"/>
        </w:rPr>
        <w:t>及污染防治措施</w:t>
      </w:r>
    </w:p>
    <w:p>
      <w:pPr>
        <w:adjustRightInd w:val="0"/>
        <w:snapToGrid w:val="0"/>
        <w:ind w:firstLine="480" w:firstLineChars="200"/>
        <w:jc w:val="left"/>
        <w:rPr>
          <w:color w:val="000000" w:themeColor="text1"/>
          <w:kern w:val="0"/>
          <w:sz w:val="24"/>
          <w:szCs w:val="20"/>
        </w:rPr>
      </w:pPr>
      <w:r>
        <w:rPr>
          <w:color w:val="000000" w:themeColor="text1"/>
          <w:kern w:val="0"/>
          <w:sz w:val="24"/>
        </w:rPr>
        <w:t>项目将猪粪、饲料残渣以及</w:t>
      </w:r>
      <w:r>
        <w:rPr>
          <w:rFonts w:hint="eastAsia"/>
          <w:color w:val="000000" w:themeColor="text1"/>
          <w:kern w:val="0"/>
          <w:sz w:val="24"/>
        </w:rPr>
        <w:t>沼液、沼渣</w:t>
      </w:r>
      <w:r>
        <w:rPr>
          <w:color w:val="000000" w:themeColor="text1"/>
          <w:kern w:val="0"/>
          <w:sz w:val="24"/>
        </w:rPr>
        <w:t>进行发酵处理</w:t>
      </w:r>
      <w:r>
        <w:rPr>
          <w:rFonts w:hint="eastAsia"/>
          <w:color w:val="000000" w:themeColor="text1"/>
          <w:kern w:val="0"/>
          <w:sz w:val="24"/>
        </w:rPr>
        <w:t>。异位</w:t>
      </w:r>
      <w:r>
        <w:rPr>
          <w:color w:val="000000" w:themeColor="text1"/>
          <w:kern w:val="0"/>
          <w:sz w:val="24"/>
        </w:rPr>
        <w:t>发酵间采取防渗措施后，防渗层渗透系数≤10</w:t>
      </w:r>
      <w:r>
        <w:rPr>
          <w:color w:val="000000" w:themeColor="text1"/>
          <w:kern w:val="0"/>
          <w:sz w:val="24"/>
          <w:vertAlign w:val="superscript"/>
        </w:rPr>
        <w:t>-7</w:t>
      </w:r>
      <w:r>
        <w:rPr>
          <w:color w:val="000000" w:themeColor="text1"/>
          <w:kern w:val="0"/>
          <w:sz w:val="24"/>
        </w:rPr>
        <w:t>cm/s，可有效</w:t>
      </w:r>
      <w:r>
        <w:rPr>
          <w:color w:val="000000" w:themeColor="text1"/>
          <w:kern w:val="0"/>
          <w:sz w:val="24"/>
          <w:szCs w:val="20"/>
        </w:rPr>
        <w:t>避免</w:t>
      </w:r>
      <w:r>
        <w:rPr>
          <w:rFonts w:hint="eastAsia"/>
          <w:color w:val="000000" w:themeColor="text1"/>
          <w:kern w:val="0"/>
          <w:sz w:val="24"/>
          <w:szCs w:val="20"/>
        </w:rPr>
        <w:t>洒落物料</w:t>
      </w:r>
      <w:r>
        <w:rPr>
          <w:color w:val="000000" w:themeColor="text1"/>
          <w:kern w:val="0"/>
          <w:sz w:val="24"/>
          <w:szCs w:val="20"/>
        </w:rPr>
        <w:t>下渗污染地下水。</w:t>
      </w:r>
    </w:p>
    <w:p>
      <w:pPr>
        <w:adjustRightInd w:val="0"/>
        <w:snapToGrid w:val="0"/>
        <w:ind w:firstLine="480" w:firstLineChars="200"/>
        <w:jc w:val="left"/>
        <w:rPr>
          <w:color w:val="000000" w:themeColor="text1"/>
          <w:kern w:val="0"/>
          <w:sz w:val="24"/>
        </w:rPr>
      </w:pPr>
      <w:r>
        <w:rPr>
          <w:rFonts w:hint="eastAsia" w:ascii="宋体" w:hAnsi="宋体" w:cs="宋体"/>
          <w:color w:val="000000" w:themeColor="text1"/>
          <w:kern w:val="0"/>
          <w:sz w:val="24"/>
          <w:szCs w:val="20"/>
        </w:rPr>
        <w:t>③</w:t>
      </w:r>
      <w:r>
        <w:rPr>
          <w:color w:val="000000" w:themeColor="text1"/>
          <w:kern w:val="0"/>
          <w:sz w:val="24"/>
          <w:szCs w:val="20"/>
        </w:rPr>
        <w:t>安全填埋井对地下水水质</w:t>
      </w:r>
      <w:r>
        <w:rPr>
          <w:color w:val="000000" w:themeColor="text1"/>
          <w:kern w:val="0"/>
          <w:sz w:val="24"/>
        </w:rPr>
        <w:t>的影响</w:t>
      </w:r>
      <w:r>
        <w:rPr>
          <w:color w:val="000000" w:themeColor="text1"/>
          <w:sz w:val="24"/>
        </w:rPr>
        <w:t>及污染防治措施</w:t>
      </w:r>
    </w:p>
    <w:p>
      <w:pPr>
        <w:adjustRightInd w:val="0"/>
        <w:snapToGrid w:val="0"/>
        <w:ind w:firstLine="480" w:firstLineChars="200"/>
        <w:jc w:val="left"/>
        <w:rPr>
          <w:color w:val="000000" w:themeColor="text1"/>
          <w:kern w:val="0"/>
          <w:sz w:val="24"/>
          <w:szCs w:val="20"/>
        </w:rPr>
      </w:pPr>
      <w:r>
        <w:rPr>
          <w:color w:val="000000" w:themeColor="text1"/>
          <w:kern w:val="0"/>
          <w:sz w:val="24"/>
        </w:rPr>
        <w:t>安全填埋井为混凝土结构，井口加盖密封</w:t>
      </w:r>
      <w:r>
        <w:rPr>
          <w:color w:val="000000" w:themeColor="text1"/>
          <w:kern w:val="0"/>
          <w:sz w:val="24"/>
          <w:szCs w:val="20"/>
        </w:rPr>
        <w:t>，井填满后，安全填埋井采取防渗措施后，防渗层渗透系数≤10</w:t>
      </w:r>
      <w:r>
        <w:rPr>
          <w:color w:val="000000" w:themeColor="text1"/>
          <w:kern w:val="0"/>
          <w:sz w:val="24"/>
          <w:szCs w:val="20"/>
          <w:vertAlign w:val="superscript"/>
        </w:rPr>
        <w:t>-7</w:t>
      </w:r>
      <w:r>
        <w:rPr>
          <w:color w:val="000000" w:themeColor="text1"/>
          <w:kern w:val="0"/>
          <w:sz w:val="24"/>
          <w:szCs w:val="20"/>
        </w:rPr>
        <w:t>cm/s，可有效避免病死猪</w:t>
      </w:r>
      <w:r>
        <w:rPr>
          <w:rFonts w:hint="eastAsia"/>
          <w:color w:val="000000" w:themeColor="text1"/>
          <w:kern w:val="0"/>
          <w:sz w:val="24"/>
          <w:szCs w:val="20"/>
        </w:rPr>
        <w:t>堆肥废物</w:t>
      </w:r>
      <w:r>
        <w:rPr>
          <w:color w:val="000000" w:themeColor="text1"/>
          <w:kern w:val="0"/>
          <w:sz w:val="24"/>
          <w:szCs w:val="20"/>
        </w:rPr>
        <w:t>填埋过程中污染地下水。</w:t>
      </w:r>
    </w:p>
    <w:p>
      <w:pPr>
        <w:adjustRightInd w:val="0"/>
        <w:snapToGrid w:val="0"/>
        <w:ind w:firstLine="480" w:firstLineChars="200"/>
        <w:jc w:val="left"/>
        <w:rPr>
          <w:color w:val="000000" w:themeColor="text1"/>
          <w:kern w:val="0"/>
          <w:sz w:val="24"/>
        </w:rPr>
      </w:pPr>
      <w:r>
        <w:rPr>
          <w:rFonts w:hint="eastAsia" w:ascii="宋体" w:hAnsi="宋体" w:cs="宋体"/>
          <w:color w:val="000000" w:themeColor="text1"/>
          <w:kern w:val="0"/>
          <w:sz w:val="24"/>
          <w:szCs w:val="20"/>
        </w:rPr>
        <w:t>④</w:t>
      </w:r>
      <w:r>
        <w:rPr>
          <w:color w:val="000000" w:themeColor="text1"/>
          <w:kern w:val="0"/>
          <w:sz w:val="24"/>
          <w:szCs w:val="20"/>
        </w:rPr>
        <w:t>猪舍对地</w:t>
      </w:r>
      <w:r>
        <w:rPr>
          <w:color w:val="000000" w:themeColor="text1"/>
          <w:kern w:val="0"/>
          <w:sz w:val="24"/>
        </w:rPr>
        <w:t>下水水质的影响</w:t>
      </w:r>
      <w:r>
        <w:rPr>
          <w:color w:val="000000" w:themeColor="text1"/>
          <w:sz w:val="24"/>
        </w:rPr>
        <w:t>及污染防治措施</w:t>
      </w:r>
    </w:p>
    <w:p>
      <w:pPr>
        <w:adjustRightInd w:val="0"/>
        <w:snapToGrid w:val="0"/>
        <w:ind w:firstLine="480" w:firstLineChars="200"/>
        <w:jc w:val="left"/>
        <w:rPr>
          <w:color w:val="000000" w:themeColor="text1"/>
          <w:sz w:val="24"/>
        </w:rPr>
      </w:pPr>
      <w:r>
        <w:rPr>
          <w:color w:val="000000" w:themeColor="text1"/>
          <w:kern w:val="0"/>
          <w:sz w:val="24"/>
        </w:rPr>
        <w:t>本项目猪舍地面采取粘土铺底，再在上层铺设10~15cm的水泥进行硬化，可有效避免猪舍污染地下水</w:t>
      </w:r>
      <w:r>
        <w:rPr>
          <w:color w:val="000000" w:themeColor="text1"/>
          <w:sz w:val="24"/>
        </w:rPr>
        <w:t>。</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⑤</w:t>
      </w:r>
      <w:r>
        <w:rPr>
          <w:color w:val="000000" w:themeColor="text1"/>
          <w:sz w:val="24"/>
        </w:rPr>
        <w:t>污水还田利用土地区域地下水影响分析及污染防治措施</w:t>
      </w:r>
    </w:p>
    <w:p>
      <w:pPr>
        <w:adjustRightInd w:val="0"/>
        <w:snapToGrid w:val="0"/>
        <w:ind w:firstLine="480" w:firstLineChars="200"/>
        <w:jc w:val="left"/>
        <w:rPr>
          <w:color w:val="000000" w:themeColor="text1"/>
          <w:sz w:val="24"/>
          <w:szCs w:val="20"/>
        </w:rPr>
      </w:pPr>
      <w:r>
        <w:rPr>
          <w:color w:val="000000" w:themeColor="text1"/>
          <w:sz w:val="24"/>
        </w:rPr>
        <w:t>拟建项目运营期产生的养殖废水经污水</w:t>
      </w:r>
      <w:r>
        <w:rPr>
          <w:rFonts w:hint="eastAsia"/>
          <w:color w:val="000000" w:themeColor="text1"/>
          <w:sz w:val="24"/>
        </w:rPr>
        <w:t>处理后沼液还田利用</w:t>
      </w:r>
      <w:r>
        <w:rPr>
          <w:color w:val="000000" w:themeColor="text1"/>
          <w:sz w:val="24"/>
        </w:rPr>
        <w:t>。废水经厌氧发酵后，其污染物浓度大大降低，</w:t>
      </w:r>
      <w:r>
        <w:rPr>
          <w:color w:val="000000" w:themeColor="text1"/>
          <w:sz w:val="24"/>
          <w:szCs w:val="20"/>
        </w:rPr>
        <w:t>通过农作物吸收、土壤净化等，对地下水影响小。</w:t>
      </w:r>
    </w:p>
    <w:p>
      <w:pPr>
        <w:adjustRightInd w:val="0"/>
        <w:snapToGrid w:val="0"/>
        <w:ind w:firstLine="480" w:firstLineChars="200"/>
        <w:jc w:val="left"/>
        <w:rPr>
          <w:color w:val="000000" w:themeColor="text1"/>
          <w:sz w:val="24"/>
        </w:rPr>
      </w:pPr>
      <w:r>
        <w:rPr>
          <w:color w:val="000000" w:themeColor="text1"/>
          <w:sz w:val="24"/>
        </w:rPr>
        <w:t>（</w:t>
      </w:r>
      <w:r>
        <w:rPr>
          <w:rFonts w:hint="eastAsia"/>
          <w:color w:val="000000" w:themeColor="text1"/>
          <w:sz w:val="24"/>
        </w:rPr>
        <w:t>8</w:t>
      </w:r>
      <w:r>
        <w:rPr>
          <w:color w:val="000000" w:themeColor="text1"/>
          <w:sz w:val="24"/>
        </w:rPr>
        <w:t>）地下污染防治措施</w:t>
      </w:r>
    </w:p>
    <w:p>
      <w:pPr>
        <w:adjustRightInd w:val="0"/>
        <w:snapToGrid w:val="0"/>
        <w:ind w:firstLine="480" w:firstLineChars="200"/>
        <w:jc w:val="left"/>
        <w:rPr>
          <w:color w:val="000000" w:themeColor="text1"/>
          <w:sz w:val="24"/>
        </w:rPr>
      </w:pPr>
      <w:r>
        <w:rPr>
          <w:color w:val="000000" w:themeColor="text1"/>
          <w:sz w:val="24"/>
        </w:rPr>
        <w:t>根据项目区水文地质条件，结合项目自身特点，按照“源头控制、分区防控、污染监控、应急响应”相结合的原则，本环评提出以下地下水环境污染防治措施：</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①</w:t>
      </w:r>
      <w:r>
        <w:rPr>
          <w:color w:val="000000" w:themeColor="text1"/>
          <w:sz w:val="24"/>
        </w:rPr>
        <w:t>源头控制措施</w:t>
      </w:r>
    </w:p>
    <w:p>
      <w:pPr>
        <w:adjustRightInd w:val="0"/>
        <w:snapToGrid w:val="0"/>
        <w:ind w:firstLine="480" w:firstLineChars="200"/>
        <w:jc w:val="left"/>
        <w:rPr>
          <w:color w:val="000000" w:themeColor="text1"/>
          <w:sz w:val="24"/>
        </w:rPr>
      </w:pPr>
      <w:r>
        <w:rPr>
          <w:color w:val="000000" w:themeColor="text1"/>
          <w:sz w:val="24"/>
        </w:rPr>
        <w:t>a.节约用水，采用干清粪工艺，减少废水产生量，废水排入污水处理站处理达标后回用，不外排。</w:t>
      </w:r>
    </w:p>
    <w:p>
      <w:pPr>
        <w:adjustRightInd w:val="0"/>
        <w:snapToGrid w:val="0"/>
        <w:ind w:firstLine="480" w:firstLineChars="200"/>
        <w:jc w:val="left"/>
        <w:rPr>
          <w:color w:val="000000" w:themeColor="text1"/>
          <w:sz w:val="24"/>
        </w:rPr>
      </w:pPr>
      <w:r>
        <w:rPr>
          <w:color w:val="000000" w:themeColor="text1"/>
          <w:sz w:val="24"/>
        </w:rPr>
        <w:t>b.定期对污水管、设备、污水储存及处理构筑物进行巡检、调节、保养、维修，及时发现可能引起事故的异常运行苗头，消除事故隐患，将污染物跑、冒、滴、漏降到最低限度。</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②</w:t>
      </w:r>
      <w:r>
        <w:rPr>
          <w:color w:val="000000" w:themeColor="text1"/>
          <w:sz w:val="24"/>
        </w:rPr>
        <w:t>分区防控措施</w:t>
      </w:r>
    </w:p>
    <w:p>
      <w:pPr>
        <w:adjustRightInd w:val="0"/>
        <w:snapToGrid w:val="0"/>
        <w:ind w:firstLine="480" w:firstLineChars="200"/>
        <w:jc w:val="left"/>
        <w:rPr>
          <w:color w:val="000000" w:themeColor="text1"/>
          <w:sz w:val="24"/>
        </w:rPr>
      </w:pPr>
      <w:r>
        <w:rPr>
          <w:color w:val="000000" w:themeColor="text1"/>
          <w:sz w:val="24"/>
        </w:rPr>
        <w:t>项目分区防控措施见表5.2-</w:t>
      </w:r>
      <w:r>
        <w:rPr>
          <w:rFonts w:hint="eastAsia"/>
          <w:color w:val="000000" w:themeColor="text1"/>
          <w:sz w:val="24"/>
        </w:rPr>
        <w:t>14</w:t>
      </w:r>
      <w:r>
        <w:rPr>
          <w:color w:val="000000" w:themeColor="text1"/>
          <w:sz w:val="24"/>
        </w:rPr>
        <w:t>。</w:t>
      </w:r>
    </w:p>
    <w:p>
      <w:pPr>
        <w:snapToGrid w:val="0"/>
        <w:spacing w:line="440" w:lineRule="exact"/>
        <w:ind w:firstLine="422" w:firstLineChars="200"/>
        <w:jc w:val="center"/>
        <w:rPr>
          <w:b/>
          <w:bCs/>
          <w:color w:val="000000" w:themeColor="text1"/>
          <w:szCs w:val="21"/>
        </w:rPr>
      </w:pPr>
      <w:r>
        <w:rPr>
          <w:b/>
          <w:bCs/>
          <w:color w:val="000000" w:themeColor="text1"/>
          <w:szCs w:val="21"/>
        </w:rPr>
        <w:t>5.2-</w:t>
      </w:r>
      <w:r>
        <w:rPr>
          <w:rFonts w:hint="eastAsia"/>
          <w:b/>
          <w:bCs/>
          <w:color w:val="000000" w:themeColor="text1"/>
          <w:szCs w:val="21"/>
        </w:rPr>
        <w:t xml:space="preserve">14  </w:t>
      </w:r>
      <w:r>
        <w:rPr>
          <w:b/>
          <w:bCs/>
          <w:color w:val="000000" w:themeColor="text1"/>
          <w:szCs w:val="21"/>
        </w:rPr>
        <w:t>地下水防渗分区表</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265"/>
        <w:gridCol w:w="2978"/>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Align w:val="center"/>
          </w:tcPr>
          <w:p>
            <w:pPr>
              <w:snapToGrid w:val="0"/>
              <w:spacing w:line="240" w:lineRule="auto"/>
              <w:jc w:val="center"/>
              <w:rPr>
                <w:b/>
                <w:bCs/>
                <w:color w:val="000000" w:themeColor="text1"/>
                <w:szCs w:val="21"/>
              </w:rPr>
            </w:pPr>
            <w:r>
              <w:rPr>
                <w:b/>
                <w:bCs/>
                <w:color w:val="000000" w:themeColor="text1"/>
                <w:szCs w:val="21"/>
              </w:rPr>
              <w:t>分区类别</w:t>
            </w:r>
          </w:p>
        </w:tc>
        <w:tc>
          <w:tcPr>
            <w:tcW w:w="2265" w:type="dxa"/>
            <w:vAlign w:val="center"/>
          </w:tcPr>
          <w:p>
            <w:pPr>
              <w:snapToGrid w:val="0"/>
              <w:spacing w:line="240" w:lineRule="auto"/>
              <w:jc w:val="center"/>
              <w:rPr>
                <w:b/>
                <w:bCs/>
                <w:color w:val="000000" w:themeColor="text1"/>
                <w:szCs w:val="21"/>
              </w:rPr>
            </w:pPr>
            <w:r>
              <w:rPr>
                <w:b/>
                <w:bCs/>
                <w:color w:val="000000" w:themeColor="text1"/>
                <w:szCs w:val="21"/>
              </w:rPr>
              <w:t>构筑物</w:t>
            </w:r>
          </w:p>
        </w:tc>
        <w:tc>
          <w:tcPr>
            <w:tcW w:w="2978" w:type="dxa"/>
            <w:vAlign w:val="center"/>
          </w:tcPr>
          <w:p>
            <w:pPr>
              <w:snapToGrid w:val="0"/>
              <w:spacing w:line="240" w:lineRule="auto"/>
              <w:jc w:val="center"/>
              <w:rPr>
                <w:b/>
                <w:bCs/>
                <w:color w:val="000000" w:themeColor="text1"/>
                <w:szCs w:val="21"/>
              </w:rPr>
            </w:pPr>
            <w:r>
              <w:rPr>
                <w:b/>
                <w:bCs/>
                <w:color w:val="000000" w:themeColor="text1"/>
                <w:szCs w:val="21"/>
              </w:rPr>
              <w:t>防渗措施</w:t>
            </w:r>
          </w:p>
        </w:tc>
        <w:tc>
          <w:tcPr>
            <w:tcW w:w="1757" w:type="dxa"/>
            <w:vAlign w:val="center"/>
          </w:tcPr>
          <w:p>
            <w:pPr>
              <w:snapToGrid w:val="0"/>
              <w:spacing w:line="240" w:lineRule="auto"/>
              <w:jc w:val="center"/>
              <w:rPr>
                <w:b/>
                <w:bCs/>
                <w:color w:val="000000" w:themeColor="text1"/>
                <w:szCs w:val="21"/>
              </w:rPr>
            </w:pPr>
            <w:r>
              <w:rPr>
                <w:b/>
                <w:bCs/>
                <w:color w:val="000000" w:themeColor="text1"/>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Merge w:val="restart"/>
            <w:vAlign w:val="center"/>
          </w:tcPr>
          <w:p>
            <w:pPr>
              <w:snapToGrid w:val="0"/>
              <w:spacing w:line="240" w:lineRule="auto"/>
              <w:jc w:val="center"/>
              <w:rPr>
                <w:bCs/>
                <w:color w:val="000000" w:themeColor="text1"/>
                <w:szCs w:val="21"/>
              </w:rPr>
            </w:pPr>
            <w:r>
              <w:rPr>
                <w:bCs/>
                <w:color w:val="000000" w:themeColor="text1"/>
                <w:szCs w:val="21"/>
              </w:rPr>
              <w:t>重点防渗区</w:t>
            </w:r>
          </w:p>
        </w:tc>
        <w:tc>
          <w:tcPr>
            <w:tcW w:w="2265" w:type="dxa"/>
            <w:vAlign w:val="center"/>
          </w:tcPr>
          <w:p>
            <w:pPr>
              <w:snapToGrid w:val="0"/>
              <w:spacing w:line="240" w:lineRule="auto"/>
              <w:jc w:val="center"/>
              <w:rPr>
                <w:bCs/>
                <w:color w:val="000000" w:themeColor="text1"/>
                <w:szCs w:val="21"/>
              </w:rPr>
            </w:pPr>
            <w:r>
              <w:rPr>
                <w:bCs/>
                <w:color w:val="000000" w:themeColor="text1"/>
                <w:szCs w:val="21"/>
              </w:rPr>
              <w:t>污水</w:t>
            </w:r>
            <w:r>
              <w:rPr>
                <w:rFonts w:hint="eastAsia"/>
                <w:bCs/>
                <w:color w:val="000000" w:themeColor="text1"/>
                <w:szCs w:val="21"/>
              </w:rPr>
              <w:t>预处理池</w:t>
            </w:r>
            <w:r>
              <w:rPr>
                <w:bCs/>
                <w:color w:val="000000" w:themeColor="text1"/>
                <w:szCs w:val="21"/>
              </w:rPr>
              <w:t>站、事故应急池、</w:t>
            </w:r>
            <w:r>
              <w:rPr>
                <w:rFonts w:hint="eastAsia"/>
                <w:bCs/>
                <w:color w:val="000000" w:themeColor="text1"/>
                <w:szCs w:val="21"/>
              </w:rPr>
              <w:t>沼液储存池</w:t>
            </w:r>
            <w:r>
              <w:rPr>
                <w:bCs/>
                <w:color w:val="000000" w:themeColor="text1"/>
                <w:szCs w:val="21"/>
              </w:rPr>
              <w:t>、安全填埋井</w:t>
            </w:r>
            <w:r>
              <w:rPr>
                <w:rFonts w:hint="eastAsia"/>
                <w:bCs/>
                <w:color w:val="000000" w:themeColor="text1"/>
                <w:szCs w:val="21"/>
              </w:rPr>
              <w:t>、医疗废物暂存间</w:t>
            </w:r>
          </w:p>
        </w:tc>
        <w:tc>
          <w:tcPr>
            <w:tcW w:w="2978" w:type="dxa"/>
            <w:vAlign w:val="center"/>
          </w:tcPr>
          <w:p>
            <w:pPr>
              <w:snapToGrid w:val="0"/>
              <w:spacing w:line="240" w:lineRule="auto"/>
              <w:jc w:val="center"/>
              <w:rPr>
                <w:bCs/>
                <w:color w:val="000000" w:themeColor="text1"/>
                <w:szCs w:val="21"/>
              </w:rPr>
            </w:pPr>
            <w:r>
              <w:rPr>
                <w:bCs/>
                <w:color w:val="000000" w:themeColor="text1"/>
                <w:szCs w:val="21"/>
              </w:rPr>
              <w:t>池体采用防渗混凝土结构，混凝土抗渗标号大于S30</w:t>
            </w:r>
          </w:p>
        </w:tc>
        <w:tc>
          <w:tcPr>
            <w:tcW w:w="1757" w:type="dxa"/>
            <w:vMerge w:val="restart"/>
            <w:vAlign w:val="center"/>
          </w:tcPr>
          <w:p>
            <w:pPr>
              <w:snapToGrid w:val="0"/>
              <w:spacing w:line="240" w:lineRule="auto"/>
              <w:jc w:val="center"/>
              <w:rPr>
                <w:bCs/>
                <w:color w:val="000000" w:themeColor="text1"/>
                <w:szCs w:val="21"/>
              </w:rPr>
            </w:pPr>
            <w:r>
              <w:rPr>
                <w:bCs/>
                <w:color w:val="000000" w:themeColor="text1"/>
                <w:szCs w:val="21"/>
              </w:rPr>
              <w:t>等效黏土防渗层</w:t>
            </w:r>
          </w:p>
          <w:p>
            <w:pPr>
              <w:snapToGrid w:val="0"/>
              <w:spacing w:line="240" w:lineRule="auto"/>
              <w:jc w:val="center"/>
              <w:rPr>
                <w:bCs/>
                <w:color w:val="000000" w:themeColor="text1"/>
                <w:szCs w:val="21"/>
              </w:rPr>
            </w:pPr>
            <w:r>
              <w:rPr>
                <w:bCs/>
                <w:color w:val="000000" w:themeColor="text1"/>
                <w:szCs w:val="21"/>
              </w:rPr>
              <w:t>Mb≥6m，K≤1×10</w:t>
            </w:r>
            <w:r>
              <w:rPr>
                <w:bCs/>
                <w:color w:val="000000" w:themeColor="text1"/>
                <w:szCs w:val="21"/>
                <w:vertAlign w:val="superscript"/>
              </w:rPr>
              <w:t>-7</w:t>
            </w:r>
            <w:r>
              <w:rPr>
                <w:bCs/>
                <w:color w:val="000000" w:themeColor="text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Merge w:val="continue"/>
            <w:vAlign w:val="center"/>
          </w:tcPr>
          <w:p>
            <w:pPr>
              <w:snapToGrid w:val="0"/>
              <w:spacing w:line="240" w:lineRule="auto"/>
              <w:jc w:val="center"/>
              <w:rPr>
                <w:bCs/>
                <w:color w:val="000000" w:themeColor="text1"/>
                <w:szCs w:val="21"/>
              </w:rPr>
            </w:pPr>
          </w:p>
        </w:tc>
        <w:tc>
          <w:tcPr>
            <w:tcW w:w="2265" w:type="dxa"/>
            <w:vAlign w:val="center"/>
          </w:tcPr>
          <w:p>
            <w:pPr>
              <w:snapToGrid w:val="0"/>
              <w:spacing w:line="240" w:lineRule="auto"/>
              <w:jc w:val="center"/>
              <w:rPr>
                <w:bCs/>
                <w:color w:val="000000" w:themeColor="text1"/>
                <w:szCs w:val="21"/>
              </w:rPr>
            </w:pPr>
            <w:r>
              <w:rPr>
                <w:rFonts w:hint="eastAsia"/>
                <w:bCs/>
                <w:color w:val="000000" w:themeColor="text1"/>
                <w:szCs w:val="21"/>
              </w:rPr>
              <w:t>异位</w:t>
            </w:r>
            <w:r>
              <w:rPr>
                <w:bCs/>
                <w:color w:val="000000" w:themeColor="text1"/>
                <w:szCs w:val="21"/>
              </w:rPr>
              <w:t>发酵间</w:t>
            </w:r>
          </w:p>
        </w:tc>
        <w:tc>
          <w:tcPr>
            <w:tcW w:w="2978" w:type="dxa"/>
            <w:vAlign w:val="center"/>
          </w:tcPr>
          <w:p>
            <w:pPr>
              <w:snapToGrid w:val="0"/>
              <w:spacing w:line="240" w:lineRule="auto"/>
              <w:jc w:val="center"/>
              <w:rPr>
                <w:bCs/>
                <w:color w:val="000000" w:themeColor="text1"/>
                <w:szCs w:val="21"/>
              </w:rPr>
            </w:pPr>
            <w:r>
              <w:rPr>
                <w:bCs/>
                <w:color w:val="000000" w:themeColor="text1"/>
                <w:szCs w:val="21"/>
              </w:rPr>
              <w:t>地面基础先采用三合土夯实，上铺HDPE-GCL复合防渗系统（2mm厚HDPE、300g/cm</w:t>
            </w:r>
            <w:r>
              <w:rPr>
                <w:bCs/>
                <w:color w:val="000000" w:themeColor="text1"/>
                <w:szCs w:val="21"/>
                <w:vertAlign w:val="superscript"/>
              </w:rPr>
              <w:t>2</w:t>
            </w:r>
            <w:r>
              <w:rPr>
                <w:bCs/>
                <w:color w:val="000000" w:themeColor="text1"/>
                <w:szCs w:val="21"/>
              </w:rPr>
              <w:t>土工织物膨润土垫），再在上层铺设10~15cm厚混凝土层</w:t>
            </w:r>
          </w:p>
        </w:tc>
        <w:tc>
          <w:tcPr>
            <w:tcW w:w="1757" w:type="dxa"/>
            <w:vMerge w:val="continue"/>
            <w:vAlign w:val="center"/>
          </w:tcPr>
          <w:p>
            <w:pPr>
              <w:snapToGrid w:val="0"/>
              <w:spacing w:line="240" w:lineRule="auto"/>
              <w:jc w:val="center"/>
              <w:rPr>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Merge w:val="continue"/>
            <w:vAlign w:val="center"/>
          </w:tcPr>
          <w:p>
            <w:pPr>
              <w:snapToGrid w:val="0"/>
              <w:spacing w:line="240" w:lineRule="auto"/>
              <w:jc w:val="center"/>
              <w:rPr>
                <w:bCs/>
                <w:color w:val="000000" w:themeColor="text1"/>
                <w:szCs w:val="21"/>
              </w:rPr>
            </w:pPr>
          </w:p>
        </w:tc>
        <w:tc>
          <w:tcPr>
            <w:tcW w:w="2265" w:type="dxa"/>
            <w:vAlign w:val="center"/>
          </w:tcPr>
          <w:p>
            <w:pPr>
              <w:snapToGrid w:val="0"/>
              <w:spacing w:line="240" w:lineRule="auto"/>
              <w:jc w:val="center"/>
              <w:rPr>
                <w:bCs/>
                <w:color w:val="000000" w:themeColor="text1"/>
                <w:szCs w:val="21"/>
              </w:rPr>
            </w:pPr>
            <w:r>
              <w:rPr>
                <w:bCs/>
                <w:color w:val="000000" w:themeColor="text1"/>
                <w:szCs w:val="21"/>
              </w:rPr>
              <w:t>集污管道</w:t>
            </w:r>
          </w:p>
        </w:tc>
        <w:tc>
          <w:tcPr>
            <w:tcW w:w="2978" w:type="dxa"/>
            <w:vAlign w:val="center"/>
          </w:tcPr>
          <w:p>
            <w:pPr>
              <w:snapToGrid w:val="0"/>
              <w:spacing w:line="240" w:lineRule="auto"/>
              <w:jc w:val="center"/>
              <w:rPr>
                <w:bCs/>
                <w:color w:val="000000" w:themeColor="text1"/>
                <w:szCs w:val="21"/>
              </w:rPr>
            </w:pPr>
            <w:r>
              <w:rPr>
                <w:bCs/>
                <w:color w:val="000000" w:themeColor="text1"/>
                <w:szCs w:val="21"/>
              </w:rPr>
              <w:t>排污管道采用暗管，接口必须密封紧密，并对每一个接口增加水泥砂浆进行防渗漏</w:t>
            </w:r>
          </w:p>
        </w:tc>
        <w:tc>
          <w:tcPr>
            <w:tcW w:w="1757" w:type="dxa"/>
            <w:vMerge w:val="continue"/>
            <w:vAlign w:val="center"/>
          </w:tcPr>
          <w:p>
            <w:pPr>
              <w:snapToGrid w:val="0"/>
              <w:spacing w:line="240" w:lineRule="auto"/>
              <w:jc w:val="center"/>
              <w:rPr>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Align w:val="center"/>
          </w:tcPr>
          <w:p>
            <w:pPr>
              <w:snapToGrid w:val="0"/>
              <w:spacing w:line="240" w:lineRule="auto"/>
              <w:jc w:val="center"/>
              <w:rPr>
                <w:bCs/>
                <w:color w:val="000000" w:themeColor="text1"/>
                <w:szCs w:val="21"/>
              </w:rPr>
            </w:pPr>
            <w:r>
              <w:rPr>
                <w:bCs/>
                <w:color w:val="000000" w:themeColor="text1"/>
                <w:szCs w:val="21"/>
              </w:rPr>
              <w:t>一般防渗区</w:t>
            </w:r>
          </w:p>
        </w:tc>
        <w:tc>
          <w:tcPr>
            <w:tcW w:w="2265" w:type="dxa"/>
            <w:vAlign w:val="center"/>
          </w:tcPr>
          <w:p>
            <w:pPr>
              <w:snapToGrid w:val="0"/>
              <w:spacing w:line="240" w:lineRule="auto"/>
              <w:jc w:val="center"/>
              <w:rPr>
                <w:bCs/>
                <w:color w:val="000000" w:themeColor="text1"/>
                <w:szCs w:val="21"/>
              </w:rPr>
            </w:pPr>
            <w:r>
              <w:rPr>
                <w:bCs/>
                <w:color w:val="000000" w:themeColor="text1"/>
                <w:szCs w:val="21"/>
              </w:rPr>
              <w:t>猪舍</w:t>
            </w:r>
          </w:p>
        </w:tc>
        <w:tc>
          <w:tcPr>
            <w:tcW w:w="2978" w:type="dxa"/>
            <w:vAlign w:val="center"/>
          </w:tcPr>
          <w:p>
            <w:pPr>
              <w:snapToGrid w:val="0"/>
              <w:spacing w:line="240" w:lineRule="auto"/>
              <w:jc w:val="center"/>
              <w:rPr>
                <w:bCs/>
                <w:color w:val="000000" w:themeColor="text1"/>
                <w:szCs w:val="21"/>
              </w:rPr>
            </w:pPr>
            <w:r>
              <w:rPr>
                <w:bCs/>
                <w:color w:val="000000" w:themeColor="text1"/>
                <w:szCs w:val="21"/>
              </w:rPr>
              <w:t>采取粘土铺底，再在上层铺</w:t>
            </w:r>
          </w:p>
          <w:p>
            <w:pPr>
              <w:snapToGrid w:val="0"/>
              <w:spacing w:line="240" w:lineRule="auto"/>
              <w:jc w:val="center"/>
              <w:rPr>
                <w:bCs/>
                <w:color w:val="000000" w:themeColor="text1"/>
                <w:szCs w:val="21"/>
              </w:rPr>
            </w:pPr>
            <w:r>
              <w:rPr>
                <w:bCs/>
                <w:color w:val="000000" w:themeColor="text1"/>
                <w:szCs w:val="21"/>
              </w:rPr>
              <w:t>10~15cm的水泥进行硬化</w:t>
            </w:r>
          </w:p>
        </w:tc>
        <w:tc>
          <w:tcPr>
            <w:tcW w:w="1757" w:type="dxa"/>
            <w:vAlign w:val="center"/>
          </w:tcPr>
          <w:p>
            <w:pPr>
              <w:snapToGrid w:val="0"/>
              <w:spacing w:line="240" w:lineRule="auto"/>
              <w:jc w:val="center"/>
              <w:rPr>
                <w:bCs/>
                <w:color w:val="000000" w:themeColor="text1"/>
                <w:szCs w:val="21"/>
              </w:rPr>
            </w:pPr>
            <w:r>
              <w:rPr>
                <w:bCs/>
                <w:color w:val="000000" w:themeColor="text1"/>
                <w:szCs w:val="21"/>
              </w:rPr>
              <w:t>等效黏土防渗层</w:t>
            </w:r>
          </w:p>
          <w:p>
            <w:pPr>
              <w:snapToGrid w:val="0"/>
              <w:spacing w:line="240" w:lineRule="auto"/>
              <w:jc w:val="center"/>
              <w:rPr>
                <w:bCs/>
                <w:color w:val="000000" w:themeColor="text1"/>
                <w:szCs w:val="21"/>
              </w:rPr>
            </w:pPr>
            <w:r>
              <w:rPr>
                <w:bCs/>
                <w:color w:val="000000" w:themeColor="text1"/>
                <w:szCs w:val="21"/>
              </w:rPr>
              <w:t>Mb≥1.5m，K≤1×10</w:t>
            </w:r>
            <w:r>
              <w:rPr>
                <w:bCs/>
                <w:color w:val="000000" w:themeColor="text1"/>
                <w:szCs w:val="21"/>
                <w:vertAlign w:val="superscript"/>
              </w:rPr>
              <w:t>-7</w:t>
            </w:r>
            <w:r>
              <w:rPr>
                <w:bCs/>
                <w:color w:val="000000" w:themeColor="text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Align w:val="center"/>
          </w:tcPr>
          <w:p>
            <w:pPr>
              <w:snapToGrid w:val="0"/>
              <w:spacing w:line="240" w:lineRule="auto"/>
              <w:jc w:val="center"/>
              <w:rPr>
                <w:bCs/>
                <w:color w:val="000000" w:themeColor="text1"/>
                <w:szCs w:val="21"/>
              </w:rPr>
            </w:pPr>
            <w:r>
              <w:rPr>
                <w:bCs/>
                <w:color w:val="000000" w:themeColor="text1"/>
                <w:szCs w:val="21"/>
              </w:rPr>
              <w:t>简单防渗区</w:t>
            </w:r>
          </w:p>
        </w:tc>
        <w:tc>
          <w:tcPr>
            <w:tcW w:w="2265" w:type="dxa"/>
            <w:vAlign w:val="center"/>
          </w:tcPr>
          <w:p>
            <w:pPr>
              <w:snapToGrid w:val="0"/>
              <w:spacing w:line="240" w:lineRule="auto"/>
              <w:jc w:val="center"/>
              <w:rPr>
                <w:bCs/>
                <w:color w:val="000000" w:themeColor="text1"/>
                <w:szCs w:val="21"/>
              </w:rPr>
            </w:pPr>
            <w:r>
              <w:rPr>
                <w:bCs/>
                <w:color w:val="000000" w:themeColor="text1"/>
                <w:szCs w:val="21"/>
              </w:rPr>
              <w:t>办公</w:t>
            </w:r>
            <w:r>
              <w:rPr>
                <w:rFonts w:hint="eastAsia"/>
                <w:bCs/>
                <w:color w:val="000000" w:themeColor="text1"/>
                <w:szCs w:val="21"/>
              </w:rPr>
              <w:t>区</w:t>
            </w:r>
            <w:r>
              <w:rPr>
                <w:bCs/>
                <w:color w:val="000000" w:themeColor="text1"/>
                <w:szCs w:val="21"/>
              </w:rPr>
              <w:t>、</w:t>
            </w:r>
            <w:r>
              <w:rPr>
                <w:rFonts w:hint="eastAsia"/>
                <w:bCs/>
                <w:color w:val="000000" w:themeColor="text1"/>
                <w:szCs w:val="21"/>
              </w:rPr>
              <w:t>生活区</w:t>
            </w:r>
            <w:r>
              <w:rPr>
                <w:bCs/>
                <w:color w:val="000000" w:themeColor="text1"/>
                <w:szCs w:val="21"/>
              </w:rPr>
              <w:t>、厂区道路</w:t>
            </w:r>
          </w:p>
        </w:tc>
        <w:tc>
          <w:tcPr>
            <w:tcW w:w="2978" w:type="dxa"/>
            <w:vAlign w:val="center"/>
          </w:tcPr>
          <w:p>
            <w:pPr>
              <w:snapToGrid w:val="0"/>
              <w:spacing w:line="240" w:lineRule="auto"/>
              <w:jc w:val="center"/>
              <w:rPr>
                <w:bCs/>
                <w:color w:val="000000" w:themeColor="text1"/>
                <w:szCs w:val="21"/>
              </w:rPr>
            </w:pPr>
            <w:r>
              <w:rPr>
                <w:bCs/>
                <w:color w:val="000000" w:themeColor="text1"/>
                <w:szCs w:val="21"/>
              </w:rPr>
              <w:t>水泥硬化</w:t>
            </w:r>
          </w:p>
        </w:tc>
        <w:tc>
          <w:tcPr>
            <w:tcW w:w="1757" w:type="dxa"/>
            <w:vAlign w:val="center"/>
          </w:tcPr>
          <w:p>
            <w:pPr>
              <w:snapToGrid w:val="0"/>
              <w:spacing w:line="240" w:lineRule="auto"/>
              <w:jc w:val="center"/>
              <w:rPr>
                <w:bCs/>
                <w:color w:val="000000" w:themeColor="text1"/>
                <w:szCs w:val="21"/>
              </w:rPr>
            </w:pPr>
            <w:r>
              <w:rPr>
                <w:bCs/>
                <w:color w:val="000000" w:themeColor="text1"/>
                <w:szCs w:val="21"/>
              </w:rPr>
              <w:t>一般地面硬化</w:t>
            </w:r>
          </w:p>
        </w:tc>
      </w:tr>
    </w:tbl>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③</w:t>
      </w:r>
      <w:r>
        <w:rPr>
          <w:color w:val="000000" w:themeColor="text1"/>
          <w:sz w:val="24"/>
        </w:rPr>
        <w:t>污染监控措施</w:t>
      </w:r>
    </w:p>
    <w:p>
      <w:pPr>
        <w:adjustRightInd w:val="0"/>
        <w:snapToGrid w:val="0"/>
        <w:ind w:firstLine="480" w:firstLineChars="200"/>
        <w:jc w:val="left"/>
        <w:rPr>
          <w:color w:val="000000" w:themeColor="text1"/>
          <w:sz w:val="24"/>
        </w:rPr>
      </w:pPr>
      <w:r>
        <w:rPr>
          <w:color w:val="000000" w:themeColor="text1"/>
          <w:sz w:val="24"/>
        </w:rPr>
        <w:t>项目</w:t>
      </w:r>
      <w:r>
        <w:rPr>
          <w:rFonts w:hint="eastAsia"/>
          <w:color w:val="000000" w:themeColor="text1"/>
          <w:sz w:val="24"/>
        </w:rPr>
        <w:t>厂区下游（场址南侧）</w:t>
      </w:r>
      <w:r>
        <w:rPr>
          <w:color w:val="000000" w:themeColor="text1"/>
          <w:sz w:val="24"/>
        </w:rPr>
        <w:t>建设</w:t>
      </w:r>
      <w:r>
        <w:rPr>
          <w:rFonts w:hint="eastAsia"/>
          <w:color w:val="000000" w:themeColor="text1"/>
          <w:sz w:val="24"/>
        </w:rPr>
        <w:t>1</w:t>
      </w:r>
      <w:r>
        <w:rPr>
          <w:color w:val="000000" w:themeColor="text1"/>
          <w:sz w:val="24"/>
        </w:rPr>
        <w:t>口</w:t>
      </w:r>
      <w:r>
        <w:rPr>
          <w:rFonts w:hint="eastAsia"/>
          <w:color w:val="000000" w:themeColor="text1"/>
          <w:sz w:val="24"/>
        </w:rPr>
        <w:t>污染跟踪</w:t>
      </w:r>
      <w:r>
        <w:rPr>
          <w:color w:val="000000" w:themeColor="text1"/>
          <w:sz w:val="24"/>
        </w:rPr>
        <w:t>监测井，建立运营期地下水污染监控计划，及时掌握地下水水质情况，以便及时发现问题，采取措施，防止地下水受到污染。</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④</w:t>
      </w:r>
      <w:r>
        <w:rPr>
          <w:color w:val="000000" w:themeColor="text1"/>
          <w:sz w:val="24"/>
        </w:rPr>
        <w:t>应急响应措施</w:t>
      </w:r>
    </w:p>
    <w:p>
      <w:pPr>
        <w:adjustRightInd w:val="0"/>
        <w:snapToGrid w:val="0"/>
        <w:ind w:firstLine="480" w:firstLineChars="200"/>
        <w:jc w:val="left"/>
        <w:rPr>
          <w:color w:val="000000" w:themeColor="text1"/>
          <w:sz w:val="24"/>
        </w:rPr>
      </w:pPr>
      <w:r>
        <w:rPr>
          <w:color w:val="000000" w:themeColor="text1"/>
          <w:sz w:val="24"/>
        </w:rPr>
        <w:t>制定地下水污染应急响应预案，明确污染状况下应采取的控制污染源、切断污染途径等措施。</w:t>
      </w:r>
    </w:p>
    <w:p>
      <w:pPr>
        <w:adjustRightInd w:val="0"/>
        <w:snapToGrid w:val="0"/>
        <w:ind w:firstLine="480" w:firstLineChars="200"/>
        <w:jc w:val="left"/>
        <w:rPr>
          <w:color w:val="000000" w:themeColor="text1"/>
          <w:sz w:val="24"/>
        </w:rPr>
      </w:pPr>
      <w:r>
        <w:rPr>
          <w:color w:val="000000" w:themeColor="text1"/>
          <w:sz w:val="24"/>
        </w:rPr>
        <w:t>（</w:t>
      </w:r>
      <w:r>
        <w:rPr>
          <w:rFonts w:hint="eastAsia"/>
          <w:color w:val="000000" w:themeColor="text1"/>
          <w:sz w:val="24"/>
        </w:rPr>
        <w:t>9</w:t>
      </w:r>
      <w:r>
        <w:rPr>
          <w:color w:val="000000" w:themeColor="text1"/>
          <w:sz w:val="24"/>
        </w:rPr>
        <w:t>）结论</w:t>
      </w:r>
    </w:p>
    <w:p>
      <w:pPr>
        <w:adjustRightInd w:val="0"/>
        <w:snapToGrid w:val="0"/>
        <w:ind w:firstLine="480" w:firstLineChars="200"/>
        <w:jc w:val="left"/>
        <w:rPr>
          <w:color w:val="000000" w:themeColor="text1"/>
          <w:sz w:val="24"/>
        </w:rPr>
      </w:pPr>
      <w:r>
        <w:rPr>
          <w:color w:val="000000" w:themeColor="text1"/>
          <w:sz w:val="24"/>
        </w:rPr>
        <w:t>综上，项目采取上述措施后，运行过程中对区域地下水影响较小。</w:t>
      </w:r>
    </w:p>
    <w:p>
      <w:pPr>
        <w:pStyle w:val="4"/>
        <w:spacing w:before="0" w:after="0" w:line="360" w:lineRule="auto"/>
        <w:rPr>
          <w:color w:val="000000" w:themeColor="text1"/>
        </w:rPr>
      </w:pPr>
      <w:bookmarkStart w:id="396" w:name="_Toc504403853"/>
      <w:bookmarkStart w:id="397" w:name="_Toc510547329"/>
      <w:r>
        <w:rPr>
          <w:color w:val="000000" w:themeColor="text1"/>
        </w:rPr>
        <w:t>5.2.4声环境影响分析</w:t>
      </w:r>
      <w:bookmarkEnd w:id="396"/>
      <w:bookmarkEnd w:id="397"/>
    </w:p>
    <w:p>
      <w:pPr>
        <w:adjustRightInd w:val="0"/>
        <w:snapToGrid w:val="0"/>
        <w:ind w:firstLine="480" w:firstLineChars="200"/>
        <w:rPr>
          <w:color w:val="000000" w:themeColor="text1"/>
          <w:sz w:val="24"/>
        </w:rPr>
      </w:pPr>
      <w:r>
        <w:rPr>
          <w:color w:val="000000" w:themeColor="text1"/>
          <w:sz w:val="24"/>
        </w:rPr>
        <w:t>（1）执行标准</w:t>
      </w:r>
    </w:p>
    <w:p>
      <w:pPr>
        <w:adjustRightInd w:val="0"/>
        <w:snapToGrid w:val="0"/>
        <w:ind w:firstLine="480" w:firstLineChars="200"/>
        <w:rPr>
          <w:color w:val="000000" w:themeColor="text1"/>
          <w:sz w:val="24"/>
        </w:rPr>
      </w:pPr>
      <w:r>
        <w:rPr>
          <w:color w:val="000000" w:themeColor="text1"/>
          <w:sz w:val="24"/>
        </w:rPr>
        <w:t>运营期厂界噪声排放执行《工业企业厂界环境噪声排放标准》（GB12348-2008）</w:t>
      </w:r>
      <w:r>
        <w:rPr>
          <w:rFonts w:hint="eastAsia"/>
          <w:color w:val="000000" w:themeColor="text1"/>
          <w:sz w:val="24"/>
        </w:rPr>
        <w:t>1</w:t>
      </w:r>
      <w:r>
        <w:rPr>
          <w:color w:val="000000" w:themeColor="text1"/>
          <w:sz w:val="24"/>
        </w:rPr>
        <w:t>类区标准。</w:t>
      </w:r>
    </w:p>
    <w:p>
      <w:pPr>
        <w:adjustRightInd w:val="0"/>
        <w:snapToGrid w:val="0"/>
        <w:ind w:firstLine="480" w:firstLineChars="200"/>
        <w:rPr>
          <w:color w:val="000000" w:themeColor="text1"/>
          <w:sz w:val="24"/>
        </w:rPr>
      </w:pPr>
      <w:r>
        <w:rPr>
          <w:color w:val="000000" w:themeColor="text1"/>
          <w:sz w:val="24"/>
        </w:rPr>
        <w:t>（2）噪声环境质量预测</w:t>
      </w:r>
    </w:p>
    <w:p>
      <w:pPr>
        <w:adjustRightInd w:val="0"/>
        <w:snapToGrid w:val="0"/>
        <w:ind w:firstLine="480" w:firstLineChars="200"/>
        <w:rPr>
          <w:color w:val="000000" w:themeColor="text1"/>
          <w:sz w:val="24"/>
        </w:rPr>
      </w:pPr>
      <w:r>
        <w:rPr>
          <w:color w:val="000000" w:themeColor="text1"/>
          <w:sz w:val="24"/>
        </w:rPr>
        <w:t>声波在空气中传播是一个波动过程，它伴随着反射、衍射和干涉等复杂的物理现象，而在声波传播的路径上有各种形状和性质的建筑使声波的传播更加复杂。因此，对于项目噪声对外界的干扰预测，采用简化的方法，即把声波在空气中传播看做能量流动，忽略波动过程中的相位关系，主要计算几何声学的扩散与一些附加衰减的叠加，采用HJ2.4-2009中推荐的预测模式。</w:t>
      </w:r>
    </w:p>
    <w:p>
      <w:pPr>
        <w:adjustRightInd w:val="0"/>
        <w:snapToGrid w:val="0"/>
        <w:ind w:firstLine="480" w:firstLineChars="200"/>
        <w:rPr>
          <w:color w:val="000000" w:themeColor="text1"/>
          <w:sz w:val="24"/>
        </w:rPr>
      </w:pPr>
      <w:r>
        <w:rPr>
          <w:color w:val="000000" w:themeColor="text1"/>
          <w:sz w:val="24"/>
        </w:rPr>
        <w:t>（3）背景噪声处理</w:t>
      </w:r>
    </w:p>
    <w:p>
      <w:pPr>
        <w:adjustRightInd w:val="0"/>
        <w:snapToGrid w:val="0"/>
        <w:ind w:firstLine="480" w:firstLineChars="200"/>
        <w:rPr>
          <w:color w:val="000000" w:themeColor="text1"/>
          <w:sz w:val="24"/>
        </w:rPr>
      </w:pPr>
      <w:r>
        <w:rPr>
          <w:color w:val="000000" w:themeColor="text1"/>
          <w:sz w:val="24"/>
        </w:rPr>
        <w:t>根据HJ2.4-2009《环境影响评价技术导则声环境》9.2条规定，“进行边界噪声评价时，新建建设项目以工程噪声贡献值作为评价量；改扩建建设项目以工程噪声贡献值与受到现有工程影响的边界噪声值叠加后的预测值作为评价量。”</w:t>
      </w:r>
    </w:p>
    <w:p>
      <w:pPr>
        <w:adjustRightInd w:val="0"/>
        <w:snapToGrid w:val="0"/>
        <w:ind w:firstLine="480" w:firstLineChars="200"/>
        <w:rPr>
          <w:color w:val="000000" w:themeColor="text1"/>
          <w:sz w:val="24"/>
        </w:rPr>
      </w:pPr>
      <w:r>
        <w:rPr>
          <w:color w:val="000000" w:themeColor="text1"/>
          <w:sz w:val="24"/>
        </w:rPr>
        <w:t>本项目为新建项目，厂界噪声预测以贡献值作为评价量，环境保护目标预测以贡献值叠加背景值作为评价量。监测背景值选用昼夜监测最大值。</w:t>
      </w:r>
    </w:p>
    <w:p>
      <w:pPr>
        <w:adjustRightInd w:val="0"/>
        <w:snapToGrid w:val="0"/>
        <w:ind w:firstLine="480" w:firstLineChars="200"/>
        <w:rPr>
          <w:color w:val="000000" w:themeColor="text1"/>
          <w:sz w:val="24"/>
        </w:rPr>
      </w:pPr>
      <w:r>
        <w:rPr>
          <w:color w:val="000000" w:themeColor="text1"/>
          <w:sz w:val="24"/>
        </w:rPr>
        <w:t>本项目环境保护目标预测噪声采用项目贡献值。</w:t>
      </w:r>
    </w:p>
    <w:p>
      <w:pPr>
        <w:adjustRightInd w:val="0"/>
        <w:snapToGrid w:val="0"/>
        <w:ind w:firstLine="480" w:firstLineChars="200"/>
        <w:rPr>
          <w:color w:val="000000" w:themeColor="text1"/>
          <w:sz w:val="24"/>
        </w:rPr>
      </w:pPr>
      <w:r>
        <w:rPr>
          <w:color w:val="000000" w:themeColor="text1"/>
          <w:sz w:val="24"/>
        </w:rPr>
        <w:t>（4）采用的模式</w:t>
      </w:r>
    </w:p>
    <w:p>
      <w:pPr>
        <w:ind w:firstLine="480" w:firstLineChars="200"/>
        <w:rPr>
          <w:color w:val="000000" w:themeColor="text1"/>
          <w:sz w:val="24"/>
        </w:rPr>
      </w:pPr>
      <w:r>
        <w:rPr>
          <w:color w:val="000000" w:themeColor="text1"/>
          <w:sz w:val="24"/>
        </w:rPr>
        <w:t>预测点的预测等效声级（</w:t>
      </w:r>
      <w:r>
        <w:rPr>
          <w:color w:val="000000" w:themeColor="text1"/>
          <w:position w:val="-14"/>
          <w:sz w:val="24"/>
        </w:rPr>
        <w:object>
          <v:shape id="_x0000_i1030" o:spt="75" type="#_x0000_t75" style="height:22.3pt;width:15.1pt;" o:ole="t" fillcolor="#6D6D6D" filled="f" o:preferrelative="t" stroked="f" coordsize="21600,21600">
            <v:path/>
            <v:fill on="f" focussize="0,0"/>
            <v:stroke on="f" joinstyle="miter"/>
            <v:imagedata r:id="rId36" o:title=""/>
            <o:lock v:ext="edit" aspectratio="t"/>
            <w10:wrap type="none"/>
            <w10:anchorlock/>
          </v:shape>
          <o:OLEObject Type="Embed" ProgID="Equation.3" ShapeID="_x0000_i1030" DrawAspect="Content" ObjectID="_1468075729" r:id="rId35">
            <o:LockedField>false</o:LockedField>
          </o:OLEObject>
        </w:object>
      </w:r>
      <w:r>
        <w:rPr>
          <w:color w:val="000000" w:themeColor="text1"/>
          <w:sz w:val="24"/>
        </w:rPr>
        <w:t>）计算公式：</w:t>
      </w:r>
    </w:p>
    <w:p>
      <w:pPr>
        <w:ind w:firstLine="420" w:firstLineChars="200"/>
        <w:jc w:val="center"/>
        <w:rPr>
          <w:color w:val="000000" w:themeColor="text1"/>
          <w:sz w:val="24"/>
        </w:rPr>
      </w:pPr>
      <w:r>
        <w:rPr>
          <w:color w:val="000000" w:themeColor="text1"/>
          <w:position w:val="-14"/>
        </w:rPr>
        <w:object>
          <v:shape id="_x0000_i1031" o:spt="75" type="#_x0000_t75" style="height:22.3pt;width:138.25pt;" o:ole="t" fillcolor="#6D6D6D"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0" r:id="rId37">
            <o:LockedField>false</o:LockedField>
          </o:OLEObject>
        </w:object>
      </w:r>
    </w:p>
    <w:p>
      <w:pPr>
        <w:ind w:firstLine="480" w:firstLineChars="200"/>
        <w:rPr>
          <w:color w:val="000000" w:themeColor="text1"/>
          <w:sz w:val="24"/>
        </w:rPr>
      </w:pPr>
      <w:r>
        <w:rPr>
          <w:color w:val="000000" w:themeColor="text1"/>
          <w:sz w:val="24"/>
        </w:rPr>
        <w:t>式中：</w:t>
      </w:r>
      <w:r>
        <w:rPr>
          <w:color w:val="000000" w:themeColor="text1"/>
          <w:position w:val="-14"/>
        </w:rPr>
        <w:object>
          <v:shape id="_x0000_i1032" o:spt="75" type="#_x0000_t75" style="height:22.3pt;width:22.3pt;" o:ole="t" fillcolor="#6D6D6D" filled="f" o:preferrelative="t" stroked="f" coordsize="21600,21600">
            <v:path/>
            <v:fill on="f" focussize="0,0"/>
            <v:stroke on="f" joinstyle="miter"/>
            <v:imagedata r:id="rId40" o:title=""/>
            <o:lock v:ext="edit" aspectratio="t"/>
            <w10:wrap type="none"/>
            <w10:anchorlock/>
          </v:shape>
          <o:OLEObject Type="Embed" ProgID="Equation.3" ShapeID="_x0000_i1032" DrawAspect="Content" ObjectID="_1468075731" r:id="rId39">
            <o:LockedField>false</o:LockedField>
          </o:OLEObject>
        </w:object>
      </w:r>
      <w:r>
        <w:rPr>
          <w:color w:val="000000" w:themeColor="text1"/>
        </w:rPr>
        <w:t>—</w:t>
      </w:r>
      <w:r>
        <w:rPr>
          <w:color w:val="000000" w:themeColor="text1"/>
          <w:sz w:val="24"/>
        </w:rPr>
        <w:t>建设项目声源在预测点产生的等效声级贡献值，dB（A）；</w:t>
      </w:r>
    </w:p>
    <w:p>
      <w:pPr>
        <w:ind w:firstLine="1260" w:firstLineChars="600"/>
        <w:rPr>
          <w:color w:val="000000" w:themeColor="text1"/>
          <w:sz w:val="24"/>
        </w:rPr>
      </w:pPr>
      <w:r>
        <w:rPr>
          <w:color w:val="000000" w:themeColor="text1"/>
          <w:position w:val="-14"/>
        </w:rPr>
        <w:object>
          <v:shape id="_x0000_i1033" o:spt="75" type="#_x0000_t75" style="height:22.3pt;width:22.3pt;" o:ole="t" fillcolor="#6D6D6D" filled="f" o:preferrelative="t" stroked="f" coordsize="21600,21600">
            <v:path/>
            <v:fill on="f" focussize="0,0"/>
            <v:stroke on="f" joinstyle="miter"/>
            <v:imagedata r:id="rId42" o:title=""/>
            <o:lock v:ext="edit" aspectratio="t"/>
            <w10:wrap type="none"/>
            <w10:anchorlock/>
          </v:shape>
          <o:OLEObject Type="Embed" ProgID="Equation.3" ShapeID="_x0000_i1033" DrawAspect="Content" ObjectID="_1468075732" r:id="rId41">
            <o:LockedField>false</o:LockedField>
          </o:OLEObject>
        </w:object>
      </w:r>
      <w:r>
        <w:rPr>
          <w:color w:val="000000" w:themeColor="text1"/>
        </w:rPr>
        <w:t>—</w:t>
      </w:r>
      <w:r>
        <w:rPr>
          <w:color w:val="000000" w:themeColor="text1"/>
          <w:sz w:val="24"/>
        </w:rPr>
        <w:t>预测点的背景值，dB（A）。</w:t>
      </w:r>
    </w:p>
    <w:p>
      <w:pPr>
        <w:ind w:firstLine="480" w:firstLineChars="200"/>
        <w:rPr>
          <w:color w:val="000000" w:themeColor="text1"/>
          <w:sz w:val="24"/>
        </w:rPr>
      </w:pPr>
      <w:r>
        <w:rPr>
          <w:color w:val="000000" w:themeColor="text1"/>
          <w:sz w:val="24"/>
        </w:rPr>
        <w:t>建设项目声源在预测点产生的等效声级贡献值（</w:t>
      </w:r>
      <w:r>
        <w:rPr>
          <w:color w:val="000000" w:themeColor="text1"/>
          <w:position w:val="-14"/>
        </w:rPr>
        <w:object>
          <v:shape id="_x0000_i1034" o:spt="75" type="#_x0000_t75" style="height:22.3pt;width:22.3pt;" o:ole="t" fillcolor="#6D6D6D" filled="f" o:preferrelative="t" stroked="f" coordsize="21600,21600">
            <v:path/>
            <v:fill on="f" focussize="0,0"/>
            <v:stroke on="f" joinstyle="miter"/>
            <v:imagedata r:id="rId44" o:title=""/>
            <o:lock v:ext="edit" aspectratio="t"/>
            <w10:wrap type="none"/>
            <w10:anchorlock/>
          </v:shape>
          <o:OLEObject Type="Embed" ProgID="Equation.3" ShapeID="_x0000_i1034" DrawAspect="Content" ObjectID="_1468075733" r:id="rId43">
            <o:LockedField>false</o:LockedField>
          </o:OLEObject>
        </w:object>
      </w:r>
      <w:r>
        <w:rPr>
          <w:color w:val="000000" w:themeColor="text1"/>
          <w:sz w:val="24"/>
        </w:rPr>
        <w:t>）计算公式：</w:t>
      </w:r>
    </w:p>
    <w:p>
      <w:pPr>
        <w:ind w:firstLine="420" w:firstLineChars="200"/>
        <w:jc w:val="center"/>
        <w:rPr>
          <w:color w:val="000000" w:themeColor="text1"/>
          <w:sz w:val="24"/>
        </w:rPr>
      </w:pPr>
      <w:r>
        <w:rPr>
          <w:color w:val="000000" w:themeColor="text1"/>
          <w:position w:val="-28"/>
        </w:rPr>
        <w:object>
          <v:shape id="_x0000_i1035" o:spt="75" type="#_x0000_t75" style="height:30.25pt;width:128.9pt;" o:ole="t" fillcolor="#6D6D6D" filled="f" o:preferrelative="t" stroked="f" coordsize="21600,21600">
            <v:path/>
            <v:fill on="f" focussize="0,0"/>
            <v:stroke on="f" joinstyle="miter"/>
            <v:imagedata r:id="rId46" o:title=""/>
            <o:lock v:ext="edit" aspectratio="t"/>
            <w10:wrap type="none"/>
            <w10:anchorlock/>
          </v:shape>
          <o:OLEObject Type="Embed" ProgID="Equation.3" ShapeID="_x0000_i1035" DrawAspect="Content" ObjectID="_1468075734" r:id="rId45">
            <o:LockedField>false</o:LockedField>
          </o:OLEObject>
        </w:object>
      </w:r>
    </w:p>
    <w:p>
      <w:pPr>
        <w:ind w:firstLine="480" w:firstLineChars="200"/>
        <w:rPr>
          <w:color w:val="000000" w:themeColor="text1"/>
          <w:sz w:val="24"/>
        </w:rPr>
      </w:pPr>
      <w:r>
        <w:rPr>
          <w:color w:val="000000" w:themeColor="text1"/>
          <w:sz w:val="24"/>
        </w:rPr>
        <w:t>式中：</w:t>
      </w:r>
      <w:r>
        <w:rPr>
          <w:color w:val="000000" w:themeColor="text1"/>
          <w:position w:val="-12"/>
          <w:sz w:val="24"/>
        </w:rPr>
        <w:object>
          <v:shape id="_x0000_i1036" o:spt="75" type="#_x0000_t75" style="height:22.3pt;width:22.3pt;" o:ole="t" fillcolor="#6D6D6D" filled="f" o:preferrelative="t" stroked="f" coordsize="21600,21600">
            <v:path/>
            <v:fill on="f" focussize="0,0"/>
            <v:stroke on="f" joinstyle="miter"/>
            <v:imagedata r:id="rId48" o:title=""/>
            <o:lock v:ext="edit" aspectratio="t"/>
            <w10:wrap type="none"/>
            <w10:anchorlock/>
          </v:shape>
          <o:OLEObject Type="Embed" ProgID="Equation.3" ShapeID="_x0000_i1036" DrawAspect="Content" ObjectID="_1468075735" r:id="rId47">
            <o:LockedField>false</o:LockedField>
          </o:OLEObject>
        </w:object>
      </w:r>
      <w:r>
        <w:rPr>
          <w:color w:val="000000" w:themeColor="text1"/>
          <w:sz w:val="24"/>
        </w:rPr>
        <w:t>—i声源在预测点产生的A声级，dB（A）；</w:t>
      </w:r>
    </w:p>
    <w:p>
      <w:pPr>
        <w:ind w:firstLine="480" w:firstLineChars="200"/>
        <w:rPr>
          <w:color w:val="000000" w:themeColor="text1"/>
          <w:sz w:val="24"/>
        </w:rPr>
      </w:pPr>
      <w:r>
        <w:rPr>
          <w:color w:val="000000" w:themeColor="text1"/>
          <w:sz w:val="24"/>
        </w:rPr>
        <w:t xml:space="preserve">       T—预测计算的时间段，s；</w:t>
      </w:r>
    </w:p>
    <w:p>
      <w:pPr>
        <w:ind w:firstLine="480" w:firstLineChars="200"/>
        <w:rPr>
          <w:color w:val="000000" w:themeColor="text1"/>
          <w:sz w:val="24"/>
        </w:rPr>
      </w:pPr>
      <w:r>
        <w:rPr>
          <w:color w:val="000000" w:themeColor="text1"/>
          <w:sz w:val="24"/>
        </w:rPr>
        <w:t xml:space="preserve">       t</w:t>
      </w:r>
      <w:r>
        <w:rPr>
          <w:color w:val="000000" w:themeColor="text1"/>
          <w:sz w:val="24"/>
          <w:vertAlign w:val="subscript"/>
        </w:rPr>
        <w:t>i</w:t>
      </w:r>
      <w:r>
        <w:rPr>
          <w:color w:val="000000" w:themeColor="text1"/>
          <w:sz w:val="24"/>
        </w:rPr>
        <w:t>—i声源在T时段内的运行时间，s。</w:t>
      </w:r>
    </w:p>
    <w:p>
      <w:pPr>
        <w:ind w:firstLine="480" w:firstLineChars="200"/>
        <w:rPr>
          <w:color w:val="000000" w:themeColor="text1"/>
          <w:sz w:val="24"/>
        </w:rPr>
      </w:pPr>
      <w:r>
        <w:rPr>
          <w:color w:val="000000" w:themeColor="text1"/>
          <w:sz w:val="24"/>
        </w:rPr>
        <w:t>预测点的A声级</w:t>
      </w:r>
      <w:r>
        <w:rPr>
          <w:color w:val="000000" w:themeColor="text1"/>
          <w:position w:val="-10"/>
          <w:sz w:val="24"/>
        </w:rPr>
        <w:object>
          <v:shape id="_x0000_i1037" o:spt="75" type="#_x0000_t75" style="height:15.1pt;width:30.25pt;" o:ole="t" fillcolor="#6D6D6D" filled="f" o:preferrelative="t" stroked="f" coordsize="21600,21600">
            <v:path/>
            <v:fill on="f" focussize="0,0"/>
            <v:stroke on="f" joinstyle="miter"/>
            <v:imagedata r:id="rId50" o:title=""/>
            <o:lock v:ext="edit" aspectratio="t"/>
            <w10:wrap type="none"/>
            <w10:anchorlock/>
          </v:shape>
          <o:OLEObject Type="Embed" ProgID="Equation.3" ShapeID="_x0000_i1037" DrawAspect="Content" ObjectID="_1468075736" r:id="rId49">
            <o:LockedField>false</o:LockedField>
          </o:OLEObject>
        </w:object>
      </w:r>
      <w:r>
        <w:rPr>
          <w:color w:val="000000" w:themeColor="text1"/>
          <w:sz w:val="24"/>
        </w:rPr>
        <w:t>可按下式计算，即将8个倍频带声压级合成，计算出预测点的A声级</w:t>
      </w:r>
      <w:r>
        <w:rPr>
          <w:color w:val="000000" w:themeColor="text1"/>
          <w:position w:val="-10"/>
          <w:sz w:val="24"/>
        </w:rPr>
        <w:object>
          <v:shape id="_x0000_i1038" o:spt="75" type="#_x0000_t75" style="height:15.1pt;width:30.25pt;" o:ole="t" fillcolor="#6D6D6D" filled="f" o:preferrelative="t" stroked="f" coordsize="21600,21600">
            <v:path/>
            <v:fill on="f" focussize="0,0"/>
            <v:stroke on="f" joinstyle="miter"/>
            <v:imagedata r:id="rId52" o:title=""/>
            <o:lock v:ext="edit" aspectratio="t"/>
            <w10:wrap type="none"/>
            <w10:anchorlock/>
          </v:shape>
          <o:OLEObject Type="Embed" ProgID="Equation.3" ShapeID="_x0000_i1038" DrawAspect="Content" ObjectID="_1468075737" r:id="rId51">
            <o:LockedField>false</o:LockedField>
          </o:OLEObject>
        </w:object>
      </w:r>
      <w:r>
        <w:rPr>
          <w:color w:val="000000" w:themeColor="text1"/>
          <w:sz w:val="24"/>
        </w:rPr>
        <w:t>：</w:t>
      </w:r>
    </w:p>
    <w:p>
      <w:pPr>
        <w:ind w:firstLine="420" w:firstLineChars="200"/>
        <w:jc w:val="center"/>
        <w:rPr>
          <w:color w:val="000000" w:themeColor="text1"/>
          <w:sz w:val="24"/>
        </w:rPr>
      </w:pPr>
      <w:r>
        <w:rPr>
          <w:color w:val="000000" w:themeColor="text1"/>
          <w:position w:val="-28"/>
        </w:rPr>
        <w:object>
          <v:shape id="_x0000_i1039" o:spt="75" type="#_x0000_t75" style="height:37.45pt;width:149.75pt;" o:ole="t" fillcolor="#6D6D6D" filled="f" o:preferrelative="t" stroked="f" coordsize="21600,21600">
            <v:path/>
            <v:fill on="f" focussize="0,0"/>
            <v:stroke on="f" joinstyle="miter"/>
            <v:imagedata r:id="rId54" o:title=""/>
            <o:lock v:ext="edit" aspectratio="t"/>
            <w10:wrap type="none"/>
            <w10:anchorlock/>
          </v:shape>
          <o:OLEObject Type="Embed" ProgID="Equation.3" ShapeID="_x0000_i1039" DrawAspect="Content" ObjectID="_1468075738" r:id="rId53">
            <o:LockedField>false</o:LockedField>
          </o:OLEObject>
        </w:object>
      </w:r>
    </w:p>
    <w:p>
      <w:pPr>
        <w:ind w:firstLine="480" w:firstLineChars="200"/>
        <w:rPr>
          <w:color w:val="000000" w:themeColor="text1"/>
          <w:sz w:val="24"/>
        </w:rPr>
      </w:pPr>
      <w:r>
        <w:rPr>
          <w:color w:val="000000" w:themeColor="text1"/>
          <w:sz w:val="24"/>
        </w:rPr>
        <w:t>式中：</w:t>
      </w:r>
      <w:r>
        <w:rPr>
          <w:color w:val="000000" w:themeColor="text1"/>
          <w:position w:val="-14"/>
          <w:sz w:val="24"/>
        </w:rPr>
        <w:object>
          <v:shape id="_x0000_i1040" o:spt="75" type="#_x0000_t75" style="height:22.3pt;width:37.45pt;" o:ole="t" fillcolor="#6D6D6D" filled="f" o:preferrelative="t" stroked="f" coordsize="21600,21600">
            <v:path/>
            <v:fill on="f" focussize="0,0"/>
            <v:stroke on="f" joinstyle="miter"/>
            <v:imagedata r:id="rId56" o:title=""/>
            <o:lock v:ext="edit" aspectratio="t"/>
            <w10:wrap type="none"/>
            <w10:anchorlock/>
          </v:shape>
          <o:OLEObject Type="Embed" ProgID="Equation.3" ShapeID="_x0000_i1040" DrawAspect="Content" ObjectID="_1468075739" r:id="rId55">
            <o:LockedField>false</o:LockedField>
          </o:OLEObject>
        </w:object>
      </w:r>
      <w:r>
        <w:rPr>
          <w:color w:val="000000" w:themeColor="text1"/>
          <w:sz w:val="24"/>
        </w:rPr>
        <w:t>—预测点r处，第i倍频带声压级，dB；</w:t>
      </w:r>
    </w:p>
    <w:p>
      <w:pPr>
        <w:ind w:firstLine="480" w:firstLineChars="200"/>
        <w:rPr>
          <w:color w:val="000000" w:themeColor="text1"/>
          <w:sz w:val="24"/>
        </w:rPr>
      </w:pPr>
      <w:r>
        <w:rPr>
          <w:color w:val="000000" w:themeColor="text1"/>
          <w:position w:val="-12"/>
          <w:sz w:val="24"/>
        </w:rPr>
        <w:object>
          <v:shape id="_x0000_i1041" o:spt="75" type="#_x0000_t75" style="height:22.3pt;width:22.3pt;" o:ole="t" fillcolor="#6D6D6D" filled="f" o:preferrelative="t" stroked="f" coordsize="21600,21600">
            <v:path/>
            <v:fill on="f" focussize="0,0"/>
            <v:stroke on="f" joinstyle="miter"/>
            <v:imagedata r:id="rId58" o:title=""/>
            <o:lock v:ext="edit" aspectratio="t"/>
            <w10:wrap type="none"/>
            <w10:anchorlock/>
          </v:shape>
          <o:OLEObject Type="Embed" ProgID="Equation.3" ShapeID="_x0000_i1041" DrawAspect="Content" ObjectID="_1468075740" r:id="rId57">
            <o:LockedField>false</o:LockedField>
          </o:OLEObject>
        </w:object>
      </w:r>
      <w:r>
        <w:rPr>
          <w:color w:val="000000" w:themeColor="text1"/>
          <w:sz w:val="24"/>
        </w:rPr>
        <w:t>—第i倍频带的A计权网格修正值（见导则附录B），dB。</w:t>
      </w:r>
    </w:p>
    <w:p>
      <w:pPr>
        <w:ind w:firstLine="480" w:firstLineChars="200"/>
        <w:rPr>
          <w:color w:val="000000" w:themeColor="text1"/>
          <w:sz w:val="24"/>
        </w:rPr>
      </w:pPr>
      <w:r>
        <w:rPr>
          <w:color w:val="000000" w:themeColor="text1"/>
          <w:sz w:val="24"/>
        </w:rPr>
        <w:t>预测点8个倍频带声压级公式为：</w:t>
      </w:r>
    </w:p>
    <w:p>
      <w:pPr>
        <w:ind w:firstLine="1200" w:firstLineChars="500"/>
        <w:rPr>
          <w:color w:val="000000" w:themeColor="text1"/>
          <w:sz w:val="24"/>
          <w:lang w:val="de-DE"/>
        </w:rPr>
      </w:pPr>
      <w:r>
        <w:rPr>
          <w:i/>
          <w:color w:val="000000" w:themeColor="text1"/>
          <w:sz w:val="24"/>
          <w:lang w:val="de-DE"/>
        </w:rPr>
        <w:t>L</w:t>
      </w:r>
      <w:r>
        <w:rPr>
          <w:i/>
          <w:color w:val="000000" w:themeColor="text1"/>
          <w:sz w:val="24"/>
          <w:vertAlign w:val="subscript"/>
          <w:lang w:val="de-DE"/>
        </w:rPr>
        <w:t>p</w:t>
      </w:r>
      <w:r>
        <w:rPr>
          <w:i/>
          <w:color w:val="000000" w:themeColor="text1"/>
          <w:sz w:val="24"/>
          <w:lang w:val="de-DE"/>
        </w:rPr>
        <w:t>( r )</w:t>
      </w:r>
      <w:r>
        <w:rPr>
          <w:color w:val="000000" w:themeColor="text1"/>
          <w:sz w:val="24"/>
          <w:lang w:val="de-DE"/>
        </w:rPr>
        <w:t xml:space="preserve">= </w:t>
      </w:r>
      <w:r>
        <w:rPr>
          <w:i/>
          <w:color w:val="000000" w:themeColor="text1"/>
          <w:sz w:val="24"/>
          <w:lang w:val="de-DE"/>
        </w:rPr>
        <w:t>L</w:t>
      </w:r>
      <w:r>
        <w:rPr>
          <w:i/>
          <w:color w:val="000000" w:themeColor="text1"/>
          <w:sz w:val="24"/>
          <w:vertAlign w:val="subscript"/>
          <w:lang w:val="de-DE"/>
        </w:rPr>
        <w:t>p</w:t>
      </w:r>
      <w:r>
        <w:rPr>
          <w:i/>
          <w:color w:val="000000" w:themeColor="text1"/>
          <w:sz w:val="24"/>
          <w:lang w:val="de-DE"/>
        </w:rPr>
        <w:t xml:space="preserve">( r </w:t>
      </w:r>
      <w:r>
        <w:rPr>
          <w:i/>
          <w:color w:val="000000" w:themeColor="text1"/>
          <w:sz w:val="24"/>
          <w:vertAlign w:val="subscript"/>
          <w:lang w:val="de-DE"/>
        </w:rPr>
        <w:t>0</w:t>
      </w:r>
      <w:r>
        <w:rPr>
          <w:i/>
          <w:color w:val="000000" w:themeColor="text1"/>
          <w:sz w:val="24"/>
          <w:lang w:val="de-DE"/>
        </w:rPr>
        <w:t>)</w:t>
      </w:r>
      <w:r>
        <w:rPr>
          <w:color w:val="000000" w:themeColor="text1"/>
          <w:sz w:val="24"/>
          <w:lang w:val="de-DE"/>
        </w:rPr>
        <w:t>-(</w:t>
      </w:r>
      <w:r>
        <w:rPr>
          <w:i/>
          <w:color w:val="000000" w:themeColor="text1"/>
          <w:sz w:val="24"/>
          <w:lang w:val="de-DE"/>
        </w:rPr>
        <w:t>A</w:t>
      </w:r>
      <w:r>
        <w:rPr>
          <w:i/>
          <w:color w:val="000000" w:themeColor="text1"/>
          <w:sz w:val="24"/>
          <w:vertAlign w:val="subscript"/>
          <w:lang w:val="de-DE"/>
        </w:rPr>
        <w:t>div</w:t>
      </w:r>
      <w:r>
        <w:rPr>
          <w:color w:val="000000" w:themeColor="text1"/>
          <w:sz w:val="24"/>
          <w:lang w:val="de-DE"/>
        </w:rPr>
        <w:t>+</w:t>
      </w:r>
      <w:r>
        <w:rPr>
          <w:i/>
          <w:color w:val="000000" w:themeColor="text1"/>
          <w:sz w:val="24"/>
          <w:lang w:val="de-DE"/>
        </w:rPr>
        <w:t>A</w:t>
      </w:r>
      <w:r>
        <w:rPr>
          <w:i/>
          <w:color w:val="000000" w:themeColor="text1"/>
          <w:sz w:val="24"/>
          <w:vertAlign w:val="subscript"/>
          <w:lang w:val="de-DE"/>
        </w:rPr>
        <w:t>atm</w:t>
      </w:r>
      <w:r>
        <w:rPr>
          <w:color w:val="000000" w:themeColor="text1"/>
          <w:sz w:val="24"/>
          <w:lang w:val="de-DE"/>
        </w:rPr>
        <w:t xml:space="preserve"> +</w:t>
      </w:r>
      <w:r>
        <w:rPr>
          <w:i/>
          <w:color w:val="000000" w:themeColor="text1"/>
          <w:sz w:val="24"/>
          <w:lang w:val="de-DE"/>
        </w:rPr>
        <w:t>A</w:t>
      </w:r>
      <w:r>
        <w:rPr>
          <w:i/>
          <w:color w:val="000000" w:themeColor="text1"/>
          <w:sz w:val="24"/>
          <w:vertAlign w:val="subscript"/>
          <w:lang w:val="de-DE"/>
        </w:rPr>
        <w:t>bar</w:t>
      </w:r>
      <w:r>
        <w:rPr>
          <w:color w:val="000000" w:themeColor="text1"/>
          <w:sz w:val="24"/>
          <w:lang w:val="de-DE"/>
        </w:rPr>
        <w:t xml:space="preserve"> +</w:t>
      </w:r>
      <w:r>
        <w:rPr>
          <w:i/>
          <w:color w:val="000000" w:themeColor="text1"/>
          <w:sz w:val="24"/>
          <w:lang w:val="de-DE"/>
        </w:rPr>
        <w:t>A</w:t>
      </w:r>
      <w:r>
        <w:rPr>
          <w:i/>
          <w:color w:val="000000" w:themeColor="text1"/>
          <w:sz w:val="24"/>
          <w:vertAlign w:val="subscript"/>
          <w:lang w:val="de-DE"/>
        </w:rPr>
        <w:t>gr</w:t>
      </w:r>
      <w:r>
        <w:rPr>
          <w:color w:val="000000" w:themeColor="text1"/>
          <w:sz w:val="24"/>
          <w:lang w:val="de-DE"/>
        </w:rPr>
        <w:t>+</w:t>
      </w:r>
      <w:r>
        <w:rPr>
          <w:i/>
          <w:color w:val="000000" w:themeColor="text1"/>
          <w:sz w:val="24"/>
          <w:lang w:val="de-DE"/>
        </w:rPr>
        <w:t>A</w:t>
      </w:r>
      <w:r>
        <w:rPr>
          <w:i/>
          <w:color w:val="000000" w:themeColor="text1"/>
          <w:sz w:val="24"/>
          <w:vertAlign w:val="subscript"/>
          <w:lang w:val="de-DE"/>
        </w:rPr>
        <w:t>misc</w:t>
      </w:r>
      <w:r>
        <w:rPr>
          <w:color w:val="000000" w:themeColor="text1"/>
          <w:sz w:val="24"/>
          <w:lang w:val="de-DE"/>
        </w:rPr>
        <w:t>)</w:t>
      </w:r>
    </w:p>
    <w:p>
      <w:pPr>
        <w:ind w:firstLine="480" w:firstLineChars="200"/>
        <w:rPr>
          <w:color w:val="000000" w:themeColor="text1"/>
          <w:sz w:val="24"/>
        </w:rPr>
      </w:pPr>
      <w:r>
        <w:rPr>
          <w:color w:val="000000" w:themeColor="text1"/>
          <w:sz w:val="24"/>
        </w:rPr>
        <w:t>式中：</w:t>
      </w:r>
      <w:r>
        <w:rPr>
          <w:i/>
          <w:color w:val="000000" w:themeColor="text1"/>
          <w:sz w:val="24"/>
        </w:rPr>
        <w:t>L</w:t>
      </w:r>
      <w:r>
        <w:rPr>
          <w:i/>
          <w:color w:val="000000" w:themeColor="text1"/>
          <w:sz w:val="24"/>
          <w:vertAlign w:val="subscript"/>
        </w:rPr>
        <w:t>p</w:t>
      </w:r>
      <w:r>
        <w:rPr>
          <w:i/>
          <w:color w:val="000000" w:themeColor="text1"/>
          <w:sz w:val="24"/>
        </w:rPr>
        <w:t>(r)</w:t>
      </w:r>
      <w:r>
        <w:rPr>
          <w:color w:val="000000" w:themeColor="text1"/>
          <w:sz w:val="24"/>
        </w:rPr>
        <w:t>—距离声源r处的倍频带声压级，dB；</w:t>
      </w:r>
    </w:p>
    <w:p>
      <w:pPr>
        <w:ind w:firstLine="1200" w:firstLineChars="500"/>
        <w:rPr>
          <w:color w:val="000000" w:themeColor="text1"/>
          <w:sz w:val="24"/>
        </w:rPr>
      </w:pPr>
      <w:r>
        <w:rPr>
          <w:i/>
          <w:color w:val="000000" w:themeColor="text1"/>
          <w:sz w:val="24"/>
        </w:rPr>
        <w:t>Lp (r</w:t>
      </w:r>
      <w:r>
        <w:rPr>
          <w:i/>
          <w:color w:val="000000" w:themeColor="text1"/>
          <w:sz w:val="24"/>
          <w:vertAlign w:val="subscript"/>
        </w:rPr>
        <w:t>0</w:t>
      </w:r>
      <w:r>
        <w:rPr>
          <w:i/>
          <w:color w:val="000000" w:themeColor="text1"/>
          <w:sz w:val="24"/>
        </w:rPr>
        <w:t>)</w:t>
      </w:r>
      <w:r>
        <w:rPr>
          <w:color w:val="000000" w:themeColor="text1"/>
          <w:sz w:val="24"/>
        </w:rPr>
        <w:t>—参考位置r</w:t>
      </w:r>
      <w:r>
        <w:rPr>
          <w:color w:val="000000" w:themeColor="text1"/>
          <w:sz w:val="24"/>
          <w:vertAlign w:val="subscript"/>
        </w:rPr>
        <w:t>0</w:t>
      </w:r>
      <w:r>
        <w:rPr>
          <w:color w:val="000000" w:themeColor="text1"/>
          <w:sz w:val="24"/>
        </w:rPr>
        <w:t>处的倍频带声压级，dB；</w:t>
      </w:r>
    </w:p>
    <w:p>
      <w:pPr>
        <w:ind w:firstLine="1200" w:firstLineChars="500"/>
        <w:rPr>
          <w:color w:val="000000" w:themeColor="text1"/>
          <w:sz w:val="24"/>
        </w:rPr>
      </w:pPr>
      <w:r>
        <w:rPr>
          <w:i/>
          <w:color w:val="000000" w:themeColor="text1"/>
          <w:sz w:val="24"/>
        </w:rPr>
        <w:t>A</w:t>
      </w:r>
      <w:r>
        <w:rPr>
          <w:i/>
          <w:color w:val="000000" w:themeColor="text1"/>
          <w:sz w:val="24"/>
          <w:vertAlign w:val="subscript"/>
        </w:rPr>
        <w:t>div</w:t>
      </w:r>
      <w:r>
        <w:rPr>
          <w:color w:val="000000" w:themeColor="text1"/>
          <w:sz w:val="24"/>
        </w:rPr>
        <w:t>—声波几何发散引起的倍频带衰减，dB；</w:t>
      </w:r>
    </w:p>
    <w:p>
      <w:pPr>
        <w:ind w:firstLine="1200" w:firstLineChars="500"/>
        <w:rPr>
          <w:color w:val="000000" w:themeColor="text1"/>
          <w:sz w:val="24"/>
        </w:rPr>
      </w:pPr>
      <w:r>
        <w:rPr>
          <w:i/>
          <w:color w:val="000000" w:themeColor="text1"/>
          <w:sz w:val="24"/>
        </w:rPr>
        <w:t>A</w:t>
      </w:r>
      <w:r>
        <w:rPr>
          <w:i/>
          <w:color w:val="000000" w:themeColor="text1"/>
          <w:sz w:val="24"/>
          <w:vertAlign w:val="subscript"/>
        </w:rPr>
        <w:t>atm</w:t>
      </w:r>
      <w:r>
        <w:rPr>
          <w:color w:val="000000" w:themeColor="text1"/>
          <w:sz w:val="24"/>
        </w:rPr>
        <w:t>—空气吸收引起的倍频带衰减，dB；</w:t>
      </w:r>
    </w:p>
    <w:p>
      <w:pPr>
        <w:ind w:firstLine="1200" w:firstLineChars="500"/>
        <w:rPr>
          <w:color w:val="000000" w:themeColor="text1"/>
          <w:sz w:val="24"/>
        </w:rPr>
      </w:pPr>
      <w:r>
        <w:rPr>
          <w:i/>
          <w:color w:val="000000" w:themeColor="text1"/>
          <w:sz w:val="24"/>
        </w:rPr>
        <w:t>A</w:t>
      </w:r>
      <w:r>
        <w:rPr>
          <w:i/>
          <w:color w:val="000000" w:themeColor="text1"/>
          <w:sz w:val="24"/>
          <w:vertAlign w:val="subscript"/>
        </w:rPr>
        <w:t>bar</w:t>
      </w:r>
      <w:r>
        <w:rPr>
          <w:color w:val="000000" w:themeColor="text1"/>
          <w:sz w:val="24"/>
        </w:rPr>
        <w:t>—屏障引起的倍频带衰减，dB；</w:t>
      </w:r>
    </w:p>
    <w:p>
      <w:pPr>
        <w:ind w:firstLine="1200" w:firstLineChars="500"/>
        <w:rPr>
          <w:color w:val="000000" w:themeColor="text1"/>
          <w:sz w:val="24"/>
        </w:rPr>
      </w:pPr>
      <w:r>
        <w:rPr>
          <w:i/>
          <w:color w:val="000000" w:themeColor="text1"/>
          <w:sz w:val="24"/>
        </w:rPr>
        <w:t>A</w:t>
      </w:r>
      <w:r>
        <w:rPr>
          <w:i/>
          <w:color w:val="000000" w:themeColor="text1"/>
          <w:sz w:val="24"/>
          <w:vertAlign w:val="subscript"/>
        </w:rPr>
        <w:t>gr</w:t>
      </w:r>
      <w:r>
        <w:rPr>
          <w:color w:val="000000" w:themeColor="text1"/>
          <w:sz w:val="24"/>
        </w:rPr>
        <w:t>—地面效应引起的倍频带衰减，dB；</w:t>
      </w:r>
    </w:p>
    <w:p>
      <w:pPr>
        <w:ind w:firstLine="1200" w:firstLineChars="500"/>
        <w:rPr>
          <w:color w:val="000000" w:themeColor="text1"/>
          <w:sz w:val="24"/>
        </w:rPr>
      </w:pPr>
      <w:r>
        <w:rPr>
          <w:i/>
          <w:color w:val="000000" w:themeColor="text1"/>
          <w:sz w:val="24"/>
        </w:rPr>
        <w:t>A</w:t>
      </w:r>
      <w:r>
        <w:rPr>
          <w:i/>
          <w:color w:val="000000" w:themeColor="text1"/>
          <w:sz w:val="24"/>
          <w:vertAlign w:val="subscript"/>
        </w:rPr>
        <w:t>misc</w:t>
      </w:r>
      <w:r>
        <w:rPr>
          <w:color w:val="000000" w:themeColor="text1"/>
          <w:sz w:val="24"/>
        </w:rPr>
        <w:t>—其他多方面效应引起的倍频带衰减，dB；</w:t>
      </w:r>
    </w:p>
    <w:p>
      <w:pPr>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无指向性点声源几何发散衰减公式</w:t>
      </w:r>
    </w:p>
    <w:p>
      <w:pPr>
        <w:jc w:val="center"/>
        <w:rPr>
          <w:color w:val="000000" w:themeColor="text1"/>
          <w:kern w:val="0"/>
          <w:sz w:val="24"/>
        </w:rPr>
      </w:pPr>
      <w:r>
        <w:rPr>
          <w:i/>
          <w:color w:val="000000" w:themeColor="text1"/>
          <w:sz w:val="24"/>
        </w:rPr>
        <w:t>A</w:t>
      </w:r>
      <w:r>
        <w:rPr>
          <w:i/>
          <w:color w:val="000000" w:themeColor="text1"/>
          <w:sz w:val="24"/>
          <w:vertAlign w:val="subscript"/>
        </w:rPr>
        <w:t>div</w:t>
      </w:r>
      <w:r>
        <w:rPr>
          <w:color w:val="000000" w:themeColor="text1"/>
          <w:kern w:val="0"/>
          <w:sz w:val="24"/>
        </w:rPr>
        <w:t>=20lg（r/r</w:t>
      </w:r>
      <w:r>
        <w:rPr>
          <w:color w:val="000000" w:themeColor="text1"/>
          <w:kern w:val="0"/>
          <w:sz w:val="24"/>
          <w:vertAlign w:val="subscript"/>
        </w:rPr>
        <w:t>0</w:t>
      </w:r>
      <w:r>
        <w:rPr>
          <w:color w:val="000000" w:themeColor="text1"/>
          <w:kern w:val="0"/>
          <w:sz w:val="24"/>
        </w:rPr>
        <w:t>）</w:t>
      </w:r>
    </w:p>
    <w:p>
      <w:pPr>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空气吸收引起的衰减</w:t>
      </w:r>
    </w:p>
    <w:p>
      <w:pPr>
        <w:jc w:val="center"/>
        <w:rPr>
          <w:color w:val="000000" w:themeColor="text1"/>
          <w:sz w:val="24"/>
        </w:rPr>
      </w:pPr>
      <w:r>
        <w:rPr>
          <w:color w:val="000000" w:themeColor="text1"/>
          <w:position w:val="-24"/>
        </w:rPr>
        <w:object>
          <v:shape id="_x0000_i1042" o:spt="75" type="#_x0000_t75" style="height:30.25pt;width:77.75pt;" o:ole="t" fillcolor="#6D6D6D" filled="f" o:preferrelative="t" stroked="f" coordsize="21600,21600">
            <v:path/>
            <v:fill on="f" focussize="0,0"/>
            <v:stroke on="f" joinstyle="miter"/>
            <v:imagedata r:id="rId60" o:title=""/>
            <o:lock v:ext="edit" aspectratio="t"/>
            <w10:wrap type="none"/>
            <w10:anchorlock/>
          </v:shape>
          <o:OLEObject Type="Embed" ProgID="Equation.3" ShapeID="_x0000_i1042" DrawAspect="Content" ObjectID="_1468075741" r:id="rId59">
            <o:LockedField>false</o:LockedField>
          </o:OLEObject>
        </w:object>
      </w:r>
    </w:p>
    <w:p>
      <w:pPr>
        <w:ind w:firstLine="480" w:firstLineChars="200"/>
        <w:rPr>
          <w:color w:val="000000" w:themeColor="text1"/>
          <w:sz w:val="24"/>
        </w:rPr>
      </w:pPr>
      <w:r>
        <w:rPr>
          <w:color w:val="000000" w:themeColor="text1"/>
          <w:sz w:val="24"/>
        </w:rPr>
        <w:t>式中：a为大气吸收衰减系统，为温度、湿度和声波频率的函数。</w:t>
      </w:r>
    </w:p>
    <w:p>
      <w:pPr>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地面效应衰减</w:t>
      </w:r>
    </w:p>
    <w:p>
      <w:pPr>
        <w:jc w:val="center"/>
        <w:rPr>
          <w:color w:val="000000" w:themeColor="text1"/>
          <w:sz w:val="24"/>
        </w:rPr>
      </w:pPr>
      <w:r>
        <w:rPr>
          <w:color w:val="000000" w:themeColor="text1"/>
          <w:position w:val="-24"/>
        </w:rPr>
        <w:object>
          <v:shape id="_x0000_i1043" o:spt="75" type="#_x0000_t75" style="height:30.25pt;width:144pt;" o:ole="t" fillcolor="#6D6D6D" filled="f" o:preferrelative="t" stroked="f" coordsize="21600,21600">
            <v:path/>
            <v:fill on="f" focussize="0,0"/>
            <v:stroke on="f" joinstyle="miter"/>
            <v:imagedata r:id="rId62" o:title=""/>
            <o:lock v:ext="edit" aspectratio="t"/>
            <w10:wrap type="none"/>
            <w10:anchorlock/>
          </v:shape>
          <o:OLEObject Type="Embed" ProgID="Equation.3" ShapeID="_x0000_i1043" DrawAspect="Content" ObjectID="_1468075742" r:id="rId61">
            <o:LockedField>false</o:LockedField>
          </o:OLEObject>
        </w:object>
      </w:r>
    </w:p>
    <w:p>
      <w:pPr>
        <w:ind w:firstLine="480" w:firstLineChars="200"/>
        <w:rPr>
          <w:color w:val="000000" w:themeColor="text1"/>
          <w:sz w:val="24"/>
        </w:rPr>
      </w:pPr>
      <w:r>
        <w:rPr>
          <w:color w:val="000000" w:themeColor="text1"/>
          <w:sz w:val="24"/>
        </w:rPr>
        <w:t>式中：r—声源到预测点的距离，m；</w:t>
      </w:r>
    </w:p>
    <w:p>
      <w:pPr>
        <w:ind w:firstLine="480" w:firstLineChars="200"/>
        <w:rPr>
          <w:color w:val="000000" w:themeColor="text1"/>
          <w:sz w:val="24"/>
        </w:rPr>
      </w:pPr>
      <w:r>
        <w:rPr>
          <w:color w:val="000000" w:themeColor="text1"/>
          <w:sz w:val="24"/>
        </w:rPr>
        <w:t xml:space="preserve">          H</w:t>
      </w:r>
      <w:r>
        <w:rPr>
          <w:color w:val="000000" w:themeColor="text1"/>
          <w:sz w:val="24"/>
          <w:vertAlign w:val="subscript"/>
        </w:rPr>
        <w:t>m</w:t>
      </w:r>
      <w:r>
        <w:rPr>
          <w:color w:val="000000" w:themeColor="text1"/>
          <w:sz w:val="24"/>
        </w:rPr>
        <w:t>—传播路径的平均离地高度，m。</w:t>
      </w:r>
    </w:p>
    <w:p>
      <w:pPr>
        <w:ind w:firstLine="480" w:firstLineChars="200"/>
        <w:rPr>
          <w:color w:val="000000" w:themeColor="text1"/>
          <w:sz w:val="24"/>
        </w:rPr>
      </w:pPr>
      <w:r>
        <w:rPr>
          <w:rFonts w:hint="eastAsia" w:ascii="宋体" w:hAnsi="宋体" w:cs="宋体"/>
          <w:color w:val="000000" w:themeColor="text1"/>
          <w:sz w:val="24"/>
        </w:rPr>
        <w:t>④</w:t>
      </w:r>
      <w:r>
        <w:rPr>
          <w:color w:val="000000" w:themeColor="text1"/>
          <w:sz w:val="24"/>
        </w:rPr>
        <w:t>屏障引起的衰减</w:t>
      </w:r>
    </w:p>
    <w:p>
      <w:pPr>
        <w:jc w:val="center"/>
        <w:rPr>
          <w:color w:val="000000" w:themeColor="text1"/>
          <w:sz w:val="24"/>
        </w:rPr>
      </w:pPr>
      <w:r>
        <w:rPr>
          <w:color w:val="000000" w:themeColor="text1"/>
          <w:position w:val="-30"/>
        </w:rPr>
        <w:object>
          <v:shape id="_x0000_i1044" o:spt="75" type="#_x0000_t75" style="height:37.45pt;width:229.7pt;" o:ole="t" fillcolor="#6D6D6D" filled="f" o:preferrelative="t" stroked="f" coordsize="21600,21600">
            <v:path/>
            <v:fill on="f" focussize="0,0"/>
            <v:stroke on="f" joinstyle="miter"/>
            <v:imagedata r:id="rId64" o:title=""/>
            <o:lock v:ext="edit" aspectratio="t"/>
            <w10:wrap type="none"/>
            <w10:anchorlock/>
          </v:shape>
          <o:OLEObject Type="Embed" ProgID="Equation.3" ShapeID="_x0000_i1044" DrawAspect="Content" ObjectID="_1468075743" r:id="rId63">
            <o:LockedField>false</o:LockedField>
          </o:OLEObject>
        </w:object>
      </w:r>
    </w:p>
    <w:p>
      <w:pPr>
        <w:ind w:firstLine="480" w:firstLineChars="200"/>
        <w:rPr>
          <w:color w:val="000000" w:themeColor="text1"/>
          <w:sz w:val="24"/>
        </w:rPr>
      </w:pPr>
      <w:r>
        <w:rPr>
          <w:color w:val="000000" w:themeColor="text1"/>
          <w:sz w:val="24"/>
        </w:rPr>
        <w:t>（5）厂界噪声预测</w:t>
      </w:r>
    </w:p>
    <w:p>
      <w:pPr>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预测参数估值</w:t>
      </w:r>
    </w:p>
    <w:p>
      <w:pPr>
        <w:ind w:firstLine="480" w:firstLineChars="200"/>
        <w:rPr>
          <w:color w:val="000000" w:themeColor="text1"/>
          <w:sz w:val="24"/>
        </w:rPr>
      </w:pPr>
      <w:r>
        <w:rPr>
          <w:color w:val="000000" w:themeColor="text1"/>
          <w:sz w:val="24"/>
        </w:rPr>
        <w:t>运营期</w:t>
      </w:r>
      <w:r>
        <w:rPr>
          <w:rFonts w:hint="eastAsia"/>
          <w:color w:val="000000" w:themeColor="text1"/>
          <w:sz w:val="24"/>
        </w:rPr>
        <w:t>风机</w:t>
      </w:r>
      <w:r>
        <w:rPr>
          <w:color w:val="000000" w:themeColor="text1"/>
          <w:sz w:val="24"/>
        </w:rPr>
        <w:t>、清粪机、发电机</w:t>
      </w:r>
      <w:r>
        <w:rPr>
          <w:rFonts w:hint="eastAsia"/>
          <w:color w:val="000000" w:themeColor="text1"/>
          <w:sz w:val="24"/>
        </w:rPr>
        <w:t>等</w:t>
      </w:r>
      <w:r>
        <w:rPr>
          <w:color w:val="000000" w:themeColor="text1"/>
          <w:sz w:val="24"/>
        </w:rPr>
        <w:t>设备运行产生的噪声，为固定噪声源。因此，首先在设备选型时就要选择低噪声的设备，再通过一些减振措施及隔声降噪措施，如设置减振垫、墙体隔声、绿化吸收，可降低噪声值约10～25dB（A）。厂内各项设备产噪情况见下表。</w:t>
      </w:r>
    </w:p>
    <w:p>
      <w:pPr>
        <w:pStyle w:val="200"/>
        <w:adjustRightInd w:val="0"/>
        <w:snapToGrid w:val="0"/>
        <w:spacing w:line="240" w:lineRule="auto"/>
        <w:rPr>
          <w:color w:val="000000" w:themeColor="text1"/>
        </w:rPr>
      </w:pPr>
      <w:r>
        <w:rPr>
          <w:color w:val="000000" w:themeColor="text1"/>
          <w:szCs w:val="21"/>
        </w:rPr>
        <w:t>表5.2-</w:t>
      </w:r>
      <w:r>
        <w:rPr>
          <w:rFonts w:hint="eastAsia"/>
          <w:color w:val="000000" w:themeColor="text1"/>
          <w:szCs w:val="21"/>
        </w:rPr>
        <w:t xml:space="preserve">15  </w:t>
      </w:r>
      <w:r>
        <w:rPr>
          <w:color w:val="000000" w:themeColor="text1"/>
          <w:szCs w:val="21"/>
        </w:rPr>
        <w:t>项</w:t>
      </w:r>
      <w:r>
        <w:rPr>
          <w:color w:val="000000" w:themeColor="text1"/>
        </w:rPr>
        <w:t>目机械设备主要噪声源一览表</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5"/>
        <w:gridCol w:w="1433"/>
        <w:gridCol w:w="2545"/>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5"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产噪设备名称</w:t>
            </w:r>
          </w:p>
        </w:tc>
        <w:tc>
          <w:tcPr>
            <w:tcW w:w="1433"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运行方式</w:t>
            </w:r>
          </w:p>
        </w:tc>
        <w:tc>
          <w:tcPr>
            <w:tcW w:w="2545"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采取措施</w:t>
            </w:r>
          </w:p>
        </w:tc>
        <w:tc>
          <w:tcPr>
            <w:tcW w:w="2545"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采取措施后的噪声强度dB（A）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5" w:type="dxa"/>
            <w:vAlign w:val="center"/>
          </w:tcPr>
          <w:p>
            <w:pPr>
              <w:adjustRightInd w:val="0"/>
              <w:snapToGrid w:val="0"/>
              <w:spacing w:line="240" w:lineRule="auto"/>
              <w:jc w:val="center"/>
              <w:rPr>
                <w:color w:val="000000" w:themeColor="text1"/>
                <w:szCs w:val="21"/>
              </w:rPr>
            </w:pPr>
            <w:r>
              <w:rPr>
                <w:color w:val="000000" w:themeColor="text1"/>
                <w:szCs w:val="21"/>
              </w:rPr>
              <w:t>自动供料系统</w:t>
            </w:r>
          </w:p>
        </w:tc>
        <w:tc>
          <w:tcPr>
            <w:tcW w:w="143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连续</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墙体隔声</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5" w:type="dxa"/>
            <w:vAlign w:val="center"/>
          </w:tcPr>
          <w:p>
            <w:pPr>
              <w:adjustRightInd w:val="0"/>
              <w:snapToGrid w:val="0"/>
              <w:spacing w:line="240" w:lineRule="auto"/>
              <w:jc w:val="center"/>
              <w:rPr>
                <w:color w:val="000000" w:themeColor="text1"/>
                <w:szCs w:val="21"/>
              </w:rPr>
            </w:pPr>
            <w:r>
              <w:rPr>
                <w:color w:val="000000" w:themeColor="text1"/>
                <w:kern w:val="0"/>
                <w:szCs w:val="21"/>
              </w:rPr>
              <w:t>刮粪系统</w:t>
            </w:r>
          </w:p>
        </w:tc>
        <w:tc>
          <w:tcPr>
            <w:tcW w:w="143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间断</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墙体隔声</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风机</w:t>
            </w:r>
          </w:p>
        </w:tc>
        <w:tc>
          <w:tcPr>
            <w:tcW w:w="143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连续</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墙体隔声、安装消声器</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5" w:type="dxa"/>
            <w:vAlign w:val="center"/>
          </w:tcPr>
          <w:p>
            <w:pPr>
              <w:adjustRightInd w:val="0"/>
              <w:snapToGrid w:val="0"/>
              <w:spacing w:line="240" w:lineRule="auto"/>
              <w:jc w:val="center"/>
              <w:rPr>
                <w:color w:val="000000" w:themeColor="text1"/>
                <w:szCs w:val="21"/>
              </w:rPr>
            </w:pPr>
            <w:r>
              <w:rPr>
                <w:rFonts w:hint="eastAsia"/>
                <w:color w:val="000000" w:themeColor="text1"/>
                <w:szCs w:val="21"/>
              </w:rPr>
              <w:t>水泵</w:t>
            </w:r>
          </w:p>
        </w:tc>
        <w:tc>
          <w:tcPr>
            <w:tcW w:w="143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连续</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减振、</w:t>
            </w:r>
            <w:r>
              <w:rPr>
                <w:rFonts w:ascii="Times New Roman" w:hAnsi="Times New Roman" w:eastAsia="宋体"/>
                <w:color w:val="000000" w:themeColor="text1"/>
                <w:sz w:val="21"/>
                <w:szCs w:val="21"/>
              </w:rPr>
              <w:t>墙体隔声</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5" w:type="dxa"/>
            <w:vAlign w:val="center"/>
          </w:tcPr>
          <w:p>
            <w:pPr>
              <w:adjustRightInd w:val="0"/>
              <w:snapToGrid w:val="0"/>
              <w:spacing w:line="240" w:lineRule="auto"/>
              <w:jc w:val="center"/>
              <w:rPr>
                <w:color w:val="000000" w:themeColor="text1"/>
                <w:szCs w:val="21"/>
              </w:rPr>
            </w:pPr>
            <w:r>
              <w:rPr>
                <w:rFonts w:hint="eastAsia"/>
                <w:color w:val="000000" w:themeColor="text1"/>
                <w:szCs w:val="21"/>
              </w:rPr>
              <w:t>搅拌机</w:t>
            </w:r>
          </w:p>
        </w:tc>
        <w:tc>
          <w:tcPr>
            <w:tcW w:w="143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连续</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墙体隔声</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05" w:type="dxa"/>
            <w:vAlign w:val="center"/>
          </w:tcPr>
          <w:p>
            <w:pPr>
              <w:adjustRightInd w:val="0"/>
              <w:snapToGrid w:val="0"/>
              <w:spacing w:line="240" w:lineRule="auto"/>
              <w:jc w:val="center"/>
              <w:rPr>
                <w:color w:val="000000" w:themeColor="text1"/>
                <w:szCs w:val="21"/>
              </w:rPr>
            </w:pPr>
            <w:r>
              <w:rPr>
                <w:color w:val="000000" w:themeColor="text1"/>
                <w:szCs w:val="21"/>
              </w:rPr>
              <w:t>发电机</w:t>
            </w:r>
          </w:p>
        </w:tc>
        <w:tc>
          <w:tcPr>
            <w:tcW w:w="143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间断</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减振、</w:t>
            </w:r>
            <w:r>
              <w:rPr>
                <w:rFonts w:ascii="Times New Roman" w:hAnsi="Times New Roman" w:eastAsia="宋体"/>
                <w:color w:val="000000" w:themeColor="text1"/>
                <w:sz w:val="21"/>
                <w:szCs w:val="21"/>
              </w:rPr>
              <w:t>墙体隔声</w:t>
            </w:r>
          </w:p>
        </w:tc>
        <w:tc>
          <w:tcPr>
            <w:tcW w:w="254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80</w:t>
            </w:r>
          </w:p>
        </w:tc>
      </w:tr>
    </w:tbl>
    <w:p>
      <w:pPr>
        <w:pStyle w:val="200"/>
        <w:ind w:firstLine="480" w:firstLineChars="200"/>
        <w:jc w:val="both"/>
        <w:rPr>
          <w:b w:val="0"/>
          <w:color w:val="000000" w:themeColor="text1"/>
          <w:sz w:val="24"/>
          <w:szCs w:val="24"/>
        </w:rPr>
      </w:pPr>
      <w:r>
        <w:rPr>
          <w:b w:val="0"/>
          <w:color w:val="000000" w:themeColor="text1"/>
          <w:sz w:val="24"/>
          <w:szCs w:val="24"/>
        </w:rPr>
        <w:t>各噪声源与厂界距离及位置详见下表：</w:t>
      </w:r>
    </w:p>
    <w:p>
      <w:pPr>
        <w:adjustRightInd w:val="0"/>
        <w:snapToGrid w:val="0"/>
        <w:spacing w:line="240" w:lineRule="auto"/>
        <w:jc w:val="center"/>
        <w:rPr>
          <w:b/>
          <w:color w:val="000000" w:themeColor="text1"/>
          <w:spacing w:val="-20"/>
        </w:rPr>
      </w:pPr>
      <w:bookmarkStart w:id="398" w:name="_Toc121915241"/>
      <w:bookmarkStart w:id="399" w:name="_Toc377304172"/>
      <w:r>
        <w:rPr>
          <w:b/>
          <w:color w:val="000000" w:themeColor="text1"/>
          <w:szCs w:val="21"/>
        </w:rPr>
        <w:t>表5.2-</w:t>
      </w:r>
      <w:r>
        <w:rPr>
          <w:rFonts w:hint="eastAsia"/>
          <w:b/>
          <w:color w:val="000000" w:themeColor="text1"/>
          <w:szCs w:val="21"/>
        </w:rPr>
        <w:t xml:space="preserve">16  </w:t>
      </w:r>
      <w:r>
        <w:rPr>
          <w:b/>
          <w:color w:val="000000" w:themeColor="text1"/>
          <w:szCs w:val="22"/>
        </w:rPr>
        <w:t>各声源至厂界距离一览表</w:t>
      </w:r>
      <w:r>
        <w:rPr>
          <w:rFonts w:hint="eastAsia"/>
          <w:b/>
          <w:color w:val="000000" w:themeColor="text1"/>
          <w:szCs w:val="22"/>
        </w:rPr>
        <w:t xml:space="preserve">    </w:t>
      </w:r>
      <w:r>
        <w:rPr>
          <w:b/>
          <w:color w:val="000000" w:themeColor="text1"/>
          <w:spacing w:val="-20"/>
        </w:rPr>
        <w:t>单位：m</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1614"/>
        <w:gridCol w:w="1613"/>
        <w:gridCol w:w="1613"/>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噪声源</w:t>
            </w:r>
          </w:p>
        </w:tc>
        <w:tc>
          <w:tcPr>
            <w:tcW w:w="1614"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东厂界</w:t>
            </w:r>
          </w:p>
        </w:tc>
        <w:tc>
          <w:tcPr>
            <w:tcW w:w="1613"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南厂界</w:t>
            </w:r>
          </w:p>
        </w:tc>
        <w:tc>
          <w:tcPr>
            <w:tcW w:w="1613"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西厂界</w:t>
            </w:r>
          </w:p>
        </w:tc>
        <w:tc>
          <w:tcPr>
            <w:tcW w:w="1615"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pPr>
              <w:adjustRightInd w:val="0"/>
              <w:snapToGrid w:val="0"/>
              <w:spacing w:line="240" w:lineRule="auto"/>
              <w:jc w:val="center"/>
              <w:rPr>
                <w:color w:val="000000" w:themeColor="text1"/>
                <w:szCs w:val="21"/>
              </w:rPr>
            </w:pPr>
            <w:r>
              <w:rPr>
                <w:color w:val="000000" w:themeColor="text1"/>
                <w:szCs w:val="21"/>
              </w:rPr>
              <w:t>自动供料系统</w:t>
            </w:r>
          </w:p>
        </w:tc>
        <w:tc>
          <w:tcPr>
            <w:tcW w:w="1614"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128</w:t>
            </w:r>
          </w:p>
        </w:tc>
        <w:tc>
          <w:tcPr>
            <w:tcW w:w="1613"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10</w:t>
            </w:r>
          </w:p>
        </w:tc>
        <w:tc>
          <w:tcPr>
            <w:tcW w:w="161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104</w:t>
            </w:r>
          </w:p>
        </w:tc>
        <w:tc>
          <w:tcPr>
            <w:tcW w:w="161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pPr>
              <w:adjustRightInd w:val="0"/>
              <w:snapToGrid w:val="0"/>
              <w:spacing w:line="240" w:lineRule="auto"/>
              <w:jc w:val="center"/>
              <w:rPr>
                <w:color w:val="000000" w:themeColor="text1"/>
                <w:szCs w:val="21"/>
              </w:rPr>
            </w:pPr>
            <w:r>
              <w:rPr>
                <w:color w:val="000000" w:themeColor="text1"/>
                <w:kern w:val="0"/>
                <w:szCs w:val="21"/>
              </w:rPr>
              <w:t>刮粪系统</w:t>
            </w:r>
          </w:p>
        </w:tc>
        <w:tc>
          <w:tcPr>
            <w:tcW w:w="1614"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62</w:t>
            </w:r>
          </w:p>
        </w:tc>
        <w:tc>
          <w:tcPr>
            <w:tcW w:w="1613"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30</w:t>
            </w:r>
          </w:p>
        </w:tc>
        <w:tc>
          <w:tcPr>
            <w:tcW w:w="161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54</w:t>
            </w:r>
          </w:p>
        </w:tc>
        <w:tc>
          <w:tcPr>
            <w:tcW w:w="161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风机</w:t>
            </w:r>
          </w:p>
        </w:tc>
        <w:tc>
          <w:tcPr>
            <w:tcW w:w="1614"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62</w:t>
            </w:r>
          </w:p>
        </w:tc>
        <w:tc>
          <w:tcPr>
            <w:tcW w:w="1613"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10</w:t>
            </w:r>
          </w:p>
        </w:tc>
        <w:tc>
          <w:tcPr>
            <w:tcW w:w="161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42</w:t>
            </w:r>
          </w:p>
        </w:tc>
        <w:tc>
          <w:tcPr>
            <w:tcW w:w="161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pPr>
              <w:adjustRightInd w:val="0"/>
              <w:snapToGrid w:val="0"/>
              <w:spacing w:line="240" w:lineRule="auto"/>
              <w:jc w:val="center"/>
              <w:rPr>
                <w:color w:val="000000" w:themeColor="text1"/>
                <w:szCs w:val="21"/>
              </w:rPr>
            </w:pPr>
            <w:r>
              <w:rPr>
                <w:rFonts w:hint="eastAsia"/>
                <w:color w:val="000000" w:themeColor="text1"/>
                <w:szCs w:val="21"/>
              </w:rPr>
              <w:t>水泵</w:t>
            </w:r>
          </w:p>
        </w:tc>
        <w:tc>
          <w:tcPr>
            <w:tcW w:w="1614"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45</w:t>
            </w:r>
          </w:p>
        </w:tc>
        <w:tc>
          <w:tcPr>
            <w:tcW w:w="1613"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26</w:t>
            </w:r>
          </w:p>
        </w:tc>
        <w:tc>
          <w:tcPr>
            <w:tcW w:w="161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360</w:t>
            </w:r>
          </w:p>
        </w:tc>
        <w:tc>
          <w:tcPr>
            <w:tcW w:w="161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pPr>
              <w:adjustRightInd w:val="0"/>
              <w:snapToGrid w:val="0"/>
              <w:spacing w:line="240" w:lineRule="auto"/>
              <w:jc w:val="center"/>
              <w:rPr>
                <w:color w:val="000000" w:themeColor="text1"/>
                <w:szCs w:val="21"/>
              </w:rPr>
            </w:pPr>
            <w:r>
              <w:rPr>
                <w:rFonts w:hint="eastAsia"/>
                <w:color w:val="000000" w:themeColor="text1"/>
                <w:szCs w:val="21"/>
              </w:rPr>
              <w:t>搅拌机</w:t>
            </w:r>
          </w:p>
        </w:tc>
        <w:tc>
          <w:tcPr>
            <w:tcW w:w="1614"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42</w:t>
            </w:r>
          </w:p>
        </w:tc>
        <w:tc>
          <w:tcPr>
            <w:tcW w:w="1613"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45</w:t>
            </w:r>
          </w:p>
        </w:tc>
        <w:tc>
          <w:tcPr>
            <w:tcW w:w="161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360</w:t>
            </w:r>
          </w:p>
        </w:tc>
        <w:tc>
          <w:tcPr>
            <w:tcW w:w="161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pPr>
              <w:adjustRightInd w:val="0"/>
              <w:snapToGrid w:val="0"/>
              <w:spacing w:line="240" w:lineRule="auto"/>
              <w:jc w:val="center"/>
              <w:rPr>
                <w:color w:val="000000" w:themeColor="text1"/>
                <w:szCs w:val="21"/>
              </w:rPr>
            </w:pPr>
            <w:r>
              <w:rPr>
                <w:color w:val="000000" w:themeColor="text1"/>
                <w:szCs w:val="21"/>
              </w:rPr>
              <w:t>发电机</w:t>
            </w:r>
          </w:p>
        </w:tc>
        <w:tc>
          <w:tcPr>
            <w:tcW w:w="1614"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194</w:t>
            </w:r>
          </w:p>
        </w:tc>
        <w:tc>
          <w:tcPr>
            <w:tcW w:w="1613"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40</w:t>
            </w:r>
          </w:p>
        </w:tc>
        <w:tc>
          <w:tcPr>
            <w:tcW w:w="161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220</w:t>
            </w:r>
          </w:p>
        </w:tc>
        <w:tc>
          <w:tcPr>
            <w:tcW w:w="161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60</w:t>
            </w:r>
          </w:p>
        </w:tc>
      </w:tr>
    </w:tbl>
    <w:p>
      <w:pPr>
        <w:ind w:firstLine="482"/>
        <w:jc w:val="left"/>
        <w:rPr>
          <w:color w:val="000000" w:themeColor="text1"/>
          <w:sz w:val="24"/>
        </w:rPr>
      </w:pPr>
      <w:r>
        <w:rPr>
          <w:color w:val="000000" w:themeColor="text1"/>
          <w:sz w:val="24"/>
        </w:rPr>
        <w:t>采用声源几何发散衰减公式及声压级叠加公式预测各设备运转厂界噪声贡献值，厂界噪声预测结果如下：</w:t>
      </w:r>
    </w:p>
    <w:p>
      <w:pPr>
        <w:adjustRightInd w:val="0"/>
        <w:snapToGrid w:val="0"/>
        <w:spacing w:line="240" w:lineRule="auto"/>
        <w:jc w:val="center"/>
        <w:rPr>
          <w:b/>
          <w:color w:val="000000" w:themeColor="text1"/>
          <w:spacing w:val="-20"/>
        </w:rPr>
      </w:pPr>
      <w:r>
        <w:rPr>
          <w:b/>
          <w:color w:val="000000" w:themeColor="text1"/>
          <w:spacing w:val="-20"/>
        </w:rPr>
        <w:t>表</w:t>
      </w:r>
      <w:r>
        <w:rPr>
          <w:b/>
          <w:color w:val="000000" w:themeColor="text1"/>
          <w:szCs w:val="22"/>
        </w:rPr>
        <w:t>5.2-</w:t>
      </w:r>
      <w:r>
        <w:rPr>
          <w:rFonts w:hint="eastAsia"/>
          <w:b/>
          <w:color w:val="000000" w:themeColor="text1"/>
          <w:szCs w:val="22"/>
        </w:rPr>
        <w:t xml:space="preserve">17  </w:t>
      </w:r>
      <w:r>
        <w:rPr>
          <w:b/>
          <w:color w:val="000000" w:themeColor="text1"/>
          <w:szCs w:val="22"/>
        </w:rPr>
        <w:t>厂界噪声</w:t>
      </w:r>
      <w:r>
        <w:rPr>
          <w:rFonts w:hint="eastAsia"/>
          <w:b/>
          <w:color w:val="000000" w:themeColor="text1"/>
          <w:szCs w:val="22"/>
        </w:rPr>
        <w:t xml:space="preserve">预测结果    </w:t>
      </w:r>
      <w:r>
        <w:rPr>
          <w:b/>
          <w:color w:val="000000" w:themeColor="text1"/>
          <w:spacing w:val="-20"/>
        </w:rPr>
        <w:t>单位：dB(A)</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1614"/>
        <w:gridCol w:w="1613"/>
        <w:gridCol w:w="1613"/>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噪声源</w:t>
            </w:r>
          </w:p>
        </w:tc>
        <w:tc>
          <w:tcPr>
            <w:tcW w:w="1614"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东厂界</w:t>
            </w:r>
          </w:p>
        </w:tc>
        <w:tc>
          <w:tcPr>
            <w:tcW w:w="1613"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南厂界</w:t>
            </w:r>
          </w:p>
        </w:tc>
        <w:tc>
          <w:tcPr>
            <w:tcW w:w="1613"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西厂界</w:t>
            </w:r>
          </w:p>
        </w:tc>
        <w:tc>
          <w:tcPr>
            <w:tcW w:w="1615" w:type="dxa"/>
            <w:vAlign w:val="center"/>
          </w:tcPr>
          <w:p>
            <w:pPr>
              <w:pStyle w:val="179"/>
              <w:adjustRightInd w:val="0"/>
              <w:snapToGrid w:val="0"/>
              <w:spacing w:line="240" w:lineRule="auto"/>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pPr>
              <w:adjustRightInd w:val="0"/>
              <w:snapToGrid w:val="0"/>
              <w:spacing w:line="240" w:lineRule="auto"/>
              <w:jc w:val="center"/>
              <w:rPr>
                <w:color w:val="000000" w:themeColor="text1"/>
                <w:szCs w:val="21"/>
              </w:rPr>
            </w:pPr>
            <w:r>
              <w:rPr>
                <w:rFonts w:hint="eastAsia"/>
                <w:color w:val="000000" w:themeColor="text1"/>
                <w:szCs w:val="21"/>
              </w:rPr>
              <w:t>预测值</w:t>
            </w:r>
          </w:p>
        </w:tc>
        <w:tc>
          <w:tcPr>
            <w:tcW w:w="1614"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41.6</w:t>
            </w:r>
          </w:p>
        </w:tc>
        <w:tc>
          <w:tcPr>
            <w:tcW w:w="1613" w:type="dxa"/>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43.7</w:t>
            </w:r>
          </w:p>
        </w:tc>
        <w:tc>
          <w:tcPr>
            <w:tcW w:w="1613"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34.6</w:t>
            </w:r>
          </w:p>
        </w:tc>
        <w:tc>
          <w:tcPr>
            <w:tcW w:w="1615" w:type="dxa"/>
            <w:vAlign w:val="center"/>
          </w:tcPr>
          <w:p>
            <w:pPr>
              <w:pStyle w:val="179"/>
              <w:adjustRightInd w:val="0"/>
              <w:snapToGrid w:val="0"/>
              <w:spacing w:line="240" w:lineRule="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44.8</w:t>
            </w:r>
          </w:p>
        </w:tc>
      </w:tr>
    </w:tbl>
    <w:p>
      <w:pPr>
        <w:adjustRightInd w:val="0"/>
        <w:snapToGrid w:val="0"/>
        <w:ind w:firstLine="480" w:firstLineChars="200"/>
        <w:rPr>
          <w:color w:val="000000" w:themeColor="text1"/>
          <w:sz w:val="24"/>
        </w:rPr>
      </w:pPr>
      <w:r>
        <w:rPr>
          <w:color w:val="000000" w:themeColor="text1"/>
          <w:sz w:val="24"/>
        </w:rPr>
        <w:t>从表5.2-</w:t>
      </w:r>
      <w:r>
        <w:rPr>
          <w:rFonts w:hint="eastAsia"/>
          <w:color w:val="000000" w:themeColor="text1"/>
          <w:sz w:val="24"/>
        </w:rPr>
        <w:t>17</w:t>
      </w:r>
      <w:r>
        <w:rPr>
          <w:color w:val="000000" w:themeColor="text1"/>
          <w:sz w:val="24"/>
        </w:rPr>
        <w:t>中可以看出，运营期本项目噪声源对各厂界噪声贡献值均可满足《工业企业厂界环境噪声排放标准》（GB12348-2008）</w:t>
      </w:r>
      <w:r>
        <w:rPr>
          <w:rFonts w:hint="eastAsia"/>
          <w:color w:val="000000" w:themeColor="text1"/>
          <w:sz w:val="24"/>
        </w:rPr>
        <w:t>1</w:t>
      </w:r>
      <w:r>
        <w:rPr>
          <w:color w:val="000000" w:themeColor="text1"/>
          <w:sz w:val="24"/>
        </w:rPr>
        <w:t>类标准要求。最近的敏感点为</w:t>
      </w:r>
      <w:r>
        <w:rPr>
          <w:rFonts w:hint="eastAsia"/>
          <w:color w:val="000000" w:themeColor="text1"/>
          <w:sz w:val="24"/>
        </w:rPr>
        <w:t>西北</w:t>
      </w:r>
      <w:r>
        <w:rPr>
          <w:color w:val="000000" w:themeColor="text1"/>
          <w:sz w:val="24"/>
        </w:rPr>
        <w:t>面</w:t>
      </w:r>
      <w:r>
        <w:rPr>
          <w:rFonts w:hint="eastAsia"/>
          <w:color w:val="000000" w:themeColor="text1"/>
          <w:sz w:val="24"/>
        </w:rPr>
        <w:t>543</w:t>
      </w:r>
      <w:r>
        <w:rPr>
          <w:color w:val="000000" w:themeColor="text1"/>
          <w:sz w:val="24"/>
        </w:rPr>
        <w:t>m处的</w:t>
      </w:r>
      <w:r>
        <w:rPr>
          <w:rFonts w:hint="eastAsia"/>
          <w:color w:val="000000" w:themeColor="text1"/>
          <w:sz w:val="24"/>
        </w:rPr>
        <w:t>石头</w:t>
      </w:r>
      <w:r>
        <w:rPr>
          <w:color w:val="000000" w:themeColor="text1"/>
          <w:sz w:val="24"/>
        </w:rPr>
        <w:t>村，本项目噪声经墙体隔声及距离衰减后，对敏感点的</w:t>
      </w:r>
      <w:r>
        <w:rPr>
          <w:rFonts w:hint="eastAsia"/>
          <w:color w:val="000000" w:themeColor="text1"/>
          <w:sz w:val="24"/>
        </w:rPr>
        <w:t>声环境影响小</w:t>
      </w:r>
      <w:r>
        <w:rPr>
          <w:color w:val="000000" w:themeColor="text1"/>
          <w:sz w:val="24"/>
        </w:rPr>
        <w:t>。</w:t>
      </w:r>
    </w:p>
    <w:bookmarkEnd w:id="398"/>
    <w:bookmarkEnd w:id="399"/>
    <w:p>
      <w:pPr>
        <w:pStyle w:val="4"/>
        <w:spacing w:before="0" w:after="0" w:line="360" w:lineRule="auto"/>
        <w:rPr>
          <w:color w:val="000000" w:themeColor="text1"/>
        </w:rPr>
      </w:pPr>
      <w:bookmarkStart w:id="400" w:name="_Toc510547330"/>
      <w:bookmarkStart w:id="401" w:name="_Toc504403854"/>
      <w:r>
        <w:rPr>
          <w:color w:val="000000" w:themeColor="text1"/>
        </w:rPr>
        <w:t>5.2.5固体废物处置影响分析</w:t>
      </w:r>
      <w:bookmarkEnd w:id="387"/>
      <w:bookmarkEnd w:id="388"/>
      <w:bookmarkEnd w:id="389"/>
      <w:bookmarkEnd w:id="400"/>
      <w:bookmarkEnd w:id="401"/>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根据工程分析可知，本项目产生的固体废物主要为猪粪、病死猪、医疗废物、生活垃圾、污泥等。</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（1）猪粪、饲料渣、</w:t>
      </w:r>
      <w:r>
        <w:rPr>
          <w:rFonts w:hint="eastAsia" w:ascii="Times New Roman" w:hAnsi="Times New Roman" w:cs="Times New Roman"/>
          <w:color w:val="000000" w:themeColor="text1"/>
        </w:rPr>
        <w:t>沼渣</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项目猪粪、饲料渣及</w:t>
      </w:r>
      <w:r>
        <w:rPr>
          <w:rFonts w:hint="eastAsia" w:ascii="Times New Roman" w:hAnsi="Times New Roman" w:cs="Times New Roman"/>
          <w:color w:val="000000" w:themeColor="text1"/>
        </w:rPr>
        <w:t>沼渣</w:t>
      </w:r>
      <w:r>
        <w:rPr>
          <w:rFonts w:ascii="Times New Roman" w:hAnsi="Times New Roman" w:cs="Times New Roman"/>
          <w:color w:val="000000" w:themeColor="text1"/>
        </w:rPr>
        <w:t>运至发酵间发酵后外售做肥料。经过</w:t>
      </w:r>
      <w:r>
        <w:rPr>
          <w:rFonts w:hint="eastAsia" w:ascii="Times New Roman" w:hAnsi="Times New Roman" w:cs="Times New Roman"/>
          <w:color w:val="000000" w:themeColor="text1"/>
        </w:rPr>
        <w:t>发酵</w:t>
      </w:r>
      <w:r>
        <w:rPr>
          <w:rFonts w:ascii="Times New Roman" w:hAnsi="Times New Roman" w:cs="Times New Roman"/>
          <w:color w:val="000000" w:themeColor="text1"/>
        </w:rPr>
        <w:t>处理后能够达到《畜禽养殖业污染物排放标准》（GB18596-2001）中表6的规定及《粪便无害化卫生要求》（GB7959-2012）中表1的要求，可以作为有机肥进行资源化利用，对环境影响较小。</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szCs w:val="22"/>
        </w:rPr>
        <w:t>（2）</w:t>
      </w:r>
      <w:r>
        <w:rPr>
          <w:rFonts w:ascii="Times New Roman" w:hAnsi="Times New Roman" w:cs="Times New Roman"/>
          <w:color w:val="000000" w:themeColor="text1"/>
        </w:rPr>
        <w:t>病死猪</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本项目病死猪约50头/a，重量约6t/a，根据《畜禽养殖业污染防治技术规范》（HJ/T81-2001），病死畜禽尸体处理应采用焚烧炉焚烧的方法，不具备焚烧条件的养殖场，应设置安全填埋井。根据《病死动物无害化处理技术规范》（农医发[2013]34 号）中动物尸体无害化处理技术的发酵法，该方法具体操作是：</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①处理前，在指定场地铺设20cm厚辅料，辅料为稻糠、木屑、</w:t>
      </w:r>
      <w:r>
        <w:rPr>
          <w:rFonts w:hint="eastAsia" w:ascii="Times New Roman" w:hAnsi="Times New Roman" w:cs="Times New Roman"/>
          <w:color w:val="000000" w:themeColor="text1"/>
          <w:lang w:eastAsia="zh-CN"/>
        </w:rPr>
        <w:t>秸秆</w:t>
      </w:r>
      <w:r>
        <w:rPr>
          <w:rFonts w:hint="eastAsia" w:ascii="Times New Roman" w:hAnsi="Times New Roman" w:cs="Times New Roman"/>
          <w:color w:val="000000" w:themeColor="text1"/>
        </w:rPr>
        <w:t>、玉米芯等混合物，或为在稻糠、木屑等混合物中加入特定生物制剂预发酵后产物；</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②辅料上平铺动物尸体或相关动物产品，厚度≤20cm；</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③覆盖20cm辅料，确保动物尸体或相关动物产品全部被覆盖。堆体厚度随需处理动物尸体和相关动物产品数量而定，一般控制在2～3m；</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④堆肥发酵堆内部温度≥54℃，一周后翻堆，3 周后完成。</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根据《规模猪场动物尸体生物降解无害化处理技术》（龚寒春、黄世娟、翟成兵、黄小华）中介绍，生物降解法处理动物尸体过程中，降解产生的热量使发酵料中温度升高，能够有效杀灭病原微生物。</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本项目采用生物降解处理病死猪，该方法原理与发酵法相似，生物降解法处理病死猪，将病死猪尸体作为主要的氮源提供者，参与到有利于芽孢杆菌等有益微生物生活繁衍的碳源和氮源环境的营造中来，加快有益微生物快速繁殖，使得尸体有机物快速矿质化和腐殖质化，达到分解的目的，生成微生物、二氧化碳和水等，同时释放能量，持续维持在50℃以上，达到了杀灭病原微生物和虫卵的目的，实现了无害化。</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本项目设置7 格化尸房，将死猪尸体送至死猪处理房内使用发酵原料（锯末）进行掩埋，消毒杀灭病菌后，让尸体在微生物的作用下进行分解，七周后可完全分解完，分解之后剩余的骨头于场内填埋井填埋，每填埋1 次，采用烧碱消毒后在上面覆土10cm粘土，并加盖密封。</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项目建设2口安全填埋井安全对病死猪</w:t>
      </w:r>
      <w:r>
        <w:rPr>
          <w:rFonts w:hint="eastAsia" w:ascii="Times New Roman" w:hAnsi="Times New Roman" w:cs="Times New Roman"/>
          <w:color w:val="000000" w:themeColor="text1"/>
        </w:rPr>
        <w:t>堆肥肥料</w:t>
      </w:r>
      <w:r>
        <w:rPr>
          <w:rFonts w:ascii="Times New Roman" w:hAnsi="Times New Roman" w:cs="Times New Roman"/>
          <w:color w:val="000000" w:themeColor="text1"/>
        </w:rPr>
        <w:t>进行填埋。安全填埋井为混凝土结构，井深5m，直径4m，入口直径1m，井口加盖密封。进行填埋时，在每次投入病死猪</w:t>
      </w:r>
      <w:r>
        <w:rPr>
          <w:rFonts w:hint="eastAsia" w:ascii="Times New Roman" w:hAnsi="Times New Roman" w:cs="Times New Roman"/>
          <w:color w:val="000000" w:themeColor="text1"/>
        </w:rPr>
        <w:t>堆肥肥料</w:t>
      </w:r>
      <w:r>
        <w:rPr>
          <w:rFonts w:ascii="Times New Roman" w:hAnsi="Times New Roman" w:cs="Times New Roman"/>
          <w:color w:val="000000" w:themeColor="text1"/>
        </w:rPr>
        <w:t>后，应覆盖1层厚度大于10cm的熟石灰，井填满后，用粘土填埋压实并封口。同时环评要求项目对安全井采取防渗措施，避免污染地下水。</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化尸废料主要为锯末、稻壳、细米糠以及化尸产物，和猪粪一同送往有机肥发酵车间生产有机肥。</w:t>
      </w:r>
    </w:p>
    <w:p>
      <w:pPr>
        <w:ind w:firstLine="480" w:firstLineChars="200"/>
        <w:rPr>
          <w:color w:val="000000" w:themeColor="text1"/>
          <w:sz w:val="24"/>
        </w:rPr>
      </w:pPr>
      <w:r>
        <w:rPr>
          <w:color w:val="000000" w:themeColor="text1"/>
          <w:sz w:val="24"/>
        </w:rPr>
        <w:t>（3）医疗废物</w:t>
      </w:r>
    </w:p>
    <w:p>
      <w:pPr>
        <w:ind w:firstLine="480" w:firstLineChars="200"/>
        <w:rPr>
          <w:color w:val="000000" w:themeColor="text1"/>
          <w:sz w:val="24"/>
        </w:rPr>
      </w:pPr>
      <w:r>
        <w:rPr>
          <w:rFonts w:hint="eastAsia"/>
          <w:color w:val="000000" w:themeColor="text1"/>
          <w:sz w:val="24"/>
        </w:rPr>
        <w:t>项目防疫工艺委托正大集团负责，医疗废物的处置按照《危险废物贮存污染控制标准》 （GB18597-2001）和《危险废物转移联单管理办法》进行收集处置，养殖场设置医疗废物暂存于医疗废物暂存间，定期委托有资质的单位处置</w:t>
      </w:r>
      <w:r>
        <w:rPr>
          <w:color w:val="000000" w:themeColor="text1"/>
          <w:sz w:val="24"/>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（4）生活垃圾</w:t>
      </w:r>
    </w:p>
    <w:p>
      <w:pPr>
        <w:widowControl/>
        <w:shd w:val="clear" w:color="auto" w:fill="FFFFFF"/>
        <w:wordWrap w:val="0"/>
        <w:ind w:firstLine="480" w:firstLineChars="200"/>
        <w:rPr>
          <w:color w:val="000000" w:themeColor="text1"/>
          <w:sz w:val="24"/>
        </w:rPr>
      </w:pPr>
      <w:r>
        <w:rPr>
          <w:color w:val="000000" w:themeColor="text1"/>
          <w:sz w:val="24"/>
        </w:rPr>
        <w:t>厂区设置垃圾房，统一收集后</w:t>
      </w:r>
      <w:r>
        <w:rPr>
          <w:rFonts w:hint="eastAsia"/>
          <w:color w:val="000000" w:themeColor="text1"/>
          <w:sz w:val="24"/>
        </w:rPr>
        <w:t>依托当地村镇垃圾收集系统处置</w:t>
      </w:r>
      <w:r>
        <w:rPr>
          <w:color w:val="000000" w:themeColor="text1"/>
          <w:sz w:val="24"/>
        </w:rPr>
        <w:t>。</w:t>
      </w:r>
    </w:p>
    <w:p>
      <w:pPr>
        <w:pStyle w:val="132"/>
        <w:ind w:firstLine="480"/>
        <w:rPr>
          <w:rFonts w:ascii="Times New Roman" w:hAnsi="Times New Roman" w:cs="Times New Roman"/>
          <w:color w:val="000000" w:themeColor="text1"/>
        </w:rPr>
      </w:pPr>
      <w:r>
        <w:rPr>
          <w:color w:val="000000" w:themeColor="text1"/>
        </w:rPr>
        <w:t>（5）废弃</w:t>
      </w:r>
      <w:r>
        <w:rPr>
          <w:rFonts w:hint="eastAsia"/>
          <w:color w:val="000000" w:themeColor="text1"/>
        </w:rPr>
        <w:t>包装材料</w:t>
      </w:r>
    </w:p>
    <w:p>
      <w:pPr>
        <w:widowControl/>
        <w:shd w:val="clear" w:color="auto" w:fill="FFFFFF"/>
        <w:wordWrap w:val="0"/>
        <w:ind w:firstLine="480" w:firstLineChars="200"/>
        <w:rPr>
          <w:color w:val="000000" w:themeColor="text1"/>
          <w:sz w:val="24"/>
        </w:rPr>
      </w:pPr>
      <w:r>
        <w:rPr>
          <w:rFonts w:hint="eastAsia"/>
          <w:color w:val="000000" w:themeColor="text1"/>
          <w:sz w:val="24"/>
        </w:rPr>
        <w:t>本项目废包装物收集后外售处理</w:t>
      </w:r>
      <w:r>
        <w:rPr>
          <w:color w:val="000000" w:themeColor="text1"/>
          <w:sz w:val="24"/>
        </w:rPr>
        <w:t>。</w:t>
      </w:r>
    </w:p>
    <w:p>
      <w:pPr>
        <w:widowControl/>
        <w:shd w:val="clear" w:color="auto" w:fill="FFFFFF"/>
        <w:wordWrap w:val="0"/>
        <w:ind w:firstLine="480" w:firstLineChars="200"/>
        <w:rPr>
          <w:color w:val="000000" w:themeColor="text1"/>
          <w:sz w:val="24"/>
        </w:rPr>
      </w:pPr>
      <w:r>
        <w:rPr>
          <w:color w:val="000000" w:themeColor="text1"/>
          <w:sz w:val="24"/>
        </w:rPr>
        <w:t>（</w:t>
      </w:r>
      <w:r>
        <w:rPr>
          <w:rFonts w:hint="eastAsia"/>
          <w:color w:val="000000" w:themeColor="text1"/>
          <w:sz w:val="24"/>
        </w:rPr>
        <w:t>6</w:t>
      </w:r>
      <w:r>
        <w:rPr>
          <w:color w:val="000000" w:themeColor="text1"/>
          <w:sz w:val="24"/>
        </w:rPr>
        <w:t>）脱硫剂</w:t>
      </w:r>
    </w:p>
    <w:p>
      <w:pPr>
        <w:ind w:firstLine="480" w:firstLineChars="200"/>
        <w:rPr>
          <w:color w:val="000000" w:themeColor="text1"/>
          <w:sz w:val="24"/>
        </w:rPr>
      </w:pPr>
      <w:r>
        <w:rPr>
          <w:color w:val="000000" w:themeColor="text1"/>
          <w:sz w:val="24"/>
        </w:rPr>
        <w:t>废氧化铁脱硫剂由换料的生产厂家带走回收利用。</w:t>
      </w:r>
    </w:p>
    <w:p>
      <w:pPr>
        <w:widowControl/>
        <w:shd w:val="clear" w:color="auto" w:fill="FFFFFF"/>
        <w:wordWrap w:val="0"/>
        <w:ind w:firstLine="480" w:firstLineChars="200"/>
        <w:rPr>
          <w:color w:val="000000" w:themeColor="text1"/>
          <w:sz w:val="24"/>
        </w:rPr>
      </w:pPr>
      <w:r>
        <w:rPr>
          <w:rFonts w:hint="eastAsia"/>
          <w:color w:val="000000" w:themeColor="text1"/>
          <w:sz w:val="24"/>
        </w:rPr>
        <w:t>（7）烂水果及废枝条</w:t>
      </w:r>
    </w:p>
    <w:p>
      <w:pPr>
        <w:ind w:firstLine="480" w:firstLineChars="200"/>
        <w:rPr>
          <w:color w:val="000000" w:themeColor="text1"/>
          <w:sz w:val="24"/>
        </w:rPr>
      </w:pPr>
      <w:r>
        <w:rPr>
          <w:rFonts w:hint="eastAsia"/>
          <w:color w:val="000000" w:themeColor="text1"/>
          <w:sz w:val="24"/>
        </w:rPr>
        <w:t>废枝条可委托相关厂家加工成异位发酵车间垫料。烂水果可作为异位发酵车间原料。</w:t>
      </w:r>
    </w:p>
    <w:p>
      <w:pPr>
        <w:ind w:firstLine="480" w:firstLineChars="200"/>
        <w:rPr>
          <w:color w:val="000000" w:themeColor="text1"/>
          <w:sz w:val="24"/>
        </w:rPr>
      </w:pPr>
      <w:r>
        <w:rPr>
          <w:color w:val="000000" w:themeColor="text1"/>
          <w:sz w:val="24"/>
        </w:rPr>
        <w:t>采取上述措施后，项目固体废物处置率100%，对环境影响小。</w:t>
      </w:r>
    </w:p>
    <w:p>
      <w:pPr>
        <w:pStyle w:val="4"/>
        <w:spacing w:before="0" w:after="0" w:line="360" w:lineRule="auto"/>
        <w:rPr>
          <w:color w:val="000000" w:themeColor="text1"/>
        </w:rPr>
      </w:pPr>
      <w:r>
        <w:rPr>
          <w:color w:val="000000" w:themeColor="text1"/>
        </w:rPr>
        <w:t>5.2.</w:t>
      </w:r>
      <w:r>
        <w:rPr>
          <w:rFonts w:hint="eastAsia"/>
          <w:color w:val="000000" w:themeColor="text1"/>
        </w:rPr>
        <w:t>6土壤环境质量</w:t>
      </w:r>
      <w:r>
        <w:rPr>
          <w:color w:val="000000" w:themeColor="text1"/>
        </w:rPr>
        <w:t>影响分析</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根据云南省环保厅《关于规模化畜禽养殖主要污染物减排量认定条件的函（云环函[2012]343号）》中的规定，采取尿液沼气处理、粪便堆肥等有效处理处置措施直接还田、废弃物还田量不能超过土地承载力，原则上每亩土地消纳污水/尿液量不超过5头猪（出栏成年猪）废弃物量。</w:t>
      </w:r>
      <w:r>
        <w:rPr>
          <w:rFonts w:ascii="Times New Roman" w:hAnsi="Times New Roman" w:cs="Times New Roman"/>
          <w:color w:val="000000" w:themeColor="text1"/>
        </w:rPr>
        <w:t>项目</w:t>
      </w:r>
      <w:r>
        <w:rPr>
          <w:rFonts w:hint="eastAsia" w:ascii="Times New Roman" w:hAnsi="Times New Roman" w:cs="Times New Roman"/>
          <w:color w:val="000000" w:themeColor="text1"/>
        </w:rPr>
        <w:t>种植区面积为231亩，</w:t>
      </w:r>
      <w:r>
        <w:rPr>
          <w:rFonts w:ascii="Times New Roman" w:hAnsi="Times New Roman" w:cs="Times New Roman"/>
          <w:color w:val="000000" w:themeColor="text1"/>
        </w:rPr>
        <w:t>消纳污水/尿液量不超过</w:t>
      </w:r>
      <w:r>
        <w:rPr>
          <w:rFonts w:hint="eastAsia" w:ascii="Times New Roman" w:hAnsi="Times New Roman" w:cs="Times New Roman"/>
          <w:color w:val="000000" w:themeColor="text1"/>
        </w:rPr>
        <w:t>1155</w:t>
      </w:r>
      <w:r>
        <w:rPr>
          <w:rFonts w:ascii="Times New Roman" w:hAnsi="Times New Roman" w:cs="Times New Roman"/>
          <w:color w:val="000000" w:themeColor="text1"/>
        </w:rPr>
        <w:t>头猪（出栏成年猪）废弃物量</w:t>
      </w:r>
      <w:r>
        <w:rPr>
          <w:rFonts w:hint="eastAsia" w:ascii="Times New Roman" w:hAnsi="Times New Roman" w:cs="Times New Roman"/>
          <w:color w:val="000000" w:themeColor="text1"/>
        </w:rPr>
        <w:t>。项目年出栏生猪25000头，粪污（污水+猪粪）产生量16716t，则项目种植区施肥用量不得超过773t。根据计算，项目年沼液施用量为760t，不超过</w:t>
      </w:r>
      <w:r>
        <w:rPr>
          <w:rFonts w:ascii="Times New Roman" w:hAnsi="Times New Roman" w:cs="Times New Roman"/>
          <w:color w:val="000000" w:themeColor="text1"/>
        </w:rPr>
        <w:t>土地承载力</w:t>
      </w:r>
      <w:r>
        <w:rPr>
          <w:rFonts w:hint="eastAsia" w:ascii="Times New Roman" w:hAnsi="Times New Roman" w:cs="Times New Roman"/>
          <w:color w:val="000000" w:themeColor="text1"/>
        </w:rPr>
        <w:t>要求。</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氮肥施入土壤中，非铵盐及非硝酸态氮均要转化为铵态氮和硝态氮方可被植物吸收。氮肥在施用后，一般的利用率不超过60%，除被植物吸收一部分外，经过还原和淋溶，渗入地下水。铵态氮在土壤通气的情况下，经土壤微生物作用，可转化为亚硝酸盐进一步氧化形成硝酸盐。由于本建设项目的特点决定了其所排放的废物含氮量较高，因此应加强废水的处理，确保达标排放，避免对土壤造成影响。同时，养殖场达标废水中含有一定量钙、镁、锰等多种微量元素，不合理的使用方式或连续过量使用会导致硝酸盐、磷及重金属的沉积，从而对土壤构成污染。</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建设单位要对浇灌的耕地采用测土配方，充分考虑废水的组成成分，及N、P、K养分的有效性，根据土壤、作物生长所需的养分量和环境容量，科学确定畜禽养殖废弃物的利用量，在合理、适量施肥的情况下能改善土壤的理化性质，增强土壤的保肥性，提高土壤的生态肥力</w:t>
      </w:r>
      <w:r>
        <w:rPr>
          <w:rFonts w:ascii="Times New Roman" w:hAnsi="Times New Roman" w:cs="Times New Roman"/>
          <w:color w:val="000000" w:themeColor="text1"/>
        </w:rPr>
        <w:t>。</w:t>
      </w:r>
    </w:p>
    <w:p>
      <w:pPr>
        <w:adjustRightInd w:val="0"/>
        <w:snapToGrid w:val="0"/>
        <w:rPr>
          <w:b/>
          <w:bCs/>
          <w:color w:val="000000" w:themeColor="text1"/>
          <w:sz w:val="28"/>
          <w:szCs w:val="32"/>
        </w:rPr>
      </w:pPr>
    </w:p>
    <w:p>
      <w:pPr>
        <w:adjustRightInd w:val="0"/>
        <w:snapToGrid w:val="0"/>
        <w:rPr>
          <w:b/>
          <w:bCs/>
          <w:color w:val="000000" w:themeColor="text1"/>
          <w:sz w:val="28"/>
          <w:szCs w:val="32"/>
        </w:rPr>
        <w:sectPr>
          <w:pgSz w:w="11906" w:h="16838"/>
          <w:pgMar w:top="1440" w:right="1797" w:bottom="1440" w:left="1797" w:header="851" w:footer="992" w:gutter="0"/>
          <w:cols w:space="720" w:num="1"/>
          <w:docGrid w:linePitch="312" w:charSpace="0"/>
        </w:sectPr>
      </w:pPr>
    </w:p>
    <w:p>
      <w:pPr>
        <w:pStyle w:val="2"/>
        <w:rPr>
          <w:rFonts w:hAnsi="Times New Roman"/>
          <w:color w:val="000000" w:themeColor="text1"/>
        </w:rPr>
      </w:pPr>
      <w:bookmarkStart w:id="402" w:name="_Toc4076495"/>
      <w:bookmarkStart w:id="403" w:name="_Toc510547331"/>
      <w:r>
        <w:rPr>
          <w:rFonts w:hAnsi="Times New Roman"/>
          <w:color w:val="000000" w:themeColor="text1"/>
        </w:rPr>
        <w:t>6环境风险评价</w:t>
      </w:r>
      <w:bookmarkEnd w:id="402"/>
      <w:bookmarkEnd w:id="403"/>
    </w:p>
    <w:p>
      <w:pPr>
        <w:pStyle w:val="3"/>
        <w:spacing w:before="0" w:after="0"/>
        <w:rPr>
          <w:rFonts w:ascii="Times New Roman" w:hAnsi="Times New Roman"/>
          <w:color w:val="000000" w:themeColor="text1"/>
        </w:rPr>
      </w:pPr>
      <w:bookmarkStart w:id="404" w:name="_Toc510547332"/>
      <w:bookmarkStart w:id="405" w:name="_Toc4076496"/>
      <w:r>
        <w:rPr>
          <w:rFonts w:ascii="Times New Roman" w:hAnsi="Times New Roman"/>
          <w:color w:val="000000" w:themeColor="text1"/>
        </w:rPr>
        <w:t>6.1评价目的</w:t>
      </w:r>
      <w:bookmarkEnd w:id="404"/>
      <w:bookmarkEnd w:id="405"/>
    </w:p>
    <w:p>
      <w:pPr>
        <w:ind w:firstLine="480" w:firstLineChars="200"/>
        <w:rPr>
          <w:color w:val="000000" w:themeColor="text1"/>
          <w:sz w:val="24"/>
        </w:rPr>
      </w:pPr>
      <w:r>
        <w:rPr>
          <w:color w:val="000000" w:themeColor="text1"/>
          <w:sz w:val="24"/>
        </w:rPr>
        <w:t>环境风险评价的目的是分析和预测本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项目事故率、损失和环境影响达到可接受水平。</w:t>
      </w:r>
    </w:p>
    <w:p>
      <w:pPr>
        <w:pStyle w:val="3"/>
        <w:spacing w:before="0" w:after="0"/>
        <w:rPr>
          <w:rFonts w:ascii="Times New Roman" w:hAnsi="Times New Roman"/>
          <w:color w:val="000000" w:themeColor="text1"/>
        </w:rPr>
      </w:pPr>
      <w:bookmarkStart w:id="406" w:name="_Toc510547333"/>
      <w:bookmarkStart w:id="407" w:name="_Toc4076497"/>
      <w:r>
        <w:rPr>
          <w:rFonts w:ascii="Times New Roman" w:hAnsi="Times New Roman"/>
          <w:color w:val="000000" w:themeColor="text1"/>
        </w:rPr>
        <w:t>6.2风险识别</w:t>
      </w:r>
      <w:bookmarkEnd w:id="406"/>
      <w:bookmarkEnd w:id="407"/>
    </w:p>
    <w:p>
      <w:pPr>
        <w:pStyle w:val="4"/>
        <w:adjustRightInd w:val="0"/>
        <w:snapToGrid w:val="0"/>
        <w:spacing w:before="0" w:after="0" w:line="360" w:lineRule="auto"/>
        <w:rPr>
          <w:color w:val="000000" w:themeColor="text1"/>
        </w:rPr>
      </w:pPr>
      <w:bookmarkStart w:id="408" w:name="_Toc510547334"/>
      <w:r>
        <w:rPr>
          <w:color w:val="000000" w:themeColor="text1"/>
        </w:rPr>
        <w:t>6.2.1物质危险性识别</w:t>
      </w:r>
      <w:bookmarkEnd w:id="408"/>
    </w:p>
    <w:p>
      <w:pPr>
        <w:ind w:firstLine="480" w:firstLineChars="200"/>
        <w:rPr>
          <w:color w:val="000000" w:themeColor="text1"/>
          <w:sz w:val="24"/>
        </w:rPr>
      </w:pPr>
      <w:r>
        <w:rPr>
          <w:color w:val="000000" w:themeColor="text1"/>
          <w:sz w:val="24"/>
        </w:rPr>
        <w:t>（1）物质风险识别</w:t>
      </w:r>
    </w:p>
    <w:p>
      <w:pPr>
        <w:ind w:firstLine="480" w:firstLineChars="200"/>
        <w:rPr>
          <w:color w:val="000000" w:themeColor="text1"/>
          <w:sz w:val="24"/>
        </w:rPr>
      </w:pPr>
      <w:r>
        <w:rPr>
          <w:color w:val="000000" w:themeColor="text1"/>
          <w:sz w:val="24"/>
        </w:rPr>
        <w:t>根据《危险化学品重大污染源识别》及《建设项目环境风险评价技术导则》（HJ/T169-2004），本项目涉及的主要风险物质是易燃易爆的沼气。</w:t>
      </w:r>
    </w:p>
    <w:p>
      <w:pPr>
        <w:spacing w:line="240" w:lineRule="auto"/>
        <w:jc w:val="center"/>
        <w:rPr>
          <w:b/>
          <w:bCs/>
          <w:color w:val="000000" w:themeColor="text1"/>
        </w:rPr>
      </w:pPr>
      <w:r>
        <w:rPr>
          <w:b/>
          <w:bCs/>
          <w:color w:val="000000" w:themeColor="text1"/>
        </w:rPr>
        <w:t>表6.2-1  沼气物化性质和危险性识别</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598"/>
        <w:gridCol w:w="1591"/>
        <w:gridCol w:w="2337"/>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restart"/>
            <w:vAlign w:val="center"/>
          </w:tcPr>
          <w:p>
            <w:pPr>
              <w:pStyle w:val="212"/>
              <w:rPr>
                <w:rFonts w:eastAsia="宋体"/>
                <w:color w:val="000000" w:themeColor="text1"/>
              </w:rPr>
            </w:pPr>
            <w:r>
              <w:rPr>
                <w:rFonts w:eastAsia="宋体"/>
                <w:color w:val="000000" w:themeColor="text1"/>
              </w:rPr>
              <w:t>物</w:t>
            </w:r>
          </w:p>
          <w:p>
            <w:pPr>
              <w:pStyle w:val="212"/>
              <w:rPr>
                <w:rFonts w:eastAsia="宋体"/>
                <w:color w:val="000000" w:themeColor="text1"/>
              </w:rPr>
            </w:pPr>
            <w:r>
              <w:rPr>
                <w:rFonts w:eastAsia="宋体"/>
                <w:color w:val="000000" w:themeColor="text1"/>
              </w:rPr>
              <w:t>化</w:t>
            </w:r>
          </w:p>
          <w:p>
            <w:pPr>
              <w:pStyle w:val="212"/>
              <w:rPr>
                <w:rFonts w:eastAsia="宋体"/>
                <w:color w:val="000000" w:themeColor="text1"/>
              </w:rPr>
            </w:pPr>
            <w:r>
              <w:rPr>
                <w:rFonts w:eastAsia="宋体"/>
                <w:color w:val="000000" w:themeColor="text1"/>
              </w:rPr>
              <w:t>性</w:t>
            </w:r>
          </w:p>
          <w:p>
            <w:pPr>
              <w:pStyle w:val="212"/>
              <w:rPr>
                <w:rFonts w:eastAsia="宋体"/>
                <w:color w:val="000000" w:themeColor="text1"/>
              </w:rPr>
            </w:pPr>
            <w:r>
              <w:rPr>
                <w:rFonts w:eastAsia="宋体"/>
                <w:color w:val="000000" w:themeColor="text1"/>
              </w:rPr>
              <w:t>质</w:t>
            </w:r>
          </w:p>
        </w:tc>
        <w:tc>
          <w:tcPr>
            <w:tcW w:w="1598" w:type="dxa"/>
            <w:vAlign w:val="center"/>
          </w:tcPr>
          <w:p>
            <w:pPr>
              <w:pStyle w:val="212"/>
              <w:rPr>
                <w:rFonts w:eastAsia="宋体"/>
                <w:color w:val="000000" w:themeColor="text1"/>
              </w:rPr>
            </w:pPr>
            <w:r>
              <w:rPr>
                <w:rFonts w:eastAsia="宋体"/>
                <w:color w:val="000000" w:themeColor="text1"/>
              </w:rPr>
              <w:t>物质名称</w:t>
            </w:r>
          </w:p>
        </w:tc>
        <w:tc>
          <w:tcPr>
            <w:tcW w:w="1591" w:type="dxa"/>
            <w:vAlign w:val="center"/>
          </w:tcPr>
          <w:p>
            <w:pPr>
              <w:pStyle w:val="212"/>
              <w:rPr>
                <w:rFonts w:eastAsia="宋体"/>
                <w:color w:val="000000" w:themeColor="text1"/>
              </w:rPr>
            </w:pPr>
            <w:r>
              <w:rPr>
                <w:rFonts w:eastAsia="宋体"/>
                <w:color w:val="000000" w:themeColor="text1"/>
              </w:rPr>
              <w:t>沼气</w:t>
            </w:r>
          </w:p>
        </w:tc>
        <w:tc>
          <w:tcPr>
            <w:tcW w:w="2337" w:type="dxa"/>
            <w:vAlign w:val="center"/>
          </w:tcPr>
          <w:p>
            <w:pPr>
              <w:pStyle w:val="212"/>
              <w:rPr>
                <w:rFonts w:eastAsia="宋体"/>
                <w:color w:val="000000" w:themeColor="text1"/>
              </w:rPr>
            </w:pPr>
            <w:r>
              <w:rPr>
                <w:rFonts w:eastAsia="宋体"/>
                <w:color w:val="000000" w:themeColor="text1"/>
              </w:rPr>
              <w:t>成分</w:t>
            </w:r>
          </w:p>
        </w:tc>
        <w:tc>
          <w:tcPr>
            <w:tcW w:w="1938" w:type="dxa"/>
            <w:vAlign w:val="center"/>
          </w:tcPr>
          <w:p>
            <w:pPr>
              <w:pStyle w:val="212"/>
              <w:rPr>
                <w:rFonts w:eastAsia="宋体"/>
                <w:color w:val="000000" w:themeColor="text1"/>
              </w:rPr>
            </w:pPr>
            <w:r>
              <w:rPr>
                <w:rFonts w:eastAsia="宋体"/>
                <w:color w:val="000000" w:themeColor="text1"/>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分子式</w:t>
            </w:r>
          </w:p>
        </w:tc>
        <w:tc>
          <w:tcPr>
            <w:tcW w:w="1591" w:type="dxa"/>
            <w:vAlign w:val="center"/>
          </w:tcPr>
          <w:p>
            <w:pPr>
              <w:pStyle w:val="212"/>
              <w:rPr>
                <w:rFonts w:eastAsia="宋体"/>
                <w:color w:val="000000" w:themeColor="text1"/>
              </w:rPr>
            </w:pPr>
            <w:r>
              <w:rPr>
                <w:rFonts w:eastAsia="宋体"/>
                <w:color w:val="000000" w:themeColor="text1"/>
              </w:rPr>
              <w:t>CH</w:t>
            </w:r>
            <w:r>
              <w:rPr>
                <w:rFonts w:eastAsia="宋体"/>
                <w:color w:val="000000" w:themeColor="text1"/>
                <w:vertAlign w:val="subscript"/>
              </w:rPr>
              <w:t>4</w:t>
            </w:r>
          </w:p>
        </w:tc>
        <w:tc>
          <w:tcPr>
            <w:tcW w:w="2337" w:type="dxa"/>
            <w:vAlign w:val="center"/>
          </w:tcPr>
          <w:p>
            <w:pPr>
              <w:pStyle w:val="212"/>
              <w:rPr>
                <w:rFonts w:eastAsia="宋体"/>
                <w:color w:val="000000" w:themeColor="text1"/>
              </w:rPr>
            </w:pPr>
            <w:r>
              <w:rPr>
                <w:rFonts w:eastAsia="宋体"/>
                <w:color w:val="000000" w:themeColor="text1"/>
              </w:rPr>
              <w:t>分子量</w:t>
            </w:r>
          </w:p>
        </w:tc>
        <w:tc>
          <w:tcPr>
            <w:tcW w:w="1938" w:type="dxa"/>
            <w:vAlign w:val="center"/>
          </w:tcPr>
          <w:p>
            <w:pPr>
              <w:pStyle w:val="212"/>
              <w:rPr>
                <w:rFonts w:eastAsia="宋体"/>
                <w:color w:val="000000" w:themeColor="text1"/>
              </w:rPr>
            </w:pPr>
            <w:r>
              <w:rPr>
                <w:rFonts w:eastAsia="宋体"/>
                <w:color w:val="000000" w:themeColor="text1"/>
              </w:rPr>
              <w:t>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危险货物编号</w:t>
            </w:r>
          </w:p>
        </w:tc>
        <w:tc>
          <w:tcPr>
            <w:tcW w:w="1591" w:type="dxa"/>
            <w:vAlign w:val="center"/>
          </w:tcPr>
          <w:p>
            <w:pPr>
              <w:pStyle w:val="212"/>
              <w:rPr>
                <w:rFonts w:eastAsia="宋体"/>
                <w:color w:val="000000" w:themeColor="text1"/>
              </w:rPr>
            </w:pPr>
            <w:r>
              <w:rPr>
                <w:rFonts w:eastAsia="宋体"/>
                <w:color w:val="000000" w:themeColor="text1"/>
              </w:rPr>
              <w:t>21007</w:t>
            </w:r>
          </w:p>
        </w:tc>
        <w:tc>
          <w:tcPr>
            <w:tcW w:w="2337" w:type="dxa"/>
            <w:vAlign w:val="center"/>
          </w:tcPr>
          <w:p>
            <w:pPr>
              <w:pStyle w:val="212"/>
              <w:rPr>
                <w:rFonts w:eastAsia="宋体"/>
                <w:color w:val="000000" w:themeColor="text1"/>
              </w:rPr>
            </w:pPr>
            <w:r>
              <w:rPr>
                <w:rFonts w:eastAsia="宋体"/>
                <w:color w:val="000000" w:themeColor="text1"/>
              </w:rPr>
              <w:t>UN编号</w:t>
            </w:r>
          </w:p>
        </w:tc>
        <w:tc>
          <w:tcPr>
            <w:tcW w:w="1938" w:type="dxa"/>
            <w:vAlign w:val="center"/>
          </w:tcPr>
          <w:p>
            <w:pPr>
              <w:pStyle w:val="212"/>
              <w:rPr>
                <w:rFonts w:eastAsia="宋体"/>
                <w:color w:val="000000" w:themeColor="text1"/>
              </w:rPr>
            </w:pPr>
            <w:r>
              <w:rPr>
                <w:rFonts w:eastAsia="宋体"/>
                <w:color w:val="000000" w:themeColor="text1"/>
              </w:rPr>
              <w:t>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外观与性状</w:t>
            </w:r>
          </w:p>
        </w:tc>
        <w:tc>
          <w:tcPr>
            <w:tcW w:w="1591" w:type="dxa"/>
            <w:vAlign w:val="center"/>
          </w:tcPr>
          <w:p>
            <w:pPr>
              <w:pStyle w:val="212"/>
              <w:rPr>
                <w:rFonts w:eastAsia="宋体"/>
                <w:color w:val="000000" w:themeColor="text1"/>
              </w:rPr>
            </w:pPr>
            <w:r>
              <w:rPr>
                <w:rFonts w:eastAsia="宋体"/>
                <w:color w:val="000000" w:themeColor="text1"/>
              </w:rPr>
              <w:t>无色无臭气体</w:t>
            </w:r>
          </w:p>
        </w:tc>
        <w:tc>
          <w:tcPr>
            <w:tcW w:w="2337" w:type="dxa"/>
            <w:vAlign w:val="center"/>
          </w:tcPr>
          <w:p>
            <w:pPr>
              <w:pStyle w:val="212"/>
              <w:rPr>
                <w:rFonts w:eastAsia="宋体"/>
                <w:color w:val="000000" w:themeColor="text1"/>
              </w:rPr>
            </w:pPr>
            <w:r>
              <w:rPr>
                <w:rFonts w:eastAsia="宋体"/>
                <w:color w:val="000000" w:themeColor="text1"/>
              </w:rPr>
              <w:t>CAS</w:t>
            </w:r>
          </w:p>
        </w:tc>
        <w:tc>
          <w:tcPr>
            <w:tcW w:w="1938" w:type="dxa"/>
            <w:vAlign w:val="center"/>
          </w:tcPr>
          <w:p>
            <w:pPr>
              <w:pStyle w:val="212"/>
              <w:rPr>
                <w:rFonts w:eastAsia="宋体"/>
                <w:color w:val="000000" w:themeColor="text1"/>
              </w:rPr>
            </w:pPr>
            <w:r>
              <w:rPr>
                <w:rFonts w:eastAsia="宋体"/>
                <w:color w:val="000000" w:themeColor="text1"/>
              </w:rPr>
              <w:t>74-82-8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熔点（</w:t>
            </w:r>
            <w:r>
              <w:rPr>
                <w:rFonts w:hint="eastAsia" w:ascii="宋体" w:hAnsi="宋体" w:eastAsia="宋体" w:cs="宋体"/>
                <w:color w:val="000000" w:themeColor="text1"/>
              </w:rPr>
              <w:t>℃</w:t>
            </w:r>
            <w:r>
              <w:rPr>
                <w:rFonts w:eastAsia="宋体"/>
                <w:color w:val="000000" w:themeColor="text1"/>
              </w:rPr>
              <w:t>）</w:t>
            </w:r>
          </w:p>
        </w:tc>
        <w:tc>
          <w:tcPr>
            <w:tcW w:w="1591" w:type="dxa"/>
            <w:vAlign w:val="center"/>
          </w:tcPr>
          <w:p>
            <w:pPr>
              <w:pStyle w:val="212"/>
              <w:rPr>
                <w:rFonts w:eastAsia="宋体"/>
                <w:color w:val="000000" w:themeColor="text1"/>
              </w:rPr>
            </w:pPr>
            <w:r>
              <w:rPr>
                <w:rFonts w:eastAsia="宋体"/>
                <w:color w:val="000000" w:themeColor="text1"/>
              </w:rPr>
              <w:t>-182.5</w:t>
            </w:r>
          </w:p>
        </w:tc>
        <w:tc>
          <w:tcPr>
            <w:tcW w:w="2337" w:type="dxa"/>
            <w:vAlign w:val="center"/>
          </w:tcPr>
          <w:p>
            <w:pPr>
              <w:pStyle w:val="212"/>
              <w:rPr>
                <w:rFonts w:eastAsia="宋体"/>
                <w:color w:val="000000" w:themeColor="text1"/>
              </w:rPr>
            </w:pPr>
            <w:r>
              <w:rPr>
                <w:rFonts w:eastAsia="宋体"/>
                <w:color w:val="000000" w:themeColor="text1"/>
              </w:rPr>
              <w:t>相对蒸气密度（空气）</w:t>
            </w:r>
          </w:p>
        </w:tc>
        <w:tc>
          <w:tcPr>
            <w:tcW w:w="1938" w:type="dxa"/>
            <w:vAlign w:val="center"/>
          </w:tcPr>
          <w:p>
            <w:pPr>
              <w:pStyle w:val="212"/>
              <w:rPr>
                <w:rFonts w:eastAsia="宋体"/>
                <w:color w:val="000000" w:themeColor="text1"/>
              </w:rPr>
            </w:pPr>
            <w:r>
              <w:rPr>
                <w:rFonts w:eastAsia="宋体"/>
                <w:color w:val="000000" w:themeColor="text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沸点（</w:t>
            </w:r>
            <w:r>
              <w:rPr>
                <w:rFonts w:hint="eastAsia" w:ascii="宋体" w:hAnsi="宋体" w:eastAsia="宋体" w:cs="宋体"/>
                <w:color w:val="000000" w:themeColor="text1"/>
              </w:rPr>
              <w:t>℃</w:t>
            </w:r>
            <w:r>
              <w:rPr>
                <w:rFonts w:eastAsia="宋体"/>
                <w:color w:val="000000" w:themeColor="text1"/>
              </w:rPr>
              <w:t>）</w:t>
            </w:r>
          </w:p>
        </w:tc>
        <w:tc>
          <w:tcPr>
            <w:tcW w:w="1591" w:type="dxa"/>
            <w:vAlign w:val="center"/>
          </w:tcPr>
          <w:p>
            <w:pPr>
              <w:pStyle w:val="212"/>
              <w:rPr>
                <w:rFonts w:eastAsia="宋体"/>
                <w:color w:val="000000" w:themeColor="text1"/>
              </w:rPr>
            </w:pPr>
            <w:r>
              <w:rPr>
                <w:rFonts w:eastAsia="宋体"/>
                <w:color w:val="000000" w:themeColor="text1"/>
              </w:rPr>
              <w:t>-161.5</w:t>
            </w:r>
          </w:p>
        </w:tc>
        <w:tc>
          <w:tcPr>
            <w:tcW w:w="2337" w:type="dxa"/>
            <w:vAlign w:val="center"/>
          </w:tcPr>
          <w:p>
            <w:pPr>
              <w:pStyle w:val="212"/>
              <w:rPr>
                <w:rFonts w:eastAsia="宋体"/>
                <w:color w:val="000000" w:themeColor="text1"/>
              </w:rPr>
            </w:pPr>
            <w:r>
              <w:rPr>
                <w:rFonts w:eastAsia="宋体"/>
                <w:color w:val="000000" w:themeColor="text1"/>
              </w:rPr>
              <w:t>饱和蒸气压（kPa）</w:t>
            </w:r>
          </w:p>
        </w:tc>
        <w:tc>
          <w:tcPr>
            <w:tcW w:w="1938" w:type="dxa"/>
            <w:vAlign w:val="center"/>
          </w:tcPr>
          <w:p>
            <w:pPr>
              <w:pStyle w:val="212"/>
              <w:rPr>
                <w:rFonts w:eastAsia="宋体"/>
                <w:color w:val="000000" w:themeColor="text1"/>
              </w:rPr>
            </w:pPr>
            <w:r>
              <w:rPr>
                <w:rFonts w:eastAsia="宋体"/>
                <w:color w:val="000000" w:themeColor="text1"/>
              </w:rPr>
              <w:t>53.32（-168.8</w:t>
            </w:r>
            <w:r>
              <w:rPr>
                <w:rFonts w:hint="eastAsia" w:ascii="宋体" w:hAnsi="宋体" w:eastAsia="宋体" w:cs="宋体"/>
                <w:color w:val="000000" w:themeColor="text1"/>
              </w:rPr>
              <w:t>℃</w:t>
            </w:r>
            <w:r>
              <w:rPr>
                <w:rFonts w:eastAsia="宋体"/>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相对密度（水）</w:t>
            </w:r>
          </w:p>
        </w:tc>
        <w:tc>
          <w:tcPr>
            <w:tcW w:w="1591" w:type="dxa"/>
            <w:vAlign w:val="center"/>
          </w:tcPr>
          <w:p>
            <w:pPr>
              <w:pStyle w:val="212"/>
              <w:rPr>
                <w:rFonts w:eastAsia="宋体"/>
                <w:color w:val="000000" w:themeColor="text1"/>
              </w:rPr>
            </w:pPr>
            <w:r>
              <w:rPr>
                <w:rFonts w:eastAsia="宋体"/>
                <w:color w:val="000000" w:themeColor="text1"/>
              </w:rPr>
              <w:t>0.42（-164</w:t>
            </w:r>
            <w:r>
              <w:rPr>
                <w:rFonts w:hint="eastAsia" w:ascii="宋体" w:hAnsi="宋体" w:eastAsia="宋体" w:cs="宋体"/>
                <w:color w:val="000000" w:themeColor="text1"/>
              </w:rPr>
              <w:t>℃</w:t>
            </w:r>
            <w:r>
              <w:rPr>
                <w:rFonts w:eastAsia="宋体"/>
                <w:color w:val="000000" w:themeColor="text1"/>
              </w:rPr>
              <w:t>）</w:t>
            </w:r>
          </w:p>
        </w:tc>
        <w:tc>
          <w:tcPr>
            <w:tcW w:w="2337" w:type="dxa"/>
            <w:vAlign w:val="center"/>
          </w:tcPr>
          <w:p>
            <w:pPr>
              <w:pStyle w:val="212"/>
              <w:rPr>
                <w:rFonts w:eastAsia="宋体"/>
                <w:color w:val="000000" w:themeColor="text1"/>
              </w:rPr>
            </w:pPr>
            <w:r>
              <w:rPr>
                <w:rFonts w:eastAsia="宋体"/>
                <w:color w:val="000000" w:themeColor="text1"/>
              </w:rPr>
              <w:t>燃烧热（kJ/mol）</w:t>
            </w:r>
          </w:p>
        </w:tc>
        <w:tc>
          <w:tcPr>
            <w:tcW w:w="1938" w:type="dxa"/>
            <w:vAlign w:val="center"/>
          </w:tcPr>
          <w:p>
            <w:pPr>
              <w:pStyle w:val="212"/>
              <w:rPr>
                <w:rFonts w:eastAsia="宋体"/>
                <w:color w:val="000000" w:themeColor="text1"/>
              </w:rPr>
            </w:pPr>
            <w:r>
              <w:rPr>
                <w:rFonts w:eastAsia="宋体"/>
                <w:color w:val="000000" w:themeColor="text1"/>
              </w:rPr>
              <w:t>889.5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闪点（</w:t>
            </w:r>
            <w:r>
              <w:rPr>
                <w:rFonts w:hint="eastAsia" w:ascii="宋体" w:hAnsi="宋体" w:eastAsia="宋体" w:cs="宋体"/>
                <w:color w:val="000000" w:themeColor="text1"/>
              </w:rPr>
              <w:t>℃</w:t>
            </w:r>
            <w:r>
              <w:rPr>
                <w:rFonts w:eastAsia="宋体"/>
                <w:color w:val="000000" w:themeColor="text1"/>
              </w:rPr>
              <w:t>）</w:t>
            </w:r>
          </w:p>
        </w:tc>
        <w:tc>
          <w:tcPr>
            <w:tcW w:w="1591" w:type="dxa"/>
            <w:vAlign w:val="center"/>
          </w:tcPr>
          <w:p>
            <w:pPr>
              <w:pStyle w:val="212"/>
              <w:rPr>
                <w:rFonts w:eastAsia="宋体"/>
                <w:color w:val="000000" w:themeColor="text1"/>
              </w:rPr>
            </w:pPr>
            <w:r>
              <w:rPr>
                <w:rFonts w:eastAsia="宋体"/>
                <w:color w:val="000000" w:themeColor="text1"/>
              </w:rPr>
              <w:t>-188</w:t>
            </w:r>
          </w:p>
        </w:tc>
        <w:tc>
          <w:tcPr>
            <w:tcW w:w="2337" w:type="dxa"/>
            <w:vAlign w:val="center"/>
          </w:tcPr>
          <w:p>
            <w:pPr>
              <w:pStyle w:val="212"/>
              <w:rPr>
                <w:rFonts w:eastAsia="宋体"/>
                <w:color w:val="000000" w:themeColor="text1"/>
              </w:rPr>
            </w:pPr>
            <w:r>
              <w:rPr>
                <w:rFonts w:eastAsia="宋体"/>
                <w:color w:val="000000" w:themeColor="text1"/>
              </w:rPr>
              <w:t>临界温度（</w:t>
            </w:r>
            <w:r>
              <w:rPr>
                <w:rFonts w:hint="eastAsia" w:ascii="宋体" w:hAnsi="宋体" w:eastAsia="宋体" w:cs="宋体"/>
                <w:color w:val="000000" w:themeColor="text1"/>
              </w:rPr>
              <w:t>℃</w:t>
            </w:r>
            <w:r>
              <w:rPr>
                <w:rFonts w:eastAsia="宋体"/>
                <w:color w:val="000000" w:themeColor="text1"/>
              </w:rPr>
              <w:t>）</w:t>
            </w:r>
          </w:p>
        </w:tc>
        <w:tc>
          <w:tcPr>
            <w:tcW w:w="1938" w:type="dxa"/>
            <w:vAlign w:val="center"/>
          </w:tcPr>
          <w:p>
            <w:pPr>
              <w:pStyle w:val="212"/>
              <w:rPr>
                <w:rFonts w:eastAsia="宋体"/>
                <w:color w:val="000000" w:themeColor="text1"/>
              </w:rPr>
            </w:pPr>
            <w:r>
              <w:rPr>
                <w:rFonts w:eastAsia="宋体"/>
                <w:color w:val="000000" w:themeColor="text1"/>
              </w:rPr>
              <w:t>-82.6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引燃温度（</w:t>
            </w:r>
            <w:r>
              <w:rPr>
                <w:rFonts w:hint="eastAsia" w:ascii="宋体" w:hAnsi="宋体" w:eastAsia="宋体" w:cs="宋体"/>
                <w:color w:val="000000" w:themeColor="text1"/>
              </w:rPr>
              <w:t>℃</w:t>
            </w:r>
            <w:r>
              <w:rPr>
                <w:rFonts w:eastAsia="宋体"/>
                <w:color w:val="000000" w:themeColor="text1"/>
              </w:rPr>
              <w:t>）</w:t>
            </w:r>
          </w:p>
        </w:tc>
        <w:tc>
          <w:tcPr>
            <w:tcW w:w="1591" w:type="dxa"/>
            <w:vAlign w:val="center"/>
          </w:tcPr>
          <w:p>
            <w:pPr>
              <w:pStyle w:val="212"/>
              <w:rPr>
                <w:rFonts w:eastAsia="宋体"/>
                <w:color w:val="000000" w:themeColor="text1"/>
              </w:rPr>
            </w:pPr>
            <w:r>
              <w:rPr>
                <w:rFonts w:eastAsia="宋体"/>
                <w:color w:val="000000" w:themeColor="text1"/>
              </w:rPr>
              <w:t>538</w:t>
            </w:r>
          </w:p>
        </w:tc>
        <w:tc>
          <w:tcPr>
            <w:tcW w:w="2337" w:type="dxa"/>
            <w:vAlign w:val="center"/>
          </w:tcPr>
          <w:p>
            <w:pPr>
              <w:pStyle w:val="212"/>
              <w:rPr>
                <w:rFonts w:eastAsia="宋体"/>
                <w:color w:val="000000" w:themeColor="text1"/>
              </w:rPr>
            </w:pPr>
            <w:r>
              <w:rPr>
                <w:rFonts w:eastAsia="宋体"/>
                <w:color w:val="000000" w:themeColor="text1"/>
              </w:rPr>
              <w:t>临界压力（MPa）</w:t>
            </w:r>
          </w:p>
        </w:tc>
        <w:tc>
          <w:tcPr>
            <w:tcW w:w="1938" w:type="dxa"/>
            <w:vAlign w:val="center"/>
          </w:tcPr>
          <w:p>
            <w:pPr>
              <w:pStyle w:val="212"/>
              <w:rPr>
                <w:rFonts w:eastAsia="宋体"/>
                <w:color w:val="000000" w:themeColor="text1"/>
              </w:rPr>
            </w:pPr>
            <w:r>
              <w:rPr>
                <w:rFonts w:eastAsia="宋体"/>
                <w:color w:val="000000" w:themeColor="text1"/>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爆炸上限%（V/V）</w:t>
            </w:r>
          </w:p>
        </w:tc>
        <w:tc>
          <w:tcPr>
            <w:tcW w:w="1591" w:type="dxa"/>
            <w:vAlign w:val="center"/>
          </w:tcPr>
          <w:p>
            <w:pPr>
              <w:pStyle w:val="212"/>
              <w:rPr>
                <w:rFonts w:eastAsia="宋体"/>
                <w:color w:val="000000" w:themeColor="text1"/>
              </w:rPr>
            </w:pPr>
            <w:r>
              <w:rPr>
                <w:rFonts w:eastAsia="宋体"/>
                <w:color w:val="000000" w:themeColor="text1"/>
              </w:rPr>
              <w:t>15</w:t>
            </w:r>
          </w:p>
        </w:tc>
        <w:tc>
          <w:tcPr>
            <w:tcW w:w="2337" w:type="dxa"/>
            <w:vAlign w:val="center"/>
          </w:tcPr>
          <w:p>
            <w:pPr>
              <w:pStyle w:val="212"/>
              <w:rPr>
                <w:rFonts w:eastAsia="宋体"/>
                <w:color w:val="000000" w:themeColor="text1"/>
              </w:rPr>
            </w:pPr>
            <w:r>
              <w:rPr>
                <w:rFonts w:eastAsia="宋体"/>
                <w:color w:val="000000" w:themeColor="text1"/>
              </w:rPr>
              <w:t>爆炸下限%（V/V）</w:t>
            </w:r>
          </w:p>
        </w:tc>
        <w:tc>
          <w:tcPr>
            <w:tcW w:w="1938" w:type="dxa"/>
            <w:vAlign w:val="center"/>
          </w:tcPr>
          <w:p>
            <w:pPr>
              <w:pStyle w:val="212"/>
              <w:rPr>
                <w:rFonts w:eastAsia="宋体"/>
                <w:color w:val="000000" w:themeColor="text1"/>
              </w:rPr>
            </w:pPr>
            <w:r>
              <w:rPr>
                <w:rFonts w:eastAsia="宋体"/>
                <w:color w:val="000000" w:themeColor="text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溶解性</w:t>
            </w:r>
          </w:p>
        </w:tc>
        <w:tc>
          <w:tcPr>
            <w:tcW w:w="5866" w:type="dxa"/>
            <w:gridSpan w:val="3"/>
            <w:vAlign w:val="center"/>
          </w:tcPr>
          <w:p>
            <w:pPr>
              <w:pStyle w:val="212"/>
              <w:rPr>
                <w:rFonts w:eastAsia="宋体"/>
                <w:color w:val="000000" w:themeColor="text1"/>
              </w:rPr>
            </w:pPr>
            <w:r>
              <w:rPr>
                <w:rFonts w:eastAsia="宋体"/>
                <w:color w:val="000000" w:themeColor="text1"/>
              </w:rPr>
              <w:t>微溶于水，溶于醇、乙醚。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restart"/>
            <w:vAlign w:val="center"/>
          </w:tcPr>
          <w:p>
            <w:pPr>
              <w:pStyle w:val="212"/>
              <w:rPr>
                <w:rFonts w:eastAsia="宋体"/>
                <w:color w:val="000000" w:themeColor="text1"/>
              </w:rPr>
            </w:pPr>
            <w:r>
              <w:rPr>
                <w:rFonts w:eastAsia="宋体"/>
                <w:color w:val="000000" w:themeColor="text1"/>
              </w:rPr>
              <w:t>危险</w:t>
            </w:r>
          </w:p>
          <w:p>
            <w:pPr>
              <w:pStyle w:val="212"/>
              <w:rPr>
                <w:rFonts w:eastAsia="宋体"/>
                <w:color w:val="000000" w:themeColor="text1"/>
              </w:rPr>
            </w:pPr>
            <w:r>
              <w:rPr>
                <w:rFonts w:eastAsia="宋体"/>
                <w:color w:val="000000" w:themeColor="text1"/>
              </w:rPr>
              <w:t>特性</w:t>
            </w:r>
          </w:p>
        </w:tc>
        <w:tc>
          <w:tcPr>
            <w:tcW w:w="1598" w:type="dxa"/>
            <w:vAlign w:val="center"/>
          </w:tcPr>
          <w:p>
            <w:pPr>
              <w:pStyle w:val="212"/>
              <w:rPr>
                <w:rFonts w:eastAsia="宋体"/>
                <w:color w:val="000000" w:themeColor="text1"/>
              </w:rPr>
            </w:pPr>
            <w:r>
              <w:rPr>
                <w:rFonts w:eastAsia="宋体"/>
                <w:color w:val="000000" w:themeColor="text1"/>
              </w:rPr>
              <w:t>禁配物：</w:t>
            </w:r>
          </w:p>
        </w:tc>
        <w:tc>
          <w:tcPr>
            <w:tcW w:w="5866" w:type="dxa"/>
            <w:gridSpan w:val="3"/>
            <w:vAlign w:val="center"/>
          </w:tcPr>
          <w:p>
            <w:pPr>
              <w:pStyle w:val="212"/>
              <w:rPr>
                <w:rFonts w:eastAsia="宋体"/>
                <w:color w:val="000000" w:themeColor="text1"/>
              </w:rPr>
            </w:pPr>
            <w:r>
              <w:rPr>
                <w:rFonts w:eastAsia="宋体"/>
                <w:color w:val="000000" w:themeColor="text1"/>
              </w:rPr>
              <w:t>强氧化剂、氟、氯。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1598" w:type="dxa"/>
            <w:vAlign w:val="center"/>
          </w:tcPr>
          <w:p>
            <w:pPr>
              <w:pStyle w:val="212"/>
              <w:rPr>
                <w:rFonts w:eastAsia="宋体"/>
                <w:color w:val="000000" w:themeColor="text1"/>
              </w:rPr>
            </w:pPr>
            <w:r>
              <w:rPr>
                <w:rFonts w:eastAsia="宋体"/>
                <w:color w:val="000000" w:themeColor="text1"/>
              </w:rPr>
              <w:t>急性毒性：</w:t>
            </w:r>
          </w:p>
        </w:tc>
        <w:tc>
          <w:tcPr>
            <w:tcW w:w="5866" w:type="dxa"/>
            <w:gridSpan w:val="3"/>
            <w:vAlign w:val="center"/>
          </w:tcPr>
          <w:p>
            <w:pPr>
              <w:pStyle w:val="212"/>
              <w:rPr>
                <w:rFonts w:eastAsia="宋体"/>
                <w:color w:val="000000" w:themeColor="text1"/>
              </w:rPr>
            </w:pPr>
            <w:r>
              <w:rPr>
                <w:rFonts w:eastAsia="宋体"/>
                <w:color w:val="000000" w:themeColor="text1"/>
              </w:rPr>
              <w:t>LD</w:t>
            </w:r>
            <w:r>
              <w:rPr>
                <w:rFonts w:eastAsia="宋体"/>
                <w:color w:val="000000" w:themeColor="text1"/>
                <w:vertAlign w:val="subscript"/>
              </w:rPr>
              <w:t>50</w:t>
            </w:r>
            <w:r>
              <w:rPr>
                <w:rFonts w:eastAsia="宋体"/>
                <w:color w:val="000000" w:themeColor="text1"/>
              </w:rPr>
              <w:t>：无资料 LC</w:t>
            </w:r>
            <w:r>
              <w:rPr>
                <w:rFonts w:eastAsia="宋体"/>
                <w:color w:val="000000" w:themeColor="text1"/>
                <w:vertAlign w:val="subscript"/>
              </w:rPr>
              <w:t>50</w:t>
            </w:r>
            <w:r>
              <w:rPr>
                <w:rFonts w:eastAsia="宋体"/>
                <w:color w:val="000000" w:themeColor="text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4" w:type="dxa"/>
            <w:vMerge w:val="continue"/>
            <w:vAlign w:val="center"/>
          </w:tcPr>
          <w:p>
            <w:pPr>
              <w:pStyle w:val="212"/>
              <w:rPr>
                <w:rFonts w:eastAsia="宋体"/>
                <w:color w:val="000000" w:themeColor="text1"/>
              </w:rPr>
            </w:pPr>
          </w:p>
        </w:tc>
        <w:tc>
          <w:tcPr>
            <w:tcW w:w="7464" w:type="dxa"/>
            <w:gridSpan w:val="4"/>
            <w:vAlign w:val="center"/>
          </w:tcPr>
          <w:p>
            <w:pPr>
              <w:pStyle w:val="212"/>
              <w:jc w:val="both"/>
              <w:rPr>
                <w:rFonts w:eastAsia="宋体"/>
                <w:color w:val="000000" w:themeColor="text1"/>
              </w:rPr>
            </w:pPr>
            <w:r>
              <w:rPr>
                <w:rFonts w:eastAsia="宋体"/>
                <w:color w:val="000000" w:themeColor="text1"/>
              </w:rPr>
              <w:t>易燃，与空气混合能形成爆炸性混合物，遇热源和明火有燃烧爆炸的危险。与五氧化溴、氯气、次氯酸、三氟化氮、液氧、二氟化氧及其它强氧化剂接触剧烈反应。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pPr>
              <w:pStyle w:val="212"/>
              <w:rPr>
                <w:rFonts w:eastAsia="宋体"/>
                <w:color w:val="000000" w:themeColor="text1"/>
              </w:rPr>
            </w:pPr>
            <w:r>
              <w:rPr>
                <w:rFonts w:eastAsia="宋体"/>
                <w:color w:val="000000" w:themeColor="text1"/>
              </w:rPr>
              <w:t>有害燃烧产物</w:t>
            </w:r>
          </w:p>
        </w:tc>
        <w:tc>
          <w:tcPr>
            <w:tcW w:w="7464" w:type="dxa"/>
            <w:gridSpan w:val="4"/>
            <w:vAlign w:val="center"/>
          </w:tcPr>
          <w:p>
            <w:pPr>
              <w:pStyle w:val="212"/>
              <w:rPr>
                <w:rFonts w:eastAsia="宋体"/>
                <w:color w:val="000000" w:themeColor="text1"/>
              </w:rPr>
            </w:pPr>
            <w:r>
              <w:rPr>
                <w:rFonts w:eastAsia="宋体"/>
                <w:color w:val="000000" w:themeColor="text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pPr>
              <w:pStyle w:val="212"/>
              <w:rPr>
                <w:rFonts w:eastAsia="宋体"/>
                <w:color w:val="000000" w:themeColor="text1"/>
              </w:rPr>
            </w:pPr>
            <w:r>
              <w:rPr>
                <w:rFonts w:eastAsia="宋体"/>
                <w:color w:val="000000" w:themeColor="text1"/>
              </w:rPr>
              <w:t>燃爆危险</w:t>
            </w:r>
          </w:p>
        </w:tc>
        <w:tc>
          <w:tcPr>
            <w:tcW w:w="7464" w:type="dxa"/>
            <w:gridSpan w:val="4"/>
            <w:vAlign w:val="center"/>
          </w:tcPr>
          <w:p>
            <w:pPr>
              <w:pStyle w:val="212"/>
              <w:rPr>
                <w:rFonts w:eastAsia="宋体"/>
                <w:color w:val="000000" w:themeColor="text1"/>
              </w:rPr>
            </w:pPr>
            <w:r>
              <w:rPr>
                <w:rFonts w:eastAsia="宋体"/>
                <w:color w:val="000000" w:themeColor="text1"/>
              </w:rPr>
              <w:t>本品易燃，具窒息性。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pPr>
              <w:pStyle w:val="212"/>
              <w:rPr>
                <w:rFonts w:eastAsia="宋体"/>
                <w:color w:val="000000" w:themeColor="text1"/>
              </w:rPr>
            </w:pPr>
            <w:r>
              <w:rPr>
                <w:rFonts w:eastAsia="宋体"/>
                <w:color w:val="000000" w:themeColor="text1"/>
              </w:rPr>
              <w:t>灭火方法</w:t>
            </w:r>
          </w:p>
        </w:tc>
        <w:tc>
          <w:tcPr>
            <w:tcW w:w="7464" w:type="dxa"/>
            <w:gridSpan w:val="4"/>
            <w:vAlign w:val="center"/>
          </w:tcPr>
          <w:p>
            <w:pPr>
              <w:pStyle w:val="212"/>
              <w:rPr>
                <w:rFonts w:eastAsia="宋体"/>
                <w:color w:val="000000" w:themeColor="text1"/>
              </w:rPr>
            </w:pPr>
            <w:r>
              <w:rPr>
                <w:rFonts w:eastAsia="宋体"/>
                <w:color w:val="000000" w:themeColor="text1"/>
              </w:rPr>
              <w:t>切断气源。若不能切断气源，则不允许熄灭泄漏处的火焰。喷水冷却容器，可能的话将容器从火场移至空旷处。灭火剂：雾状水、泡沫、二氧化碳、干粉。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pPr>
              <w:pStyle w:val="212"/>
              <w:rPr>
                <w:rFonts w:eastAsia="宋体"/>
                <w:color w:val="000000" w:themeColor="text1"/>
              </w:rPr>
            </w:pPr>
            <w:r>
              <w:rPr>
                <w:rFonts w:eastAsia="宋体"/>
                <w:color w:val="000000" w:themeColor="text1"/>
              </w:rPr>
              <w:t>应急处理</w:t>
            </w:r>
          </w:p>
        </w:tc>
        <w:tc>
          <w:tcPr>
            <w:tcW w:w="7464" w:type="dxa"/>
            <w:gridSpan w:val="4"/>
            <w:vAlign w:val="center"/>
          </w:tcPr>
          <w:p>
            <w:pPr>
              <w:pStyle w:val="212"/>
              <w:jc w:val="both"/>
              <w:rPr>
                <w:rFonts w:eastAsia="宋体"/>
                <w:color w:val="000000" w:themeColor="text1"/>
              </w:rPr>
            </w:pPr>
            <w:r>
              <w:rPr>
                <w:rFonts w:eastAsia="宋体"/>
                <w:color w:val="000000" w:themeColor="text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bl>
    <w:p>
      <w:pPr>
        <w:ind w:firstLine="480" w:firstLineChars="200"/>
        <w:rPr>
          <w:color w:val="000000" w:themeColor="text1"/>
          <w:sz w:val="24"/>
        </w:rPr>
      </w:pPr>
      <w:r>
        <w:rPr>
          <w:color w:val="000000" w:themeColor="text1"/>
          <w:sz w:val="24"/>
        </w:rPr>
        <w:t>（2）生产设施风险识别</w:t>
      </w:r>
    </w:p>
    <w:p>
      <w:pPr>
        <w:ind w:firstLine="480" w:firstLineChars="200"/>
        <w:rPr>
          <w:color w:val="000000" w:themeColor="text1"/>
          <w:sz w:val="24"/>
        </w:rPr>
      </w:pPr>
      <w:r>
        <w:rPr>
          <w:rFonts w:hint="eastAsia"/>
          <w:color w:val="000000" w:themeColor="text1"/>
          <w:sz w:val="24"/>
        </w:rPr>
        <w:t>①</w:t>
      </w:r>
      <w:r>
        <w:rPr>
          <w:color w:val="000000" w:themeColor="text1"/>
          <w:sz w:val="24"/>
        </w:rPr>
        <w:t>沼气储柜</w:t>
      </w:r>
      <w:r>
        <w:rPr>
          <w:rFonts w:hint="eastAsia"/>
          <w:color w:val="000000" w:themeColor="text1"/>
          <w:sz w:val="24"/>
        </w:rPr>
        <w:t>泄漏、火灾风险；</w:t>
      </w:r>
    </w:p>
    <w:p>
      <w:pPr>
        <w:ind w:firstLine="480" w:firstLineChars="200"/>
        <w:rPr>
          <w:color w:val="000000" w:themeColor="text1"/>
          <w:sz w:val="24"/>
        </w:rPr>
      </w:pPr>
      <w:r>
        <w:rPr>
          <w:rFonts w:hint="eastAsia"/>
          <w:color w:val="000000" w:themeColor="text1"/>
          <w:sz w:val="24"/>
        </w:rPr>
        <w:t>②粪污水收集处理系统渗漏风险；</w:t>
      </w:r>
    </w:p>
    <w:p>
      <w:pPr>
        <w:ind w:firstLine="480" w:firstLineChars="200"/>
        <w:rPr>
          <w:color w:val="000000" w:themeColor="text1"/>
          <w:sz w:val="24"/>
        </w:rPr>
      </w:pPr>
      <w:r>
        <w:rPr>
          <w:rFonts w:hint="eastAsia"/>
          <w:color w:val="000000" w:themeColor="text1"/>
          <w:sz w:val="24"/>
        </w:rPr>
        <w:t>③患传染病的猪引发的疫病风险。</w:t>
      </w:r>
    </w:p>
    <w:p>
      <w:pPr>
        <w:pStyle w:val="4"/>
        <w:adjustRightInd w:val="0"/>
        <w:snapToGrid w:val="0"/>
        <w:spacing w:before="0" w:after="0" w:line="360" w:lineRule="auto"/>
        <w:rPr>
          <w:color w:val="000000" w:themeColor="text1"/>
        </w:rPr>
      </w:pPr>
      <w:bookmarkStart w:id="409" w:name="_Toc510547335"/>
      <w:r>
        <w:rPr>
          <w:color w:val="000000" w:themeColor="text1"/>
        </w:rPr>
        <w:t>6.2.2危险单元及重大危险源识别</w:t>
      </w:r>
      <w:bookmarkEnd w:id="409"/>
    </w:p>
    <w:p>
      <w:pPr>
        <w:ind w:firstLine="480" w:firstLineChars="200"/>
        <w:rPr>
          <w:color w:val="000000" w:themeColor="text1"/>
          <w:sz w:val="24"/>
        </w:rPr>
      </w:pPr>
      <w:r>
        <w:rPr>
          <w:color w:val="000000" w:themeColor="text1"/>
          <w:sz w:val="24"/>
        </w:rPr>
        <w:t>（1）危险单元识别</w:t>
      </w:r>
    </w:p>
    <w:p>
      <w:pPr>
        <w:ind w:firstLine="480" w:firstLineChars="200"/>
        <w:rPr>
          <w:color w:val="000000" w:themeColor="text1"/>
          <w:sz w:val="24"/>
        </w:rPr>
      </w:pPr>
      <w:r>
        <w:rPr>
          <w:color w:val="000000" w:themeColor="text1"/>
          <w:sz w:val="24"/>
        </w:rPr>
        <w:t>根据本项目生产特征，确定危险功能单元为</w:t>
      </w:r>
      <w:r>
        <w:rPr>
          <w:rFonts w:hint="eastAsia"/>
          <w:color w:val="000000" w:themeColor="text1"/>
          <w:sz w:val="24"/>
        </w:rPr>
        <w:t>沼气储气柜及粪污处理设施</w:t>
      </w:r>
      <w:r>
        <w:rPr>
          <w:color w:val="000000" w:themeColor="text1"/>
          <w:sz w:val="24"/>
        </w:rPr>
        <w:t>，详见表6.2-2。</w:t>
      </w:r>
    </w:p>
    <w:p>
      <w:pPr>
        <w:spacing w:line="440" w:lineRule="exact"/>
        <w:jc w:val="center"/>
        <w:rPr>
          <w:b/>
          <w:color w:val="000000" w:themeColor="text1"/>
          <w:szCs w:val="21"/>
        </w:rPr>
      </w:pPr>
      <w:r>
        <w:rPr>
          <w:b/>
          <w:bCs/>
          <w:color w:val="000000" w:themeColor="text1"/>
          <w:szCs w:val="21"/>
        </w:rPr>
        <w:t>表6.2-2  功能单元划分</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2"/>
        <w:gridCol w:w="2129"/>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vAlign w:val="center"/>
          </w:tcPr>
          <w:p>
            <w:pPr>
              <w:autoSpaceDE w:val="0"/>
              <w:autoSpaceDN w:val="0"/>
              <w:adjustRightInd w:val="0"/>
              <w:spacing w:line="240" w:lineRule="auto"/>
              <w:jc w:val="center"/>
              <w:rPr>
                <w:b/>
                <w:color w:val="000000" w:themeColor="text1"/>
                <w:kern w:val="0"/>
                <w:szCs w:val="21"/>
              </w:rPr>
            </w:pPr>
            <w:r>
              <w:rPr>
                <w:b/>
                <w:color w:val="000000" w:themeColor="text1"/>
                <w:kern w:val="0"/>
                <w:szCs w:val="21"/>
              </w:rPr>
              <w:t>单元名称</w:t>
            </w:r>
          </w:p>
        </w:tc>
        <w:tc>
          <w:tcPr>
            <w:tcW w:w="2132" w:type="dxa"/>
            <w:vAlign w:val="center"/>
          </w:tcPr>
          <w:p>
            <w:pPr>
              <w:autoSpaceDE w:val="0"/>
              <w:autoSpaceDN w:val="0"/>
              <w:adjustRightInd w:val="0"/>
              <w:spacing w:line="240" w:lineRule="auto"/>
              <w:jc w:val="center"/>
              <w:rPr>
                <w:b/>
                <w:color w:val="000000" w:themeColor="text1"/>
                <w:kern w:val="0"/>
                <w:szCs w:val="21"/>
              </w:rPr>
            </w:pPr>
            <w:r>
              <w:rPr>
                <w:b/>
                <w:color w:val="000000" w:themeColor="text1"/>
                <w:kern w:val="0"/>
                <w:szCs w:val="21"/>
              </w:rPr>
              <w:t>单元功能</w:t>
            </w:r>
          </w:p>
        </w:tc>
        <w:tc>
          <w:tcPr>
            <w:tcW w:w="2129" w:type="dxa"/>
            <w:vAlign w:val="center"/>
          </w:tcPr>
          <w:p>
            <w:pPr>
              <w:autoSpaceDE w:val="0"/>
              <w:autoSpaceDN w:val="0"/>
              <w:adjustRightInd w:val="0"/>
              <w:spacing w:line="240" w:lineRule="auto"/>
              <w:jc w:val="center"/>
              <w:rPr>
                <w:b/>
                <w:color w:val="000000" w:themeColor="text1"/>
                <w:kern w:val="0"/>
                <w:szCs w:val="21"/>
              </w:rPr>
            </w:pPr>
            <w:r>
              <w:rPr>
                <w:b/>
                <w:color w:val="000000" w:themeColor="text1"/>
                <w:kern w:val="0"/>
                <w:szCs w:val="21"/>
              </w:rPr>
              <w:t>主要危险物质</w:t>
            </w:r>
          </w:p>
        </w:tc>
        <w:tc>
          <w:tcPr>
            <w:tcW w:w="2132" w:type="dxa"/>
            <w:vAlign w:val="center"/>
          </w:tcPr>
          <w:p>
            <w:pPr>
              <w:autoSpaceDE w:val="0"/>
              <w:autoSpaceDN w:val="0"/>
              <w:adjustRightInd w:val="0"/>
              <w:spacing w:line="240" w:lineRule="auto"/>
              <w:jc w:val="center"/>
              <w:rPr>
                <w:b/>
                <w:color w:val="000000" w:themeColor="text1"/>
                <w:kern w:val="0"/>
                <w:szCs w:val="21"/>
              </w:rPr>
            </w:pPr>
            <w:r>
              <w:rPr>
                <w:b/>
                <w:color w:val="000000" w:themeColor="text1"/>
                <w:kern w:val="0"/>
                <w:szCs w:val="21"/>
              </w:rPr>
              <w:t>风险识别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vAlign w:val="center"/>
          </w:tcPr>
          <w:p>
            <w:pPr>
              <w:autoSpaceDE w:val="0"/>
              <w:autoSpaceDN w:val="0"/>
              <w:adjustRightInd w:val="0"/>
              <w:spacing w:line="240" w:lineRule="auto"/>
              <w:jc w:val="center"/>
              <w:rPr>
                <w:color w:val="000000" w:themeColor="text1"/>
                <w:kern w:val="0"/>
                <w:szCs w:val="21"/>
              </w:rPr>
            </w:pPr>
            <w:r>
              <w:rPr>
                <w:color w:val="000000" w:themeColor="text1"/>
                <w:kern w:val="0"/>
                <w:szCs w:val="21"/>
              </w:rPr>
              <w:t>沼气储气柜</w:t>
            </w:r>
          </w:p>
        </w:tc>
        <w:tc>
          <w:tcPr>
            <w:tcW w:w="2132" w:type="dxa"/>
            <w:vAlign w:val="center"/>
          </w:tcPr>
          <w:p>
            <w:pPr>
              <w:autoSpaceDE w:val="0"/>
              <w:autoSpaceDN w:val="0"/>
              <w:adjustRightInd w:val="0"/>
              <w:spacing w:line="240" w:lineRule="auto"/>
              <w:jc w:val="center"/>
              <w:rPr>
                <w:color w:val="000000" w:themeColor="text1"/>
                <w:kern w:val="0"/>
                <w:szCs w:val="21"/>
              </w:rPr>
            </w:pPr>
            <w:r>
              <w:rPr>
                <w:color w:val="000000" w:themeColor="text1"/>
                <w:kern w:val="0"/>
                <w:szCs w:val="21"/>
              </w:rPr>
              <w:t>储存单元</w:t>
            </w:r>
          </w:p>
        </w:tc>
        <w:tc>
          <w:tcPr>
            <w:tcW w:w="2129" w:type="dxa"/>
            <w:vAlign w:val="center"/>
          </w:tcPr>
          <w:p>
            <w:pPr>
              <w:autoSpaceDE w:val="0"/>
              <w:autoSpaceDN w:val="0"/>
              <w:adjustRightInd w:val="0"/>
              <w:spacing w:line="240" w:lineRule="auto"/>
              <w:jc w:val="center"/>
              <w:rPr>
                <w:color w:val="000000" w:themeColor="text1"/>
                <w:kern w:val="0"/>
                <w:szCs w:val="21"/>
              </w:rPr>
            </w:pPr>
            <w:r>
              <w:rPr>
                <w:color w:val="000000" w:themeColor="text1"/>
                <w:kern w:val="0"/>
                <w:szCs w:val="21"/>
              </w:rPr>
              <w:t>沼气</w:t>
            </w:r>
          </w:p>
        </w:tc>
        <w:tc>
          <w:tcPr>
            <w:tcW w:w="2132" w:type="dxa"/>
            <w:vAlign w:val="center"/>
          </w:tcPr>
          <w:p>
            <w:pPr>
              <w:autoSpaceDE w:val="0"/>
              <w:autoSpaceDN w:val="0"/>
              <w:adjustRightInd w:val="0"/>
              <w:spacing w:line="240" w:lineRule="auto"/>
              <w:jc w:val="center"/>
              <w:rPr>
                <w:color w:val="000000" w:themeColor="text1"/>
                <w:kern w:val="0"/>
                <w:szCs w:val="21"/>
              </w:rPr>
            </w:pPr>
            <w:r>
              <w:rPr>
                <w:color w:val="000000" w:themeColor="text1"/>
                <w:kern w:val="0"/>
                <w:szCs w:val="21"/>
              </w:rPr>
              <w:t>易燃、易爆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vAlign w:val="center"/>
          </w:tcPr>
          <w:p>
            <w:pPr>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粪污处理系统</w:t>
            </w:r>
          </w:p>
        </w:tc>
        <w:tc>
          <w:tcPr>
            <w:tcW w:w="2132" w:type="dxa"/>
            <w:vAlign w:val="center"/>
          </w:tcPr>
          <w:p>
            <w:pPr>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处理单元</w:t>
            </w:r>
          </w:p>
        </w:tc>
        <w:tc>
          <w:tcPr>
            <w:tcW w:w="2129" w:type="dxa"/>
            <w:vAlign w:val="center"/>
          </w:tcPr>
          <w:p>
            <w:pPr>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粪污水</w:t>
            </w:r>
          </w:p>
        </w:tc>
        <w:tc>
          <w:tcPr>
            <w:tcW w:w="2132" w:type="dxa"/>
            <w:vAlign w:val="center"/>
          </w:tcPr>
          <w:p>
            <w:pPr>
              <w:autoSpaceDE w:val="0"/>
              <w:autoSpaceDN w:val="0"/>
              <w:adjustRightInd w:val="0"/>
              <w:spacing w:line="240" w:lineRule="auto"/>
              <w:jc w:val="center"/>
              <w:rPr>
                <w:color w:val="000000" w:themeColor="text1"/>
                <w:kern w:val="0"/>
                <w:szCs w:val="21"/>
              </w:rPr>
            </w:pPr>
            <w:r>
              <w:rPr>
                <w:rFonts w:hint="eastAsia"/>
                <w:color w:val="000000" w:themeColor="text1"/>
                <w:kern w:val="0"/>
                <w:szCs w:val="21"/>
              </w:rPr>
              <w:t>泄漏</w:t>
            </w:r>
          </w:p>
        </w:tc>
      </w:tr>
    </w:tbl>
    <w:p>
      <w:pPr>
        <w:ind w:firstLine="480" w:firstLineChars="200"/>
        <w:rPr>
          <w:color w:val="000000" w:themeColor="text1"/>
          <w:sz w:val="24"/>
        </w:rPr>
      </w:pPr>
      <w:r>
        <w:rPr>
          <w:rFonts w:hint="eastAsia"/>
          <w:color w:val="000000" w:themeColor="text1"/>
          <w:sz w:val="24"/>
        </w:rPr>
        <w:t>本项目为养殖业，还包括卫生防疫方面的风险，主要是患人畜共患的传染病的猪和工作人员接触后引发工作人员发病，病猪的猪粪和工作人员接触后引发工作人员发病。</w:t>
      </w:r>
    </w:p>
    <w:p>
      <w:pPr>
        <w:ind w:firstLine="480" w:firstLineChars="200"/>
        <w:rPr>
          <w:color w:val="000000" w:themeColor="text1"/>
          <w:sz w:val="24"/>
        </w:rPr>
      </w:pPr>
      <w:r>
        <w:rPr>
          <w:color w:val="000000" w:themeColor="text1"/>
          <w:sz w:val="24"/>
        </w:rPr>
        <w:t>（2）重大危险源识别</w:t>
      </w:r>
    </w:p>
    <w:p>
      <w:pPr>
        <w:ind w:firstLine="480" w:firstLineChars="200"/>
        <w:rPr>
          <w:color w:val="000000" w:themeColor="text1"/>
          <w:sz w:val="24"/>
        </w:rPr>
      </w:pPr>
      <w:r>
        <w:rPr>
          <w:color w:val="000000" w:themeColor="text1"/>
          <w:sz w:val="24"/>
        </w:rPr>
        <w:t>重大危险源的辨识主要根据国家标准《危险化学品重大危险源辨识》（GB18218-2009）来进行：</w:t>
      </w:r>
    </w:p>
    <w:p>
      <w:pPr>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单元内存在的危险物质为单一品种，则该物质的数量即为单元内危险物质的总量，若等于或超过相应的临界量，则定为重大危险源。</w:t>
      </w:r>
    </w:p>
    <w:p>
      <w:pPr>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单元内存在的危险物质为多品种时，则按式（1）计算，若满足式（1），则定为重大危险源。</w:t>
      </w:r>
    </w:p>
    <w:p>
      <w:pPr>
        <w:ind w:firstLine="420" w:firstLineChars="200"/>
        <w:jc w:val="center"/>
        <w:rPr>
          <w:color w:val="000000" w:themeColor="text1"/>
          <w:sz w:val="24"/>
        </w:rPr>
      </w:pPr>
      <w:r>
        <w:rPr>
          <w:color w:val="000000" w:themeColor="text1"/>
        </w:rPr>
        <w:object>
          <v:shape id="_x0000_i1045" o:spt="75" type="#_x0000_t75" style="height:34.55pt;width:113.75pt;" o:ole="t" filled="f" o:preferrelative="t" stroked="f" coordsize="21600,21600">
            <v:path/>
            <v:fill on="f" focussize="0,0"/>
            <v:stroke on="f" joinstyle="miter"/>
            <v:imagedata r:id="rId66" o:title=""/>
            <o:lock v:ext="edit" aspectratio="t"/>
            <w10:wrap type="none"/>
            <w10:anchorlock/>
          </v:shape>
          <o:OLEObject Type="Embed" ProgID="Equation.3" ShapeID="_x0000_i1045" DrawAspect="Content" ObjectID="_1468075744" r:id="rId65">
            <o:LockedField>false</o:LockedField>
          </o:OLEObject>
        </w:object>
      </w:r>
      <w:r>
        <w:rPr>
          <w:color w:val="000000" w:themeColor="text1"/>
          <w:sz w:val="24"/>
        </w:rPr>
        <w:t>（1）</w:t>
      </w:r>
    </w:p>
    <w:p>
      <w:pPr>
        <w:ind w:firstLine="480" w:firstLineChars="200"/>
        <w:rPr>
          <w:color w:val="000000" w:themeColor="text1"/>
          <w:sz w:val="24"/>
        </w:rPr>
      </w:pPr>
      <w:r>
        <w:rPr>
          <w:color w:val="000000" w:themeColor="text1"/>
          <w:sz w:val="24"/>
        </w:rPr>
        <w:t>式中：</w:t>
      </w:r>
    </w:p>
    <w:p>
      <w:pPr>
        <w:ind w:firstLine="480" w:firstLineChars="200"/>
        <w:rPr>
          <w:color w:val="000000" w:themeColor="text1"/>
          <w:sz w:val="24"/>
        </w:rPr>
      </w:pPr>
      <w:r>
        <w:rPr>
          <w:color w:val="000000" w:themeColor="text1"/>
          <w:sz w:val="24"/>
        </w:rPr>
        <w:t>q1，q2…，qn—每种危险物质实际存在量，t。</w:t>
      </w:r>
    </w:p>
    <w:p>
      <w:pPr>
        <w:ind w:firstLine="480" w:firstLineChars="200"/>
        <w:rPr>
          <w:color w:val="000000" w:themeColor="text1"/>
          <w:sz w:val="24"/>
        </w:rPr>
      </w:pPr>
      <w:r>
        <w:rPr>
          <w:color w:val="000000" w:themeColor="text1"/>
          <w:sz w:val="24"/>
        </w:rPr>
        <w:t>Q1，Q2…，Qn—与各危险物质相对应的生产场所或贮存区的临界量t。</w:t>
      </w:r>
    </w:p>
    <w:p>
      <w:pPr>
        <w:ind w:firstLine="480" w:firstLineChars="200"/>
        <w:rPr>
          <w:color w:val="000000" w:themeColor="text1"/>
          <w:sz w:val="24"/>
        </w:rPr>
      </w:pPr>
      <w:r>
        <w:rPr>
          <w:color w:val="000000" w:themeColor="text1"/>
          <w:sz w:val="24"/>
        </w:rPr>
        <w:t>项目沼气储气柜为</w:t>
      </w:r>
      <w:r>
        <w:rPr>
          <w:rFonts w:hint="eastAsia"/>
          <w:color w:val="000000" w:themeColor="text1"/>
          <w:sz w:val="24"/>
        </w:rPr>
        <w:t>3</w:t>
      </w:r>
      <w:r>
        <w:rPr>
          <w:color w:val="000000" w:themeColor="text1"/>
          <w:sz w:val="24"/>
        </w:rPr>
        <w:t>00m</w:t>
      </w:r>
      <w:r>
        <w:rPr>
          <w:color w:val="000000" w:themeColor="text1"/>
          <w:sz w:val="24"/>
          <w:vertAlign w:val="superscript"/>
        </w:rPr>
        <w:t>3</w:t>
      </w:r>
      <w:r>
        <w:rPr>
          <w:color w:val="000000" w:themeColor="text1"/>
          <w:sz w:val="24"/>
        </w:rPr>
        <w:t>，沼气中甲烷以60%计，沼气的密度按0.942g/L计，则甲烷量为0.</w:t>
      </w:r>
      <w:r>
        <w:rPr>
          <w:rFonts w:hint="eastAsia"/>
          <w:color w:val="000000" w:themeColor="text1"/>
          <w:sz w:val="24"/>
        </w:rPr>
        <w:t>170</w:t>
      </w:r>
      <w:r>
        <w:rPr>
          <w:color w:val="000000" w:themeColor="text1"/>
          <w:sz w:val="24"/>
        </w:rPr>
        <w:t>t。根据《危险化学品重大危险源</w:t>
      </w:r>
      <w:r>
        <w:rPr>
          <w:rFonts w:hint="eastAsia"/>
          <w:color w:val="000000" w:themeColor="text1"/>
          <w:sz w:val="24"/>
          <w:shd w:val="clear" w:fill="FFFF00"/>
        </w:rPr>
        <w:t>辨识</w:t>
      </w:r>
      <w:r>
        <w:rPr>
          <w:color w:val="000000" w:themeColor="text1"/>
          <w:sz w:val="24"/>
        </w:rPr>
        <w:t>》（GB18218-2009）中甲烷临界量为50t，项目沼气储量低于临界量，不属于重大危险源。</w:t>
      </w:r>
    </w:p>
    <w:p>
      <w:pPr>
        <w:pStyle w:val="4"/>
        <w:adjustRightInd w:val="0"/>
        <w:snapToGrid w:val="0"/>
        <w:spacing w:before="0" w:after="0" w:line="360" w:lineRule="auto"/>
        <w:rPr>
          <w:color w:val="000000" w:themeColor="text1"/>
        </w:rPr>
      </w:pPr>
      <w:bookmarkStart w:id="410" w:name="_Toc510547336"/>
      <w:r>
        <w:rPr>
          <w:color w:val="000000" w:themeColor="text1"/>
        </w:rPr>
        <w:t>6.2.3评价等级划分</w:t>
      </w:r>
      <w:bookmarkEnd w:id="410"/>
    </w:p>
    <w:p>
      <w:pPr>
        <w:ind w:firstLine="480" w:firstLineChars="200"/>
        <w:rPr>
          <w:color w:val="000000" w:themeColor="text1"/>
          <w:sz w:val="24"/>
        </w:rPr>
      </w:pPr>
      <w:r>
        <w:rPr>
          <w:color w:val="000000" w:themeColor="text1"/>
          <w:sz w:val="24"/>
        </w:rPr>
        <w:t>根据《建设项目环境风险评价技术导则》（HJ/T169-2004）规定，环境风险评价的工作等级主要有评价项目所涉及的物质危险性和功能单元重大危险源判定结果以及环境敏感程度等因素所确定的，详见表6.2-3。</w:t>
      </w:r>
    </w:p>
    <w:p>
      <w:pPr>
        <w:pStyle w:val="116"/>
        <w:wordWrap/>
        <w:spacing w:line="240" w:lineRule="auto"/>
        <w:rPr>
          <w:color w:val="000000" w:themeColor="text1"/>
          <w:sz w:val="21"/>
          <w:szCs w:val="21"/>
        </w:rPr>
      </w:pPr>
      <w:r>
        <w:rPr>
          <w:color w:val="000000" w:themeColor="text1"/>
          <w:sz w:val="21"/>
          <w:szCs w:val="21"/>
        </w:rPr>
        <w:t>表6.2-3  建设项目评价工作等级分级</w:t>
      </w:r>
    </w:p>
    <w:tbl>
      <w:tblPr>
        <w:tblStyle w:val="42"/>
        <w:tblW w:w="8416" w:type="dxa"/>
        <w:tblInd w:w="0" w:type="dxa"/>
        <w:tblLayout w:type="fixed"/>
        <w:tblCellMar>
          <w:top w:w="0" w:type="dxa"/>
          <w:left w:w="108" w:type="dxa"/>
          <w:bottom w:w="0" w:type="dxa"/>
          <w:right w:w="108" w:type="dxa"/>
        </w:tblCellMar>
      </w:tblPr>
      <w:tblGrid>
        <w:gridCol w:w="1526"/>
        <w:gridCol w:w="1417"/>
        <w:gridCol w:w="1843"/>
        <w:gridCol w:w="1985"/>
        <w:gridCol w:w="1645"/>
      </w:tblGrid>
      <w:tr>
        <w:tblPrEx>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auto" w:sz="4" w:space="0"/>
            </w:tcBorders>
            <w:vAlign w:val="center"/>
          </w:tcPr>
          <w:p>
            <w:pPr>
              <w:pStyle w:val="115"/>
              <w:wordWrap/>
              <w:rPr>
                <w:rFonts w:ascii="Times New Roman" w:hAnsi="Times New Roman" w:cs="Times New Roman"/>
                <w:color w:val="000000" w:themeColor="text1"/>
                <w:szCs w:val="21"/>
              </w:rPr>
            </w:pPr>
          </w:p>
        </w:tc>
        <w:tc>
          <w:tcPr>
            <w:tcW w:w="1417" w:type="dxa"/>
            <w:tcBorders>
              <w:top w:val="single" w:color="000000" w:sz="4" w:space="0"/>
              <w:left w:val="single" w:color="auto" w:sz="4" w:space="0"/>
              <w:bottom w:val="single" w:color="000000" w:sz="4" w:space="0"/>
              <w:right w:val="single" w:color="000000" w:sz="4" w:space="0"/>
            </w:tcBorders>
            <w:vAlign w:val="center"/>
          </w:tcPr>
          <w:p>
            <w:pPr>
              <w:pStyle w:val="115"/>
              <w:rPr>
                <w:rFonts w:ascii="Times New Roman" w:hAnsi="Times New Roman" w:cs="Times New Roman"/>
                <w:color w:val="000000" w:themeColor="text1"/>
                <w:szCs w:val="21"/>
              </w:rPr>
            </w:pPr>
            <w:r>
              <w:rPr>
                <w:rFonts w:ascii="Times New Roman" w:hAnsi="Times New Roman" w:cs="Times New Roman"/>
                <w:color w:val="000000" w:themeColor="text1"/>
                <w:szCs w:val="21"/>
              </w:rPr>
              <w:t>剧毒危险性物质</w:t>
            </w:r>
          </w:p>
        </w:tc>
        <w:tc>
          <w:tcPr>
            <w:tcW w:w="1843" w:type="dxa"/>
            <w:tcBorders>
              <w:top w:val="single" w:color="000000" w:sz="4" w:space="0"/>
              <w:left w:val="nil"/>
              <w:bottom w:val="single" w:color="000000" w:sz="4" w:space="0"/>
              <w:right w:val="single" w:color="auto" w:sz="4" w:space="0"/>
            </w:tcBorders>
            <w:vAlign w:val="center"/>
          </w:tcPr>
          <w:p>
            <w:pPr>
              <w:pStyle w:val="115"/>
              <w:wordWrap/>
              <w:rPr>
                <w:rFonts w:ascii="Times New Roman" w:hAnsi="Times New Roman" w:cs="Times New Roman"/>
                <w:color w:val="000000" w:themeColor="text1"/>
                <w:szCs w:val="21"/>
              </w:rPr>
            </w:pPr>
            <w:r>
              <w:rPr>
                <w:rFonts w:ascii="Times New Roman" w:hAnsi="Times New Roman" w:cs="Times New Roman"/>
                <w:color w:val="000000" w:themeColor="text1"/>
                <w:szCs w:val="21"/>
              </w:rPr>
              <w:t>一般毒性危险物质</w:t>
            </w:r>
          </w:p>
        </w:tc>
        <w:tc>
          <w:tcPr>
            <w:tcW w:w="1985" w:type="dxa"/>
            <w:tcBorders>
              <w:top w:val="single" w:color="000000" w:sz="4" w:space="0"/>
              <w:left w:val="single" w:color="auto" w:sz="4" w:space="0"/>
              <w:bottom w:val="single" w:color="000000" w:sz="4" w:space="0"/>
              <w:right w:val="single" w:color="auto" w:sz="4" w:space="0"/>
            </w:tcBorders>
            <w:vAlign w:val="center"/>
          </w:tcPr>
          <w:p>
            <w:pPr>
              <w:pStyle w:val="115"/>
              <w:wordWrap/>
              <w:rPr>
                <w:rFonts w:ascii="Times New Roman" w:hAnsi="Times New Roman" w:cs="Times New Roman"/>
                <w:color w:val="000000" w:themeColor="text1"/>
                <w:szCs w:val="21"/>
              </w:rPr>
            </w:pPr>
            <w:r>
              <w:rPr>
                <w:rFonts w:ascii="Times New Roman" w:hAnsi="Times New Roman" w:cs="Times New Roman"/>
                <w:color w:val="000000" w:themeColor="text1"/>
                <w:szCs w:val="21"/>
              </w:rPr>
              <w:t>可燃、易燃危险性物质</w:t>
            </w:r>
          </w:p>
        </w:tc>
        <w:tc>
          <w:tcPr>
            <w:tcW w:w="1645" w:type="dxa"/>
            <w:tcBorders>
              <w:top w:val="single" w:color="000000" w:sz="4" w:space="0"/>
              <w:left w:val="single" w:color="auto" w:sz="4" w:space="0"/>
              <w:bottom w:val="single" w:color="000000" w:sz="4" w:space="0"/>
              <w:right w:val="single" w:color="000000" w:sz="4" w:space="0"/>
            </w:tcBorders>
            <w:vAlign w:val="center"/>
          </w:tcPr>
          <w:p>
            <w:pPr>
              <w:pStyle w:val="115"/>
              <w:wordWrap/>
              <w:rPr>
                <w:rFonts w:ascii="Times New Roman" w:hAnsi="Times New Roman" w:cs="Times New Roman"/>
                <w:color w:val="000000" w:themeColor="text1"/>
                <w:szCs w:val="21"/>
              </w:rPr>
            </w:pPr>
            <w:r>
              <w:rPr>
                <w:rFonts w:ascii="Times New Roman" w:hAnsi="Times New Roman" w:cs="Times New Roman"/>
                <w:color w:val="000000" w:themeColor="text1"/>
                <w:szCs w:val="21"/>
              </w:rPr>
              <w:t>爆炸危险性物质</w:t>
            </w:r>
          </w:p>
        </w:tc>
      </w:tr>
      <w:tr>
        <w:tblPrEx>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重大危险源</w:t>
            </w:r>
          </w:p>
        </w:tc>
        <w:tc>
          <w:tcPr>
            <w:tcW w:w="1417" w:type="dxa"/>
            <w:tcBorders>
              <w:top w:val="single" w:color="000000" w:sz="4" w:space="0"/>
              <w:left w:val="single" w:color="auto" w:sz="4" w:space="0"/>
              <w:bottom w:val="single" w:color="000000" w:sz="4" w:space="0"/>
              <w:right w:val="single" w:color="000000" w:sz="4" w:space="0"/>
            </w:tcBorders>
            <w:vAlign w:val="center"/>
          </w:tcPr>
          <w:p>
            <w:pPr>
              <w:pStyle w:val="115"/>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843" w:type="dxa"/>
            <w:tcBorders>
              <w:top w:val="single" w:color="000000" w:sz="4" w:space="0"/>
              <w:left w:val="nil"/>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1985" w:type="dxa"/>
            <w:tcBorders>
              <w:top w:val="single" w:color="000000" w:sz="4" w:space="0"/>
              <w:left w:val="single" w:color="auto"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645" w:type="dxa"/>
            <w:tcBorders>
              <w:top w:val="single" w:color="000000" w:sz="4" w:space="0"/>
              <w:left w:val="single" w:color="auto" w:sz="4" w:space="0"/>
              <w:bottom w:val="single" w:color="000000" w:sz="4" w:space="0"/>
              <w:right w:val="single" w:color="000000"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r>
      <w:tr>
        <w:tblPrEx>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非重大危险源</w:t>
            </w:r>
          </w:p>
        </w:tc>
        <w:tc>
          <w:tcPr>
            <w:tcW w:w="1417" w:type="dxa"/>
            <w:tcBorders>
              <w:top w:val="single" w:color="000000" w:sz="4" w:space="0"/>
              <w:left w:val="single" w:color="auto" w:sz="4" w:space="0"/>
              <w:bottom w:val="single" w:color="000000" w:sz="4" w:space="0"/>
              <w:right w:val="single" w:color="000000" w:sz="4" w:space="0"/>
            </w:tcBorders>
            <w:vAlign w:val="center"/>
          </w:tcPr>
          <w:p>
            <w:pPr>
              <w:pStyle w:val="115"/>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1843" w:type="dxa"/>
            <w:tcBorders>
              <w:top w:val="single" w:color="000000" w:sz="4" w:space="0"/>
              <w:left w:val="nil"/>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1985" w:type="dxa"/>
            <w:tcBorders>
              <w:top w:val="single" w:color="000000" w:sz="4" w:space="0"/>
              <w:left w:val="single" w:color="auto"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c>
          <w:tcPr>
            <w:tcW w:w="1645" w:type="dxa"/>
            <w:tcBorders>
              <w:top w:val="single" w:color="000000" w:sz="4" w:space="0"/>
              <w:left w:val="single" w:color="auto" w:sz="4" w:space="0"/>
              <w:bottom w:val="single" w:color="000000" w:sz="4" w:space="0"/>
              <w:right w:val="single" w:color="000000"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二</w:t>
            </w:r>
          </w:p>
        </w:tc>
      </w:tr>
      <w:tr>
        <w:tblPrEx>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环境敏感区</w:t>
            </w:r>
          </w:p>
        </w:tc>
        <w:tc>
          <w:tcPr>
            <w:tcW w:w="1417" w:type="dxa"/>
            <w:tcBorders>
              <w:top w:val="single" w:color="000000" w:sz="4" w:space="0"/>
              <w:left w:val="single" w:color="auto" w:sz="4" w:space="0"/>
              <w:bottom w:val="single" w:color="000000" w:sz="4" w:space="0"/>
              <w:right w:val="single" w:color="000000" w:sz="4" w:space="0"/>
            </w:tcBorders>
            <w:vAlign w:val="center"/>
          </w:tcPr>
          <w:p>
            <w:pPr>
              <w:pStyle w:val="115"/>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843" w:type="dxa"/>
            <w:tcBorders>
              <w:top w:val="single" w:color="000000" w:sz="4" w:space="0"/>
              <w:left w:val="nil"/>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985" w:type="dxa"/>
            <w:tcBorders>
              <w:top w:val="single" w:color="000000" w:sz="4" w:space="0"/>
              <w:left w:val="single" w:color="auto" w:sz="4" w:space="0"/>
              <w:bottom w:val="single" w:color="000000" w:sz="4" w:space="0"/>
              <w:right w:val="single" w:color="auto"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c>
          <w:tcPr>
            <w:tcW w:w="1645" w:type="dxa"/>
            <w:tcBorders>
              <w:top w:val="single" w:color="000000" w:sz="4" w:space="0"/>
              <w:left w:val="single" w:color="auto" w:sz="4" w:space="0"/>
              <w:bottom w:val="single" w:color="000000" w:sz="4" w:space="0"/>
              <w:right w:val="single" w:color="000000" w:sz="4" w:space="0"/>
            </w:tcBorders>
            <w:vAlign w:val="center"/>
          </w:tcPr>
          <w:p>
            <w:pPr>
              <w:pStyle w:val="115"/>
              <w:wordWrap/>
              <w:rPr>
                <w:rFonts w:ascii="Times New Roman" w:hAnsi="Times New Roman" w:cs="Times New Roman"/>
                <w:b w:val="0"/>
                <w:color w:val="000000" w:themeColor="text1"/>
                <w:szCs w:val="21"/>
              </w:rPr>
            </w:pPr>
            <w:r>
              <w:rPr>
                <w:rFonts w:ascii="Times New Roman" w:hAnsi="Times New Roman" w:cs="Times New Roman"/>
                <w:b w:val="0"/>
                <w:color w:val="000000" w:themeColor="text1"/>
                <w:szCs w:val="21"/>
              </w:rPr>
              <w:t>一</w:t>
            </w:r>
          </w:p>
        </w:tc>
      </w:tr>
    </w:tbl>
    <w:p>
      <w:pPr>
        <w:ind w:firstLine="480" w:firstLineChars="200"/>
        <w:rPr>
          <w:color w:val="000000" w:themeColor="text1"/>
          <w:sz w:val="24"/>
        </w:rPr>
      </w:pPr>
      <w:r>
        <w:rPr>
          <w:color w:val="000000" w:themeColor="text1"/>
          <w:sz w:val="24"/>
        </w:rPr>
        <w:t>根据分析，本项目沼气储存量不构成重大危险源，且项目所处地区为非环境敏感地区，根据《建设项目环境风险评价技术导则》（HJ/T169-2004），环境风险评价工作等级为二级。</w:t>
      </w:r>
    </w:p>
    <w:p>
      <w:pPr>
        <w:ind w:firstLine="480" w:firstLineChars="200"/>
        <w:rPr>
          <w:color w:val="000000" w:themeColor="text1"/>
          <w:sz w:val="24"/>
        </w:rPr>
      </w:pPr>
      <w:r>
        <w:rPr>
          <w:color w:val="000000" w:themeColor="text1"/>
          <w:sz w:val="24"/>
        </w:rPr>
        <w:t>二级评价要求进行风险识别、源项分析进行简要分析，提出防范、减缓和应急措施。评价范围为</w:t>
      </w:r>
      <w:r>
        <w:rPr>
          <w:rFonts w:hint="eastAsia"/>
          <w:color w:val="000000" w:themeColor="text1"/>
          <w:sz w:val="24"/>
        </w:rPr>
        <w:t>沼气储气柜</w:t>
      </w:r>
      <w:r>
        <w:rPr>
          <w:color w:val="000000" w:themeColor="text1"/>
          <w:sz w:val="24"/>
        </w:rPr>
        <w:t>周围3km区域范围。</w:t>
      </w:r>
    </w:p>
    <w:p>
      <w:pPr>
        <w:pStyle w:val="4"/>
        <w:adjustRightInd w:val="0"/>
        <w:snapToGrid w:val="0"/>
        <w:spacing w:before="0" w:after="0" w:line="360" w:lineRule="auto"/>
        <w:rPr>
          <w:color w:val="000000" w:themeColor="text1"/>
        </w:rPr>
      </w:pPr>
      <w:bookmarkStart w:id="411" w:name="_Toc510547337"/>
      <w:r>
        <w:rPr>
          <w:color w:val="000000" w:themeColor="text1"/>
        </w:rPr>
        <w:t>6.2.4环境敏感点</w:t>
      </w:r>
      <w:bookmarkEnd w:id="411"/>
    </w:p>
    <w:p>
      <w:pPr>
        <w:ind w:firstLine="480" w:firstLineChars="200"/>
        <w:rPr>
          <w:color w:val="000000" w:themeColor="text1"/>
          <w:sz w:val="24"/>
        </w:rPr>
      </w:pPr>
      <w:r>
        <w:rPr>
          <w:color w:val="000000" w:themeColor="text1"/>
          <w:sz w:val="24"/>
        </w:rPr>
        <w:t>项目环境风险敏感目标详见表6.2-4。</w:t>
      </w:r>
    </w:p>
    <w:p>
      <w:pPr>
        <w:adjustRightInd w:val="0"/>
        <w:snapToGrid w:val="0"/>
        <w:spacing w:line="240" w:lineRule="auto"/>
        <w:jc w:val="center"/>
        <w:rPr>
          <w:b/>
          <w:color w:val="000000" w:themeColor="text1"/>
          <w:szCs w:val="21"/>
        </w:rPr>
      </w:pPr>
      <w:r>
        <w:rPr>
          <w:b/>
          <w:color w:val="000000" w:themeColor="text1"/>
          <w:szCs w:val="21"/>
        </w:rPr>
        <w:t>表6.2-4  主要环境保护目标</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0"/>
        <w:gridCol w:w="2645"/>
        <w:gridCol w:w="1527"/>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0" w:type="dxa"/>
            <w:vAlign w:val="center"/>
          </w:tcPr>
          <w:p>
            <w:pPr>
              <w:adjustRightInd w:val="0"/>
              <w:snapToGrid w:val="0"/>
              <w:spacing w:line="240" w:lineRule="auto"/>
              <w:jc w:val="center"/>
              <w:rPr>
                <w:b/>
                <w:bCs/>
                <w:color w:val="000000" w:themeColor="text1"/>
                <w:szCs w:val="21"/>
              </w:rPr>
            </w:pPr>
            <w:r>
              <w:rPr>
                <w:b/>
                <w:bCs/>
                <w:color w:val="000000" w:themeColor="text1"/>
                <w:szCs w:val="21"/>
              </w:rPr>
              <w:t>保护目标</w:t>
            </w:r>
          </w:p>
        </w:tc>
        <w:tc>
          <w:tcPr>
            <w:tcW w:w="2645" w:type="dxa"/>
            <w:vAlign w:val="center"/>
          </w:tcPr>
          <w:p>
            <w:pPr>
              <w:adjustRightInd w:val="0"/>
              <w:snapToGrid w:val="0"/>
              <w:spacing w:line="240" w:lineRule="auto"/>
              <w:jc w:val="center"/>
              <w:rPr>
                <w:b/>
                <w:bCs/>
                <w:color w:val="000000" w:themeColor="text1"/>
                <w:szCs w:val="21"/>
              </w:rPr>
            </w:pPr>
            <w:r>
              <w:rPr>
                <w:b/>
                <w:bCs/>
                <w:color w:val="000000" w:themeColor="text1"/>
                <w:szCs w:val="21"/>
              </w:rPr>
              <w:t>特点</w:t>
            </w:r>
          </w:p>
        </w:tc>
        <w:tc>
          <w:tcPr>
            <w:tcW w:w="3083" w:type="dxa"/>
            <w:gridSpan w:val="2"/>
            <w:vAlign w:val="center"/>
          </w:tcPr>
          <w:p>
            <w:pPr>
              <w:adjustRightInd w:val="0"/>
              <w:snapToGrid w:val="0"/>
              <w:spacing w:line="240" w:lineRule="auto"/>
              <w:jc w:val="center"/>
              <w:rPr>
                <w:b/>
                <w:bCs/>
                <w:color w:val="000000" w:themeColor="text1"/>
                <w:szCs w:val="21"/>
              </w:rPr>
            </w:pPr>
            <w:r>
              <w:rPr>
                <w:b/>
                <w:bCs/>
                <w:color w:val="000000" w:themeColor="text1"/>
                <w:szCs w:val="21"/>
              </w:rPr>
              <w:t>方位和距离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0"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石头村</w:t>
            </w:r>
          </w:p>
        </w:tc>
        <w:tc>
          <w:tcPr>
            <w:tcW w:w="2645"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127</w:t>
            </w:r>
            <w:r>
              <w:rPr>
                <w:color w:val="000000" w:themeColor="text1"/>
                <w:szCs w:val="21"/>
              </w:rPr>
              <w:t>户，</w:t>
            </w:r>
            <w:r>
              <w:rPr>
                <w:rFonts w:hint="eastAsia"/>
                <w:color w:val="000000" w:themeColor="text1"/>
                <w:szCs w:val="21"/>
              </w:rPr>
              <w:t>421</w:t>
            </w:r>
            <w:r>
              <w:rPr>
                <w:color w:val="000000" w:themeColor="text1"/>
                <w:szCs w:val="21"/>
              </w:rPr>
              <w:t>人</w:t>
            </w:r>
          </w:p>
        </w:tc>
        <w:tc>
          <w:tcPr>
            <w:tcW w:w="1527"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NW</w:t>
            </w:r>
          </w:p>
        </w:tc>
        <w:tc>
          <w:tcPr>
            <w:tcW w:w="1556" w:type="dxa"/>
            <w:vAlign w:val="center"/>
          </w:tcPr>
          <w:p>
            <w:pPr>
              <w:adjustRightInd w:val="0"/>
              <w:snapToGrid w:val="0"/>
              <w:spacing w:line="240" w:lineRule="auto"/>
              <w:jc w:val="center"/>
              <w:rPr>
                <w:color w:val="000000" w:themeColor="text1"/>
                <w:szCs w:val="21"/>
              </w:rPr>
            </w:pPr>
            <w:r>
              <w:rPr>
                <w:rFonts w:hint="eastAsia"/>
                <w:color w:val="000000" w:themeColor="text1"/>
                <w:szCs w:val="21"/>
              </w:rPr>
              <w:t>543</w:t>
            </w:r>
            <w:r>
              <w:rPr>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0"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下清水河</w:t>
            </w:r>
          </w:p>
        </w:tc>
        <w:tc>
          <w:tcPr>
            <w:tcW w:w="2645"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50</w:t>
            </w:r>
            <w:r>
              <w:rPr>
                <w:color w:val="000000" w:themeColor="text1"/>
                <w:szCs w:val="21"/>
              </w:rPr>
              <w:t>户，</w:t>
            </w:r>
            <w:r>
              <w:rPr>
                <w:rFonts w:hint="eastAsia"/>
                <w:color w:val="000000" w:themeColor="text1"/>
                <w:szCs w:val="21"/>
              </w:rPr>
              <w:t>204</w:t>
            </w:r>
            <w:r>
              <w:rPr>
                <w:color w:val="000000" w:themeColor="text1"/>
                <w:szCs w:val="21"/>
              </w:rPr>
              <w:t>人</w:t>
            </w:r>
          </w:p>
        </w:tc>
        <w:tc>
          <w:tcPr>
            <w:tcW w:w="1527"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W</w:t>
            </w:r>
          </w:p>
        </w:tc>
        <w:tc>
          <w:tcPr>
            <w:tcW w:w="1556" w:type="dxa"/>
            <w:vAlign w:val="center"/>
          </w:tcPr>
          <w:p>
            <w:pPr>
              <w:adjustRightInd w:val="0"/>
              <w:snapToGrid w:val="0"/>
              <w:spacing w:line="240" w:lineRule="auto"/>
              <w:jc w:val="center"/>
              <w:rPr>
                <w:color w:val="000000" w:themeColor="text1"/>
                <w:szCs w:val="21"/>
              </w:rPr>
            </w:pPr>
            <w:r>
              <w:rPr>
                <w:rFonts w:hint="eastAsia"/>
                <w:color w:val="000000" w:themeColor="text1"/>
                <w:szCs w:val="21"/>
              </w:rPr>
              <w:t>2.72k</w:t>
            </w:r>
            <w:r>
              <w:rPr>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0"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米尺莫</w:t>
            </w:r>
          </w:p>
        </w:tc>
        <w:tc>
          <w:tcPr>
            <w:tcW w:w="2645"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18</w:t>
            </w:r>
            <w:r>
              <w:rPr>
                <w:color w:val="000000" w:themeColor="text1"/>
                <w:szCs w:val="21"/>
              </w:rPr>
              <w:t>户，</w:t>
            </w:r>
            <w:r>
              <w:rPr>
                <w:rFonts w:hint="eastAsia"/>
                <w:color w:val="000000" w:themeColor="text1"/>
                <w:szCs w:val="21"/>
              </w:rPr>
              <w:t>60</w:t>
            </w:r>
            <w:r>
              <w:rPr>
                <w:color w:val="000000" w:themeColor="text1"/>
                <w:szCs w:val="21"/>
              </w:rPr>
              <w:t>人</w:t>
            </w:r>
          </w:p>
        </w:tc>
        <w:tc>
          <w:tcPr>
            <w:tcW w:w="1527" w:type="dxa"/>
            <w:tcBorders>
              <w:bottom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E</w:t>
            </w:r>
          </w:p>
        </w:tc>
        <w:tc>
          <w:tcPr>
            <w:tcW w:w="1556" w:type="dxa"/>
            <w:vAlign w:val="center"/>
          </w:tcPr>
          <w:p>
            <w:pPr>
              <w:adjustRightInd w:val="0"/>
              <w:snapToGrid w:val="0"/>
              <w:spacing w:line="240" w:lineRule="auto"/>
              <w:jc w:val="center"/>
              <w:rPr>
                <w:color w:val="000000" w:themeColor="text1"/>
                <w:szCs w:val="21"/>
              </w:rPr>
            </w:pPr>
            <w:r>
              <w:rPr>
                <w:rFonts w:hint="eastAsia"/>
                <w:color w:val="000000" w:themeColor="text1"/>
                <w:szCs w:val="21"/>
              </w:rPr>
              <w:t>2.52k</w:t>
            </w:r>
            <w:r>
              <w:rPr>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0" w:type="dxa"/>
            <w:vAlign w:val="center"/>
          </w:tcPr>
          <w:p>
            <w:pPr>
              <w:adjustRightInd w:val="0"/>
              <w:snapToGrid w:val="0"/>
              <w:spacing w:line="240" w:lineRule="auto"/>
              <w:jc w:val="center"/>
              <w:rPr>
                <w:color w:val="000000" w:themeColor="text1"/>
                <w:szCs w:val="21"/>
              </w:rPr>
            </w:pPr>
            <w:r>
              <w:rPr>
                <w:rFonts w:hint="eastAsia"/>
                <w:color w:val="000000" w:themeColor="text1"/>
                <w:szCs w:val="21"/>
              </w:rPr>
              <w:t>丫口</w:t>
            </w:r>
          </w:p>
        </w:tc>
        <w:tc>
          <w:tcPr>
            <w:tcW w:w="2645" w:type="dxa"/>
            <w:vAlign w:val="center"/>
          </w:tcPr>
          <w:p>
            <w:pPr>
              <w:adjustRightInd w:val="0"/>
              <w:snapToGrid w:val="0"/>
              <w:spacing w:line="240" w:lineRule="auto"/>
              <w:jc w:val="center"/>
              <w:rPr>
                <w:color w:val="000000" w:themeColor="text1"/>
                <w:szCs w:val="21"/>
              </w:rPr>
            </w:pPr>
            <w:r>
              <w:rPr>
                <w:rFonts w:hint="eastAsia"/>
                <w:color w:val="000000" w:themeColor="text1"/>
                <w:szCs w:val="21"/>
              </w:rPr>
              <w:t>17</w:t>
            </w:r>
            <w:r>
              <w:rPr>
                <w:color w:val="000000" w:themeColor="text1"/>
                <w:szCs w:val="21"/>
              </w:rPr>
              <w:t>户，</w:t>
            </w:r>
            <w:r>
              <w:rPr>
                <w:rFonts w:hint="eastAsia"/>
                <w:color w:val="000000" w:themeColor="text1"/>
                <w:szCs w:val="21"/>
              </w:rPr>
              <w:t>58</w:t>
            </w:r>
            <w:r>
              <w:rPr>
                <w:color w:val="000000" w:themeColor="text1"/>
                <w:szCs w:val="21"/>
              </w:rPr>
              <w:t>人</w:t>
            </w:r>
          </w:p>
        </w:tc>
        <w:tc>
          <w:tcPr>
            <w:tcW w:w="1527" w:type="dxa"/>
            <w:vAlign w:val="center"/>
          </w:tcPr>
          <w:p>
            <w:pPr>
              <w:adjustRightInd w:val="0"/>
              <w:snapToGrid w:val="0"/>
              <w:spacing w:line="240" w:lineRule="auto"/>
              <w:jc w:val="center"/>
              <w:rPr>
                <w:color w:val="000000" w:themeColor="text1"/>
                <w:szCs w:val="21"/>
              </w:rPr>
            </w:pPr>
            <w:r>
              <w:rPr>
                <w:rFonts w:hint="eastAsia"/>
                <w:color w:val="000000" w:themeColor="text1"/>
                <w:szCs w:val="21"/>
              </w:rPr>
              <w:t>SE</w:t>
            </w:r>
          </w:p>
        </w:tc>
        <w:tc>
          <w:tcPr>
            <w:tcW w:w="1556" w:type="dxa"/>
            <w:vAlign w:val="center"/>
          </w:tcPr>
          <w:p>
            <w:pPr>
              <w:adjustRightInd w:val="0"/>
              <w:snapToGrid w:val="0"/>
              <w:spacing w:line="240" w:lineRule="auto"/>
              <w:jc w:val="center"/>
              <w:rPr>
                <w:color w:val="000000" w:themeColor="text1"/>
                <w:szCs w:val="21"/>
              </w:rPr>
            </w:pPr>
            <w:r>
              <w:rPr>
                <w:rFonts w:hint="eastAsia"/>
                <w:color w:val="000000" w:themeColor="text1"/>
                <w:szCs w:val="21"/>
              </w:rPr>
              <w:t>2.54k</w:t>
            </w:r>
            <w:r>
              <w:rPr>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0" w:type="dxa"/>
            <w:vAlign w:val="center"/>
          </w:tcPr>
          <w:p>
            <w:pPr>
              <w:adjustRightInd w:val="0"/>
              <w:snapToGrid w:val="0"/>
              <w:spacing w:line="240" w:lineRule="auto"/>
              <w:jc w:val="center"/>
              <w:rPr>
                <w:color w:val="000000" w:themeColor="text1"/>
                <w:szCs w:val="21"/>
              </w:rPr>
            </w:pPr>
            <w:r>
              <w:rPr>
                <w:rFonts w:hint="eastAsia"/>
                <w:color w:val="000000" w:themeColor="text1"/>
                <w:szCs w:val="21"/>
              </w:rPr>
              <w:t>康之康河支流</w:t>
            </w:r>
          </w:p>
        </w:tc>
        <w:tc>
          <w:tcPr>
            <w:tcW w:w="2645"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工业和农业用水</w:t>
            </w:r>
          </w:p>
        </w:tc>
        <w:tc>
          <w:tcPr>
            <w:tcW w:w="1527" w:type="dxa"/>
            <w:vAlign w:val="center"/>
          </w:tcPr>
          <w:p>
            <w:pPr>
              <w:adjustRightInd w:val="0"/>
              <w:snapToGrid w:val="0"/>
              <w:spacing w:line="240" w:lineRule="auto"/>
              <w:jc w:val="center"/>
              <w:rPr>
                <w:color w:val="000000" w:themeColor="text1"/>
                <w:szCs w:val="21"/>
              </w:rPr>
            </w:pPr>
            <w:r>
              <w:rPr>
                <w:color w:val="000000" w:themeColor="text1"/>
                <w:szCs w:val="21"/>
              </w:rPr>
              <w:t>E</w:t>
            </w:r>
          </w:p>
        </w:tc>
        <w:tc>
          <w:tcPr>
            <w:tcW w:w="1556" w:type="dxa"/>
            <w:vAlign w:val="center"/>
          </w:tcPr>
          <w:p>
            <w:pPr>
              <w:adjustRightInd w:val="0"/>
              <w:snapToGrid w:val="0"/>
              <w:spacing w:line="240" w:lineRule="auto"/>
              <w:jc w:val="center"/>
              <w:rPr>
                <w:color w:val="000000" w:themeColor="text1"/>
                <w:szCs w:val="21"/>
              </w:rPr>
            </w:pPr>
            <w:r>
              <w:rPr>
                <w:rFonts w:hint="eastAsia"/>
                <w:color w:val="000000" w:themeColor="text1"/>
                <w:szCs w:val="21"/>
              </w:rPr>
              <w:t>480</w:t>
            </w:r>
            <w:r>
              <w:rPr>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0" w:type="dxa"/>
            <w:vAlign w:val="center"/>
          </w:tcPr>
          <w:p>
            <w:pPr>
              <w:adjustRightInd w:val="0"/>
              <w:snapToGrid w:val="0"/>
              <w:spacing w:line="240" w:lineRule="auto"/>
              <w:jc w:val="center"/>
              <w:rPr>
                <w:color w:val="000000" w:themeColor="text1"/>
                <w:szCs w:val="21"/>
              </w:rPr>
            </w:pPr>
            <w:r>
              <w:rPr>
                <w:rFonts w:hint="eastAsia"/>
                <w:color w:val="000000" w:themeColor="text1"/>
                <w:szCs w:val="21"/>
              </w:rPr>
              <w:t>康之康河</w:t>
            </w:r>
          </w:p>
        </w:tc>
        <w:tc>
          <w:tcPr>
            <w:tcW w:w="2645" w:type="dxa"/>
            <w:vMerge w:val="continue"/>
            <w:vAlign w:val="center"/>
          </w:tcPr>
          <w:p>
            <w:pPr>
              <w:adjustRightInd w:val="0"/>
              <w:snapToGrid w:val="0"/>
              <w:spacing w:line="240" w:lineRule="auto"/>
              <w:jc w:val="center"/>
              <w:rPr>
                <w:color w:val="000000" w:themeColor="text1"/>
                <w:szCs w:val="21"/>
              </w:rPr>
            </w:pPr>
          </w:p>
        </w:tc>
        <w:tc>
          <w:tcPr>
            <w:tcW w:w="1527" w:type="dxa"/>
            <w:vAlign w:val="center"/>
          </w:tcPr>
          <w:p>
            <w:pPr>
              <w:adjustRightInd w:val="0"/>
              <w:snapToGrid w:val="0"/>
              <w:spacing w:line="240" w:lineRule="auto"/>
              <w:jc w:val="center"/>
              <w:rPr>
                <w:color w:val="000000" w:themeColor="text1"/>
                <w:szCs w:val="21"/>
              </w:rPr>
            </w:pPr>
            <w:r>
              <w:rPr>
                <w:rFonts w:hint="eastAsia"/>
                <w:color w:val="000000" w:themeColor="text1"/>
                <w:szCs w:val="21"/>
              </w:rPr>
              <w:t>SE</w:t>
            </w:r>
          </w:p>
        </w:tc>
        <w:tc>
          <w:tcPr>
            <w:tcW w:w="1556" w:type="dxa"/>
            <w:vAlign w:val="center"/>
          </w:tcPr>
          <w:p>
            <w:pPr>
              <w:adjustRightInd w:val="0"/>
              <w:snapToGrid w:val="0"/>
              <w:spacing w:line="240" w:lineRule="auto"/>
              <w:jc w:val="center"/>
              <w:rPr>
                <w:color w:val="000000" w:themeColor="text1"/>
                <w:szCs w:val="21"/>
              </w:rPr>
            </w:pPr>
            <w:r>
              <w:rPr>
                <w:rFonts w:hint="eastAsia"/>
                <w:color w:val="000000" w:themeColor="text1"/>
                <w:szCs w:val="21"/>
              </w:rPr>
              <w:t>3.65km</w:t>
            </w:r>
          </w:p>
        </w:tc>
      </w:tr>
    </w:tbl>
    <w:p>
      <w:pPr>
        <w:pStyle w:val="4"/>
        <w:adjustRightInd w:val="0"/>
        <w:snapToGrid w:val="0"/>
        <w:spacing w:before="0" w:after="0" w:line="360" w:lineRule="auto"/>
        <w:rPr>
          <w:color w:val="000000" w:themeColor="text1"/>
        </w:rPr>
      </w:pPr>
      <w:bookmarkStart w:id="412" w:name="_Toc510547338"/>
      <w:r>
        <w:rPr>
          <w:color w:val="000000" w:themeColor="text1"/>
        </w:rPr>
        <w:t>6.2.5事故案例</w:t>
      </w:r>
      <w:bookmarkEnd w:id="412"/>
    </w:p>
    <w:p>
      <w:pPr>
        <w:ind w:firstLine="480" w:firstLineChars="200"/>
        <w:rPr>
          <w:color w:val="000000" w:themeColor="text1"/>
          <w:sz w:val="24"/>
        </w:rPr>
      </w:pPr>
      <w:r>
        <w:rPr>
          <w:color w:val="000000" w:themeColor="text1"/>
          <w:sz w:val="24"/>
        </w:rPr>
        <w:t>为了说明该企业生产过程中可能发生的事故，本次评价特别收集了相关典型案例，便于企业在今后的生产管理进行借鉴和预防。</w:t>
      </w:r>
    </w:p>
    <w:p>
      <w:pPr>
        <w:ind w:firstLine="480" w:firstLineChars="200"/>
        <w:rPr>
          <w:color w:val="000000" w:themeColor="text1"/>
          <w:sz w:val="24"/>
        </w:rPr>
      </w:pPr>
      <w:r>
        <w:rPr>
          <w:color w:val="000000" w:themeColor="text1"/>
          <w:sz w:val="24"/>
        </w:rPr>
        <w:t>2017年6月20日上午8时22分，广昌县金宝生态农业有限公司发生一起沼气柜爆炸事故，造成两人死亡。</w:t>
      </w:r>
    </w:p>
    <w:p>
      <w:pPr>
        <w:pStyle w:val="3"/>
        <w:spacing w:before="0" w:after="0"/>
        <w:rPr>
          <w:rFonts w:ascii="Times New Roman" w:hAnsi="Times New Roman"/>
          <w:color w:val="000000" w:themeColor="text1"/>
        </w:rPr>
      </w:pPr>
      <w:bookmarkStart w:id="413" w:name="_Toc4076498"/>
      <w:bookmarkStart w:id="414" w:name="_Toc510547339"/>
      <w:r>
        <w:rPr>
          <w:rFonts w:ascii="Times New Roman" w:hAnsi="Times New Roman"/>
          <w:color w:val="000000" w:themeColor="text1"/>
        </w:rPr>
        <w:t>6.3源项分析</w:t>
      </w:r>
      <w:bookmarkEnd w:id="413"/>
      <w:bookmarkEnd w:id="414"/>
    </w:p>
    <w:p>
      <w:pPr>
        <w:pStyle w:val="4"/>
        <w:adjustRightInd w:val="0"/>
        <w:snapToGrid w:val="0"/>
        <w:spacing w:before="0" w:after="0" w:line="360" w:lineRule="auto"/>
        <w:rPr>
          <w:color w:val="000000" w:themeColor="text1"/>
        </w:rPr>
      </w:pPr>
      <w:bookmarkStart w:id="415" w:name="_Toc510547340"/>
      <w:r>
        <w:rPr>
          <w:color w:val="000000" w:themeColor="text1"/>
        </w:rPr>
        <w:t>6.3.1事故源分析</w:t>
      </w:r>
      <w:bookmarkEnd w:id="415"/>
    </w:p>
    <w:p>
      <w:pPr>
        <w:ind w:firstLine="480" w:firstLineChars="200"/>
        <w:rPr>
          <w:color w:val="000000" w:themeColor="text1"/>
          <w:sz w:val="24"/>
        </w:rPr>
      </w:pPr>
      <w:r>
        <w:rPr>
          <w:color w:val="000000" w:themeColor="text1"/>
          <w:sz w:val="24"/>
        </w:rPr>
        <w:t>（1）</w:t>
      </w:r>
      <w:r>
        <w:rPr>
          <w:rFonts w:hint="eastAsia"/>
          <w:color w:val="000000" w:themeColor="text1"/>
          <w:sz w:val="24"/>
        </w:rPr>
        <w:t>厌氧消化罐</w:t>
      </w:r>
      <w:r>
        <w:rPr>
          <w:color w:val="000000" w:themeColor="text1"/>
          <w:sz w:val="24"/>
        </w:rPr>
        <w:t>泄漏事故风险源项</w:t>
      </w:r>
    </w:p>
    <w:p>
      <w:pPr>
        <w:ind w:firstLine="480" w:firstLineChars="200"/>
        <w:rPr>
          <w:color w:val="000000" w:themeColor="text1"/>
          <w:sz w:val="24"/>
        </w:rPr>
      </w:pPr>
      <w:r>
        <w:rPr>
          <w:color w:val="000000" w:themeColor="text1"/>
          <w:sz w:val="24"/>
        </w:rPr>
        <w:t>项目</w:t>
      </w:r>
      <w:r>
        <w:rPr>
          <w:rFonts w:hint="eastAsia"/>
          <w:color w:val="000000" w:themeColor="text1"/>
          <w:sz w:val="24"/>
        </w:rPr>
        <w:t>中温厌氧消化罐为钢结构</w:t>
      </w:r>
      <w:r>
        <w:rPr>
          <w:color w:val="000000" w:themeColor="text1"/>
          <w:sz w:val="24"/>
        </w:rPr>
        <w:t>，</w:t>
      </w:r>
      <w:r>
        <w:rPr>
          <w:rFonts w:hint="eastAsia"/>
          <w:color w:val="000000" w:themeColor="text1"/>
          <w:sz w:val="24"/>
        </w:rPr>
        <w:t>罐体损坏导致污水进入地表水系</w:t>
      </w:r>
      <w:r>
        <w:rPr>
          <w:color w:val="000000" w:themeColor="text1"/>
          <w:sz w:val="24"/>
        </w:rPr>
        <w:t>。</w:t>
      </w:r>
    </w:p>
    <w:p>
      <w:pPr>
        <w:ind w:firstLine="480" w:firstLineChars="200"/>
        <w:rPr>
          <w:color w:val="000000" w:themeColor="text1"/>
          <w:sz w:val="24"/>
        </w:rPr>
      </w:pPr>
      <w:r>
        <w:rPr>
          <w:color w:val="000000" w:themeColor="text1"/>
          <w:sz w:val="24"/>
        </w:rPr>
        <w:t>（2）沼气储气柜发生爆炸风险源项</w:t>
      </w:r>
    </w:p>
    <w:p>
      <w:pPr>
        <w:ind w:firstLine="480" w:firstLineChars="200"/>
        <w:rPr>
          <w:color w:val="000000" w:themeColor="text1"/>
          <w:sz w:val="24"/>
        </w:rPr>
      </w:pPr>
      <w:r>
        <w:rPr>
          <w:color w:val="000000" w:themeColor="text1"/>
          <w:sz w:val="24"/>
        </w:rPr>
        <w:t>项目沼气储柜发生泄露，遇到明火则可能发生火灾及爆炸。</w:t>
      </w:r>
    </w:p>
    <w:p>
      <w:pPr>
        <w:ind w:firstLine="480" w:firstLineChars="200"/>
        <w:rPr>
          <w:color w:val="000000" w:themeColor="text1"/>
          <w:sz w:val="24"/>
        </w:rPr>
      </w:pPr>
      <w:r>
        <w:rPr>
          <w:rFonts w:hint="eastAsia"/>
          <w:color w:val="000000" w:themeColor="text1"/>
          <w:sz w:val="24"/>
        </w:rPr>
        <w:t>（3）沼液储存池</w:t>
      </w:r>
      <w:r>
        <w:rPr>
          <w:color w:val="000000" w:themeColor="text1"/>
          <w:sz w:val="24"/>
        </w:rPr>
        <w:t>泄漏事故风险源项</w:t>
      </w:r>
    </w:p>
    <w:p>
      <w:pPr>
        <w:ind w:firstLine="480" w:firstLineChars="200"/>
        <w:rPr>
          <w:color w:val="000000" w:themeColor="text1"/>
          <w:sz w:val="24"/>
        </w:rPr>
      </w:pPr>
      <w:r>
        <w:rPr>
          <w:rFonts w:hint="eastAsia"/>
          <w:color w:val="000000" w:themeColor="text1"/>
          <w:sz w:val="24"/>
        </w:rPr>
        <w:t>项目沼液储存池池体采用防渗混凝土结构，池体结构破坏导致沼液下渗进入地下水</w:t>
      </w:r>
      <w:r>
        <w:rPr>
          <w:color w:val="000000" w:themeColor="text1"/>
          <w:sz w:val="24"/>
        </w:rPr>
        <w:t>。</w:t>
      </w:r>
    </w:p>
    <w:p>
      <w:pPr>
        <w:ind w:firstLine="480" w:firstLineChars="200"/>
        <w:rPr>
          <w:color w:val="000000" w:themeColor="text1"/>
          <w:sz w:val="24"/>
        </w:rPr>
      </w:pPr>
      <w:r>
        <w:rPr>
          <w:rFonts w:hint="eastAsia"/>
          <w:color w:val="000000" w:themeColor="text1"/>
          <w:sz w:val="24"/>
        </w:rPr>
        <w:t>（4）管道</w:t>
      </w:r>
      <w:r>
        <w:rPr>
          <w:color w:val="000000" w:themeColor="text1"/>
          <w:sz w:val="24"/>
        </w:rPr>
        <w:t>泄漏事故风险源项</w:t>
      </w:r>
    </w:p>
    <w:p>
      <w:pPr>
        <w:ind w:firstLine="480" w:firstLineChars="200"/>
        <w:rPr>
          <w:color w:val="000000" w:themeColor="text1"/>
          <w:sz w:val="24"/>
        </w:rPr>
      </w:pPr>
      <w:r>
        <w:rPr>
          <w:rFonts w:hint="eastAsia"/>
          <w:color w:val="000000" w:themeColor="text1"/>
          <w:sz w:val="24"/>
        </w:rPr>
        <w:t>项目沼液输送管道破裂导致污水进入地表水系</w:t>
      </w:r>
      <w:r>
        <w:rPr>
          <w:color w:val="000000" w:themeColor="text1"/>
          <w:sz w:val="24"/>
        </w:rPr>
        <w:t>。</w:t>
      </w:r>
    </w:p>
    <w:p>
      <w:pPr>
        <w:ind w:firstLine="480" w:firstLineChars="200"/>
        <w:rPr>
          <w:color w:val="000000" w:themeColor="text1"/>
          <w:sz w:val="24"/>
        </w:rPr>
      </w:pPr>
      <w:r>
        <w:rPr>
          <w:rFonts w:hint="eastAsia"/>
          <w:color w:val="000000" w:themeColor="text1"/>
          <w:sz w:val="24"/>
        </w:rPr>
        <w:t>（5）疫病事故风险</w:t>
      </w:r>
      <w:r>
        <w:rPr>
          <w:color w:val="000000" w:themeColor="text1"/>
          <w:sz w:val="24"/>
        </w:rPr>
        <w:t>源项</w:t>
      </w:r>
    </w:p>
    <w:p>
      <w:pPr>
        <w:ind w:firstLine="480" w:firstLineChars="200"/>
        <w:rPr>
          <w:color w:val="000000" w:themeColor="text1"/>
          <w:sz w:val="24"/>
        </w:rPr>
      </w:pPr>
      <w:r>
        <w:rPr>
          <w:rFonts w:hint="eastAsia"/>
          <w:color w:val="000000" w:themeColor="text1"/>
          <w:sz w:val="24"/>
        </w:rPr>
        <w:t>集约化猪场养殖规模大、密度高、传播速度快， 疾病威胁严重，一旦发生很难控制，可直接导致牲畜死亡、产品低劣、产量下降，防治费用增加，经济损失巨大。</w:t>
      </w:r>
    </w:p>
    <w:p>
      <w:pPr>
        <w:ind w:firstLine="480" w:firstLineChars="200"/>
        <w:rPr>
          <w:color w:val="000000" w:themeColor="text1"/>
          <w:sz w:val="24"/>
        </w:rPr>
      </w:pPr>
      <w:r>
        <w:rPr>
          <w:rFonts w:hint="eastAsia"/>
          <w:color w:val="000000" w:themeColor="text1"/>
          <w:sz w:val="24"/>
        </w:rPr>
        <w:t>疫病风险事故主要有：流行性疾病、慢性疾病、寄生虫病、人畜共患病、猪瘟、口蹄病等常发传染病事故导致的养殖场财产损失，但在做好卫生防疫的前提下发生疫病风险的概率极低。</w:t>
      </w:r>
    </w:p>
    <w:p>
      <w:pPr>
        <w:pStyle w:val="4"/>
        <w:adjustRightInd w:val="0"/>
        <w:snapToGrid w:val="0"/>
        <w:spacing w:before="0" w:after="0" w:line="360" w:lineRule="auto"/>
        <w:rPr>
          <w:color w:val="000000" w:themeColor="text1"/>
        </w:rPr>
      </w:pPr>
      <w:bookmarkStart w:id="416" w:name="_Toc510547341"/>
      <w:r>
        <w:rPr>
          <w:color w:val="000000" w:themeColor="text1"/>
        </w:rPr>
        <w:t>6.3.2最大可信事故</w:t>
      </w:r>
      <w:bookmarkEnd w:id="416"/>
    </w:p>
    <w:p>
      <w:pPr>
        <w:ind w:firstLine="480" w:firstLineChars="200"/>
        <w:rPr>
          <w:color w:val="000000" w:themeColor="text1"/>
          <w:sz w:val="24"/>
        </w:rPr>
      </w:pPr>
      <w:r>
        <w:rPr>
          <w:color w:val="000000" w:themeColor="text1"/>
          <w:sz w:val="24"/>
        </w:rPr>
        <w:t>根据风险导则定义，在所有预测概率不为零的事故中，对环境危害最严重的重大事故为最大可信事故。</w:t>
      </w:r>
    </w:p>
    <w:p>
      <w:pPr>
        <w:ind w:firstLine="480" w:firstLineChars="200"/>
        <w:rPr>
          <w:color w:val="000000" w:themeColor="text1"/>
          <w:sz w:val="24"/>
        </w:rPr>
      </w:pPr>
      <w:r>
        <w:rPr>
          <w:color w:val="000000" w:themeColor="text1"/>
          <w:sz w:val="24"/>
        </w:rPr>
        <w:t>本项目最大可信事故为沼气的泄漏中毒事故。最大可信事故的风险概率为：参考《环境风险评价实用技术和方法》（胡二邦主编）中统计数据以及类比国内其他同类企业，确定本项目风险事故的概率为3×10</w:t>
      </w:r>
      <w:r>
        <w:rPr>
          <w:color w:val="000000" w:themeColor="text1"/>
          <w:sz w:val="24"/>
          <w:vertAlign w:val="superscript"/>
        </w:rPr>
        <w:t>-6</w:t>
      </w:r>
      <w:r>
        <w:rPr>
          <w:color w:val="000000" w:themeColor="text1"/>
          <w:sz w:val="24"/>
        </w:rPr>
        <w:t>次/a。</w:t>
      </w:r>
    </w:p>
    <w:p>
      <w:pPr>
        <w:pStyle w:val="3"/>
        <w:spacing w:before="0" w:after="0"/>
        <w:rPr>
          <w:rFonts w:ascii="Times New Roman" w:hAnsi="Times New Roman"/>
          <w:color w:val="000000" w:themeColor="text1"/>
        </w:rPr>
      </w:pPr>
      <w:bookmarkStart w:id="417" w:name="_Toc510547342"/>
      <w:bookmarkStart w:id="418" w:name="_Toc4076499"/>
      <w:r>
        <w:rPr>
          <w:rFonts w:ascii="Times New Roman" w:hAnsi="Times New Roman"/>
          <w:color w:val="000000" w:themeColor="text1"/>
        </w:rPr>
        <w:t>6.4事故环境影响分析</w:t>
      </w:r>
      <w:bookmarkEnd w:id="417"/>
      <w:bookmarkEnd w:id="418"/>
    </w:p>
    <w:p>
      <w:pPr>
        <w:pStyle w:val="4"/>
        <w:adjustRightInd w:val="0"/>
        <w:snapToGrid w:val="0"/>
        <w:spacing w:before="0" w:after="0" w:line="360" w:lineRule="auto"/>
        <w:rPr>
          <w:color w:val="000000" w:themeColor="text1"/>
        </w:rPr>
      </w:pPr>
      <w:bookmarkStart w:id="419" w:name="_Toc510547343"/>
      <w:r>
        <w:rPr>
          <w:color w:val="000000" w:themeColor="text1"/>
        </w:rPr>
        <w:t>6.4.1废水非正常排放或泄漏风险</w:t>
      </w:r>
      <w:bookmarkEnd w:id="419"/>
    </w:p>
    <w:p>
      <w:pPr>
        <w:ind w:firstLine="480" w:firstLineChars="200"/>
        <w:rPr>
          <w:color w:val="000000" w:themeColor="text1"/>
          <w:sz w:val="24"/>
        </w:rPr>
      </w:pPr>
      <w:r>
        <w:rPr>
          <w:color w:val="000000" w:themeColor="text1"/>
          <w:sz w:val="24"/>
        </w:rPr>
        <w:t>本项目出现非正常排放的情况主要是指</w:t>
      </w:r>
      <w:r>
        <w:rPr>
          <w:rFonts w:hint="eastAsia"/>
          <w:color w:val="000000" w:themeColor="text1"/>
          <w:sz w:val="24"/>
        </w:rPr>
        <w:t>中温厌氧消化罐、沼液储存池</w:t>
      </w:r>
      <w:r>
        <w:rPr>
          <w:color w:val="000000" w:themeColor="text1"/>
          <w:sz w:val="24"/>
        </w:rPr>
        <w:t>发生损坏</w:t>
      </w:r>
      <w:r>
        <w:rPr>
          <w:rFonts w:hint="eastAsia"/>
          <w:color w:val="000000" w:themeColor="text1"/>
          <w:sz w:val="24"/>
        </w:rPr>
        <w:t>、沼液输送管道损坏时</w:t>
      </w:r>
      <w:r>
        <w:rPr>
          <w:color w:val="000000" w:themeColor="text1"/>
          <w:sz w:val="24"/>
        </w:rPr>
        <w:t>，污水对地表水和地下水的影响。</w:t>
      </w:r>
    </w:p>
    <w:p>
      <w:pPr>
        <w:ind w:firstLine="480" w:firstLineChars="200"/>
        <w:rPr>
          <w:color w:val="000000" w:themeColor="text1"/>
          <w:sz w:val="24"/>
        </w:rPr>
      </w:pPr>
      <w:r>
        <w:rPr>
          <w:rFonts w:hint="eastAsia"/>
          <w:color w:val="000000" w:themeColor="text1"/>
          <w:sz w:val="24"/>
        </w:rPr>
        <w:t>（1）中温厌氧消化罐</w:t>
      </w:r>
    </w:p>
    <w:p>
      <w:pPr>
        <w:pStyle w:val="132"/>
        <w:ind w:firstLine="480"/>
        <w:rPr>
          <w:rFonts w:ascii="Times New Roman" w:hAnsi="Times New Roman" w:cs="Times New Roman"/>
          <w:bCs/>
          <w:color w:val="000000" w:themeColor="text1"/>
        </w:rPr>
      </w:pPr>
      <w:r>
        <w:rPr>
          <w:color w:val="000000" w:themeColor="text1"/>
        </w:rPr>
        <w:t>根据工程设计资料，项目</w:t>
      </w:r>
      <w:r>
        <w:rPr>
          <w:rFonts w:hint="eastAsia"/>
          <w:color w:val="000000" w:themeColor="text1"/>
        </w:rPr>
        <w:t>中温厌氧消化罐</w:t>
      </w:r>
      <w:r>
        <w:rPr>
          <w:color w:val="000000" w:themeColor="text1"/>
        </w:rPr>
        <w:t>为钢结构，发生损坏的几率非常低</w:t>
      </w:r>
      <w:r>
        <w:rPr>
          <w:rFonts w:hint="eastAsia"/>
          <w:color w:val="000000" w:themeColor="text1"/>
        </w:rPr>
        <w:t>。</w:t>
      </w:r>
      <w:r>
        <w:rPr>
          <w:rFonts w:hint="eastAsia" w:ascii="Times New Roman" w:hAnsi="Times New Roman" w:cs="Times New Roman"/>
          <w:bCs/>
          <w:color w:val="000000" w:themeColor="text1"/>
        </w:rPr>
        <w:t>区西侧设置1座500m</w:t>
      </w:r>
      <w:r>
        <w:rPr>
          <w:rFonts w:hint="eastAsia" w:ascii="Times New Roman" w:hAnsi="Times New Roman" w:cs="Times New Roman"/>
          <w:bCs/>
          <w:color w:val="000000" w:themeColor="text1"/>
          <w:vertAlign w:val="superscript"/>
        </w:rPr>
        <w:t>3</w:t>
      </w:r>
      <w:r>
        <w:rPr>
          <w:rFonts w:hint="eastAsia" w:ascii="Times New Roman" w:hAnsi="Times New Roman" w:cs="Times New Roman"/>
          <w:bCs/>
          <w:color w:val="000000" w:themeColor="text1"/>
        </w:rPr>
        <w:t>的事故池，平时作为西片区污水集中收集池，兼做事故应急池使用。</w:t>
      </w:r>
      <w:r>
        <w:rPr>
          <w:rFonts w:ascii="Times New Roman" w:hAnsi="Times New Roman" w:cs="Times New Roman"/>
          <w:bCs/>
          <w:color w:val="000000" w:themeColor="text1"/>
        </w:rPr>
        <w:t>项目污水产生量为</w:t>
      </w:r>
      <w:r>
        <w:rPr>
          <w:rFonts w:hint="eastAsia" w:ascii="Times New Roman" w:hAnsi="Times New Roman" w:cs="Times New Roman"/>
          <w:bCs/>
          <w:color w:val="000000" w:themeColor="text1"/>
        </w:rPr>
        <w:t>63.2</w:t>
      </w:r>
      <w:r>
        <w:rPr>
          <w:rFonts w:ascii="Times New Roman" w:hAnsi="Times New Roman" w:cs="Times New Roman"/>
          <w:bCs/>
          <w:color w:val="000000" w:themeColor="text1"/>
        </w:rPr>
        <w:t>m</w:t>
      </w:r>
      <w:r>
        <w:rPr>
          <w:rFonts w:ascii="Times New Roman" w:hAnsi="Times New Roman" w:cs="Times New Roman"/>
          <w:bCs/>
          <w:color w:val="000000" w:themeColor="text1"/>
          <w:vertAlign w:val="superscript"/>
        </w:rPr>
        <w:t>3</w:t>
      </w:r>
      <w:r>
        <w:rPr>
          <w:rFonts w:ascii="Times New Roman" w:hAnsi="Times New Roman" w:cs="Times New Roman"/>
          <w:bCs/>
          <w:color w:val="000000" w:themeColor="text1"/>
        </w:rPr>
        <w:t>/d，可以储存至少</w:t>
      </w:r>
      <w:r>
        <w:rPr>
          <w:rFonts w:hint="eastAsia" w:ascii="Times New Roman" w:hAnsi="Times New Roman" w:cs="Times New Roman"/>
          <w:bCs/>
          <w:color w:val="000000" w:themeColor="text1"/>
        </w:rPr>
        <w:t>7</w:t>
      </w:r>
      <w:r>
        <w:rPr>
          <w:rFonts w:ascii="Times New Roman" w:hAnsi="Times New Roman" w:cs="Times New Roman"/>
          <w:bCs/>
          <w:color w:val="000000" w:themeColor="text1"/>
        </w:rPr>
        <w:t>天的污水量。</w:t>
      </w:r>
      <w:r>
        <w:rPr>
          <w:rFonts w:hint="eastAsia" w:ascii="Times New Roman" w:hAnsi="Times New Roman" w:cs="Times New Roman"/>
          <w:bCs/>
          <w:color w:val="000000" w:themeColor="text1"/>
        </w:rPr>
        <w:t>事故情况下污水可</w:t>
      </w:r>
      <w:r>
        <w:rPr>
          <w:rFonts w:ascii="Times New Roman" w:hAnsi="Times New Roman" w:cs="Times New Roman"/>
          <w:bCs/>
          <w:color w:val="000000" w:themeColor="text1"/>
        </w:rPr>
        <w:t>暂存于</w:t>
      </w:r>
      <w:r>
        <w:rPr>
          <w:rFonts w:hint="eastAsia" w:ascii="Times New Roman" w:hAnsi="Times New Roman" w:cs="Times New Roman"/>
          <w:bCs/>
          <w:color w:val="000000" w:themeColor="text1"/>
        </w:rPr>
        <w:t>事故池</w:t>
      </w:r>
      <w:r>
        <w:rPr>
          <w:rFonts w:ascii="Times New Roman" w:hAnsi="Times New Roman" w:cs="Times New Roman"/>
          <w:bCs/>
          <w:color w:val="000000" w:themeColor="text1"/>
        </w:rPr>
        <w:t>中，确保污水不外排。</w:t>
      </w:r>
      <w:r>
        <w:rPr>
          <w:rFonts w:hint="eastAsia" w:ascii="Times New Roman" w:hAnsi="Times New Roman" w:cs="Times New Roman"/>
          <w:bCs/>
          <w:color w:val="000000" w:themeColor="text1"/>
        </w:rPr>
        <w:t>污水</w:t>
      </w:r>
      <w:r>
        <w:rPr>
          <w:color w:val="000000" w:themeColor="text1"/>
        </w:rPr>
        <w:t>泄露风险较小。</w:t>
      </w:r>
    </w:p>
    <w:p>
      <w:pPr>
        <w:ind w:firstLine="480" w:firstLineChars="200"/>
        <w:rPr>
          <w:color w:val="000000" w:themeColor="text1"/>
          <w:sz w:val="24"/>
        </w:rPr>
      </w:pPr>
      <w:r>
        <w:rPr>
          <w:rFonts w:hint="eastAsia"/>
          <w:color w:val="000000" w:themeColor="text1"/>
          <w:sz w:val="24"/>
        </w:rPr>
        <w:t>（2）沼液储存池</w:t>
      </w:r>
    </w:p>
    <w:p>
      <w:pPr>
        <w:ind w:firstLine="480" w:firstLineChars="200"/>
        <w:rPr>
          <w:color w:val="000000" w:themeColor="text1"/>
          <w:sz w:val="24"/>
        </w:rPr>
      </w:pPr>
      <w:r>
        <w:rPr>
          <w:rFonts w:hint="eastAsia"/>
          <w:color w:val="000000" w:themeColor="text1"/>
          <w:sz w:val="24"/>
        </w:rPr>
        <w:t>设置1座800m</w:t>
      </w:r>
      <w:r>
        <w:rPr>
          <w:rFonts w:hint="eastAsia"/>
          <w:color w:val="000000" w:themeColor="text1"/>
          <w:sz w:val="24"/>
          <w:vertAlign w:val="superscript"/>
        </w:rPr>
        <w:t>3</w:t>
      </w:r>
      <w:r>
        <w:rPr>
          <w:rFonts w:hint="eastAsia"/>
          <w:color w:val="000000" w:themeColor="text1"/>
          <w:sz w:val="24"/>
        </w:rPr>
        <w:t>的沼液储存池，池顶设置盖板，池底采取粘土铺底，池体采用防渗混凝土结构，混凝土抗渗标号大于S30，渗透系数小于10</w:t>
      </w:r>
      <w:r>
        <w:rPr>
          <w:rFonts w:hint="eastAsia"/>
          <w:color w:val="000000" w:themeColor="text1"/>
          <w:sz w:val="24"/>
          <w:vertAlign w:val="superscript"/>
        </w:rPr>
        <w:t>-7</w:t>
      </w:r>
      <w:r>
        <w:rPr>
          <w:rFonts w:hint="eastAsia"/>
          <w:color w:val="000000" w:themeColor="text1"/>
          <w:sz w:val="24"/>
        </w:rPr>
        <w:t>cm/s。沼液储存池</w:t>
      </w:r>
      <w:r>
        <w:rPr>
          <w:color w:val="000000" w:themeColor="text1"/>
          <w:sz w:val="24"/>
        </w:rPr>
        <w:t>发生损坏的几率非常低。</w:t>
      </w:r>
      <w:r>
        <w:rPr>
          <w:rFonts w:hint="eastAsia"/>
          <w:color w:val="000000" w:themeColor="text1"/>
          <w:sz w:val="24"/>
        </w:rPr>
        <w:t>池体结构破损后，泄漏沼液可以进入事故池储存，</w:t>
      </w:r>
      <w:r>
        <w:rPr>
          <w:bCs/>
          <w:color w:val="000000" w:themeColor="text1"/>
          <w:sz w:val="24"/>
        </w:rPr>
        <w:t>，确保</w:t>
      </w:r>
      <w:r>
        <w:rPr>
          <w:rFonts w:hint="eastAsia"/>
          <w:bCs/>
          <w:color w:val="000000" w:themeColor="text1"/>
          <w:sz w:val="24"/>
        </w:rPr>
        <w:t>沼液</w:t>
      </w:r>
      <w:r>
        <w:rPr>
          <w:bCs/>
          <w:color w:val="000000" w:themeColor="text1"/>
          <w:sz w:val="24"/>
        </w:rPr>
        <w:t>不外排</w:t>
      </w:r>
      <w:r>
        <w:rPr>
          <w:rFonts w:hint="eastAsia"/>
          <w:bCs/>
          <w:color w:val="000000" w:themeColor="text1"/>
          <w:sz w:val="24"/>
        </w:rPr>
        <w:t>，沼液</w:t>
      </w:r>
      <w:r>
        <w:rPr>
          <w:color w:val="000000" w:themeColor="text1"/>
          <w:sz w:val="24"/>
        </w:rPr>
        <w:t>泄露风险较小。</w:t>
      </w:r>
    </w:p>
    <w:p>
      <w:pPr>
        <w:ind w:firstLine="480" w:firstLineChars="200"/>
        <w:rPr>
          <w:color w:val="000000" w:themeColor="text1"/>
          <w:sz w:val="24"/>
        </w:rPr>
      </w:pPr>
      <w:r>
        <w:rPr>
          <w:rFonts w:hint="eastAsia"/>
          <w:color w:val="000000" w:themeColor="text1"/>
          <w:sz w:val="24"/>
        </w:rPr>
        <w:t>（3）沼液输送管道</w:t>
      </w:r>
    </w:p>
    <w:p>
      <w:pPr>
        <w:ind w:firstLine="480" w:firstLineChars="200"/>
        <w:rPr>
          <w:color w:val="000000" w:themeColor="text1"/>
          <w:sz w:val="24"/>
        </w:rPr>
      </w:pPr>
      <w:r>
        <w:rPr>
          <w:rFonts w:hint="eastAsia"/>
          <w:color w:val="000000" w:themeColor="text1"/>
          <w:sz w:val="24"/>
        </w:rPr>
        <w:t>项目沼液输送管道为镀锌钢管，非人为破坏情况下损坏几率小。管道发生破裂后造成沼液外流，沼液外流量与管道破损程度及抢修进度有关，一旦发生此类事故要及时抢修，尽可能减少沼液外溢量及对周围环境的影响。外流沼液会经过耕地吸收消纳，不会直接排入地表水系。</w:t>
      </w:r>
    </w:p>
    <w:p>
      <w:pPr>
        <w:ind w:firstLine="480" w:firstLineChars="200"/>
        <w:rPr>
          <w:color w:val="000000" w:themeColor="text1"/>
          <w:sz w:val="24"/>
        </w:rPr>
      </w:pPr>
      <w:r>
        <w:rPr>
          <w:rFonts w:hint="eastAsia"/>
          <w:color w:val="000000" w:themeColor="text1"/>
          <w:sz w:val="24"/>
        </w:rPr>
        <w:t>沼液输送管道设计时应提高管道安全等级，规范施工，降低管道破损风险，并且应在沼液输送管道进水口安装总阀门，以便在非施肥时段和发生破损时及时关闭阀门，减少外流量，同时应定期对管道进行巡检、维护，消除事故隐患。</w:t>
      </w:r>
    </w:p>
    <w:p>
      <w:pPr>
        <w:ind w:firstLine="480" w:firstLineChars="200"/>
        <w:rPr>
          <w:color w:val="000000" w:themeColor="text1"/>
          <w:sz w:val="24"/>
        </w:rPr>
      </w:pPr>
      <w:r>
        <w:rPr>
          <w:rFonts w:hint="eastAsia"/>
          <w:color w:val="000000" w:themeColor="text1"/>
          <w:sz w:val="24"/>
        </w:rPr>
        <w:t>综上，在采取上述措施后，沼液输送管道发生破损泄露的几率进一步减小，沼液输送管道发生泄露后可及时控制沼液外流量，减小对周围地表水水环境影响。</w:t>
      </w:r>
    </w:p>
    <w:p>
      <w:pPr>
        <w:ind w:firstLine="480" w:firstLineChars="200"/>
        <w:rPr>
          <w:color w:val="000000" w:themeColor="text1"/>
          <w:sz w:val="24"/>
        </w:rPr>
      </w:pPr>
      <w:r>
        <w:rPr>
          <w:rFonts w:hint="eastAsia"/>
          <w:color w:val="000000" w:themeColor="text1"/>
          <w:sz w:val="24"/>
        </w:rPr>
        <w:t>（4）疫病事故风险</w:t>
      </w:r>
    </w:p>
    <w:p>
      <w:pPr>
        <w:ind w:firstLine="480" w:firstLineChars="200"/>
        <w:rPr>
          <w:color w:val="000000" w:themeColor="text1"/>
          <w:sz w:val="24"/>
        </w:rPr>
      </w:pPr>
      <w:r>
        <w:rPr>
          <w:rFonts w:hint="eastAsia"/>
          <w:color w:val="000000" w:themeColor="text1"/>
          <w:sz w:val="24"/>
        </w:rPr>
        <w:t>传染病具有以下特点：</w:t>
      </w:r>
    </w:p>
    <w:p>
      <w:pPr>
        <w:ind w:firstLine="480" w:firstLineChars="200"/>
        <w:rPr>
          <w:color w:val="000000" w:themeColor="text1"/>
          <w:sz w:val="24"/>
        </w:rPr>
      </w:pPr>
      <w:r>
        <w:rPr>
          <w:rFonts w:hint="eastAsia"/>
          <w:color w:val="000000" w:themeColor="text1"/>
          <w:sz w:val="24"/>
        </w:rPr>
        <w:t>①普遍存在性：传染病是一种具有侵袭力，且具有感染性的疾病，在养猪场 地出现传染病的可能性很大。造成这一现状的主要原因是：某些传染病原具有较强的 抵抗力。猪的集中养猪为传染病爆发提供了有利的条件。</w:t>
      </w:r>
    </w:p>
    <w:p>
      <w:pPr>
        <w:ind w:firstLine="480" w:firstLineChars="200"/>
        <w:rPr>
          <w:color w:val="000000" w:themeColor="text1"/>
          <w:sz w:val="24"/>
        </w:rPr>
      </w:pPr>
      <w:r>
        <w:rPr>
          <w:rFonts w:hint="eastAsia"/>
          <w:color w:val="000000" w:themeColor="text1"/>
          <w:sz w:val="24"/>
        </w:rPr>
        <w:t>②危害性：传染病对猪造成的危害可概括为三方面，导致猪的大养猪病和死 亡、阻碍猪的正常生长发育、降低饲养回报率。</w:t>
      </w:r>
    </w:p>
    <w:p>
      <w:pPr>
        <w:ind w:firstLine="480" w:firstLineChars="200"/>
        <w:rPr>
          <w:color w:val="000000" w:themeColor="text1"/>
          <w:sz w:val="24"/>
        </w:rPr>
      </w:pPr>
      <w:r>
        <w:rPr>
          <w:rFonts w:hint="eastAsia"/>
          <w:color w:val="000000" w:themeColor="text1"/>
          <w:sz w:val="24"/>
        </w:rPr>
        <w:t>③多型性：猪传染病多种多样，且每一种传染病都有自身的特性，在同一类 猪身上表现出不同的症状。</w:t>
      </w:r>
    </w:p>
    <w:p>
      <w:pPr>
        <w:ind w:firstLine="480" w:firstLineChars="200"/>
        <w:rPr>
          <w:color w:val="000000" w:themeColor="text1"/>
          <w:sz w:val="24"/>
        </w:rPr>
      </w:pPr>
      <w:r>
        <w:rPr>
          <w:rFonts w:hint="eastAsia"/>
          <w:color w:val="000000" w:themeColor="text1"/>
          <w:sz w:val="24"/>
        </w:rPr>
        <w:t>④易感性：不同品种、龄期、性别的猪具有不同的感受性。在传染病的防治 上，必须考虑到传染病分布广泛、感染普遍、不同传染病表现不同症状等特点，采取 综合防治措施，多管齐下，才能收到较好的效果。</w:t>
      </w:r>
    </w:p>
    <w:p>
      <w:pPr>
        <w:ind w:firstLine="480" w:firstLineChars="200"/>
        <w:rPr>
          <w:color w:val="000000" w:themeColor="text1"/>
          <w:sz w:val="24"/>
        </w:rPr>
      </w:pPr>
      <w:r>
        <w:rPr>
          <w:rFonts w:hint="eastAsia"/>
          <w:color w:val="000000" w:themeColor="text1"/>
          <w:sz w:val="24"/>
        </w:rPr>
        <w:t>项目运行后可能发生各种猪疫情，若在疫情早期发现，并处理及时、妥当，将仅造成业主自身的经济损失；但若疫情未及时发现或处理不当，将可能传染给周围生物，进而传染给人群，致使当地造成经济损失，甚至人员伤亡等。因此，项目按《绿色食品—动物卫生准则》（NY/T 473-2001）要求，采取有效的风险事故防范措施，防止猪疫情发生，使项目事故率、损失和环境影响达到最低。</w:t>
      </w:r>
    </w:p>
    <w:p>
      <w:pPr>
        <w:pStyle w:val="4"/>
        <w:adjustRightInd w:val="0"/>
        <w:snapToGrid w:val="0"/>
        <w:spacing w:before="0" w:after="0" w:line="360" w:lineRule="auto"/>
        <w:rPr>
          <w:color w:val="000000" w:themeColor="text1"/>
        </w:rPr>
      </w:pPr>
      <w:bookmarkStart w:id="420" w:name="_Toc510547344"/>
      <w:r>
        <w:rPr>
          <w:color w:val="000000" w:themeColor="text1"/>
        </w:rPr>
        <w:t>6.4.2沼气环境风险分析</w:t>
      </w:r>
      <w:bookmarkEnd w:id="420"/>
    </w:p>
    <w:p>
      <w:pPr>
        <w:ind w:firstLine="480" w:firstLineChars="200"/>
        <w:rPr>
          <w:color w:val="000000" w:themeColor="text1"/>
          <w:sz w:val="24"/>
        </w:rPr>
      </w:pPr>
      <w:r>
        <w:rPr>
          <w:color w:val="000000" w:themeColor="text1"/>
          <w:sz w:val="24"/>
        </w:rPr>
        <w:t>和沼气有关的具有风险的生产设施主要为沼气储柜，沼气是一种无色略有气味的混合可燃气体，其主要成分为CH</w:t>
      </w:r>
      <w:r>
        <w:rPr>
          <w:color w:val="000000" w:themeColor="text1"/>
          <w:sz w:val="24"/>
          <w:vertAlign w:val="subscript"/>
        </w:rPr>
        <w:t>4</w:t>
      </w:r>
      <w:r>
        <w:rPr>
          <w:color w:val="000000" w:themeColor="text1"/>
          <w:sz w:val="24"/>
        </w:rPr>
        <w:t>，以及少量的H</w:t>
      </w:r>
      <w:r>
        <w:rPr>
          <w:color w:val="000000" w:themeColor="text1"/>
          <w:sz w:val="24"/>
          <w:vertAlign w:val="subscript"/>
        </w:rPr>
        <w:t>2</w:t>
      </w:r>
      <w:r>
        <w:rPr>
          <w:color w:val="000000" w:themeColor="text1"/>
          <w:sz w:val="24"/>
        </w:rPr>
        <w:t>、CO、N</w:t>
      </w:r>
      <w:r>
        <w:rPr>
          <w:color w:val="000000" w:themeColor="text1"/>
          <w:sz w:val="24"/>
          <w:vertAlign w:val="subscript"/>
        </w:rPr>
        <w:t>2</w:t>
      </w:r>
      <w:r>
        <w:rPr>
          <w:color w:val="000000" w:themeColor="text1"/>
          <w:sz w:val="24"/>
        </w:rPr>
        <w:t>、H</w:t>
      </w:r>
      <w:r>
        <w:rPr>
          <w:color w:val="000000" w:themeColor="text1"/>
          <w:sz w:val="24"/>
          <w:vertAlign w:val="subscript"/>
        </w:rPr>
        <w:t>2</w:t>
      </w:r>
      <w:r>
        <w:rPr>
          <w:color w:val="000000" w:themeColor="text1"/>
          <w:sz w:val="24"/>
        </w:rPr>
        <w:t>S等。沼气中的CH</w:t>
      </w:r>
      <w:r>
        <w:rPr>
          <w:color w:val="000000" w:themeColor="text1"/>
          <w:sz w:val="24"/>
          <w:vertAlign w:val="subscript"/>
        </w:rPr>
        <w:t>4</w:t>
      </w:r>
      <w:r>
        <w:rPr>
          <w:color w:val="000000" w:themeColor="text1"/>
          <w:sz w:val="24"/>
        </w:rPr>
        <w:t>、H</w:t>
      </w:r>
      <w:r>
        <w:rPr>
          <w:color w:val="000000" w:themeColor="text1"/>
          <w:sz w:val="24"/>
          <w:vertAlign w:val="subscript"/>
        </w:rPr>
        <w:t>2</w:t>
      </w:r>
      <w:r>
        <w:rPr>
          <w:color w:val="000000" w:themeColor="text1"/>
          <w:sz w:val="24"/>
        </w:rPr>
        <w:t>、H</w:t>
      </w:r>
      <w:r>
        <w:rPr>
          <w:color w:val="000000" w:themeColor="text1"/>
          <w:sz w:val="24"/>
          <w:vertAlign w:val="subscript"/>
        </w:rPr>
        <w:t>2</w:t>
      </w:r>
      <w:r>
        <w:rPr>
          <w:color w:val="000000" w:themeColor="text1"/>
          <w:sz w:val="24"/>
        </w:rPr>
        <w:t>S都是可燃物质，泄漏到空气中遇明火、高热易燃烧爆炸。</w:t>
      </w:r>
    </w:p>
    <w:p>
      <w:pPr>
        <w:ind w:firstLine="480" w:firstLineChars="200"/>
        <w:rPr>
          <w:color w:val="000000" w:themeColor="text1"/>
          <w:sz w:val="24"/>
        </w:rPr>
      </w:pPr>
      <w:r>
        <w:rPr>
          <w:color w:val="000000" w:themeColor="text1"/>
          <w:sz w:val="24"/>
        </w:rPr>
        <w:t>根据工程分析，项目产生的沼气量为</w:t>
      </w:r>
      <w:r>
        <w:rPr>
          <w:rFonts w:hint="eastAsia"/>
          <w:color w:val="000000" w:themeColor="text1"/>
          <w:sz w:val="24"/>
        </w:rPr>
        <w:t>21.35</w:t>
      </w:r>
      <w:r>
        <w:rPr>
          <w:color w:val="000000" w:themeColor="text1"/>
          <w:sz w:val="24"/>
        </w:rPr>
        <w:t>m</w:t>
      </w:r>
      <w:r>
        <w:rPr>
          <w:color w:val="000000" w:themeColor="text1"/>
          <w:sz w:val="24"/>
          <w:vertAlign w:val="superscript"/>
        </w:rPr>
        <w:t>3</w:t>
      </w:r>
      <w:r>
        <w:rPr>
          <w:color w:val="000000" w:themeColor="text1"/>
          <w:sz w:val="24"/>
        </w:rPr>
        <w:t>/d，设有1个</w:t>
      </w:r>
      <w:r>
        <w:rPr>
          <w:rFonts w:hint="eastAsia"/>
          <w:color w:val="000000" w:themeColor="text1"/>
          <w:sz w:val="24"/>
        </w:rPr>
        <w:t>3</w:t>
      </w:r>
      <w:r>
        <w:rPr>
          <w:color w:val="000000" w:themeColor="text1"/>
          <w:sz w:val="24"/>
        </w:rPr>
        <w:t>00m</w:t>
      </w:r>
      <w:r>
        <w:rPr>
          <w:color w:val="000000" w:themeColor="text1"/>
          <w:sz w:val="24"/>
          <w:vertAlign w:val="superscript"/>
        </w:rPr>
        <w:t>3</w:t>
      </w:r>
      <w:r>
        <w:rPr>
          <w:color w:val="000000" w:themeColor="text1"/>
          <w:sz w:val="24"/>
        </w:rPr>
        <w:t>的沼气储气柜，沼气量较少，通过加强管理，定期对沼气管道及沼气储柜进行检查维护，沼气泄露和爆炸几率很小。</w:t>
      </w:r>
    </w:p>
    <w:p>
      <w:pPr>
        <w:pStyle w:val="3"/>
        <w:spacing w:before="0" w:after="0"/>
        <w:rPr>
          <w:rFonts w:ascii="Times New Roman" w:hAnsi="Times New Roman"/>
          <w:color w:val="000000" w:themeColor="text1"/>
        </w:rPr>
      </w:pPr>
      <w:bookmarkStart w:id="421" w:name="_Toc510547345"/>
      <w:bookmarkStart w:id="422" w:name="_Toc4076500"/>
      <w:r>
        <w:rPr>
          <w:rFonts w:ascii="Times New Roman" w:hAnsi="Times New Roman"/>
          <w:color w:val="000000" w:themeColor="text1"/>
        </w:rPr>
        <w:t>6.5环境风险防范措施</w:t>
      </w:r>
      <w:bookmarkEnd w:id="421"/>
      <w:bookmarkEnd w:id="422"/>
    </w:p>
    <w:p>
      <w:pPr>
        <w:pStyle w:val="4"/>
        <w:adjustRightInd w:val="0"/>
        <w:snapToGrid w:val="0"/>
        <w:spacing w:before="0" w:after="0" w:line="360" w:lineRule="auto"/>
        <w:rPr>
          <w:color w:val="000000" w:themeColor="text1"/>
        </w:rPr>
      </w:pPr>
      <w:bookmarkStart w:id="423" w:name="_Toc510547346"/>
      <w:r>
        <w:rPr>
          <w:color w:val="000000" w:themeColor="text1"/>
        </w:rPr>
        <w:t>6.5.1废水非正常排放或泄漏风险防范措施</w:t>
      </w:r>
      <w:bookmarkEnd w:id="423"/>
    </w:p>
    <w:p>
      <w:pPr>
        <w:ind w:firstLine="480" w:firstLineChars="200"/>
        <w:rPr>
          <w:color w:val="000000" w:themeColor="text1"/>
          <w:sz w:val="24"/>
        </w:rPr>
      </w:pPr>
      <w:r>
        <w:rPr>
          <w:color w:val="000000" w:themeColor="text1"/>
          <w:sz w:val="24"/>
        </w:rPr>
        <w:t>（1）设计时，提高污水处理系统的设计强度和抗破坏能力，处理系统避开不良地质区域建设。</w:t>
      </w:r>
    </w:p>
    <w:p>
      <w:pPr>
        <w:ind w:firstLine="480" w:firstLineChars="200"/>
        <w:rPr>
          <w:color w:val="000000" w:themeColor="text1"/>
          <w:sz w:val="24"/>
        </w:rPr>
      </w:pPr>
      <w:r>
        <w:rPr>
          <w:color w:val="000000" w:themeColor="text1"/>
          <w:sz w:val="24"/>
        </w:rPr>
        <w:t>（2）定期对污水处理设备进行检查，是否存在开裂、渗漏，及时修补和发现问题，解决问题。</w:t>
      </w:r>
    </w:p>
    <w:p>
      <w:pPr>
        <w:ind w:firstLine="480" w:firstLineChars="200"/>
        <w:rPr>
          <w:color w:val="000000" w:themeColor="text1"/>
          <w:sz w:val="24"/>
        </w:rPr>
      </w:pPr>
      <w:r>
        <w:rPr>
          <w:color w:val="000000" w:themeColor="text1"/>
          <w:sz w:val="24"/>
        </w:rPr>
        <w:t>（3）必须加强对污水处理设施的运行管理、维修，应在生产中严格按照操作规程，避免废水事故性排放。</w:t>
      </w:r>
    </w:p>
    <w:p>
      <w:pPr>
        <w:ind w:firstLine="480" w:firstLineChars="200"/>
        <w:rPr>
          <w:color w:val="000000" w:themeColor="text1"/>
          <w:sz w:val="24"/>
        </w:rPr>
      </w:pPr>
      <w:r>
        <w:rPr>
          <w:color w:val="000000" w:themeColor="text1"/>
          <w:sz w:val="24"/>
        </w:rPr>
        <w:t>（4）加强对废水处理设施的运行管理，一旦出现事故性排放，应立即停止处理，废水进事故池储存，排除故障后，再进行正常运行。</w:t>
      </w:r>
    </w:p>
    <w:p>
      <w:pPr>
        <w:ind w:firstLine="480" w:firstLineChars="200"/>
        <w:rPr>
          <w:color w:val="000000" w:themeColor="text1"/>
          <w:sz w:val="24"/>
        </w:rPr>
      </w:pPr>
      <w:r>
        <w:rPr>
          <w:rFonts w:hint="eastAsia"/>
          <w:color w:val="000000" w:themeColor="text1"/>
          <w:sz w:val="24"/>
        </w:rPr>
        <w:t>（5）构筑物防渗应委托有资质单位设计及施工，防渗层验收合格后方可进行后续工程施工。</w:t>
      </w:r>
    </w:p>
    <w:p>
      <w:pPr>
        <w:ind w:firstLine="480" w:firstLineChars="200"/>
        <w:rPr>
          <w:color w:val="000000" w:themeColor="text1"/>
          <w:sz w:val="24"/>
        </w:rPr>
      </w:pPr>
      <w:r>
        <w:rPr>
          <w:rFonts w:hint="eastAsia"/>
          <w:color w:val="000000" w:themeColor="text1"/>
          <w:sz w:val="24"/>
        </w:rPr>
        <w:t>（6）沼液输送管道设计时应提高管道安全等级，规范施工。</w:t>
      </w:r>
    </w:p>
    <w:p>
      <w:pPr>
        <w:ind w:firstLine="480" w:firstLineChars="200"/>
        <w:rPr>
          <w:color w:val="000000" w:themeColor="text1"/>
          <w:sz w:val="24"/>
        </w:rPr>
      </w:pPr>
      <w:r>
        <w:rPr>
          <w:rFonts w:hint="eastAsia"/>
          <w:color w:val="000000" w:themeColor="text1"/>
          <w:sz w:val="24"/>
        </w:rPr>
        <w:t>（7）沼液输送管道进水口安装总阀门，并且在非施肥和发生破损时及时关闭阀门。</w:t>
      </w:r>
    </w:p>
    <w:p>
      <w:pPr>
        <w:ind w:firstLine="480" w:firstLineChars="200"/>
        <w:rPr>
          <w:color w:val="000000" w:themeColor="text1"/>
          <w:sz w:val="24"/>
        </w:rPr>
      </w:pPr>
      <w:r>
        <w:rPr>
          <w:rFonts w:hint="eastAsia"/>
          <w:color w:val="000000" w:themeColor="text1"/>
          <w:sz w:val="24"/>
        </w:rPr>
        <w:t>（8）定期对管道进行巡检、维护，消除事故隐患。</w:t>
      </w:r>
    </w:p>
    <w:p>
      <w:pPr>
        <w:pStyle w:val="4"/>
        <w:adjustRightInd w:val="0"/>
        <w:snapToGrid w:val="0"/>
        <w:spacing w:before="0" w:after="0" w:line="360" w:lineRule="auto"/>
        <w:rPr>
          <w:color w:val="000000" w:themeColor="text1"/>
        </w:rPr>
      </w:pPr>
      <w:bookmarkStart w:id="424" w:name="_Toc510547347"/>
      <w:r>
        <w:rPr>
          <w:color w:val="000000" w:themeColor="text1"/>
        </w:rPr>
        <w:t>6.5.2沼气环境风险防范措施</w:t>
      </w:r>
      <w:bookmarkEnd w:id="424"/>
    </w:p>
    <w:p>
      <w:pPr>
        <w:ind w:firstLine="480" w:firstLineChars="200"/>
        <w:rPr>
          <w:color w:val="000000" w:themeColor="text1"/>
          <w:sz w:val="24"/>
        </w:rPr>
      </w:pPr>
      <w:r>
        <w:rPr>
          <w:color w:val="000000" w:themeColor="text1"/>
          <w:sz w:val="24"/>
        </w:rPr>
        <w:t>（1）沼气池的设计应严格执行《规模化畜禽养殖场沼气工程设计规范》（NY/T1222-2006），生产的沼气经净化系统后方可以进入贮气系统。</w:t>
      </w:r>
    </w:p>
    <w:p>
      <w:pPr>
        <w:ind w:firstLine="480" w:firstLineChars="200"/>
        <w:rPr>
          <w:color w:val="000000" w:themeColor="text1"/>
          <w:sz w:val="24"/>
        </w:rPr>
      </w:pPr>
      <w:r>
        <w:rPr>
          <w:color w:val="000000" w:themeColor="text1"/>
          <w:sz w:val="24"/>
        </w:rPr>
        <w:t>（2）沼气收集、输送管道、管件等采用可靠的密封技术，使沼气输送过程都在密闭的情况下进行，防止沼气泄漏。</w:t>
      </w:r>
    </w:p>
    <w:p>
      <w:pPr>
        <w:ind w:firstLine="480" w:firstLineChars="200"/>
        <w:rPr>
          <w:color w:val="000000" w:themeColor="text1"/>
          <w:sz w:val="24"/>
        </w:rPr>
      </w:pPr>
      <w:r>
        <w:rPr>
          <w:color w:val="000000" w:themeColor="text1"/>
          <w:sz w:val="24"/>
        </w:rPr>
        <w:t>（3）定期对沼气管道、储气柜进行检修。</w:t>
      </w:r>
    </w:p>
    <w:p>
      <w:pPr>
        <w:ind w:firstLine="480" w:firstLineChars="200"/>
        <w:rPr>
          <w:color w:val="000000" w:themeColor="text1"/>
          <w:sz w:val="24"/>
        </w:rPr>
      </w:pPr>
      <w:r>
        <w:rPr>
          <w:color w:val="000000" w:themeColor="text1"/>
          <w:sz w:val="24"/>
        </w:rPr>
        <w:t>（4）设备设置严格执行国家有关防火防爆的规范、规定，按要求设置消防通道，设备之间保证有足够的安全间距，尽量采用技术先进和安全可靠的设备。</w:t>
      </w:r>
    </w:p>
    <w:p>
      <w:pPr>
        <w:ind w:firstLine="480" w:firstLineChars="200"/>
        <w:rPr>
          <w:color w:val="000000" w:themeColor="text1"/>
          <w:sz w:val="24"/>
        </w:rPr>
      </w:pPr>
      <w:r>
        <w:rPr>
          <w:color w:val="000000" w:themeColor="text1"/>
          <w:sz w:val="24"/>
        </w:rPr>
        <w:t>（5）强化安全管理，强化职工风险意识。</w:t>
      </w:r>
    </w:p>
    <w:p>
      <w:pPr>
        <w:pStyle w:val="4"/>
        <w:adjustRightInd w:val="0"/>
        <w:snapToGrid w:val="0"/>
        <w:spacing w:before="0" w:after="0" w:line="360" w:lineRule="auto"/>
        <w:rPr>
          <w:color w:val="000000" w:themeColor="text1"/>
        </w:rPr>
      </w:pPr>
      <w:r>
        <w:rPr>
          <w:color w:val="000000" w:themeColor="text1"/>
        </w:rPr>
        <w:t>6.5.</w:t>
      </w:r>
      <w:r>
        <w:rPr>
          <w:rFonts w:hint="eastAsia"/>
          <w:color w:val="000000" w:themeColor="text1"/>
        </w:rPr>
        <w:t>3疫情</w:t>
      </w:r>
      <w:r>
        <w:rPr>
          <w:color w:val="000000" w:themeColor="text1"/>
        </w:rPr>
        <w:t>风险防范措施</w:t>
      </w:r>
    </w:p>
    <w:p>
      <w:pPr>
        <w:ind w:firstLine="480" w:firstLineChars="200"/>
        <w:rPr>
          <w:color w:val="000000" w:themeColor="text1"/>
          <w:sz w:val="24"/>
        </w:rPr>
      </w:pPr>
      <w:r>
        <w:rPr>
          <w:color w:val="000000" w:themeColor="text1"/>
          <w:sz w:val="24"/>
        </w:rPr>
        <w:t>（1）</w:t>
      </w:r>
      <w:r>
        <w:rPr>
          <w:rFonts w:hint="eastAsia"/>
          <w:color w:val="000000" w:themeColor="text1"/>
          <w:sz w:val="24"/>
        </w:rPr>
        <w:t>日常防范</w:t>
      </w:r>
    </w:p>
    <w:p>
      <w:pPr>
        <w:ind w:firstLine="480" w:firstLineChars="200"/>
        <w:rPr>
          <w:color w:val="000000" w:themeColor="text1"/>
          <w:sz w:val="24"/>
        </w:rPr>
      </w:pPr>
      <w:r>
        <w:rPr>
          <w:rFonts w:hint="eastAsia"/>
          <w:color w:val="000000" w:themeColor="text1"/>
          <w:sz w:val="24"/>
        </w:rPr>
        <w:t>①在生产中应坚持“防病重于治病”的方针，引种时的检疫、隔离、消毒；猪场疾病的化验与预测；疫苗的注射、药物预防等等，都是将疾病拒之门外的有效办法。</w:t>
      </w:r>
    </w:p>
    <w:p>
      <w:pPr>
        <w:ind w:firstLine="480" w:firstLineChars="200"/>
        <w:rPr>
          <w:color w:val="000000" w:themeColor="text1"/>
          <w:sz w:val="24"/>
        </w:rPr>
      </w:pPr>
      <w:r>
        <w:rPr>
          <w:rFonts w:hint="eastAsia"/>
          <w:color w:val="000000" w:themeColor="text1"/>
          <w:sz w:val="24"/>
        </w:rPr>
        <w:t>②企业将养殖区与生活区分开，养殖区门口应设置消毒池和消毒室。</w:t>
      </w:r>
    </w:p>
    <w:p>
      <w:pPr>
        <w:ind w:firstLine="480" w:firstLineChars="200"/>
        <w:rPr>
          <w:color w:val="000000" w:themeColor="text1"/>
          <w:sz w:val="24"/>
        </w:rPr>
      </w:pPr>
      <w:r>
        <w:rPr>
          <w:rFonts w:hint="eastAsia"/>
          <w:color w:val="000000" w:themeColor="text1"/>
          <w:sz w:val="24"/>
        </w:rPr>
        <w:t>③严格控制非生产人员进入生产区，必须进入时应更换工作服及鞋帽，经消毒室消毒后才能进入。</w:t>
      </w:r>
    </w:p>
    <w:p>
      <w:pPr>
        <w:ind w:firstLine="480" w:firstLineChars="200"/>
        <w:rPr>
          <w:color w:val="000000" w:themeColor="text1"/>
          <w:sz w:val="24"/>
        </w:rPr>
      </w:pPr>
      <w:r>
        <w:rPr>
          <w:rFonts w:hint="eastAsia"/>
          <w:color w:val="000000" w:themeColor="text1"/>
          <w:sz w:val="24"/>
        </w:rPr>
        <w:t>④经常开展常规消毒，加强饲养管理，搞好环境卫生，保持猪舍、猪体清洁。</w:t>
      </w:r>
    </w:p>
    <w:p>
      <w:pPr>
        <w:ind w:firstLine="480" w:firstLineChars="200"/>
        <w:rPr>
          <w:color w:val="000000" w:themeColor="text1"/>
          <w:sz w:val="24"/>
        </w:rPr>
      </w:pPr>
      <w:r>
        <w:rPr>
          <w:rFonts w:hint="eastAsia"/>
          <w:color w:val="000000" w:themeColor="text1"/>
          <w:sz w:val="24"/>
        </w:rPr>
        <w:t>⑤按《畜禽养殖业污染防治技术规范》（HJ/T81-2001）的相关规定，企业对病死猪尸体及时处理，不随意丢弃，不出售或作为饲料再利用。</w:t>
      </w:r>
    </w:p>
    <w:p>
      <w:pPr>
        <w:ind w:firstLine="480" w:firstLineChars="200"/>
        <w:rPr>
          <w:color w:val="000000" w:themeColor="text1"/>
          <w:sz w:val="24"/>
        </w:rPr>
      </w:pPr>
      <w:r>
        <w:rPr>
          <w:rFonts w:hint="eastAsia"/>
          <w:color w:val="000000" w:themeColor="text1"/>
          <w:sz w:val="24"/>
        </w:rPr>
        <w:t>⑥养殖过程中应定期检疫和检验并记录，做好微生物检验记录和对生产过程的消毒进行监督，防止病疫传播。</w:t>
      </w:r>
    </w:p>
    <w:p>
      <w:pPr>
        <w:ind w:firstLine="480" w:firstLineChars="200"/>
        <w:rPr>
          <w:color w:val="000000" w:themeColor="text1"/>
          <w:sz w:val="24"/>
        </w:rPr>
      </w:pPr>
      <w:r>
        <w:rPr>
          <w:rFonts w:hint="eastAsia"/>
          <w:color w:val="000000" w:themeColor="text1"/>
          <w:sz w:val="24"/>
        </w:rPr>
        <w:t>（2）发生疫情时的紧急措施</w:t>
      </w:r>
    </w:p>
    <w:p>
      <w:pPr>
        <w:ind w:firstLine="480" w:firstLineChars="200"/>
        <w:rPr>
          <w:color w:val="000000" w:themeColor="text1"/>
          <w:sz w:val="24"/>
        </w:rPr>
      </w:pPr>
      <w:r>
        <w:rPr>
          <w:rFonts w:hint="eastAsia"/>
          <w:color w:val="000000" w:themeColor="text1"/>
          <w:sz w:val="24"/>
        </w:rPr>
        <w:t>若不慎发生传染病，应立即采取有效地控制措施：</w:t>
      </w:r>
    </w:p>
    <w:p>
      <w:pPr>
        <w:ind w:firstLine="480" w:firstLineChars="200"/>
        <w:rPr>
          <w:color w:val="000000" w:themeColor="text1"/>
          <w:sz w:val="24"/>
        </w:rPr>
      </w:pPr>
      <w:r>
        <w:rPr>
          <w:rFonts w:hint="eastAsia"/>
          <w:color w:val="000000" w:themeColor="text1"/>
          <w:sz w:val="24"/>
        </w:rPr>
        <w:t>①立即按照计划组成防疫小组，尽快做出确切诊断，迅速向卫生防疫部门报告疫情。</w:t>
      </w:r>
    </w:p>
    <w:p>
      <w:pPr>
        <w:ind w:firstLine="480" w:firstLineChars="200"/>
        <w:rPr>
          <w:color w:val="000000" w:themeColor="text1"/>
          <w:sz w:val="24"/>
        </w:rPr>
      </w:pPr>
      <w:r>
        <w:rPr>
          <w:rFonts w:hint="eastAsia"/>
          <w:color w:val="000000" w:themeColor="text1"/>
          <w:sz w:val="24"/>
        </w:rPr>
        <w:t>②迅速隔离病猪，对危害较重的传染病应及时划区封锁，建立封锁带，</w:t>
      </w:r>
      <w:r>
        <w:rPr>
          <w:rFonts w:hint="eastAsia"/>
          <w:color w:val="000000" w:themeColor="text1"/>
          <w:sz w:val="24"/>
          <w:shd w:val="clear" w:fill="FFFF00"/>
          <w:lang w:val="en-US" w:eastAsia="zh-CN"/>
        </w:rPr>
        <w:t>出入</w:t>
      </w:r>
      <w:r>
        <w:rPr>
          <w:rFonts w:hint="eastAsia"/>
          <w:color w:val="000000" w:themeColor="text1"/>
          <w:sz w:val="24"/>
          <w:shd w:val="clear" w:fill="FFFF00"/>
        </w:rPr>
        <w:t>人员</w:t>
      </w:r>
      <w:r>
        <w:rPr>
          <w:rFonts w:hint="eastAsia"/>
          <w:color w:val="000000" w:themeColor="text1"/>
          <w:sz w:val="24"/>
        </w:rPr>
        <w:t>和车辆要严格消毒，同时严格消毒污染环境。解除封锁的条件是在最后一头病猪痊愈后两个潜伏期内再无新病例出现，经过全面大消毒，报上级主管部门批准，方可解除封锁。</w:t>
      </w:r>
    </w:p>
    <w:p>
      <w:pPr>
        <w:ind w:firstLine="480" w:firstLineChars="200"/>
        <w:rPr>
          <w:color w:val="000000" w:themeColor="text1"/>
          <w:sz w:val="24"/>
        </w:rPr>
      </w:pPr>
      <w:r>
        <w:rPr>
          <w:rFonts w:hint="eastAsia"/>
          <w:color w:val="000000" w:themeColor="text1"/>
          <w:sz w:val="24"/>
        </w:rPr>
        <w:t>③对病猪及封锁区内的猪只实行合理的综合防制措施，包括疫苗的紧急接种、抗生素疗法、高免血清的特异性疗法、化学疗法、增强体质和生理机能的辅助疗法等。</w:t>
      </w:r>
    </w:p>
    <w:p>
      <w:pPr>
        <w:pStyle w:val="3"/>
        <w:spacing w:before="0" w:after="0"/>
        <w:rPr>
          <w:rFonts w:ascii="Times New Roman" w:hAnsi="Times New Roman"/>
          <w:color w:val="000000" w:themeColor="text1"/>
        </w:rPr>
      </w:pPr>
      <w:bookmarkStart w:id="425" w:name="_Toc4076501"/>
      <w:bookmarkStart w:id="426" w:name="_Toc510547348"/>
      <w:r>
        <w:rPr>
          <w:rFonts w:ascii="Times New Roman" w:hAnsi="Times New Roman"/>
          <w:color w:val="000000" w:themeColor="text1"/>
        </w:rPr>
        <w:t>6.6应急预案</w:t>
      </w:r>
      <w:bookmarkEnd w:id="425"/>
      <w:bookmarkEnd w:id="426"/>
    </w:p>
    <w:p>
      <w:pPr>
        <w:ind w:firstLine="480" w:firstLineChars="200"/>
        <w:rPr>
          <w:color w:val="000000" w:themeColor="text1"/>
          <w:sz w:val="24"/>
        </w:rPr>
      </w:pPr>
      <w:r>
        <w:rPr>
          <w:color w:val="000000" w:themeColor="text1"/>
          <w:sz w:val="24"/>
        </w:rPr>
        <w:t>为保证项目周边人民生命财产的安全，防止突发性重大事故灾害发生，并在发生事故时，能迅速有序地开展救援工作，尽最大努力减少事故的危害和损失，企业应编制相关的应急预案。根据环境风险分析的结果，对于本项目可能造成环境风险的突发性事故制定应急预案纲要，见表6.6-1。</w:t>
      </w:r>
    </w:p>
    <w:p>
      <w:pPr>
        <w:spacing w:line="440" w:lineRule="exact"/>
        <w:jc w:val="center"/>
        <w:rPr>
          <w:b/>
          <w:color w:val="000000" w:themeColor="text1"/>
          <w:szCs w:val="21"/>
        </w:rPr>
      </w:pPr>
      <w:r>
        <w:rPr>
          <w:b/>
          <w:color w:val="000000" w:themeColor="text1"/>
          <w:szCs w:val="21"/>
        </w:rPr>
        <w:t>表6.6-1  应急预案内容</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286"/>
        <w:gridCol w:w="5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4" w:type="dxa"/>
            <w:vAlign w:val="center"/>
          </w:tcPr>
          <w:p>
            <w:pPr>
              <w:spacing w:line="240" w:lineRule="auto"/>
              <w:jc w:val="center"/>
              <w:rPr>
                <w:b/>
                <w:color w:val="000000" w:themeColor="text1"/>
                <w:szCs w:val="21"/>
              </w:rPr>
            </w:pPr>
            <w:r>
              <w:rPr>
                <w:b/>
                <w:color w:val="000000" w:themeColor="text1"/>
                <w:szCs w:val="21"/>
              </w:rPr>
              <w:t>序号</w:t>
            </w:r>
          </w:p>
        </w:tc>
        <w:tc>
          <w:tcPr>
            <w:tcW w:w="2286" w:type="dxa"/>
            <w:vAlign w:val="center"/>
          </w:tcPr>
          <w:p>
            <w:pPr>
              <w:spacing w:line="240" w:lineRule="auto"/>
              <w:jc w:val="center"/>
              <w:rPr>
                <w:b/>
                <w:color w:val="000000" w:themeColor="text1"/>
                <w:szCs w:val="21"/>
              </w:rPr>
            </w:pPr>
            <w:r>
              <w:rPr>
                <w:b/>
                <w:color w:val="000000" w:themeColor="text1"/>
                <w:szCs w:val="21"/>
              </w:rPr>
              <w:t>项目</w:t>
            </w:r>
          </w:p>
        </w:tc>
        <w:tc>
          <w:tcPr>
            <w:tcW w:w="5582" w:type="dxa"/>
            <w:vAlign w:val="center"/>
          </w:tcPr>
          <w:p>
            <w:pPr>
              <w:spacing w:line="240" w:lineRule="auto"/>
              <w:jc w:val="center"/>
              <w:rPr>
                <w:b/>
                <w:color w:val="000000" w:themeColor="text1"/>
                <w:szCs w:val="21"/>
              </w:rPr>
            </w:pPr>
            <w:r>
              <w:rPr>
                <w:b/>
                <w:color w:val="000000" w:themeColor="text1"/>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1</w:t>
            </w:r>
          </w:p>
        </w:tc>
        <w:tc>
          <w:tcPr>
            <w:tcW w:w="2286" w:type="dxa"/>
            <w:vAlign w:val="center"/>
          </w:tcPr>
          <w:p>
            <w:pPr>
              <w:spacing w:line="240" w:lineRule="auto"/>
              <w:jc w:val="center"/>
              <w:rPr>
                <w:color w:val="000000" w:themeColor="text1"/>
                <w:szCs w:val="21"/>
              </w:rPr>
            </w:pPr>
            <w:r>
              <w:rPr>
                <w:color w:val="000000" w:themeColor="text1"/>
                <w:szCs w:val="21"/>
              </w:rPr>
              <w:t>危险源情况</w:t>
            </w:r>
          </w:p>
        </w:tc>
        <w:tc>
          <w:tcPr>
            <w:tcW w:w="5582" w:type="dxa"/>
            <w:vAlign w:val="center"/>
          </w:tcPr>
          <w:p>
            <w:pPr>
              <w:spacing w:line="240" w:lineRule="auto"/>
              <w:jc w:val="center"/>
              <w:rPr>
                <w:color w:val="000000" w:themeColor="text1"/>
                <w:szCs w:val="21"/>
              </w:rPr>
            </w:pPr>
            <w:r>
              <w:rPr>
                <w:color w:val="000000" w:themeColor="text1"/>
                <w:szCs w:val="21"/>
              </w:rPr>
              <w:t>详细说明危险源类型、数量、分布及其对环境的风险。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2</w:t>
            </w:r>
          </w:p>
        </w:tc>
        <w:tc>
          <w:tcPr>
            <w:tcW w:w="2286" w:type="dxa"/>
            <w:vAlign w:val="center"/>
          </w:tcPr>
          <w:p>
            <w:pPr>
              <w:spacing w:line="240" w:lineRule="auto"/>
              <w:jc w:val="center"/>
              <w:rPr>
                <w:color w:val="000000" w:themeColor="text1"/>
                <w:szCs w:val="21"/>
              </w:rPr>
            </w:pPr>
            <w:r>
              <w:rPr>
                <w:color w:val="000000" w:themeColor="text1"/>
                <w:szCs w:val="21"/>
              </w:rPr>
              <w:t>应急计划区</w:t>
            </w:r>
          </w:p>
        </w:tc>
        <w:tc>
          <w:tcPr>
            <w:tcW w:w="5582" w:type="dxa"/>
            <w:vAlign w:val="center"/>
          </w:tcPr>
          <w:p>
            <w:pPr>
              <w:spacing w:line="240" w:lineRule="auto"/>
              <w:jc w:val="center"/>
              <w:rPr>
                <w:color w:val="000000" w:themeColor="text1"/>
                <w:szCs w:val="21"/>
              </w:rPr>
            </w:pPr>
            <w:r>
              <w:rPr>
                <w:rFonts w:hint="eastAsia"/>
                <w:color w:val="000000" w:themeColor="text1"/>
                <w:szCs w:val="21"/>
              </w:rPr>
              <w:t>装置区、贮柜区、环境保护目标</w:t>
            </w: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3</w:t>
            </w:r>
          </w:p>
        </w:tc>
        <w:tc>
          <w:tcPr>
            <w:tcW w:w="2286" w:type="dxa"/>
            <w:vAlign w:val="center"/>
          </w:tcPr>
          <w:p>
            <w:pPr>
              <w:spacing w:line="240" w:lineRule="auto"/>
              <w:jc w:val="center"/>
              <w:rPr>
                <w:color w:val="000000" w:themeColor="text1"/>
                <w:szCs w:val="21"/>
              </w:rPr>
            </w:pPr>
            <w:r>
              <w:rPr>
                <w:color w:val="000000" w:themeColor="text1"/>
                <w:szCs w:val="21"/>
              </w:rPr>
              <w:t>应急组织机构、人员</w:t>
            </w:r>
          </w:p>
        </w:tc>
        <w:tc>
          <w:tcPr>
            <w:tcW w:w="5582" w:type="dxa"/>
            <w:vAlign w:val="center"/>
          </w:tcPr>
          <w:p>
            <w:pPr>
              <w:spacing w:line="240" w:lineRule="auto"/>
              <w:jc w:val="center"/>
              <w:rPr>
                <w:color w:val="000000" w:themeColor="text1"/>
                <w:szCs w:val="21"/>
              </w:rPr>
            </w:pPr>
            <w:r>
              <w:rPr>
                <w:color w:val="000000" w:themeColor="text1"/>
                <w:szCs w:val="21"/>
              </w:rPr>
              <w:t>企业：成立事故应急指挥小组，由厂长担任小组长，负责现场全面指挥，专业救援队伍负责事故控制、救援和善后处理。</w:t>
            </w:r>
          </w:p>
          <w:p>
            <w:pPr>
              <w:spacing w:line="240" w:lineRule="auto"/>
              <w:jc w:val="center"/>
              <w:rPr>
                <w:color w:val="000000" w:themeColor="text1"/>
                <w:szCs w:val="21"/>
              </w:rPr>
            </w:pPr>
            <w:r>
              <w:rPr>
                <w:color w:val="000000" w:themeColor="text1"/>
                <w:szCs w:val="21"/>
              </w:rPr>
              <w:t>临近地区：地区指挥部负责企业附近地区全面指挥，救援，管制和疏散。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4</w:t>
            </w:r>
          </w:p>
        </w:tc>
        <w:tc>
          <w:tcPr>
            <w:tcW w:w="2286" w:type="dxa"/>
            <w:vAlign w:val="center"/>
          </w:tcPr>
          <w:p>
            <w:pPr>
              <w:spacing w:line="240" w:lineRule="auto"/>
              <w:jc w:val="center"/>
              <w:rPr>
                <w:color w:val="000000" w:themeColor="text1"/>
                <w:szCs w:val="21"/>
              </w:rPr>
            </w:pPr>
            <w:r>
              <w:rPr>
                <w:color w:val="000000" w:themeColor="text1"/>
                <w:szCs w:val="21"/>
              </w:rPr>
              <w:t>预案分级响应条件</w:t>
            </w:r>
          </w:p>
        </w:tc>
        <w:tc>
          <w:tcPr>
            <w:tcW w:w="5582" w:type="dxa"/>
            <w:vAlign w:val="center"/>
          </w:tcPr>
          <w:p>
            <w:pPr>
              <w:spacing w:line="240" w:lineRule="auto"/>
              <w:jc w:val="center"/>
              <w:rPr>
                <w:color w:val="000000" w:themeColor="text1"/>
                <w:szCs w:val="21"/>
              </w:rPr>
            </w:pPr>
            <w:r>
              <w:rPr>
                <w:color w:val="000000" w:themeColor="text1"/>
                <w:szCs w:val="21"/>
              </w:rPr>
              <w:t>规定环境风险事故的级别及相应的应急状态分类，以此制定相应的应急响应程序。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5</w:t>
            </w:r>
          </w:p>
        </w:tc>
        <w:tc>
          <w:tcPr>
            <w:tcW w:w="2286" w:type="dxa"/>
            <w:vAlign w:val="center"/>
          </w:tcPr>
          <w:p>
            <w:pPr>
              <w:spacing w:line="240" w:lineRule="auto"/>
              <w:jc w:val="center"/>
              <w:rPr>
                <w:color w:val="000000" w:themeColor="text1"/>
                <w:szCs w:val="21"/>
              </w:rPr>
            </w:pPr>
            <w:r>
              <w:rPr>
                <w:color w:val="000000" w:themeColor="text1"/>
                <w:szCs w:val="21"/>
              </w:rPr>
              <w:t>应急救援保障</w:t>
            </w:r>
          </w:p>
        </w:tc>
        <w:tc>
          <w:tcPr>
            <w:tcW w:w="5582" w:type="dxa"/>
            <w:vAlign w:val="center"/>
          </w:tcPr>
          <w:p>
            <w:pPr>
              <w:spacing w:line="240" w:lineRule="auto"/>
              <w:jc w:val="center"/>
              <w:rPr>
                <w:color w:val="000000" w:themeColor="text1"/>
                <w:szCs w:val="21"/>
              </w:rPr>
            </w:pPr>
            <w:r>
              <w:rPr>
                <w:color w:val="000000" w:themeColor="text1"/>
                <w:szCs w:val="21"/>
              </w:rPr>
              <w:t>沼气装置区：防火灾、爆炸事故的应急设施、设备与材料，主为消防器材、消防服等。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6</w:t>
            </w:r>
          </w:p>
        </w:tc>
        <w:tc>
          <w:tcPr>
            <w:tcW w:w="2286" w:type="dxa"/>
            <w:vAlign w:val="center"/>
          </w:tcPr>
          <w:p>
            <w:pPr>
              <w:spacing w:line="240" w:lineRule="auto"/>
              <w:jc w:val="center"/>
              <w:rPr>
                <w:color w:val="000000" w:themeColor="text1"/>
                <w:szCs w:val="21"/>
              </w:rPr>
            </w:pPr>
            <w:r>
              <w:rPr>
                <w:color w:val="000000" w:themeColor="text1"/>
                <w:szCs w:val="21"/>
              </w:rPr>
              <w:t>报警、通讯联络方式</w:t>
            </w:r>
          </w:p>
        </w:tc>
        <w:tc>
          <w:tcPr>
            <w:tcW w:w="5582" w:type="dxa"/>
            <w:vAlign w:val="center"/>
          </w:tcPr>
          <w:p>
            <w:pPr>
              <w:spacing w:line="240" w:lineRule="auto"/>
              <w:jc w:val="center"/>
              <w:rPr>
                <w:color w:val="000000" w:themeColor="text1"/>
                <w:szCs w:val="21"/>
              </w:rPr>
            </w:pPr>
            <w:r>
              <w:rPr>
                <w:color w:val="000000" w:themeColor="text1"/>
                <w:szCs w:val="21"/>
              </w:rPr>
              <w:t>规定应急状态下的通讯、联系方式并进行备案等。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7</w:t>
            </w:r>
          </w:p>
        </w:tc>
        <w:tc>
          <w:tcPr>
            <w:tcW w:w="2286" w:type="dxa"/>
            <w:vAlign w:val="center"/>
          </w:tcPr>
          <w:p>
            <w:pPr>
              <w:spacing w:line="240" w:lineRule="auto"/>
              <w:jc w:val="center"/>
              <w:rPr>
                <w:color w:val="000000" w:themeColor="text1"/>
                <w:szCs w:val="21"/>
              </w:rPr>
            </w:pPr>
            <w:r>
              <w:rPr>
                <w:color w:val="000000" w:themeColor="text1"/>
                <w:szCs w:val="21"/>
              </w:rPr>
              <w:t>应急环境监测、抢险、救援及控制措施</w:t>
            </w:r>
          </w:p>
        </w:tc>
        <w:tc>
          <w:tcPr>
            <w:tcW w:w="5582" w:type="dxa"/>
            <w:vAlign w:val="center"/>
          </w:tcPr>
          <w:p>
            <w:pPr>
              <w:spacing w:line="240" w:lineRule="auto"/>
              <w:jc w:val="center"/>
              <w:rPr>
                <w:color w:val="000000" w:themeColor="text1"/>
                <w:szCs w:val="21"/>
              </w:rPr>
            </w:pPr>
            <w:r>
              <w:rPr>
                <w:color w:val="000000" w:themeColor="text1"/>
                <w:szCs w:val="21"/>
              </w:rPr>
              <w:t>由专业人员对事故现场进行应急监测，对事故性质、严重程度均所造成的环境危害后果进行评估，吸取经验教训避免再次发生事故，为指挥部门提供决策依据。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8</w:t>
            </w:r>
          </w:p>
        </w:tc>
        <w:tc>
          <w:tcPr>
            <w:tcW w:w="2286" w:type="dxa"/>
            <w:vAlign w:val="center"/>
          </w:tcPr>
          <w:p>
            <w:pPr>
              <w:spacing w:line="240" w:lineRule="auto"/>
              <w:jc w:val="center"/>
              <w:rPr>
                <w:color w:val="000000" w:themeColor="text1"/>
                <w:szCs w:val="21"/>
              </w:rPr>
            </w:pPr>
            <w:r>
              <w:rPr>
                <w:color w:val="000000" w:themeColor="text1"/>
                <w:szCs w:val="21"/>
              </w:rPr>
              <w:t>应急检测、防护措施、清除泄漏措施和器</w:t>
            </w:r>
          </w:p>
          <w:p>
            <w:pPr>
              <w:spacing w:line="240" w:lineRule="auto"/>
              <w:jc w:val="center"/>
              <w:rPr>
                <w:color w:val="000000" w:themeColor="text1"/>
                <w:szCs w:val="21"/>
              </w:rPr>
            </w:pPr>
            <w:r>
              <w:rPr>
                <w:color w:val="000000" w:themeColor="text1"/>
                <w:szCs w:val="21"/>
              </w:rPr>
              <w:t>材</w:t>
            </w:r>
          </w:p>
        </w:tc>
        <w:tc>
          <w:tcPr>
            <w:tcW w:w="5582" w:type="dxa"/>
            <w:vAlign w:val="center"/>
          </w:tcPr>
          <w:p>
            <w:pPr>
              <w:spacing w:line="240" w:lineRule="auto"/>
              <w:jc w:val="center"/>
              <w:rPr>
                <w:color w:val="000000" w:themeColor="text1"/>
                <w:szCs w:val="21"/>
              </w:rPr>
            </w:pPr>
            <w:r>
              <w:rPr>
                <w:color w:val="000000" w:themeColor="text1"/>
                <w:szCs w:val="21"/>
              </w:rPr>
              <w:t>事故现场：控制事故发展，防止扩大、蔓延及连锁反应；清除现场污染物，降低危害；相应的设施器材配备；</w:t>
            </w:r>
          </w:p>
          <w:p>
            <w:pPr>
              <w:spacing w:line="240" w:lineRule="auto"/>
              <w:jc w:val="center"/>
              <w:rPr>
                <w:color w:val="000000" w:themeColor="text1"/>
                <w:szCs w:val="21"/>
              </w:rPr>
            </w:pPr>
            <w:r>
              <w:rPr>
                <w:color w:val="000000" w:themeColor="text1"/>
                <w:szCs w:val="21"/>
              </w:rPr>
              <w:t>临近地区：控制防火区域，控制和消除环境污染的措施及相应的设备配备。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9</w:t>
            </w:r>
          </w:p>
        </w:tc>
        <w:tc>
          <w:tcPr>
            <w:tcW w:w="2286" w:type="dxa"/>
            <w:vAlign w:val="center"/>
          </w:tcPr>
          <w:p>
            <w:pPr>
              <w:spacing w:line="240" w:lineRule="auto"/>
              <w:jc w:val="center"/>
              <w:rPr>
                <w:color w:val="000000" w:themeColor="text1"/>
                <w:szCs w:val="21"/>
              </w:rPr>
            </w:pPr>
            <w:r>
              <w:rPr>
                <w:color w:val="000000" w:themeColor="text1"/>
                <w:szCs w:val="21"/>
              </w:rPr>
              <w:t>人员紧急撤离、疏散，应急剂量控制、撤离组织计划</w:t>
            </w:r>
          </w:p>
        </w:tc>
        <w:tc>
          <w:tcPr>
            <w:tcW w:w="5582" w:type="dxa"/>
            <w:vAlign w:val="center"/>
          </w:tcPr>
          <w:p>
            <w:pPr>
              <w:spacing w:line="240" w:lineRule="auto"/>
              <w:jc w:val="center"/>
              <w:rPr>
                <w:color w:val="000000" w:themeColor="text1"/>
                <w:szCs w:val="21"/>
              </w:rPr>
            </w:pPr>
            <w:r>
              <w:rPr>
                <w:color w:val="000000" w:themeColor="text1"/>
                <w:szCs w:val="21"/>
              </w:rPr>
              <w:t>事故现场：事故处理人员制定毒物的应急剂量、现场及临近装置人员的撤离组织计划和紧急救护方案；</w:t>
            </w:r>
          </w:p>
          <w:p>
            <w:pPr>
              <w:spacing w:line="240" w:lineRule="auto"/>
              <w:jc w:val="center"/>
              <w:rPr>
                <w:color w:val="000000" w:themeColor="text1"/>
                <w:szCs w:val="21"/>
              </w:rPr>
            </w:pPr>
            <w:r>
              <w:rPr>
                <w:color w:val="000000" w:themeColor="text1"/>
                <w:szCs w:val="21"/>
              </w:rPr>
              <w:t>临近地区：制定受事故影响的临近地区内人员对毒物的应急剂量、公众的疏散组织计划和紧急救护方案。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10</w:t>
            </w:r>
          </w:p>
        </w:tc>
        <w:tc>
          <w:tcPr>
            <w:tcW w:w="2286" w:type="dxa"/>
            <w:vAlign w:val="center"/>
          </w:tcPr>
          <w:p>
            <w:pPr>
              <w:spacing w:line="240" w:lineRule="auto"/>
              <w:jc w:val="center"/>
              <w:rPr>
                <w:color w:val="000000" w:themeColor="text1"/>
                <w:szCs w:val="21"/>
              </w:rPr>
            </w:pPr>
            <w:r>
              <w:rPr>
                <w:color w:val="000000" w:themeColor="text1"/>
                <w:szCs w:val="21"/>
              </w:rPr>
              <w:t>事故应急救援关闭程序与恢复措施</w:t>
            </w:r>
          </w:p>
        </w:tc>
        <w:tc>
          <w:tcPr>
            <w:tcW w:w="5582" w:type="dxa"/>
            <w:vAlign w:val="center"/>
          </w:tcPr>
          <w:p>
            <w:pPr>
              <w:spacing w:line="240" w:lineRule="auto"/>
              <w:jc w:val="center"/>
              <w:rPr>
                <w:color w:val="000000" w:themeColor="text1"/>
                <w:szCs w:val="21"/>
              </w:rPr>
            </w:pPr>
            <w:r>
              <w:rPr>
                <w:color w:val="000000" w:themeColor="text1"/>
                <w:szCs w:val="21"/>
              </w:rPr>
              <w:t>事故现场：规定应急状态终止秩序；事故现场善后处理，恢复生产措施；</w:t>
            </w:r>
          </w:p>
          <w:p>
            <w:pPr>
              <w:spacing w:line="240" w:lineRule="auto"/>
              <w:rPr>
                <w:color w:val="000000" w:themeColor="text1"/>
                <w:szCs w:val="21"/>
              </w:rPr>
            </w:pPr>
            <w:r>
              <w:rPr>
                <w:color w:val="000000" w:themeColor="text1"/>
                <w:szCs w:val="21"/>
              </w:rPr>
              <w:t>临近地区：解除事故警戒，公众返回和善后措施。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11</w:t>
            </w:r>
          </w:p>
        </w:tc>
        <w:tc>
          <w:tcPr>
            <w:tcW w:w="2286" w:type="dxa"/>
            <w:vAlign w:val="center"/>
          </w:tcPr>
          <w:p>
            <w:pPr>
              <w:spacing w:line="240" w:lineRule="auto"/>
              <w:jc w:val="center"/>
              <w:rPr>
                <w:color w:val="000000" w:themeColor="text1"/>
                <w:szCs w:val="21"/>
              </w:rPr>
            </w:pPr>
            <w:r>
              <w:rPr>
                <w:color w:val="000000" w:themeColor="text1"/>
                <w:szCs w:val="21"/>
              </w:rPr>
              <w:t>应急培训计划</w:t>
            </w:r>
          </w:p>
        </w:tc>
        <w:tc>
          <w:tcPr>
            <w:tcW w:w="5582" w:type="dxa"/>
            <w:vAlign w:val="center"/>
          </w:tcPr>
          <w:p>
            <w:pPr>
              <w:spacing w:line="240" w:lineRule="auto"/>
              <w:jc w:val="center"/>
              <w:rPr>
                <w:color w:val="000000" w:themeColor="text1"/>
                <w:szCs w:val="21"/>
              </w:rPr>
            </w:pPr>
            <w:r>
              <w:rPr>
                <w:color w:val="000000" w:themeColor="text1"/>
                <w:szCs w:val="21"/>
              </w:rPr>
              <w:t>应急计划制定后，应定时对员工进行相关知识培训并进行事故应急处理演习；对员工进行安全卫生教育。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pPr>
              <w:spacing w:line="240" w:lineRule="auto"/>
              <w:jc w:val="center"/>
              <w:rPr>
                <w:color w:val="000000" w:themeColor="text1"/>
                <w:szCs w:val="21"/>
              </w:rPr>
            </w:pPr>
            <w:r>
              <w:rPr>
                <w:color w:val="000000" w:themeColor="text1"/>
                <w:szCs w:val="21"/>
              </w:rPr>
              <w:t>12</w:t>
            </w:r>
          </w:p>
        </w:tc>
        <w:tc>
          <w:tcPr>
            <w:tcW w:w="2286" w:type="dxa"/>
            <w:vAlign w:val="center"/>
          </w:tcPr>
          <w:p>
            <w:pPr>
              <w:spacing w:line="240" w:lineRule="auto"/>
              <w:jc w:val="center"/>
              <w:rPr>
                <w:color w:val="000000" w:themeColor="text1"/>
                <w:szCs w:val="21"/>
              </w:rPr>
            </w:pPr>
            <w:r>
              <w:rPr>
                <w:color w:val="000000" w:themeColor="text1"/>
                <w:szCs w:val="21"/>
              </w:rPr>
              <w:t>公众教育和信</w:t>
            </w:r>
          </w:p>
          <w:p>
            <w:pPr>
              <w:spacing w:line="240" w:lineRule="auto"/>
              <w:jc w:val="center"/>
              <w:rPr>
                <w:color w:val="000000" w:themeColor="text1"/>
                <w:szCs w:val="21"/>
              </w:rPr>
            </w:pPr>
            <w:r>
              <w:rPr>
                <w:color w:val="000000" w:themeColor="text1"/>
                <w:szCs w:val="21"/>
              </w:rPr>
              <w:t>息</w:t>
            </w:r>
          </w:p>
        </w:tc>
        <w:tc>
          <w:tcPr>
            <w:tcW w:w="5582" w:type="dxa"/>
            <w:vAlign w:val="center"/>
          </w:tcPr>
          <w:p>
            <w:pPr>
              <w:spacing w:line="240" w:lineRule="auto"/>
              <w:jc w:val="center"/>
              <w:rPr>
                <w:color w:val="000000" w:themeColor="text1"/>
                <w:szCs w:val="21"/>
              </w:rPr>
            </w:pPr>
            <w:r>
              <w:rPr>
                <w:color w:val="000000" w:themeColor="text1"/>
                <w:szCs w:val="21"/>
              </w:rPr>
              <w:t>对猪场临近地区公众开展环境风险事故预防教育、应急知识培训并定期发布相关信息。</w:t>
            </w:r>
          </w:p>
        </w:tc>
      </w:tr>
    </w:tbl>
    <w:p>
      <w:pPr>
        <w:pStyle w:val="3"/>
        <w:spacing w:before="0" w:after="0"/>
        <w:rPr>
          <w:rFonts w:ascii="Times New Roman" w:hAnsi="Times New Roman"/>
          <w:color w:val="000000" w:themeColor="text1"/>
        </w:rPr>
      </w:pPr>
      <w:bookmarkStart w:id="427" w:name="_Toc510547349"/>
      <w:bookmarkStart w:id="428" w:name="_Toc4076502"/>
      <w:r>
        <w:rPr>
          <w:rFonts w:ascii="Times New Roman" w:hAnsi="Times New Roman"/>
          <w:color w:val="000000" w:themeColor="text1"/>
        </w:rPr>
        <w:t>6.7环境风险评价结论</w:t>
      </w:r>
      <w:bookmarkEnd w:id="427"/>
      <w:bookmarkEnd w:id="428"/>
    </w:p>
    <w:p>
      <w:pPr>
        <w:ind w:firstLine="480" w:firstLineChars="200"/>
        <w:rPr>
          <w:color w:val="000000" w:themeColor="text1"/>
          <w:sz w:val="24"/>
        </w:rPr>
      </w:pPr>
      <w:r>
        <w:rPr>
          <w:color w:val="000000" w:themeColor="text1"/>
          <w:sz w:val="24"/>
        </w:rPr>
        <w:t>本项目环境风险主要表现在沼气发生泄漏引起爆炸</w:t>
      </w:r>
      <w:r>
        <w:rPr>
          <w:rFonts w:hint="eastAsia"/>
          <w:color w:val="000000" w:themeColor="text1"/>
          <w:sz w:val="24"/>
        </w:rPr>
        <w:t>、</w:t>
      </w:r>
      <w:r>
        <w:rPr>
          <w:color w:val="000000" w:themeColor="text1"/>
          <w:sz w:val="24"/>
        </w:rPr>
        <w:t>污水处理设施运行过程风险分析</w:t>
      </w:r>
      <w:r>
        <w:rPr>
          <w:rFonts w:hint="eastAsia"/>
          <w:color w:val="000000" w:themeColor="text1"/>
          <w:sz w:val="24"/>
        </w:rPr>
        <w:t>以及疫情风险</w:t>
      </w:r>
      <w:r>
        <w:rPr>
          <w:color w:val="000000" w:themeColor="text1"/>
          <w:sz w:val="24"/>
        </w:rPr>
        <w:t>。</w:t>
      </w:r>
    </w:p>
    <w:p>
      <w:pPr>
        <w:ind w:firstLine="480" w:firstLineChars="200"/>
        <w:rPr>
          <w:color w:val="000000" w:themeColor="text1"/>
          <w:sz w:val="24"/>
        </w:rPr>
      </w:pPr>
      <w:r>
        <w:rPr>
          <w:color w:val="000000" w:themeColor="text1"/>
          <w:sz w:val="24"/>
        </w:rPr>
        <w:t>沼气量较少，通过加强管理，定期对沼气管道及沼气储柜进行检查维护，沼气泄露和爆炸几率很小。污水处理设施采取防渗措施，并设置事故池，可大大降低污水泄漏对地表水体的影响。</w:t>
      </w:r>
      <w:r>
        <w:rPr>
          <w:rFonts w:hint="eastAsia"/>
          <w:color w:val="000000" w:themeColor="text1"/>
          <w:sz w:val="24"/>
        </w:rPr>
        <w:t>沼液输送管道提高安全等级、定期维护后，发生管道破损、污水泄露的风险大大降低。项目做好预防工作，经常消毒，在疫病发生时能严格按照应急计划执行，风险可接受。</w:t>
      </w:r>
    </w:p>
    <w:p>
      <w:pPr>
        <w:ind w:firstLine="480" w:firstLineChars="200"/>
        <w:rPr>
          <w:color w:val="000000" w:themeColor="text1"/>
          <w:sz w:val="24"/>
        </w:rPr>
      </w:pPr>
      <w:r>
        <w:rPr>
          <w:color w:val="000000" w:themeColor="text1"/>
          <w:sz w:val="24"/>
        </w:rPr>
        <w:t>在严格落实本次环评提出的各项风险防范措施后，该项目发生风险事故的可能进一步降低，其潜在的环境风险是可以接受的。</w:t>
      </w:r>
    </w:p>
    <w:p>
      <w:pPr>
        <w:adjustRightInd w:val="0"/>
        <w:snapToGrid w:val="0"/>
        <w:rPr>
          <w:b/>
          <w:bCs/>
          <w:color w:val="000000" w:themeColor="text1"/>
          <w:sz w:val="28"/>
          <w:szCs w:val="32"/>
        </w:rPr>
        <w:sectPr>
          <w:pgSz w:w="11906" w:h="16838"/>
          <w:pgMar w:top="1440" w:right="1797" w:bottom="1440" w:left="1797" w:header="851" w:footer="992" w:gutter="0"/>
          <w:cols w:space="720" w:num="1"/>
          <w:docGrid w:linePitch="312" w:charSpace="0"/>
        </w:sectPr>
      </w:pPr>
    </w:p>
    <w:p>
      <w:pPr>
        <w:pStyle w:val="2"/>
        <w:rPr>
          <w:rFonts w:hAnsi="Times New Roman"/>
          <w:color w:val="000000" w:themeColor="text1"/>
        </w:rPr>
      </w:pPr>
      <w:bookmarkStart w:id="429" w:name="_Toc402186392"/>
      <w:bookmarkStart w:id="430" w:name="_Toc329173744"/>
      <w:bookmarkStart w:id="431" w:name="_Toc329154895"/>
      <w:bookmarkStart w:id="432" w:name="_Toc510547350"/>
      <w:bookmarkStart w:id="433" w:name="_Toc4076503"/>
      <w:r>
        <w:rPr>
          <w:rFonts w:hAnsi="Times New Roman"/>
          <w:color w:val="000000" w:themeColor="text1"/>
        </w:rPr>
        <w:t>7污染防治措施可行性分析</w:t>
      </w:r>
      <w:bookmarkEnd w:id="429"/>
      <w:bookmarkEnd w:id="430"/>
      <w:bookmarkEnd w:id="431"/>
      <w:bookmarkEnd w:id="432"/>
      <w:bookmarkEnd w:id="433"/>
    </w:p>
    <w:p>
      <w:pPr>
        <w:pStyle w:val="3"/>
        <w:adjustRightInd w:val="0"/>
        <w:snapToGrid w:val="0"/>
        <w:spacing w:before="0" w:after="0"/>
        <w:rPr>
          <w:rFonts w:ascii="Times New Roman" w:hAnsi="Times New Roman"/>
          <w:color w:val="000000" w:themeColor="text1"/>
        </w:rPr>
      </w:pPr>
      <w:bookmarkStart w:id="434" w:name="_Toc329173745"/>
      <w:bookmarkStart w:id="435" w:name="_Toc4076504"/>
      <w:bookmarkStart w:id="436" w:name="_Toc402186393"/>
      <w:bookmarkStart w:id="437" w:name="_Toc329154896"/>
      <w:bookmarkStart w:id="438" w:name="_Toc510547351"/>
      <w:r>
        <w:rPr>
          <w:rFonts w:ascii="Times New Roman" w:hAnsi="Times New Roman"/>
          <w:color w:val="000000" w:themeColor="text1"/>
        </w:rPr>
        <w:t>7.1施工期环保措施</w:t>
      </w:r>
      <w:bookmarkEnd w:id="434"/>
      <w:bookmarkEnd w:id="435"/>
      <w:bookmarkEnd w:id="436"/>
      <w:bookmarkEnd w:id="437"/>
      <w:bookmarkEnd w:id="438"/>
    </w:p>
    <w:p>
      <w:pPr>
        <w:pStyle w:val="4"/>
        <w:adjustRightInd w:val="0"/>
        <w:snapToGrid w:val="0"/>
        <w:spacing w:before="0" w:after="0" w:line="360" w:lineRule="auto"/>
        <w:rPr>
          <w:color w:val="000000" w:themeColor="text1"/>
        </w:rPr>
      </w:pPr>
      <w:bookmarkStart w:id="439" w:name="_Toc510547352"/>
      <w:bookmarkStart w:id="440" w:name="_Toc504403857"/>
      <w:r>
        <w:rPr>
          <w:color w:val="000000" w:themeColor="text1"/>
        </w:rPr>
        <w:t>7.1.1大气污染防治措施</w:t>
      </w:r>
      <w:bookmarkEnd w:id="439"/>
      <w:bookmarkEnd w:id="440"/>
    </w:p>
    <w:p>
      <w:pPr>
        <w:adjustRightInd w:val="0"/>
        <w:snapToGrid w:val="0"/>
        <w:ind w:firstLine="480" w:firstLineChars="200"/>
        <w:rPr>
          <w:color w:val="000000" w:themeColor="text1"/>
          <w:sz w:val="24"/>
        </w:rPr>
      </w:pPr>
      <w:r>
        <w:rPr>
          <w:color w:val="000000" w:themeColor="text1"/>
          <w:sz w:val="24"/>
        </w:rPr>
        <w:t>本项目在施工建设期间，不可地会产生一些地面及二次扬尘，这些扬尘尽管是短期行为，但会对附近区域带来不利的影响，所以在施工期间，应采取积极的升旗来尽量减少扬尘的产生，项目在施工期拟采取如下控制措施：</w:t>
      </w:r>
    </w:p>
    <w:p>
      <w:pPr>
        <w:adjustRightInd w:val="0"/>
        <w:snapToGrid w:val="0"/>
        <w:ind w:firstLine="480" w:firstLineChars="200"/>
        <w:rPr>
          <w:color w:val="000000" w:themeColor="text1"/>
          <w:sz w:val="24"/>
        </w:rPr>
      </w:pPr>
      <w:r>
        <w:rPr>
          <w:color w:val="000000" w:themeColor="text1"/>
          <w:sz w:val="24"/>
        </w:rPr>
        <w:t>（1）施工场地洒水降尘。</w:t>
      </w:r>
    </w:p>
    <w:p>
      <w:pPr>
        <w:adjustRightInd w:val="0"/>
        <w:snapToGrid w:val="0"/>
        <w:ind w:firstLine="480" w:firstLineChars="200"/>
        <w:rPr>
          <w:color w:val="000000" w:themeColor="text1"/>
          <w:sz w:val="24"/>
        </w:rPr>
      </w:pPr>
      <w:r>
        <w:rPr>
          <w:color w:val="000000" w:themeColor="text1"/>
          <w:sz w:val="24"/>
        </w:rPr>
        <w:t>（2）施工场界外围修筑2.5m彩瓦围墙。</w:t>
      </w:r>
    </w:p>
    <w:p>
      <w:pPr>
        <w:adjustRightInd w:val="0"/>
        <w:snapToGrid w:val="0"/>
        <w:ind w:firstLine="480" w:firstLineChars="200"/>
        <w:rPr>
          <w:color w:val="000000" w:themeColor="text1"/>
          <w:sz w:val="24"/>
        </w:rPr>
      </w:pPr>
      <w:r>
        <w:rPr>
          <w:color w:val="000000" w:themeColor="text1"/>
          <w:sz w:val="24"/>
        </w:rPr>
        <w:t>（3）对工地出入口进行混凝土硬化，并设置车辆清洗池。</w:t>
      </w:r>
    </w:p>
    <w:p>
      <w:pPr>
        <w:adjustRightInd w:val="0"/>
        <w:snapToGrid w:val="0"/>
        <w:ind w:firstLine="480" w:firstLineChars="200"/>
        <w:rPr>
          <w:color w:val="000000" w:themeColor="text1"/>
          <w:sz w:val="24"/>
        </w:rPr>
      </w:pPr>
      <w:r>
        <w:rPr>
          <w:color w:val="000000" w:themeColor="text1"/>
          <w:sz w:val="24"/>
        </w:rPr>
        <w:t>（4）对施工裸露场地及主要运输道路在非雨天洒水降尘。</w:t>
      </w:r>
    </w:p>
    <w:p>
      <w:pPr>
        <w:adjustRightInd w:val="0"/>
        <w:snapToGrid w:val="0"/>
        <w:ind w:firstLine="480" w:firstLineChars="200"/>
        <w:rPr>
          <w:color w:val="000000" w:themeColor="text1"/>
          <w:sz w:val="24"/>
        </w:rPr>
      </w:pPr>
      <w:r>
        <w:rPr>
          <w:color w:val="000000" w:themeColor="text1"/>
          <w:sz w:val="24"/>
        </w:rPr>
        <w:t>（5）运输车辆采用密闭车斗，车斗应用篷布遮盖严实。</w:t>
      </w:r>
    </w:p>
    <w:p>
      <w:pPr>
        <w:adjustRightInd w:val="0"/>
        <w:snapToGrid w:val="0"/>
        <w:ind w:firstLine="480" w:firstLineChars="200"/>
        <w:rPr>
          <w:color w:val="000000" w:themeColor="text1"/>
          <w:sz w:val="24"/>
        </w:rPr>
      </w:pPr>
      <w:r>
        <w:rPr>
          <w:color w:val="000000" w:themeColor="text1"/>
          <w:sz w:val="24"/>
        </w:rPr>
        <w:t>（6）进场道路1~2天清扫一次，清扫前先洒水。</w:t>
      </w:r>
    </w:p>
    <w:p>
      <w:pPr>
        <w:adjustRightInd w:val="0"/>
        <w:snapToGrid w:val="0"/>
        <w:ind w:firstLine="480" w:firstLineChars="200"/>
        <w:rPr>
          <w:color w:val="000000" w:themeColor="text1"/>
          <w:sz w:val="24"/>
        </w:rPr>
      </w:pPr>
      <w:r>
        <w:rPr>
          <w:color w:val="000000" w:themeColor="text1"/>
          <w:sz w:val="24"/>
        </w:rPr>
        <w:t>（7）施工过程中使用水泥、石灰、砂石等易产生扬尘的建筑材料，应采取密封存储、设置围挡或堆砌围墙、用防尘布苫盖等措施。</w:t>
      </w:r>
    </w:p>
    <w:p>
      <w:pPr>
        <w:adjustRightInd w:val="0"/>
        <w:snapToGrid w:val="0"/>
        <w:ind w:firstLine="480" w:firstLineChars="200"/>
        <w:rPr>
          <w:color w:val="000000" w:themeColor="text1"/>
          <w:sz w:val="24"/>
        </w:rPr>
      </w:pPr>
      <w:r>
        <w:rPr>
          <w:color w:val="000000" w:themeColor="text1"/>
          <w:sz w:val="24"/>
        </w:rPr>
        <w:t>在严格落实上述施工期大气污染防治措施后，可降低扬尘产生量，缩短扬尘影响范围，从而降低施工期扬尘对周围大气环境保护目标的影响，达到可接受的程度范围。上述措施为日常施工中常用降尘措施，在实际施工过程中具有可操作性，既减少工程投资，又起到保护周边环境的作用。</w:t>
      </w:r>
    </w:p>
    <w:p>
      <w:pPr>
        <w:pStyle w:val="4"/>
        <w:adjustRightInd w:val="0"/>
        <w:snapToGrid w:val="0"/>
        <w:spacing w:before="0" w:after="0" w:line="360" w:lineRule="auto"/>
        <w:rPr>
          <w:color w:val="000000" w:themeColor="text1"/>
        </w:rPr>
      </w:pPr>
      <w:bookmarkStart w:id="441" w:name="_Toc510547353"/>
      <w:bookmarkStart w:id="442" w:name="_Toc504403858"/>
      <w:r>
        <w:rPr>
          <w:color w:val="000000" w:themeColor="text1"/>
        </w:rPr>
        <w:t>7.1.2水污染防治措施</w:t>
      </w:r>
      <w:bookmarkEnd w:id="441"/>
      <w:bookmarkEnd w:id="442"/>
    </w:p>
    <w:p>
      <w:pPr>
        <w:ind w:firstLine="480" w:firstLineChars="200"/>
        <w:rPr>
          <w:color w:val="000000" w:themeColor="text1"/>
          <w:sz w:val="24"/>
        </w:rPr>
      </w:pPr>
      <w:r>
        <w:rPr>
          <w:color w:val="000000" w:themeColor="text1"/>
          <w:sz w:val="24"/>
        </w:rPr>
        <w:t>本项目施工期产生的废水主要是施工废水和施工人员生活污水。针对施工期产生的废水，项目在施工期应进一步采取如下控制措施：</w:t>
      </w:r>
    </w:p>
    <w:p>
      <w:pPr>
        <w:ind w:firstLine="480" w:firstLineChars="200"/>
        <w:rPr>
          <w:color w:val="000000" w:themeColor="text1"/>
          <w:sz w:val="24"/>
        </w:rPr>
      </w:pPr>
      <w:r>
        <w:rPr>
          <w:color w:val="000000" w:themeColor="text1"/>
          <w:sz w:val="24"/>
        </w:rPr>
        <w:t>（1）施工场地设施1个收集池，容积为3m</w:t>
      </w:r>
      <w:r>
        <w:rPr>
          <w:color w:val="000000" w:themeColor="text1"/>
          <w:sz w:val="24"/>
          <w:vertAlign w:val="superscript"/>
        </w:rPr>
        <w:t>3</w:t>
      </w:r>
      <w:r>
        <w:rPr>
          <w:color w:val="000000" w:themeColor="text1"/>
          <w:sz w:val="24"/>
        </w:rPr>
        <w:t>，收集机械清洗废水，收集沉淀后循环利用。</w:t>
      </w:r>
    </w:p>
    <w:p>
      <w:pPr>
        <w:ind w:firstLine="480" w:firstLineChars="200"/>
        <w:rPr>
          <w:color w:val="000000" w:themeColor="text1"/>
          <w:sz w:val="24"/>
        </w:rPr>
      </w:pPr>
      <w:r>
        <w:rPr>
          <w:color w:val="000000" w:themeColor="text1"/>
          <w:sz w:val="24"/>
        </w:rPr>
        <w:t>（2）施工场地主出口拟设车辆清洗池1个，8m×3.5m，清洗运输车辆，清洗废水沉淀后循环利用。</w:t>
      </w:r>
    </w:p>
    <w:p>
      <w:pPr>
        <w:ind w:firstLine="480" w:firstLineChars="200"/>
        <w:rPr>
          <w:color w:val="000000" w:themeColor="text1"/>
          <w:sz w:val="24"/>
        </w:rPr>
      </w:pPr>
      <w:r>
        <w:rPr>
          <w:color w:val="000000" w:themeColor="text1"/>
          <w:sz w:val="24"/>
        </w:rPr>
        <w:t>（3）施工场地结合临时排水沟开挖，在排水口末端拟设3座沉砂池，作为施工场地内降雨径流沉淀池。降雨径流主要污染物为SS，经沉砂池沉淀处理后，优先用于洒水及施工用水，多余部分外排。</w:t>
      </w:r>
    </w:p>
    <w:p>
      <w:pPr>
        <w:ind w:firstLine="480" w:firstLineChars="200"/>
        <w:rPr>
          <w:color w:val="000000" w:themeColor="text1"/>
          <w:sz w:val="24"/>
        </w:rPr>
      </w:pPr>
      <w:r>
        <w:rPr>
          <w:color w:val="000000" w:themeColor="text1"/>
          <w:sz w:val="24"/>
        </w:rPr>
        <w:t>采取的上述措施在实际施工过程中具有可操作性，不仅减小废水对周边水环境的影响，而且废水实现合理利用，既减少工程投资，又起到保护周边环境的作用。</w:t>
      </w:r>
    </w:p>
    <w:p>
      <w:pPr>
        <w:pStyle w:val="4"/>
        <w:adjustRightInd w:val="0"/>
        <w:snapToGrid w:val="0"/>
        <w:spacing w:before="0" w:after="0" w:line="360" w:lineRule="auto"/>
        <w:rPr>
          <w:color w:val="000000" w:themeColor="text1"/>
        </w:rPr>
      </w:pPr>
      <w:bookmarkStart w:id="443" w:name="_Toc510547354"/>
      <w:bookmarkStart w:id="444" w:name="_Toc504403859"/>
      <w:r>
        <w:rPr>
          <w:color w:val="000000" w:themeColor="text1"/>
        </w:rPr>
        <w:t>7.1.3声污染防治措施</w:t>
      </w:r>
      <w:bookmarkEnd w:id="443"/>
      <w:bookmarkEnd w:id="444"/>
    </w:p>
    <w:p>
      <w:pPr>
        <w:adjustRightInd w:val="0"/>
        <w:snapToGrid w:val="0"/>
        <w:ind w:firstLine="480" w:firstLineChars="200"/>
        <w:rPr>
          <w:color w:val="000000" w:themeColor="text1"/>
          <w:sz w:val="24"/>
        </w:rPr>
      </w:pPr>
      <w:r>
        <w:rPr>
          <w:color w:val="000000" w:themeColor="text1"/>
          <w:sz w:val="24"/>
        </w:rPr>
        <w:t>建筑施工主要分为三个阶段，即基础工程阶段、主体工程阶段和安装阶段。结合施工特点及针对各施工阶段，对一些重点噪声设备和声源，提出以下治理措施和建议：</w:t>
      </w:r>
    </w:p>
    <w:p>
      <w:pPr>
        <w:adjustRightInd w:val="0"/>
        <w:snapToGrid w:val="0"/>
        <w:ind w:firstLine="480" w:firstLineChars="200"/>
        <w:rPr>
          <w:color w:val="000000" w:themeColor="text1"/>
          <w:sz w:val="24"/>
        </w:rPr>
      </w:pPr>
      <w:r>
        <w:rPr>
          <w:color w:val="000000" w:themeColor="text1"/>
          <w:sz w:val="24"/>
        </w:rPr>
        <w:t>（1）车辆出入现场时应低速、禁鸣。</w:t>
      </w:r>
    </w:p>
    <w:p>
      <w:pPr>
        <w:adjustRightInd w:val="0"/>
        <w:snapToGrid w:val="0"/>
        <w:ind w:firstLine="480" w:firstLineChars="200"/>
        <w:rPr>
          <w:color w:val="000000" w:themeColor="text1"/>
          <w:sz w:val="24"/>
        </w:rPr>
      </w:pPr>
      <w:r>
        <w:rPr>
          <w:color w:val="000000" w:themeColor="text1"/>
          <w:sz w:val="24"/>
        </w:rPr>
        <w:t>（2）加强检查、维护和保养机械设备，紧固各部件，减少运行振动噪声。</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（3）选用低噪声的施工机械及施工工艺，从根本上降低源强。</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采取的上述措施在实际施工过程中可操作性强，既不影响施工，又能保证周边敏感点声环境质量不受或少受项目施工影响，同时需要的资金投入较少。</w:t>
      </w:r>
    </w:p>
    <w:p>
      <w:pPr>
        <w:pStyle w:val="4"/>
        <w:adjustRightInd w:val="0"/>
        <w:snapToGrid w:val="0"/>
        <w:spacing w:before="0" w:after="0" w:line="360" w:lineRule="auto"/>
        <w:rPr>
          <w:color w:val="000000" w:themeColor="text1"/>
        </w:rPr>
      </w:pPr>
      <w:bookmarkStart w:id="445" w:name="_Toc504403860"/>
      <w:bookmarkStart w:id="446" w:name="_Toc510547355"/>
      <w:r>
        <w:rPr>
          <w:color w:val="000000" w:themeColor="text1"/>
        </w:rPr>
        <w:t>7.1.4固体废物处置措施</w:t>
      </w:r>
      <w:bookmarkEnd w:id="445"/>
      <w:bookmarkEnd w:id="446"/>
    </w:p>
    <w:p>
      <w:pPr>
        <w:ind w:firstLine="480" w:firstLineChars="200"/>
        <w:rPr>
          <w:color w:val="000000" w:themeColor="text1"/>
          <w:sz w:val="24"/>
        </w:rPr>
      </w:pPr>
      <w:r>
        <w:rPr>
          <w:color w:val="000000" w:themeColor="text1"/>
          <w:sz w:val="24"/>
        </w:rPr>
        <w:t>（1）建筑垃圾中的废弃铁质集中收集后外售，木质建材由相关单位回收，不能回收利用的部分用于场地内回填，禁止随意处置和堆放。</w:t>
      </w:r>
    </w:p>
    <w:p>
      <w:pPr>
        <w:ind w:firstLine="480" w:firstLineChars="200"/>
        <w:rPr>
          <w:color w:val="000000" w:themeColor="text1"/>
          <w:sz w:val="24"/>
        </w:rPr>
      </w:pPr>
      <w:r>
        <w:rPr>
          <w:color w:val="000000" w:themeColor="text1"/>
          <w:sz w:val="24"/>
        </w:rPr>
        <w:t>（2）表土堆场四周设置排水沟、围挡，并采取帆布覆盖。</w:t>
      </w:r>
    </w:p>
    <w:p>
      <w:pPr>
        <w:ind w:firstLine="480" w:firstLineChars="200"/>
        <w:rPr>
          <w:color w:val="000000" w:themeColor="text1"/>
          <w:sz w:val="24"/>
        </w:rPr>
      </w:pPr>
      <w:r>
        <w:rPr>
          <w:color w:val="000000" w:themeColor="text1"/>
          <w:sz w:val="24"/>
        </w:rPr>
        <w:t>（3）施工场地设置临时垃圾收集设施，生活垃圾集中收集后委托环卫部门处置。</w:t>
      </w:r>
    </w:p>
    <w:p>
      <w:pPr>
        <w:ind w:firstLine="480" w:firstLineChars="200"/>
        <w:rPr>
          <w:color w:val="000000" w:themeColor="text1"/>
          <w:sz w:val="24"/>
        </w:rPr>
      </w:pPr>
      <w:r>
        <w:rPr>
          <w:color w:val="000000" w:themeColor="text1"/>
          <w:sz w:val="24"/>
        </w:rPr>
        <w:t>（4）旱厕粪便委托当地</w:t>
      </w:r>
      <w:r>
        <w:rPr>
          <w:rFonts w:hint="eastAsia"/>
          <w:color w:val="000000" w:themeColor="text1"/>
          <w:sz w:val="24"/>
        </w:rPr>
        <w:t>居民定期清掏用于农肥</w:t>
      </w:r>
      <w:r>
        <w:rPr>
          <w:color w:val="000000" w:themeColor="text1"/>
          <w:sz w:val="24"/>
        </w:rPr>
        <w:t>。</w:t>
      </w:r>
    </w:p>
    <w:p>
      <w:pPr>
        <w:ind w:firstLine="480" w:firstLineChars="200"/>
        <w:rPr>
          <w:color w:val="000000" w:themeColor="text1"/>
          <w:sz w:val="24"/>
        </w:rPr>
      </w:pPr>
      <w:r>
        <w:rPr>
          <w:color w:val="000000" w:themeColor="text1"/>
          <w:sz w:val="24"/>
        </w:rPr>
        <w:t>采取的上述措施，可保证施工期固废得到妥善处置，不仅防止固废在场地堆放产生的二次污染，而且部分固废实现资源化利用，大大降低施工固废对环境的不利影响。</w:t>
      </w:r>
    </w:p>
    <w:p>
      <w:pPr>
        <w:pStyle w:val="3"/>
        <w:adjustRightInd w:val="0"/>
        <w:snapToGrid w:val="0"/>
        <w:spacing w:before="0" w:after="0"/>
        <w:rPr>
          <w:rFonts w:ascii="Times New Roman" w:hAnsi="Times New Roman"/>
          <w:color w:val="000000" w:themeColor="text1"/>
        </w:rPr>
      </w:pPr>
      <w:bookmarkStart w:id="447" w:name="_Toc510547356"/>
      <w:bookmarkStart w:id="448" w:name="_Toc4076505"/>
      <w:bookmarkStart w:id="449" w:name="_Toc189209464"/>
      <w:r>
        <w:rPr>
          <w:rFonts w:ascii="Times New Roman" w:hAnsi="Times New Roman"/>
          <w:color w:val="000000" w:themeColor="text1"/>
        </w:rPr>
        <w:t>7.2运营期环保措施</w:t>
      </w:r>
      <w:bookmarkEnd w:id="447"/>
      <w:bookmarkEnd w:id="448"/>
    </w:p>
    <w:bookmarkEnd w:id="449"/>
    <w:p>
      <w:pPr>
        <w:pStyle w:val="4"/>
        <w:adjustRightInd w:val="0"/>
        <w:snapToGrid w:val="0"/>
        <w:spacing w:before="0" w:after="0" w:line="360" w:lineRule="auto"/>
        <w:rPr>
          <w:color w:val="000000" w:themeColor="text1"/>
        </w:rPr>
      </w:pPr>
      <w:bookmarkStart w:id="450" w:name="_Toc504403863"/>
      <w:bookmarkStart w:id="451" w:name="_Toc510547357"/>
      <w:r>
        <w:rPr>
          <w:color w:val="000000" w:themeColor="text1"/>
        </w:rPr>
        <w:t>7.2.1大气污染防治措施</w:t>
      </w:r>
      <w:bookmarkEnd w:id="450"/>
      <w:r>
        <w:rPr>
          <w:color w:val="000000" w:themeColor="text1"/>
        </w:rPr>
        <w:t>及可行性</w:t>
      </w:r>
      <w:bookmarkEnd w:id="451"/>
    </w:p>
    <w:p>
      <w:pPr>
        <w:ind w:firstLine="480" w:firstLineChars="200"/>
        <w:rPr>
          <w:color w:val="000000" w:themeColor="text1"/>
          <w:sz w:val="24"/>
        </w:rPr>
      </w:pPr>
      <w:r>
        <w:rPr>
          <w:color w:val="000000" w:themeColor="text1"/>
          <w:sz w:val="24"/>
        </w:rPr>
        <w:t>（1）防治措施</w:t>
      </w:r>
    </w:p>
    <w:p>
      <w:pPr>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饲料中添加活菌剂</w:t>
      </w:r>
      <w:r>
        <w:rPr>
          <w:rFonts w:hint="eastAsia"/>
          <w:color w:val="000000" w:themeColor="text1"/>
          <w:sz w:val="24"/>
        </w:rPr>
        <w:t>（亚罗康菌微生物制剂）</w:t>
      </w:r>
      <w:r>
        <w:rPr>
          <w:color w:val="000000" w:themeColor="text1"/>
          <w:sz w:val="24"/>
        </w:rPr>
        <w:t>，降低臭气产生量。</w:t>
      </w:r>
    </w:p>
    <w:p>
      <w:pPr>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喷洒</w:t>
      </w:r>
      <w:r>
        <w:rPr>
          <w:rFonts w:hint="eastAsia"/>
          <w:color w:val="000000" w:themeColor="text1"/>
          <w:sz w:val="24"/>
        </w:rPr>
        <w:t>万洁芬生物除臭剂</w:t>
      </w:r>
      <w:r>
        <w:rPr>
          <w:color w:val="000000" w:themeColor="text1"/>
          <w:sz w:val="24"/>
        </w:rPr>
        <w:t>，定期对带猪圈舍</w:t>
      </w:r>
      <w:r>
        <w:rPr>
          <w:rFonts w:hint="eastAsia"/>
          <w:color w:val="000000" w:themeColor="text1"/>
          <w:sz w:val="24"/>
        </w:rPr>
        <w:t>、异位发酵车间</w:t>
      </w:r>
      <w:r>
        <w:rPr>
          <w:color w:val="000000" w:themeColor="text1"/>
          <w:sz w:val="24"/>
        </w:rPr>
        <w:t>除臭，利用生物菌剂可以消耗氨气、硫化氢等臭气分子的特性，降低空气中的臭气浓度。</w:t>
      </w:r>
    </w:p>
    <w:p>
      <w:pPr>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圈舍内猪粪日产日清，及时清理猪粪送至发酵间。</w:t>
      </w:r>
    </w:p>
    <w:p>
      <w:pPr>
        <w:ind w:firstLine="480" w:firstLineChars="200"/>
        <w:rPr>
          <w:color w:val="000000" w:themeColor="text1"/>
          <w:sz w:val="24"/>
        </w:rPr>
      </w:pPr>
      <w:r>
        <w:rPr>
          <w:rFonts w:hint="eastAsia" w:ascii="宋体" w:hAnsi="宋体" w:cs="宋体"/>
          <w:color w:val="000000" w:themeColor="text1"/>
          <w:sz w:val="24"/>
        </w:rPr>
        <w:t>④</w:t>
      </w:r>
      <w:r>
        <w:rPr>
          <w:color w:val="000000" w:themeColor="text1"/>
          <w:sz w:val="24"/>
        </w:rPr>
        <w:t>设置500m卫生防护距离。</w:t>
      </w:r>
    </w:p>
    <w:p>
      <w:pPr>
        <w:ind w:firstLine="480" w:firstLineChars="200"/>
        <w:rPr>
          <w:rFonts w:ascii="宋体" w:hAnsi="宋体" w:cs="宋体"/>
          <w:color w:val="000000" w:themeColor="text1"/>
          <w:sz w:val="24"/>
        </w:rPr>
      </w:pPr>
      <w:r>
        <w:rPr>
          <w:rFonts w:hint="eastAsia" w:ascii="宋体" w:hAnsi="宋体" w:cs="宋体"/>
          <w:color w:val="000000" w:themeColor="text1"/>
          <w:sz w:val="24"/>
        </w:rPr>
        <w:t>⑤</w:t>
      </w:r>
      <w:r>
        <w:rPr>
          <w:color w:val="000000" w:themeColor="text1"/>
          <w:sz w:val="24"/>
        </w:rPr>
        <w:t>沼气脱硫。</w:t>
      </w:r>
    </w:p>
    <w:p>
      <w:pPr>
        <w:ind w:firstLine="480" w:firstLineChars="200"/>
        <w:rPr>
          <w:color w:val="000000" w:themeColor="text1"/>
          <w:sz w:val="24"/>
        </w:rPr>
      </w:pPr>
      <w:r>
        <w:rPr>
          <w:rFonts w:hint="eastAsia" w:ascii="宋体" w:hAnsi="宋体" w:cs="宋体"/>
          <w:color w:val="000000" w:themeColor="text1"/>
          <w:sz w:val="24"/>
        </w:rPr>
        <w:t>⑥</w:t>
      </w:r>
      <w:r>
        <w:rPr>
          <w:color w:val="000000" w:themeColor="text1"/>
          <w:sz w:val="24"/>
        </w:rPr>
        <w:t>食堂油烟经油烟净化装置净化后经排气筒排出。</w:t>
      </w:r>
    </w:p>
    <w:p>
      <w:pPr>
        <w:adjustRightInd w:val="0"/>
        <w:snapToGrid w:val="0"/>
        <w:ind w:firstLine="480" w:firstLineChars="200"/>
        <w:rPr>
          <w:color w:val="000000" w:themeColor="text1"/>
          <w:kern w:val="0"/>
          <w:sz w:val="24"/>
        </w:rPr>
      </w:pPr>
      <w:r>
        <w:rPr>
          <w:color w:val="000000" w:themeColor="text1"/>
          <w:kern w:val="0"/>
          <w:sz w:val="24"/>
        </w:rPr>
        <w:t>（2）防治措施可行性</w:t>
      </w:r>
    </w:p>
    <w:p>
      <w:pPr>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臭气防治措施可行性</w:t>
      </w:r>
    </w:p>
    <w:p>
      <w:pPr>
        <w:ind w:firstLine="480" w:firstLineChars="200"/>
        <w:rPr>
          <w:color w:val="000000" w:themeColor="text1"/>
          <w:sz w:val="24"/>
        </w:rPr>
      </w:pPr>
      <w:r>
        <w:rPr>
          <w:rFonts w:hint="eastAsia"/>
          <w:color w:val="000000" w:themeColor="text1"/>
          <w:sz w:val="24"/>
        </w:rPr>
        <w:t>a.根据相关文献资料，在饲料中添加活菌剂（亚罗康菌微生物制剂），进入牲畜体内，经过竞争变为菌群优势，而净化体内消化道的有害杂菌，同时将氨气、硫化氢等转化为可供牲畜体内吸收的化合态氮和其他物质，减少排泄物中氨气、硫化氢含量。</w:t>
      </w:r>
    </w:p>
    <w:p>
      <w:pPr>
        <w:ind w:firstLine="480" w:firstLineChars="200"/>
        <w:rPr>
          <w:color w:val="000000" w:themeColor="text1"/>
          <w:sz w:val="24"/>
        </w:rPr>
      </w:pPr>
      <w:r>
        <w:rPr>
          <w:rFonts w:hint="eastAsia"/>
          <w:color w:val="000000" w:themeColor="text1"/>
          <w:sz w:val="24"/>
        </w:rPr>
        <w:t>b.</w:t>
      </w:r>
      <w:r>
        <w:rPr>
          <w:color w:val="000000" w:themeColor="text1"/>
          <w:sz w:val="24"/>
        </w:rPr>
        <w:t>生物除臭剂是利用微生物将臭味气体中的有机污染物降解或转化为无害或低害类物质。它的原理是通过生物氧化作用分解消除臭味源，除臭范围广泛，并且通过菌种平衡作用来抑制厌氧菌或别的有害菌的数量，使其无法产生臭味，通过微生物和有益菌类等来分解掉有机物、堵绝有机物产生氨和硫化氢（臭味）以及有害菌的生成与繁殖。与其他物理化学方法相比，投资少，运行费用低，污染物不会转移到其它地方，不会产生二次污染。生物除臭剂已广泛应用于养殖场、污水处理厂、垃圾填埋场除臭，除臭效果明显。</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②</w:t>
      </w:r>
      <w:r>
        <w:rPr>
          <w:rFonts w:ascii="Times New Roman" w:hAnsi="Times New Roman" w:cs="Times New Roman"/>
          <w:color w:val="000000" w:themeColor="text1"/>
        </w:rPr>
        <w:t>沼气防治措施</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沼气干法脱硫最常用的方法为常温氧化铁脱硫，根据《常温氧化铁脱硫剂在沼气脱硫中的应用》（山西省汾阳催化剂厂霍保根、田凤军），常温氧化铁脱硫剂硫容可达30%~40%以上，脱硫效率均在99%以上。根据沼气成分表，100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沼气中，H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S约占0.1~0.6m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（151.8~910.7g），经过脱硫后H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S浓度可降低至20mg/m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以下，满足《规模化畜禽养殖场沼气设计规范》（NY/T1220-2006）中的规定。沼气干法脱硫，工艺结构简单、技术成熟可靠，造价低，经济可行。</w:t>
      </w:r>
    </w:p>
    <w:p>
      <w:pPr>
        <w:pStyle w:val="4"/>
        <w:adjustRightInd w:val="0"/>
        <w:snapToGrid w:val="0"/>
        <w:spacing w:before="0" w:after="0" w:line="360" w:lineRule="auto"/>
        <w:rPr>
          <w:color w:val="000000" w:themeColor="text1"/>
        </w:rPr>
      </w:pPr>
      <w:bookmarkStart w:id="452" w:name="_Toc504403864"/>
      <w:bookmarkStart w:id="453" w:name="_Toc510547358"/>
      <w:r>
        <w:rPr>
          <w:color w:val="000000" w:themeColor="text1"/>
        </w:rPr>
        <w:t>7.2.2地表水水环境保护措施</w:t>
      </w:r>
      <w:bookmarkEnd w:id="452"/>
      <w:bookmarkEnd w:id="453"/>
    </w:p>
    <w:p>
      <w:pPr>
        <w:adjustRightInd w:val="0"/>
        <w:snapToGrid w:val="0"/>
        <w:ind w:firstLine="480" w:firstLineChars="200"/>
        <w:rPr>
          <w:color w:val="000000" w:themeColor="text1"/>
          <w:sz w:val="24"/>
        </w:rPr>
      </w:pPr>
      <w:r>
        <w:rPr>
          <w:color w:val="000000" w:themeColor="text1"/>
          <w:sz w:val="24"/>
        </w:rPr>
        <w:t>（1）防治措施</w:t>
      </w:r>
    </w:p>
    <w:p>
      <w:pPr>
        <w:adjustRightInd w:val="0"/>
        <w:snapToGrid w:val="0"/>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项目排水系统实行雨水和污水收集输送系统分离。</w:t>
      </w:r>
    </w:p>
    <w:p>
      <w:pPr>
        <w:adjustRightInd w:val="0"/>
        <w:snapToGrid w:val="0"/>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生活污水经项目区内隔油池处理后与猪尿、猪舍冲洗水、消毒废水一并进入</w:t>
      </w:r>
      <w:r>
        <w:rPr>
          <w:rFonts w:hint="eastAsia"/>
          <w:color w:val="000000" w:themeColor="text1"/>
          <w:sz w:val="24"/>
        </w:rPr>
        <w:t>沼气</w:t>
      </w:r>
      <w:r>
        <w:rPr>
          <w:color w:val="000000" w:themeColor="text1"/>
          <w:sz w:val="24"/>
        </w:rPr>
        <w:t>系统处理（处理规模应不小于</w:t>
      </w:r>
      <w:r>
        <w:rPr>
          <w:rFonts w:hint="eastAsia"/>
          <w:color w:val="000000" w:themeColor="text1"/>
          <w:sz w:val="24"/>
        </w:rPr>
        <w:t>70m</w:t>
      </w:r>
      <w:r>
        <w:rPr>
          <w:color w:val="000000" w:themeColor="text1"/>
          <w:sz w:val="24"/>
          <w:vertAlign w:val="superscript"/>
        </w:rPr>
        <w:t>3</w:t>
      </w:r>
      <w:r>
        <w:rPr>
          <w:color w:val="000000" w:themeColor="text1"/>
          <w:sz w:val="24"/>
        </w:rPr>
        <w:t>/d），处理后用于</w:t>
      </w:r>
      <w:r>
        <w:rPr>
          <w:rFonts w:hint="eastAsia"/>
          <w:color w:val="000000" w:themeColor="text1"/>
          <w:sz w:val="24"/>
        </w:rPr>
        <w:t>沼液一部分用于种植区施肥，剩余部分进入异位发酵车间发酵处理</w:t>
      </w:r>
      <w:r>
        <w:rPr>
          <w:color w:val="000000" w:themeColor="text1"/>
          <w:sz w:val="24"/>
        </w:rPr>
        <w:t>。</w:t>
      </w:r>
      <w:r>
        <w:rPr>
          <w:rFonts w:hint="eastAsia"/>
          <w:color w:val="000000" w:themeColor="text1"/>
          <w:sz w:val="24"/>
        </w:rPr>
        <w:t>沼气工程采用预处理+中温厌氧消化工艺。</w:t>
      </w:r>
    </w:p>
    <w:p>
      <w:pPr>
        <w:adjustRightInd w:val="0"/>
        <w:snapToGrid w:val="0"/>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项目建有一个</w:t>
      </w:r>
      <w:r>
        <w:rPr>
          <w:rFonts w:hint="eastAsia"/>
          <w:color w:val="000000" w:themeColor="text1"/>
          <w:sz w:val="24"/>
        </w:rPr>
        <w:t>5</w:t>
      </w:r>
      <w:r>
        <w:rPr>
          <w:color w:val="000000" w:themeColor="text1"/>
          <w:sz w:val="24"/>
        </w:rPr>
        <w:t>0</w:t>
      </w:r>
      <w:r>
        <w:rPr>
          <w:rFonts w:hint="eastAsia"/>
          <w:color w:val="000000" w:themeColor="text1"/>
          <w:sz w:val="24"/>
        </w:rPr>
        <w:t>0</w:t>
      </w:r>
      <w:r>
        <w:rPr>
          <w:color w:val="000000" w:themeColor="text1"/>
          <w:sz w:val="24"/>
        </w:rPr>
        <w:t>m</w:t>
      </w:r>
      <w:r>
        <w:rPr>
          <w:color w:val="000000" w:themeColor="text1"/>
          <w:sz w:val="24"/>
          <w:vertAlign w:val="superscript"/>
        </w:rPr>
        <w:t>3</w:t>
      </w:r>
      <w:r>
        <w:rPr>
          <w:color w:val="000000" w:themeColor="text1"/>
          <w:sz w:val="24"/>
        </w:rPr>
        <w:t>的事故水池，确保污水处理系统出现故障的情况下，废水不外排。</w:t>
      </w:r>
    </w:p>
    <w:p>
      <w:pPr>
        <w:adjustRightInd w:val="0"/>
        <w:snapToGrid w:val="0"/>
        <w:ind w:firstLine="480" w:firstLineChars="200"/>
        <w:rPr>
          <w:color w:val="000000" w:themeColor="text1"/>
          <w:sz w:val="24"/>
        </w:rPr>
      </w:pPr>
      <w:r>
        <w:rPr>
          <w:rFonts w:hint="eastAsia"/>
          <w:color w:val="000000" w:themeColor="text1"/>
          <w:sz w:val="24"/>
        </w:rPr>
        <w:t>④</w:t>
      </w:r>
      <w:r>
        <w:rPr>
          <w:rFonts w:hint="eastAsia"/>
          <w:bCs/>
          <w:color w:val="000000" w:themeColor="text1"/>
          <w:sz w:val="24"/>
        </w:rPr>
        <w:t>项目设置1个</w:t>
      </w:r>
      <w:r>
        <w:rPr>
          <w:color w:val="000000" w:themeColor="text1"/>
          <w:sz w:val="24"/>
        </w:rPr>
        <w:t>800m</w:t>
      </w:r>
      <w:r>
        <w:rPr>
          <w:color w:val="000000" w:themeColor="text1"/>
          <w:sz w:val="24"/>
          <w:vertAlign w:val="superscript"/>
        </w:rPr>
        <w:t>3</w:t>
      </w:r>
      <w:r>
        <w:rPr>
          <w:color w:val="000000" w:themeColor="text1"/>
          <w:sz w:val="24"/>
        </w:rPr>
        <w:t>雨水收集池</w:t>
      </w:r>
      <w:r>
        <w:rPr>
          <w:rFonts w:hint="eastAsia"/>
          <w:color w:val="000000" w:themeColor="text1"/>
          <w:sz w:val="24"/>
        </w:rPr>
        <w:t>，用于收集厂区初期雨水。</w:t>
      </w:r>
    </w:p>
    <w:p>
      <w:pPr>
        <w:adjustRightInd w:val="0"/>
        <w:snapToGrid w:val="0"/>
        <w:ind w:firstLine="480" w:firstLineChars="200"/>
        <w:rPr>
          <w:color w:val="000000" w:themeColor="text1"/>
          <w:sz w:val="24"/>
        </w:rPr>
      </w:pPr>
      <w:r>
        <w:rPr>
          <w:rFonts w:hint="eastAsia"/>
          <w:color w:val="000000" w:themeColor="text1"/>
          <w:sz w:val="24"/>
        </w:rPr>
        <w:t>⑤设置1间异位发酵车间，对沼液、沼渣、猪粪等进行发酵生产有机肥，实现粪污水零排放。</w:t>
      </w:r>
    </w:p>
    <w:p>
      <w:pPr>
        <w:adjustRightInd w:val="0"/>
        <w:snapToGrid w:val="0"/>
        <w:ind w:firstLine="480" w:firstLineChars="200"/>
        <w:rPr>
          <w:color w:val="000000" w:themeColor="text1"/>
          <w:sz w:val="24"/>
        </w:rPr>
      </w:pPr>
      <w:r>
        <w:rPr>
          <w:color w:val="000000" w:themeColor="text1"/>
          <w:sz w:val="24"/>
        </w:rPr>
        <w:t>（2）</w:t>
      </w:r>
      <w:r>
        <w:rPr>
          <w:rFonts w:hint="eastAsia"/>
          <w:color w:val="000000" w:themeColor="text1"/>
          <w:sz w:val="24"/>
        </w:rPr>
        <w:t>粪污治理措施可行性</w:t>
      </w:r>
    </w:p>
    <w:p>
      <w:pPr>
        <w:adjustRightInd w:val="0"/>
        <w:snapToGrid w:val="0"/>
        <w:ind w:firstLine="480" w:firstLineChars="200"/>
        <w:rPr>
          <w:rFonts w:ascii="宋体" w:hAnsi="宋体" w:cs="宋体"/>
          <w:color w:val="000000" w:themeColor="text1"/>
          <w:sz w:val="24"/>
        </w:rPr>
      </w:pPr>
      <w:r>
        <w:rPr>
          <w:rFonts w:hint="eastAsia" w:ascii="宋体" w:hAnsi="宋体" w:cs="宋体"/>
          <w:color w:val="000000" w:themeColor="text1"/>
          <w:sz w:val="24"/>
        </w:rPr>
        <w:t>本项目采用异位发酵床工艺将运营期污废水与干清粪一并处理；异位发酵床工艺是根据微生态理论和生物发酵理论，从土壤或样品中筛选出功能微生物菌种，通过特定营养剂的培养形成土著微生物原种，将原种按一定比例参拌锯末、谷壳等材料，然后控制一定的条件让其发酵成优势群落，最后制成有机肥料。</w:t>
      </w:r>
    </w:p>
    <w:p>
      <w:pPr>
        <w:adjustRightInd w:val="0"/>
        <w:snapToGrid w:val="0"/>
        <w:ind w:firstLine="480" w:firstLineChars="200"/>
        <w:rPr>
          <w:rFonts w:ascii="宋体" w:hAnsi="宋体" w:cs="宋体"/>
          <w:color w:val="000000" w:themeColor="text1"/>
          <w:sz w:val="24"/>
        </w:rPr>
      </w:pPr>
      <w:r>
        <w:rPr>
          <w:rFonts w:hint="eastAsia" w:ascii="宋体" w:hAnsi="宋体" w:cs="宋体"/>
          <w:color w:val="000000" w:themeColor="text1"/>
          <w:sz w:val="24"/>
        </w:rPr>
        <w:t>本次评价着重从项目生物发酵工艺技术、规模及经济三方面进行分析论证。</w:t>
      </w:r>
    </w:p>
    <w:p>
      <w:pPr>
        <w:adjustRightInd w:val="0"/>
        <w:snapToGrid w:val="0"/>
        <w:ind w:firstLine="480" w:firstLineChars="200"/>
        <w:rPr>
          <w:rFonts w:ascii="宋体" w:hAnsi="宋体" w:cs="宋体"/>
          <w:color w:val="000000" w:themeColor="text1"/>
          <w:sz w:val="24"/>
        </w:rPr>
      </w:pPr>
      <w:r>
        <w:rPr>
          <w:rFonts w:hint="eastAsia" w:ascii="宋体" w:hAnsi="宋体" w:cs="宋体"/>
          <w:color w:val="000000" w:themeColor="text1"/>
          <w:sz w:val="24"/>
        </w:rPr>
        <w:t>①工艺可行性分析</w:t>
      </w:r>
    </w:p>
    <w:p>
      <w:pPr>
        <w:adjustRightInd w:val="0"/>
        <w:snapToGrid w:val="0"/>
        <w:ind w:firstLine="480" w:firstLineChars="200"/>
        <w:rPr>
          <w:color w:val="000000" w:themeColor="text1"/>
          <w:sz w:val="24"/>
        </w:rPr>
      </w:pPr>
      <w:r>
        <w:rPr>
          <w:rFonts w:hint="eastAsia"/>
          <w:color w:val="000000" w:themeColor="text1"/>
          <w:sz w:val="24"/>
        </w:rPr>
        <w:t>异位发酵床工艺已十余年， 并在福建、江苏、江西、浙江、东三省等沿海发达地区得到推广普及。该工艺为湖泊生态环境保护系列技术指南中的《畜禽养殖污染发酵床治理工程技术指南（试行）》中推荐的“厌氧沼气加异位发酵床工程控制技术”。</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该工艺具有以下优点：</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a.零排放</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养殖场无需设置污水排污口，可真正实现的零污水排放。</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b.无蚊蝇、阻断病原菌传播</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通过洛东U 洁菌持续发酵使垫料维持高温（60-78℃)，有害病原菌及蚊蝇虫卵在垫料中均被灭活、无法生存。</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c. 实现废弃物资源化利用</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粪污经异位发酵床处理后，可全部转化为固态有机肥原料，且各项检测因子均能满足《有机肥料》（NY525-2012）规定的技术要求。</w:t>
      </w:r>
    </w:p>
    <w:p>
      <w:pPr>
        <w:pStyle w:val="132"/>
        <w:ind w:firstLine="482"/>
        <w:rPr>
          <w:rFonts w:ascii="Times New Roman" w:hAnsi="Times New Roman" w:cs="Times New Roman"/>
          <w:b/>
          <w:color w:val="000000" w:themeColor="text1"/>
        </w:rPr>
      </w:pPr>
      <w:r>
        <w:rPr>
          <w:rFonts w:hint="eastAsia" w:ascii="Times New Roman" w:hAnsi="Times New Roman" w:cs="Times New Roman"/>
          <w:b/>
          <w:color w:val="000000" w:themeColor="text1"/>
        </w:rPr>
        <w:t>类似案例：</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a.莆田市南山达盛养殖有限公司</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存栏3000头，猪场粪污微生物异位发酵舍建设面积670m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，2014年投入运行，于2015 年5 月通过环评验收，并获得排污许可证，该项目的成功运行得到莆田市相关政府部门高度认可。</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b.福清市畜牧推广</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2015年，福清农业局根据市政府要求。组织各镇（街）、农场对本辖区上报的拟保留猪场进行核查，经公示无异议后，报市政府确认了70家拟保留猪场。从2016年起，该局对保留下来的畜禽养殖场全部组织实施标准化改造，2016年应改造的59家猪场中有26 家采取了异位发酵床处理方案，并于10月16日通过了福清市农业局组织的实施方案项目评审。</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c.江山市石明畜业有限公司</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江山市石明畜业有限公司主要养殖生猪，存栏生猪5500头，年出栏10000头，采用“生猪养殖+异位发酵+有机肥+种植（果苗茶牧草）”模式，建有异位发酵车间1560m</w:t>
      </w:r>
      <w:r>
        <w:rPr>
          <w:rFonts w:hint="eastAsia" w:ascii="Times New Roman" w:hAnsi="Times New Roman" w:cs="Times New Roman"/>
          <w:color w:val="000000" w:themeColor="text1"/>
          <w:vertAlign w:val="superscript"/>
        </w:rPr>
        <w:t>2</w:t>
      </w:r>
      <w:r>
        <w:rPr>
          <w:rFonts w:hint="eastAsia" w:ascii="Times New Roman" w:hAnsi="Times New Roman" w:cs="Times New Roman"/>
          <w:color w:val="000000" w:themeColor="text1"/>
        </w:rPr>
        <w:t>，每天处理粪污水50t，实现污水零排放。</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d.福建晟丰农牧发展有限公司</w:t>
      </w:r>
    </w:p>
    <w:p>
      <w:pPr>
        <w:adjustRightInd w:val="0"/>
        <w:snapToGrid w:val="0"/>
        <w:ind w:firstLine="480" w:firstLineChars="200"/>
        <w:rPr>
          <w:color w:val="000000" w:themeColor="text1"/>
          <w:sz w:val="24"/>
        </w:rPr>
      </w:pPr>
      <w:r>
        <w:rPr>
          <w:rFonts w:hint="eastAsia"/>
          <w:color w:val="000000" w:themeColor="text1"/>
          <w:sz w:val="24"/>
        </w:rPr>
        <w:t>福建晟丰农牧发展有限公司主要养殖生猪，年出栏10000头，采用“生猪养殖+沼气发酵+异位发酵+有机肥”模式，2017年4月将原有粪污处理工艺升级改造为异位发酵处理系统，保留沼气发酵工序，建有异位发酵车间1500m</w:t>
      </w:r>
      <w:r>
        <w:rPr>
          <w:rFonts w:hint="eastAsia"/>
          <w:color w:val="000000" w:themeColor="text1"/>
          <w:sz w:val="24"/>
          <w:vertAlign w:val="superscript"/>
        </w:rPr>
        <w:t>2</w:t>
      </w:r>
      <w:r>
        <w:rPr>
          <w:rFonts w:hint="eastAsia"/>
          <w:color w:val="000000" w:themeColor="text1"/>
          <w:sz w:val="24"/>
        </w:rPr>
        <w:t>，每天处理粪污水33t，实现污水零排放。项目与2017年12月进行验收。</w:t>
      </w:r>
    </w:p>
    <w:tbl>
      <w:tblPr>
        <w:tblStyle w:val="42"/>
        <w:tblW w:w="9327"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4630"/>
        <w:gridCol w:w="469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400" w:hRule="atLeast"/>
          <w:jc w:val="center"/>
        </w:trPr>
        <w:tc>
          <w:tcPr>
            <w:tcW w:w="4630" w:type="dxa"/>
            <w:vAlign w:val="center"/>
          </w:tcPr>
          <w:p>
            <w:pPr>
              <w:jc w:val="center"/>
              <w:rPr>
                <w:color w:val="000000" w:themeColor="text1"/>
                <w:szCs w:val="21"/>
              </w:rPr>
            </w:pPr>
            <w:r>
              <w:rPr>
                <w:color w:val="000000" w:themeColor="text1"/>
                <w:szCs w:val="21"/>
              </w:rPr>
              <w:drawing>
                <wp:inline distT="0" distB="0" distL="0" distR="0">
                  <wp:extent cx="2706370" cy="2011680"/>
                  <wp:effectExtent l="0" t="0" r="0" b="0"/>
                  <wp:docPr id="13" name="图片 1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1.jpg"/>
                          <pic:cNvPicPr>
                            <a:picLocks noChangeAspect="1" noChangeArrowheads="1"/>
                          </pic:cNvPicPr>
                        </pic:nvPicPr>
                        <pic:blipFill>
                          <a:blip r:embed="rId67">
                            <a:extLst>
                              <a:ext uri="{28A0092B-C50C-407E-A947-70E740481C1C}">
                                <a14:useLocalDpi xmlns:a14="http://schemas.microsoft.com/office/drawing/2010/main" val="0"/>
                              </a:ext>
                            </a:extLst>
                          </a:blip>
                          <a:srcRect t="6383"/>
                          <a:stretch>
                            <a:fillRect/>
                          </a:stretch>
                        </pic:blipFill>
                        <pic:spPr>
                          <a:xfrm>
                            <a:off x="0" y="0"/>
                            <a:ext cx="2706370" cy="2011680"/>
                          </a:xfrm>
                          <a:prstGeom prst="rect">
                            <a:avLst/>
                          </a:prstGeom>
                          <a:noFill/>
                          <a:ln>
                            <a:noFill/>
                          </a:ln>
                        </pic:spPr>
                      </pic:pic>
                    </a:graphicData>
                  </a:graphic>
                </wp:inline>
              </w:drawing>
            </w:r>
          </w:p>
        </w:tc>
        <w:tc>
          <w:tcPr>
            <w:tcW w:w="4697" w:type="dxa"/>
            <w:vAlign w:val="center"/>
          </w:tcPr>
          <w:p>
            <w:pPr>
              <w:jc w:val="center"/>
              <w:rPr>
                <w:color w:val="000000" w:themeColor="text1"/>
                <w:szCs w:val="21"/>
              </w:rPr>
            </w:pPr>
            <w:r>
              <w:rPr>
                <w:color w:val="000000" w:themeColor="text1"/>
                <w:szCs w:val="21"/>
              </w:rPr>
              <w:drawing>
                <wp:inline distT="0" distB="0" distL="0" distR="0">
                  <wp:extent cx="2605405" cy="1974850"/>
                  <wp:effectExtent l="0" t="0" r="0" b="0"/>
                  <wp:docPr id="14" name="图片 14"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606040" cy="1975373"/>
                          </a:xfrm>
                          <a:prstGeom prst="rect">
                            <a:avLst/>
                          </a:prstGeom>
                          <a:noFill/>
                          <a:ln>
                            <a:noFill/>
                          </a:ln>
                        </pic:spPr>
                      </pic:pic>
                    </a:graphicData>
                  </a:graphic>
                </wp:inline>
              </w:drawing>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60" w:hRule="atLeast"/>
          <w:jc w:val="center"/>
        </w:trPr>
        <w:tc>
          <w:tcPr>
            <w:tcW w:w="4630" w:type="dxa"/>
            <w:vAlign w:val="center"/>
          </w:tcPr>
          <w:p>
            <w:pPr>
              <w:jc w:val="center"/>
              <w:rPr>
                <w:color w:val="000000" w:themeColor="text1"/>
                <w:szCs w:val="21"/>
              </w:rPr>
            </w:pPr>
            <w:r>
              <w:rPr>
                <w:rFonts w:hint="eastAsia"/>
                <w:color w:val="000000" w:themeColor="text1"/>
                <w:szCs w:val="21"/>
              </w:rPr>
              <w:t>全自动翻抛垫料及喷污</w:t>
            </w:r>
          </w:p>
        </w:tc>
        <w:tc>
          <w:tcPr>
            <w:tcW w:w="4697" w:type="dxa"/>
            <w:vAlign w:val="center"/>
          </w:tcPr>
          <w:p>
            <w:pPr>
              <w:jc w:val="center"/>
              <w:rPr>
                <w:color w:val="000000" w:themeColor="text1"/>
                <w:szCs w:val="21"/>
              </w:rPr>
            </w:pPr>
            <w:r>
              <w:rPr>
                <w:rFonts w:hint="eastAsia"/>
                <w:color w:val="000000" w:themeColor="text1"/>
                <w:szCs w:val="21"/>
              </w:rPr>
              <w:t>使用1年垫料外观</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60" w:hRule="atLeast"/>
          <w:jc w:val="center"/>
        </w:trPr>
        <w:tc>
          <w:tcPr>
            <w:tcW w:w="4630" w:type="dxa"/>
            <w:vAlign w:val="center"/>
          </w:tcPr>
          <w:p>
            <w:pPr>
              <w:rPr>
                <w:color w:val="000000" w:themeColor="text1"/>
                <w:szCs w:val="21"/>
              </w:rPr>
            </w:pPr>
            <w:r>
              <w:rPr>
                <w:color w:val="000000" w:themeColor="text1"/>
                <w:szCs w:val="21"/>
              </w:rPr>
              <w:drawing>
                <wp:inline distT="0" distB="0" distL="0" distR="0">
                  <wp:extent cx="2587625" cy="1938655"/>
                  <wp:effectExtent l="0" t="0" r="0" b="0"/>
                  <wp:docPr id="15" name="图片 15"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587625" cy="1938655"/>
                          </a:xfrm>
                          <a:prstGeom prst="rect">
                            <a:avLst/>
                          </a:prstGeom>
                          <a:noFill/>
                          <a:ln>
                            <a:noFill/>
                          </a:ln>
                        </pic:spPr>
                      </pic:pic>
                    </a:graphicData>
                  </a:graphic>
                </wp:inline>
              </w:drawing>
            </w:r>
          </w:p>
        </w:tc>
        <w:tc>
          <w:tcPr>
            <w:tcW w:w="4697" w:type="dxa"/>
            <w:vAlign w:val="center"/>
          </w:tcPr>
          <w:p>
            <w:pPr>
              <w:jc w:val="center"/>
              <w:rPr>
                <w:color w:val="000000" w:themeColor="text1"/>
                <w:szCs w:val="21"/>
              </w:rPr>
            </w:pPr>
            <w:r>
              <w:rPr>
                <w:color w:val="000000" w:themeColor="text1"/>
                <w:szCs w:val="21"/>
              </w:rPr>
              <w:drawing>
                <wp:inline distT="0" distB="0" distL="0" distR="0">
                  <wp:extent cx="2614930" cy="1957070"/>
                  <wp:effectExtent l="0" t="0" r="0" b="0"/>
                  <wp:docPr id="16" name="图片 16"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614930" cy="1957070"/>
                          </a:xfrm>
                          <a:prstGeom prst="rect">
                            <a:avLst/>
                          </a:prstGeom>
                          <a:noFill/>
                          <a:ln>
                            <a:noFill/>
                          </a:ln>
                        </pic:spPr>
                      </pic:pic>
                    </a:graphicData>
                  </a:graphic>
                </wp:inline>
              </w:drawing>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7" w:hRule="atLeast"/>
          <w:jc w:val="center"/>
        </w:trPr>
        <w:tc>
          <w:tcPr>
            <w:tcW w:w="4630" w:type="dxa"/>
            <w:vAlign w:val="center"/>
          </w:tcPr>
          <w:p>
            <w:pPr>
              <w:jc w:val="center"/>
              <w:rPr>
                <w:color w:val="000000" w:themeColor="text1"/>
                <w:szCs w:val="21"/>
              </w:rPr>
            </w:pPr>
            <w:r>
              <w:rPr>
                <w:rFonts w:hint="eastAsia"/>
                <w:color w:val="000000" w:themeColor="text1"/>
                <w:szCs w:val="21"/>
              </w:rPr>
              <w:t>全自动翻抛机</w:t>
            </w:r>
          </w:p>
        </w:tc>
        <w:tc>
          <w:tcPr>
            <w:tcW w:w="4697" w:type="dxa"/>
            <w:vAlign w:val="center"/>
          </w:tcPr>
          <w:p>
            <w:pPr>
              <w:jc w:val="center"/>
              <w:rPr>
                <w:color w:val="000000" w:themeColor="text1"/>
                <w:szCs w:val="21"/>
              </w:rPr>
            </w:pPr>
            <w:r>
              <w:rPr>
                <w:rFonts w:hint="eastAsia"/>
                <w:color w:val="000000" w:themeColor="text1"/>
                <w:szCs w:val="21"/>
              </w:rPr>
              <w:t>发酵车间内部图</w:t>
            </w:r>
          </w:p>
        </w:tc>
      </w:tr>
    </w:tbl>
    <w:p>
      <w:pPr>
        <w:adjustRightInd w:val="0"/>
        <w:snapToGrid w:val="0"/>
        <w:ind w:firstLine="480" w:firstLineChars="200"/>
        <w:rPr>
          <w:color w:val="000000" w:themeColor="text1"/>
          <w:sz w:val="24"/>
        </w:rPr>
      </w:pPr>
    </w:p>
    <w:p>
      <w:pPr>
        <w:adjustRightInd w:val="0"/>
        <w:snapToGrid w:val="0"/>
        <w:ind w:firstLine="480" w:firstLineChars="200"/>
        <w:rPr>
          <w:color w:val="000000" w:themeColor="text1"/>
          <w:sz w:val="24"/>
        </w:rPr>
      </w:pPr>
      <w:r>
        <w:rPr>
          <w:rFonts w:hint="eastAsia"/>
          <w:color w:val="000000" w:themeColor="text1"/>
          <w:sz w:val="24"/>
        </w:rPr>
        <w:t>综上，项目采用异位生物发酵床工艺处理养殖产生的粪污， 在工艺技术上是可行的。</w:t>
      </w:r>
    </w:p>
    <w:p>
      <w:pPr>
        <w:adjustRightInd w:val="0"/>
        <w:snapToGrid w:val="0"/>
        <w:ind w:firstLine="420" w:firstLineChars="200"/>
        <w:rPr>
          <w:color w:val="000000" w:themeColor="text1"/>
          <w:sz w:val="24"/>
        </w:rPr>
      </w:pPr>
      <w:r>
        <w:rPr>
          <w:rFonts w:hint="eastAsia"/>
          <w:color w:val="000000" w:themeColor="text1"/>
        </w:rPr>
        <w:t>②</w:t>
      </w:r>
      <w:r>
        <w:rPr>
          <w:color w:val="000000" w:themeColor="text1"/>
          <w:sz w:val="24"/>
        </w:rPr>
        <w:t>规模合理性</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根据异位发酵床工艺技术要求，发酵床规模应根据猪只按存栏量，按每头猪（成年猪）0.4~0.6m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规模配置发酵床。本项目存栏猪10000头，按每头猪配置发酵床规模0.4m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计算，应配置4000m</w:t>
      </w:r>
      <w:r>
        <w:rPr>
          <w:rFonts w:hint="eastAsia" w:ascii="Times New Roman" w:hAnsi="Times New Roman" w:cs="Times New Roman"/>
          <w:color w:val="000000" w:themeColor="text1"/>
          <w:vertAlign w:val="superscript"/>
        </w:rPr>
        <w:t xml:space="preserve">3 </w:t>
      </w:r>
      <w:r>
        <w:rPr>
          <w:rFonts w:hint="eastAsia" w:ascii="Times New Roman" w:hAnsi="Times New Roman" w:cs="Times New Roman"/>
          <w:color w:val="000000" w:themeColor="text1"/>
        </w:rPr>
        <w:t>规模的发酵床。另根据异位发酵床工艺技术要求，每立方发酵基质喷淋粪污量不超过30kg/d ，项目建成后每天产生粪污量为76.34t（沼液63.2t、猪粪10.7t、饲料渣0.3t、沼渣2.14t），则至少应需要基质2545m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（发酵床规模应大于此规模）。</w:t>
      </w:r>
    </w:p>
    <w:p>
      <w:pPr>
        <w:pStyle w:val="132"/>
        <w:ind w:firstLine="480"/>
        <w:rPr>
          <w:rFonts w:ascii="Times New Roman" w:hAnsi="Times New Roman" w:cs="Times New Roman"/>
          <w:color w:val="000000" w:themeColor="text1"/>
        </w:rPr>
      </w:pPr>
      <w:r>
        <w:rPr>
          <w:rFonts w:hint="eastAsia" w:ascii="Times New Roman" w:hAnsi="Times New Roman" w:cs="Times New Roman"/>
          <w:color w:val="000000" w:themeColor="text1"/>
        </w:rPr>
        <w:t>本项目发酵车间设发酵槽5条，</w:t>
      </w:r>
      <w:r>
        <w:rPr>
          <w:rFonts w:ascii="Times New Roman" w:hAnsi="Times New Roman" w:cs="Times New Roman"/>
          <w:color w:val="000000" w:themeColor="text1"/>
        </w:rPr>
        <w:t>单条长</w:t>
      </w:r>
      <w:r>
        <w:rPr>
          <w:rFonts w:hint="eastAsia" w:ascii="Times New Roman" w:hAnsi="Times New Roman" w:cs="Times New Roman"/>
          <w:color w:val="000000" w:themeColor="text1"/>
        </w:rPr>
        <w:t>10</w:t>
      </w:r>
      <w:r>
        <w:rPr>
          <w:rFonts w:ascii="Times New Roman" w:hAnsi="Times New Roman" w:cs="Times New Roman"/>
          <w:color w:val="000000" w:themeColor="text1"/>
        </w:rPr>
        <w:t>0m×宽</w:t>
      </w:r>
      <w:r>
        <w:rPr>
          <w:rFonts w:hint="eastAsia" w:ascii="Times New Roman" w:hAnsi="Times New Roman" w:cs="Times New Roman"/>
          <w:color w:val="000000" w:themeColor="text1"/>
        </w:rPr>
        <w:t>5</w:t>
      </w:r>
      <w:r>
        <w:rPr>
          <w:rFonts w:ascii="Times New Roman" w:hAnsi="Times New Roman" w:cs="Times New Roman"/>
          <w:color w:val="000000" w:themeColor="text1"/>
        </w:rPr>
        <w:t>m×深1.65m</w:t>
      </w:r>
      <w:r>
        <w:rPr>
          <w:rFonts w:hint="eastAsia" w:ascii="Times New Roman" w:hAnsi="Times New Roman" w:cs="Times New Roman"/>
          <w:color w:val="000000" w:themeColor="text1"/>
        </w:rPr>
        <w:t>，合计发酵床规模为4125m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，其规模大于理论规模4000m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，因此完全可满足本项目需要。</w:t>
      </w:r>
    </w:p>
    <w:p>
      <w:pPr>
        <w:pStyle w:val="132"/>
        <w:adjustRightInd w:val="0"/>
        <w:snapToGrid w:val="0"/>
        <w:ind w:firstLine="480"/>
        <w:rPr>
          <w:rFonts w:ascii="Times New Roman" w:hAnsi="Times New Roman" w:cs="Times New Roman"/>
          <w:color w:val="000000" w:themeColor="text1"/>
        </w:rPr>
      </w:pPr>
      <w:r>
        <w:rPr>
          <w:rFonts w:hint="eastAsia" w:ascii="Times New Roman" w:hAnsi="Times New Roman" w:cs="Times New Roman"/>
          <w:color w:val="000000" w:themeColor="text1"/>
        </w:rPr>
        <w:t>根据环境保护部发布的“关于印发《"十二五"主要污染物总量减排核算细则》的通知”文件中的规定设计，一般情况下，每10头猪（出栏）粪便堆场所所需容积约为1m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。项目年出栏生猪25000头，则项目发酵车间发酵槽容积不得小于2500m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。项目单条发酵槽容积为825m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，工设置发酵床5套，总容积为4125m</w:t>
      </w:r>
      <w:r>
        <w:rPr>
          <w:rFonts w:hint="eastAsia" w:ascii="Times New Roman" w:hAnsi="Times New Roman" w:cs="Times New Roman"/>
          <w:color w:val="000000" w:themeColor="text1"/>
          <w:vertAlign w:val="superscript"/>
        </w:rPr>
        <w:t>3</w:t>
      </w:r>
      <w:r>
        <w:rPr>
          <w:rFonts w:hint="eastAsia" w:ascii="Times New Roman" w:hAnsi="Times New Roman" w:cs="Times New Roman"/>
          <w:color w:val="000000" w:themeColor="text1"/>
        </w:rPr>
        <w:t>，发酵槽总容积满足“关于印发《"十二五"主要污染物总量减排核算细则》的通知”文件要求。</w:t>
      </w:r>
    </w:p>
    <w:p>
      <w:pPr>
        <w:adjustRightInd w:val="0"/>
        <w:snapToGrid w:val="0"/>
        <w:ind w:firstLine="480" w:firstLineChars="200"/>
        <w:rPr>
          <w:color w:val="000000" w:themeColor="text1"/>
          <w:sz w:val="24"/>
        </w:rPr>
      </w:pPr>
      <w:r>
        <w:rPr>
          <w:rFonts w:hint="eastAsia" w:ascii="宋体" w:hAnsi="宋体" w:cs="宋体"/>
          <w:color w:val="000000" w:themeColor="text1"/>
          <w:sz w:val="24"/>
        </w:rPr>
        <w:t>③沼液施肥可行性</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云南省环保厅《关于规模化畜禽养殖主要污染物减排量认定条件的函（云环函[2012]343号）》中的规定，采取尿液沼气处理、粪便堆肥等有效处理处置措施直接还田、废弃物还田量不能超过土地承载力，原则上每亩土地消纳污水/尿液量不超过5头猪（出栏成年猪）废弃物量。</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w:t>
      </w:r>
      <w:r>
        <w:rPr>
          <w:rFonts w:hint="eastAsia" w:ascii="Times New Roman" w:hAnsi="Times New Roman" w:cs="Times New Roman"/>
          <w:color w:val="000000" w:themeColor="text1"/>
        </w:rPr>
        <w:t>种植区面积为231亩，</w:t>
      </w:r>
      <w:r>
        <w:rPr>
          <w:rFonts w:ascii="Times New Roman" w:hAnsi="Times New Roman" w:cs="Times New Roman"/>
          <w:color w:val="000000" w:themeColor="text1"/>
        </w:rPr>
        <w:t>消纳污水/尿液量不超过</w:t>
      </w:r>
      <w:r>
        <w:rPr>
          <w:rFonts w:hint="eastAsia" w:ascii="Times New Roman" w:hAnsi="Times New Roman" w:cs="Times New Roman"/>
          <w:color w:val="000000" w:themeColor="text1"/>
        </w:rPr>
        <w:t>1155</w:t>
      </w:r>
      <w:r>
        <w:rPr>
          <w:rFonts w:ascii="Times New Roman" w:hAnsi="Times New Roman" w:cs="Times New Roman"/>
          <w:color w:val="000000" w:themeColor="text1"/>
        </w:rPr>
        <w:t>头猪（出栏成年猪）废弃物量</w:t>
      </w:r>
      <w:r>
        <w:rPr>
          <w:rFonts w:hint="eastAsia" w:ascii="Times New Roman" w:hAnsi="Times New Roman" w:cs="Times New Roman"/>
          <w:color w:val="000000" w:themeColor="text1"/>
        </w:rPr>
        <w:t>。项目年出栏生猪25000头，粪污（污水+猪粪）产生量16716t，则项目种植区施肥用量不得超过773t。根据计算，项目年沼液施用量为760t，不超过</w:t>
      </w:r>
      <w:r>
        <w:rPr>
          <w:rFonts w:ascii="Times New Roman" w:hAnsi="Times New Roman" w:cs="Times New Roman"/>
          <w:color w:val="000000" w:themeColor="text1"/>
        </w:rPr>
        <w:t>土地承载力</w:t>
      </w:r>
      <w:r>
        <w:rPr>
          <w:rFonts w:hint="eastAsia" w:ascii="Times New Roman" w:hAnsi="Times New Roman" w:cs="Times New Roman"/>
          <w:color w:val="000000" w:themeColor="text1"/>
        </w:rPr>
        <w:t>要求。</w:t>
      </w:r>
    </w:p>
    <w:p>
      <w:pPr>
        <w:adjustRightInd w:val="0"/>
        <w:snapToGrid w:val="0"/>
        <w:ind w:firstLine="480" w:firstLineChars="200"/>
        <w:rPr>
          <w:color w:val="000000" w:themeColor="text1"/>
          <w:sz w:val="24"/>
        </w:rPr>
      </w:pPr>
      <w:r>
        <w:rPr>
          <w:rFonts w:hint="eastAsia" w:ascii="宋体" w:hAnsi="宋体" w:cs="宋体"/>
          <w:color w:val="000000" w:themeColor="text1"/>
          <w:sz w:val="24"/>
        </w:rPr>
        <w:t>④</w:t>
      </w:r>
      <w:r>
        <w:rPr>
          <w:color w:val="000000" w:themeColor="text1"/>
          <w:sz w:val="24"/>
        </w:rPr>
        <w:t>经济可行性</w:t>
      </w:r>
    </w:p>
    <w:p>
      <w:pPr>
        <w:adjustRightInd w:val="0"/>
        <w:snapToGrid w:val="0"/>
        <w:ind w:firstLine="480" w:firstLineChars="200"/>
        <w:rPr>
          <w:color w:val="000000" w:themeColor="text1"/>
          <w:sz w:val="24"/>
        </w:rPr>
      </w:pPr>
      <w:r>
        <w:rPr>
          <w:color w:val="000000" w:themeColor="text1"/>
          <w:sz w:val="24"/>
        </w:rPr>
        <w:t>根据建设单位初步核算，项目</w:t>
      </w:r>
      <w:r>
        <w:rPr>
          <w:rFonts w:hint="eastAsia"/>
          <w:color w:val="000000" w:themeColor="text1"/>
          <w:sz w:val="24"/>
        </w:rPr>
        <w:t>沼气工程</w:t>
      </w:r>
      <w:r>
        <w:rPr>
          <w:color w:val="000000" w:themeColor="text1"/>
          <w:sz w:val="24"/>
        </w:rPr>
        <w:t>建设投资为</w:t>
      </w:r>
      <w:r>
        <w:rPr>
          <w:rFonts w:hint="eastAsia"/>
          <w:color w:val="000000" w:themeColor="text1"/>
          <w:sz w:val="24"/>
        </w:rPr>
        <w:t>655</w:t>
      </w:r>
      <w:r>
        <w:rPr>
          <w:color w:val="000000" w:themeColor="text1"/>
          <w:sz w:val="24"/>
        </w:rPr>
        <w:t>万元，运行费用为</w:t>
      </w:r>
      <w:r>
        <w:rPr>
          <w:rFonts w:hint="eastAsia"/>
          <w:color w:val="000000" w:themeColor="text1"/>
          <w:sz w:val="24"/>
        </w:rPr>
        <w:t>5</w:t>
      </w:r>
      <w:r>
        <w:rPr>
          <w:color w:val="000000" w:themeColor="text1"/>
          <w:sz w:val="24"/>
        </w:rPr>
        <w:t>~8元/m</w:t>
      </w:r>
      <w:r>
        <w:rPr>
          <w:color w:val="000000" w:themeColor="text1"/>
          <w:sz w:val="24"/>
          <w:vertAlign w:val="superscript"/>
        </w:rPr>
        <w:t>3</w:t>
      </w:r>
      <w:r>
        <w:rPr>
          <w:color w:val="000000" w:themeColor="text1"/>
          <w:sz w:val="24"/>
        </w:rPr>
        <w:t>。项目污水处理站建设投资适中，运行费用合理。</w:t>
      </w:r>
    </w:p>
    <w:p>
      <w:pPr>
        <w:adjustRightInd w:val="0"/>
        <w:snapToGrid w:val="0"/>
        <w:ind w:firstLine="480" w:firstLineChars="200"/>
        <w:rPr>
          <w:color w:val="000000" w:themeColor="text1"/>
          <w:sz w:val="24"/>
        </w:rPr>
      </w:pPr>
      <w:r>
        <w:rPr>
          <w:rFonts w:hint="eastAsia"/>
          <w:color w:val="000000" w:themeColor="text1"/>
          <w:sz w:val="24"/>
        </w:rPr>
        <w:t>据设计单位提供资料，采用异位生物发酵床工艺，首次投入成本为120万元，年总运行成本为14万元（含、电费、菌种补充、人工及设备保养），分摊到等粪污水运行成本为5.02元/t ，项目发酵车间年产有机肥2786.4t，以中等市场价500 元/t 计算，则年产值约139.32万元。该工艺不但能将粪污处理，且具有很好的经济效益。</w:t>
      </w:r>
    </w:p>
    <w:p>
      <w:pPr>
        <w:adjustRightInd w:val="0"/>
        <w:snapToGrid w:val="0"/>
        <w:ind w:firstLine="480" w:firstLineChars="200"/>
        <w:rPr>
          <w:color w:val="000000" w:themeColor="text1"/>
          <w:sz w:val="24"/>
        </w:rPr>
      </w:pPr>
      <w:r>
        <w:rPr>
          <w:rFonts w:hint="eastAsia"/>
          <w:color w:val="000000" w:themeColor="text1"/>
          <w:sz w:val="24"/>
        </w:rPr>
        <w:t>因此项目采用沼气+异位发酵工艺从经济可行性分析是可行的。</w:t>
      </w:r>
    </w:p>
    <w:p>
      <w:pPr>
        <w:adjustRightInd w:val="0"/>
        <w:snapToGrid w:val="0"/>
        <w:ind w:firstLine="480" w:firstLineChars="200"/>
        <w:rPr>
          <w:color w:val="000000" w:themeColor="text1"/>
          <w:sz w:val="24"/>
        </w:rPr>
      </w:pPr>
      <w:r>
        <w:rPr>
          <w:rFonts w:hint="eastAsia"/>
          <w:color w:val="000000" w:themeColor="text1"/>
          <w:sz w:val="24"/>
        </w:rPr>
        <w:t>综上，项目采用沼气+异位发酵床工艺处理运营期产生的粪污，具有技术经济可行性。</w:t>
      </w:r>
    </w:p>
    <w:p>
      <w:pPr>
        <w:pStyle w:val="4"/>
        <w:adjustRightInd w:val="0"/>
        <w:snapToGrid w:val="0"/>
        <w:spacing w:before="0" w:after="0" w:line="360" w:lineRule="auto"/>
        <w:rPr>
          <w:color w:val="000000" w:themeColor="text1"/>
        </w:rPr>
      </w:pPr>
      <w:bookmarkStart w:id="454" w:name="_Toc504403866"/>
      <w:bookmarkStart w:id="455" w:name="_Toc510547359"/>
      <w:r>
        <w:rPr>
          <w:color w:val="000000" w:themeColor="text1"/>
        </w:rPr>
        <w:t>7.2.3地下水污染防治措施</w:t>
      </w:r>
      <w:bookmarkEnd w:id="454"/>
      <w:bookmarkEnd w:id="455"/>
    </w:p>
    <w:p>
      <w:pPr>
        <w:ind w:firstLine="460" w:firstLineChars="192"/>
        <w:rPr>
          <w:color w:val="000000" w:themeColor="text1"/>
          <w:sz w:val="24"/>
        </w:rPr>
      </w:pPr>
      <w:r>
        <w:rPr>
          <w:color w:val="000000" w:themeColor="text1"/>
          <w:sz w:val="24"/>
        </w:rPr>
        <w:t>（1）防治措施</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①</w:t>
      </w:r>
      <w:r>
        <w:rPr>
          <w:color w:val="000000" w:themeColor="text1"/>
          <w:sz w:val="24"/>
        </w:rPr>
        <w:t>源头控制措施</w:t>
      </w:r>
    </w:p>
    <w:p>
      <w:pPr>
        <w:adjustRightInd w:val="0"/>
        <w:snapToGrid w:val="0"/>
        <w:ind w:firstLine="480" w:firstLineChars="200"/>
        <w:jc w:val="left"/>
        <w:rPr>
          <w:color w:val="000000" w:themeColor="text1"/>
          <w:sz w:val="24"/>
        </w:rPr>
      </w:pPr>
      <w:r>
        <w:rPr>
          <w:color w:val="000000" w:themeColor="text1"/>
          <w:sz w:val="24"/>
        </w:rPr>
        <w:t>a.节约用水，采用干清粪工艺，减少废水产生量，废水排入污水处理站处理达标后回用，不外排。</w:t>
      </w:r>
    </w:p>
    <w:p>
      <w:pPr>
        <w:adjustRightInd w:val="0"/>
        <w:snapToGrid w:val="0"/>
        <w:ind w:firstLine="480" w:firstLineChars="200"/>
        <w:jc w:val="left"/>
        <w:rPr>
          <w:color w:val="000000" w:themeColor="text1"/>
          <w:sz w:val="24"/>
        </w:rPr>
      </w:pPr>
      <w:r>
        <w:rPr>
          <w:color w:val="000000" w:themeColor="text1"/>
          <w:sz w:val="24"/>
        </w:rPr>
        <w:t>b.定期对污水管、设备、污水储存及处理构筑物进行巡检、调节、保养、维修，及时发现可能引起事故的异常运行苗头，消除事故隐患，将污染物跑、冒、滴、漏降到最低限度。</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②</w:t>
      </w:r>
      <w:r>
        <w:rPr>
          <w:color w:val="000000" w:themeColor="text1"/>
          <w:sz w:val="24"/>
        </w:rPr>
        <w:t>分区防控措施</w:t>
      </w:r>
    </w:p>
    <w:p>
      <w:pPr>
        <w:adjustRightInd w:val="0"/>
        <w:snapToGrid w:val="0"/>
        <w:ind w:firstLine="480" w:firstLineChars="200"/>
        <w:jc w:val="left"/>
        <w:rPr>
          <w:color w:val="000000" w:themeColor="text1"/>
          <w:sz w:val="24"/>
        </w:rPr>
      </w:pPr>
      <w:r>
        <w:rPr>
          <w:color w:val="000000" w:themeColor="text1"/>
          <w:sz w:val="24"/>
        </w:rPr>
        <w:t>项目分区防控措施见表7.2-2。</w:t>
      </w:r>
    </w:p>
    <w:p>
      <w:pPr>
        <w:snapToGrid w:val="0"/>
        <w:spacing w:line="440" w:lineRule="exact"/>
        <w:ind w:firstLine="422" w:firstLineChars="200"/>
        <w:jc w:val="center"/>
        <w:rPr>
          <w:b/>
          <w:bCs/>
          <w:color w:val="000000" w:themeColor="text1"/>
          <w:szCs w:val="21"/>
        </w:rPr>
      </w:pPr>
      <w:r>
        <w:rPr>
          <w:b/>
          <w:bCs/>
          <w:color w:val="000000" w:themeColor="text1"/>
          <w:szCs w:val="21"/>
        </w:rPr>
        <w:t>7.2-2  地下水防渗分区表</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265"/>
        <w:gridCol w:w="2978"/>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Align w:val="center"/>
          </w:tcPr>
          <w:p>
            <w:pPr>
              <w:snapToGrid w:val="0"/>
              <w:spacing w:line="240" w:lineRule="auto"/>
              <w:jc w:val="center"/>
              <w:rPr>
                <w:b/>
                <w:bCs/>
                <w:color w:val="000000" w:themeColor="text1"/>
                <w:szCs w:val="21"/>
              </w:rPr>
            </w:pPr>
            <w:r>
              <w:rPr>
                <w:b/>
                <w:bCs/>
                <w:color w:val="000000" w:themeColor="text1"/>
                <w:szCs w:val="21"/>
              </w:rPr>
              <w:t>分区类别</w:t>
            </w:r>
          </w:p>
        </w:tc>
        <w:tc>
          <w:tcPr>
            <w:tcW w:w="2265" w:type="dxa"/>
            <w:vAlign w:val="center"/>
          </w:tcPr>
          <w:p>
            <w:pPr>
              <w:snapToGrid w:val="0"/>
              <w:spacing w:line="240" w:lineRule="auto"/>
              <w:jc w:val="center"/>
              <w:rPr>
                <w:b/>
                <w:bCs/>
                <w:color w:val="000000" w:themeColor="text1"/>
                <w:szCs w:val="21"/>
              </w:rPr>
            </w:pPr>
            <w:r>
              <w:rPr>
                <w:b/>
                <w:bCs/>
                <w:color w:val="000000" w:themeColor="text1"/>
                <w:szCs w:val="21"/>
              </w:rPr>
              <w:t>构筑物</w:t>
            </w:r>
          </w:p>
        </w:tc>
        <w:tc>
          <w:tcPr>
            <w:tcW w:w="2978" w:type="dxa"/>
            <w:vAlign w:val="center"/>
          </w:tcPr>
          <w:p>
            <w:pPr>
              <w:snapToGrid w:val="0"/>
              <w:spacing w:line="240" w:lineRule="auto"/>
              <w:jc w:val="center"/>
              <w:rPr>
                <w:b/>
                <w:bCs/>
                <w:color w:val="000000" w:themeColor="text1"/>
                <w:szCs w:val="21"/>
              </w:rPr>
            </w:pPr>
            <w:r>
              <w:rPr>
                <w:b/>
                <w:bCs/>
                <w:color w:val="000000" w:themeColor="text1"/>
                <w:szCs w:val="21"/>
              </w:rPr>
              <w:t>防渗措施</w:t>
            </w:r>
          </w:p>
        </w:tc>
        <w:tc>
          <w:tcPr>
            <w:tcW w:w="1757" w:type="dxa"/>
            <w:vAlign w:val="center"/>
          </w:tcPr>
          <w:p>
            <w:pPr>
              <w:snapToGrid w:val="0"/>
              <w:spacing w:line="240" w:lineRule="auto"/>
              <w:jc w:val="center"/>
              <w:rPr>
                <w:b/>
                <w:bCs/>
                <w:color w:val="000000" w:themeColor="text1"/>
                <w:szCs w:val="21"/>
              </w:rPr>
            </w:pPr>
            <w:r>
              <w:rPr>
                <w:b/>
                <w:bCs/>
                <w:color w:val="000000" w:themeColor="text1"/>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Merge w:val="restart"/>
            <w:vAlign w:val="center"/>
          </w:tcPr>
          <w:p>
            <w:pPr>
              <w:snapToGrid w:val="0"/>
              <w:spacing w:line="240" w:lineRule="auto"/>
              <w:jc w:val="center"/>
              <w:rPr>
                <w:bCs/>
                <w:color w:val="000000" w:themeColor="text1"/>
                <w:szCs w:val="21"/>
              </w:rPr>
            </w:pPr>
            <w:r>
              <w:rPr>
                <w:bCs/>
                <w:color w:val="000000" w:themeColor="text1"/>
                <w:szCs w:val="21"/>
              </w:rPr>
              <w:t>重点防渗区</w:t>
            </w:r>
          </w:p>
        </w:tc>
        <w:tc>
          <w:tcPr>
            <w:tcW w:w="2265" w:type="dxa"/>
            <w:vAlign w:val="center"/>
          </w:tcPr>
          <w:p>
            <w:pPr>
              <w:snapToGrid w:val="0"/>
              <w:spacing w:line="240" w:lineRule="auto"/>
              <w:jc w:val="center"/>
              <w:rPr>
                <w:bCs/>
                <w:color w:val="000000" w:themeColor="text1"/>
                <w:szCs w:val="21"/>
              </w:rPr>
            </w:pPr>
            <w:r>
              <w:rPr>
                <w:bCs/>
                <w:color w:val="000000" w:themeColor="text1"/>
                <w:szCs w:val="21"/>
              </w:rPr>
              <w:t>污水</w:t>
            </w:r>
            <w:r>
              <w:rPr>
                <w:rFonts w:hint="eastAsia"/>
                <w:bCs/>
                <w:color w:val="000000" w:themeColor="text1"/>
                <w:szCs w:val="21"/>
              </w:rPr>
              <w:t>预处理池</w:t>
            </w:r>
            <w:r>
              <w:rPr>
                <w:bCs/>
                <w:color w:val="000000" w:themeColor="text1"/>
                <w:szCs w:val="21"/>
              </w:rPr>
              <w:t>站、事故应急池、</w:t>
            </w:r>
            <w:r>
              <w:rPr>
                <w:rFonts w:hint="eastAsia"/>
                <w:bCs/>
                <w:color w:val="000000" w:themeColor="text1"/>
                <w:szCs w:val="21"/>
              </w:rPr>
              <w:t>沼液储存池</w:t>
            </w:r>
            <w:r>
              <w:rPr>
                <w:bCs/>
                <w:color w:val="000000" w:themeColor="text1"/>
                <w:szCs w:val="21"/>
              </w:rPr>
              <w:t>、安全填埋井</w:t>
            </w:r>
            <w:r>
              <w:rPr>
                <w:rFonts w:hint="eastAsia"/>
                <w:bCs/>
                <w:color w:val="000000" w:themeColor="text1"/>
                <w:szCs w:val="21"/>
              </w:rPr>
              <w:t>、医疗废物暂存间</w:t>
            </w:r>
          </w:p>
        </w:tc>
        <w:tc>
          <w:tcPr>
            <w:tcW w:w="2978" w:type="dxa"/>
            <w:vAlign w:val="center"/>
          </w:tcPr>
          <w:p>
            <w:pPr>
              <w:snapToGrid w:val="0"/>
              <w:spacing w:line="240" w:lineRule="auto"/>
              <w:jc w:val="center"/>
              <w:rPr>
                <w:bCs/>
                <w:color w:val="000000" w:themeColor="text1"/>
                <w:szCs w:val="21"/>
              </w:rPr>
            </w:pPr>
            <w:r>
              <w:rPr>
                <w:bCs/>
                <w:color w:val="000000" w:themeColor="text1"/>
                <w:szCs w:val="21"/>
              </w:rPr>
              <w:t>池体采用防渗混凝土结构，混凝土抗渗标号大于S30</w:t>
            </w:r>
          </w:p>
        </w:tc>
        <w:tc>
          <w:tcPr>
            <w:tcW w:w="1757" w:type="dxa"/>
            <w:vMerge w:val="restart"/>
            <w:vAlign w:val="center"/>
          </w:tcPr>
          <w:p>
            <w:pPr>
              <w:snapToGrid w:val="0"/>
              <w:spacing w:line="240" w:lineRule="auto"/>
              <w:jc w:val="center"/>
              <w:rPr>
                <w:bCs/>
                <w:color w:val="000000" w:themeColor="text1"/>
                <w:szCs w:val="21"/>
              </w:rPr>
            </w:pPr>
            <w:r>
              <w:rPr>
                <w:bCs/>
                <w:color w:val="000000" w:themeColor="text1"/>
                <w:szCs w:val="21"/>
              </w:rPr>
              <w:t>等效黏土防渗层</w:t>
            </w:r>
          </w:p>
          <w:p>
            <w:pPr>
              <w:snapToGrid w:val="0"/>
              <w:spacing w:line="240" w:lineRule="auto"/>
              <w:jc w:val="center"/>
              <w:rPr>
                <w:bCs/>
                <w:color w:val="000000" w:themeColor="text1"/>
                <w:szCs w:val="21"/>
              </w:rPr>
            </w:pPr>
            <w:r>
              <w:rPr>
                <w:bCs/>
                <w:color w:val="000000" w:themeColor="text1"/>
                <w:szCs w:val="21"/>
              </w:rPr>
              <w:t>Mb≥6m，K≤1×10</w:t>
            </w:r>
            <w:r>
              <w:rPr>
                <w:bCs/>
                <w:color w:val="000000" w:themeColor="text1"/>
                <w:szCs w:val="21"/>
                <w:vertAlign w:val="superscript"/>
              </w:rPr>
              <w:t>-7</w:t>
            </w:r>
            <w:r>
              <w:rPr>
                <w:bCs/>
                <w:color w:val="000000" w:themeColor="text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Merge w:val="continue"/>
            <w:vAlign w:val="center"/>
          </w:tcPr>
          <w:p>
            <w:pPr>
              <w:snapToGrid w:val="0"/>
              <w:spacing w:line="240" w:lineRule="auto"/>
              <w:jc w:val="center"/>
              <w:rPr>
                <w:bCs/>
                <w:color w:val="000000" w:themeColor="text1"/>
                <w:szCs w:val="21"/>
              </w:rPr>
            </w:pPr>
          </w:p>
        </w:tc>
        <w:tc>
          <w:tcPr>
            <w:tcW w:w="2265" w:type="dxa"/>
            <w:vAlign w:val="center"/>
          </w:tcPr>
          <w:p>
            <w:pPr>
              <w:snapToGrid w:val="0"/>
              <w:spacing w:line="240" w:lineRule="auto"/>
              <w:jc w:val="center"/>
              <w:rPr>
                <w:bCs/>
                <w:color w:val="000000" w:themeColor="text1"/>
                <w:szCs w:val="21"/>
              </w:rPr>
            </w:pPr>
            <w:r>
              <w:rPr>
                <w:rFonts w:hint="eastAsia"/>
                <w:bCs/>
                <w:color w:val="000000" w:themeColor="text1"/>
                <w:szCs w:val="21"/>
              </w:rPr>
              <w:t>异位</w:t>
            </w:r>
            <w:r>
              <w:rPr>
                <w:bCs/>
                <w:color w:val="000000" w:themeColor="text1"/>
                <w:szCs w:val="21"/>
              </w:rPr>
              <w:t>发酵间</w:t>
            </w:r>
          </w:p>
        </w:tc>
        <w:tc>
          <w:tcPr>
            <w:tcW w:w="2978" w:type="dxa"/>
            <w:vAlign w:val="center"/>
          </w:tcPr>
          <w:p>
            <w:pPr>
              <w:snapToGrid w:val="0"/>
              <w:spacing w:line="240" w:lineRule="auto"/>
              <w:jc w:val="center"/>
              <w:rPr>
                <w:bCs/>
                <w:color w:val="000000" w:themeColor="text1"/>
                <w:szCs w:val="21"/>
              </w:rPr>
            </w:pPr>
            <w:r>
              <w:rPr>
                <w:bCs/>
                <w:color w:val="000000" w:themeColor="text1"/>
                <w:szCs w:val="21"/>
              </w:rPr>
              <w:t>地面基础先采用三合土夯实，上铺HDPE-GCL复合防渗系统（2mm厚HDPE、300g/cm</w:t>
            </w:r>
            <w:r>
              <w:rPr>
                <w:bCs/>
                <w:color w:val="000000" w:themeColor="text1"/>
                <w:szCs w:val="21"/>
                <w:vertAlign w:val="superscript"/>
              </w:rPr>
              <w:t>2</w:t>
            </w:r>
            <w:r>
              <w:rPr>
                <w:bCs/>
                <w:color w:val="000000" w:themeColor="text1"/>
                <w:szCs w:val="21"/>
              </w:rPr>
              <w:t>土工织物膨润土垫），再在上层铺设10~15cm厚混凝土层</w:t>
            </w:r>
          </w:p>
        </w:tc>
        <w:tc>
          <w:tcPr>
            <w:tcW w:w="1757" w:type="dxa"/>
            <w:vMerge w:val="continue"/>
            <w:vAlign w:val="center"/>
          </w:tcPr>
          <w:p>
            <w:pPr>
              <w:snapToGrid w:val="0"/>
              <w:spacing w:line="240" w:lineRule="auto"/>
              <w:jc w:val="center"/>
              <w:rPr>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Merge w:val="continue"/>
            <w:vAlign w:val="center"/>
          </w:tcPr>
          <w:p>
            <w:pPr>
              <w:snapToGrid w:val="0"/>
              <w:spacing w:line="240" w:lineRule="auto"/>
              <w:jc w:val="center"/>
              <w:rPr>
                <w:bCs/>
                <w:color w:val="000000" w:themeColor="text1"/>
                <w:szCs w:val="21"/>
              </w:rPr>
            </w:pPr>
          </w:p>
        </w:tc>
        <w:tc>
          <w:tcPr>
            <w:tcW w:w="2265" w:type="dxa"/>
            <w:vAlign w:val="center"/>
          </w:tcPr>
          <w:p>
            <w:pPr>
              <w:snapToGrid w:val="0"/>
              <w:spacing w:line="240" w:lineRule="auto"/>
              <w:jc w:val="center"/>
              <w:rPr>
                <w:bCs/>
                <w:color w:val="000000" w:themeColor="text1"/>
                <w:szCs w:val="21"/>
              </w:rPr>
            </w:pPr>
            <w:r>
              <w:rPr>
                <w:bCs/>
                <w:color w:val="000000" w:themeColor="text1"/>
                <w:szCs w:val="21"/>
              </w:rPr>
              <w:t>集污管道</w:t>
            </w:r>
          </w:p>
        </w:tc>
        <w:tc>
          <w:tcPr>
            <w:tcW w:w="2978" w:type="dxa"/>
            <w:vAlign w:val="center"/>
          </w:tcPr>
          <w:p>
            <w:pPr>
              <w:snapToGrid w:val="0"/>
              <w:spacing w:line="240" w:lineRule="auto"/>
              <w:jc w:val="center"/>
              <w:rPr>
                <w:bCs/>
                <w:color w:val="000000" w:themeColor="text1"/>
                <w:szCs w:val="21"/>
              </w:rPr>
            </w:pPr>
            <w:r>
              <w:rPr>
                <w:bCs/>
                <w:color w:val="000000" w:themeColor="text1"/>
                <w:szCs w:val="21"/>
              </w:rPr>
              <w:t>排污管道采用暗管，接口必须密封紧密，并对每一个接口增加水泥砂浆进行防渗漏</w:t>
            </w:r>
          </w:p>
        </w:tc>
        <w:tc>
          <w:tcPr>
            <w:tcW w:w="1757" w:type="dxa"/>
            <w:vMerge w:val="continue"/>
            <w:vAlign w:val="center"/>
          </w:tcPr>
          <w:p>
            <w:pPr>
              <w:snapToGrid w:val="0"/>
              <w:spacing w:line="240" w:lineRule="auto"/>
              <w:jc w:val="center"/>
              <w:rPr>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Align w:val="center"/>
          </w:tcPr>
          <w:p>
            <w:pPr>
              <w:snapToGrid w:val="0"/>
              <w:spacing w:line="240" w:lineRule="auto"/>
              <w:jc w:val="center"/>
              <w:rPr>
                <w:bCs/>
                <w:color w:val="000000" w:themeColor="text1"/>
                <w:szCs w:val="21"/>
              </w:rPr>
            </w:pPr>
            <w:r>
              <w:rPr>
                <w:bCs/>
                <w:color w:val="000000" w:themeColor="text1"/>
                <w:szCs w:val="21"/>
              </w:rPr>
              <w:t>一般防渗区</w:t>
            </w:r>
          </w:p>
        </w:tc>
        <w:tc>
          <w:tcPr>
            <w:tcW w:w="2265" w:type="dxa"/>
            <w:vAlign w:val="center"/>
          </w:tcPr>
          <w:p>
            <w:pPr>
              <w:snapToGrid w:val="0"/>
              <w:spacing w:line="240" w:lineRule="auto"/>
              <w:jc w:val="center"/>
              <w:rPr>
                <w:bCs/>
                <w:color w:val="000000" w:themeColor="text1"/>
                <w:szCs w:val="21"/>
              </w:rPr>
            </w:pPr>
            <w:r>
              <w:rPr>
                <w:bCs/>
                <w:color w:val="000000" w:themeColor="text1"/>
                <w:szCs w:val="21"/>
              </w:rPr>
              <w:t>猪舍</w:t>
            </w:r>
          </w:p>
        </w:tc>
        <w:tc>
          <w:tcPr>
            <w:tcW w:w="2978" w:type="dxa"/>
            <w:vAlign w:val="center"/>
          </w:tcPr>
          <w:p>
            <w:pPr>
              <w:snapToGrid w:val="0"/>
              <w:spacing w:line="240" w:lineRule="auto"/>
              <w:jc w:val="center"/>
              <w:rPr>
                <w:bCs/>
                <w:color w:val="000000" w:themeColor="text1"/>
                <w:szCs w:val="21"/>
              </w:rPr>
            </w:pPr>
            <w:r>
              <w:rPr>
                <w:bCs/>
                <w:color w:val="000000" w:themeColor="text1"/>
                <w:szCs w:val="21"/>
              </w:rPr>
              <w:t>采取粘土铺底，再在上层铺</w:t>
            </w:r>
          </w:p>
          <w:p>
            <w:pPr>
              <w:snapToGrid w:val="0"/>
              <w:spacing w:line="240" w:lineRule="auto"/>
              <w:jc w:val="center"/>
              <w:rPr>
                <w:bCs/>
                <w:color w:val="000000" w:themeColor="text1"/>
                <w:szCs w:val="21"/>
              </w:rPr>
            </w:pPr>
            <w:r>
              <w:rPr>
                <w:bCs/>
                <w:color w:val="000000" w:themeColor="text1"/>
                <w:szCs w:val="21"/>
              </w:rPr>
              <w:t>10~15cm的水泥进行硬化</w:t>
            </w:r>
          </w:p>
        </w:tc>
        <w:tc>
          <w:tcPr>
            <w:tcW w:w="1757" w:type="dxa"/>
            <w:vAlign w:val="center"/>
          </w:tcPr>
          <w:p>
            <w:pPr>
              <w:snapToGrid w:val="0"/>
              <w:spacing w:line="240" w:lineRule="auto"/>
              <w:jc w:val="center"/>
              <w:rPr>
                <w:bCs/>
                <w:color w:val="000000" w:themeColor="text1"/>
                <w:szCs w:val="21"/>
              </w:rPr>
            </w:pPr>
            <w:r>
              <w:rPr>
                <w:bCs/>
                <w:color w:val="000000" w:themeColor="text1"/>
                <w:szCs w:val="21"/>
              </w:rPr>
              <w:t>等效黏土防渗层</w:t>
            </w:r>
          </w:p>
          <w:p>
            <w:pPr>
              <w:snapToGrid w:val="0"/>
              <w:spacing w:line="240" w:lineRule="auto"/>
              <w:jc w:val="center"/>
              <w:rPr>
                <w:bCs/>
                <w:color w:val="000000" w:themeColor="text1"/>
                <w:szCs w:val="21"/>
              </w:rPr>
            </w:pPr>
            <w:r>
              <w:rPr>
                <w:bCs/>
                <w:color w:val="000000" w:themeColor="text1"/>
                <w:szCs w:val="21"/>
              </w:rPr>
              <w:t>Mb≥1.5m，K≤1×10</w:t>
            </w:r>
            <w:r>
              <w:rPr>
                <w:bCs/>
                <w:color w:val="000000" w:themeColor="text1"/>
                <w:szCs w:val="21"/>
                <w:vertAlign w:val="superscript"/>
              </w:rPr>
              <w:t>-7</w:t>
            </w:r>
            <w:r>
              <w:rPr>
                <w:bCs/>
                <w:color w:val="000000" w:themeColor="text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dxa"/>
            <w:vAlign w:val="center"/>
          </w:tcPr>
          <w:p>
            <w:pPr>
              <w:snapToGrid w:val="0"/>
              <w:spacing w:line="240" w:lineRule="auto"/>
              <w:jc w:val="center"/>
              <w:rPr>
                <w:bCs/>
                <w:color w:val="000000" w:themeColor="text1"/>
                <w:szCs w:val="21"/>
              </w:rPr>
            </w:pPr>
            <w:r>
              <w:rPr>
                <w:bCs/>
                <w:color w:val="000000" w:themeColor="text1"/>
                <w:szCs w:val="21"/>
              </w:rPr>
              <w:t>简单防渗区</w:t>
            </w:r>
          </w:p>
        </w:tc>
        <w:tc>
          <w:tcPr>
            <w:tcW w:w="2265" w:type="dxa"/>
            <w:vAlign w:val="center"/>
          </w:tcPr>
          <w:p>
            <w:pPr>
              <w:snapToGrid w:val="0"/>
              <w:spacing w:line="240" w:lineRule="auto"/>
              <w:jc w:val="center"/>
              <w:rPr>
                <w:bCs/>
                <w:color w:val="000000" w:themeColor="text1"/>
                <w:szCs w:val="21"/>
              </w:rPr>
            </w:pPr>
            <w:r>
              <w:rPr>
                <w:bCs/>
                <w:color w:val="000000" w:themeColor="text1"/>
                <w:szCs w:val="21"/>
              </w:rPr>
              <w:t>办公</w:t>
            </w:r>
            <w:r>
              <w:rPr>
                <w:rFonts w:hint="eastAsia"/>
                <w:bCs/>
                <w:color w:val="000000" w:themeColor="text1"/>
                <w:szCs w:val="21"/>
              </w:rPr>
              <w:t>区</w:t>
            </w:r>
            <w:r>
              <w:rPr>
                <w:bCs/>
                <w:color w:val="000000" w:themeColor="text1"/>
                <w:szCs w:val="21"/>
              </w:rPr>
              <w:t>、</w:t>
            </w:r>
            <w:r>
              <w:rPr>
                <w:rFonts w:hint="eastAsia"/>
                <w:bCs/>
                <w:color w:val="000000" w:themeColor="text1"/>
                <w:szCs w:val="21"/>
              </w:rPr>
              <w:t>生活区</w:t>
            </w:r>
            <w:r>
              <w:rPr>
                <w:bCs/>
                <w:color w:val="000000" w:themeColor="text1"/>
                <w:szCs w:val="21"/>
              </w:rPr>
              <w:t>、厂区道路</w:t>
            </w:r>
          </w:p>
        </w:tc>
        <w:tc>
          <w:tcPr>
            <w:tcW w:w="2978" w:type="dxa"/>
            <w:vAlign w:val="center"/>
          </w:tcPr>
          <w:p>
            <w:pPr>
              <w:snapToGrid w:val="0"/>
              <w:spacing w:line="240" w:lineRule="auto"/>
              <w:jc w:val="center"/>
              <w:rPr>
                <w:bCs/>
                <w:color w:val="000000" w:themeColor="text1"/>
                <w:szCs w:val="21"/>
              </w:rPr>
            </w:pPr>
            <w:r>
              <w:rPr>
                <w:bCs/>
                <w:color w:val="000000" w:themeColor="text1"/>
                <w:szCs w:val="21"/>
              </w:rPr>
              <w:t>水泥硬化</w:t>
            </w:r>
          </w:p>
        </w:tc>
        <w:tc>
          <w:tcPr>
            <w:tcW w:w="1757" w:type="dxa"/>
            <w:vAlign w:val="center"/>
          </w:tcPr>
          <w:p>
            <w:pPr>
              <w:snapToGrid w:val="0"/>
              <w:spacing w:line="240" w:lineRule="auto"/>
              <w:jc w:val="center"/>
              <w:rPr>
                <w:bCs/>
                <w:color w:val="000000" w:themeColor="text1"/>
                <w:szCs w:val="21"/>
              </w:rPr>
            </w:pPr>
            <w:r>
              <w:rPr>
                <w:bCs/>
                <w:color w:val="000000" w:themeColor="text1"/>
                <w:szCs w:val="21"/>
              </w:rPr>
              <w:t>一般地面硬化</w:t>
            </w:r>
          </w:p>
        </w:tc>
      </w:tr>
    </w:tbl>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③</w:t>
      </w:r>
      <w:r>
        <w:rPr>
          <w:color w:val="000000" w:themeColor="text1"/>
          <w:sz w:val="24"/>
        </w:rPr>
        <w:t>污染监控措施</w:t>
      </w:r>
    </w:p>
    <w:p>
      <w:pPr>
        <w:adjustRightInd w:val="0"/>
        <w:snapToGrid w:val="0"/>
        <w:ind w:firstLine="480" w:firstLineChars="200"/>
        <w:jc w:val="left"/>
        <w:rPr>
          <w:color w:val="000000" w:themeColor="text1"/>
          <w:sz w:val="24"/>
        </w:rPr>
      </w:pPr>
      <w:r>
        <w:rPr>
          <w:color w:val="000000" w:themeColor="text1"/>
          <w:sz w:val="24"/>
        </w:rPr>
        <w:t>项目</w:t>
      </w:r>
      <w:r>
        <w:rPr>
          <w:rFonts w:hint="eastAsia"/>
          <w:color w:val="000000" w:themeColor="text1"/>
          <w:sz w:val="24"/>
        </w:rPr>
        <w:t>厂区下游（场址南侧）</w:t>
      </w:r>
      <w:r>
        <w:rPr>
          <w:color w:val="000000" w:themeColor="text1"/>
          <w:sz w:val="24"/>
        </w:rPr>
        <w:t>建设</w:t>
      </w:r>
      <w:r>
        <w:rPr>
          <w:rFonts w:hint="eastAsia"/>
          <w:color w:val="000000" w:themeColor="text1"/>
          <w:sz w:val="24"/>
        </w:rPr>
        <w:t>1</w:t>
      </w:r>
      <w:r>
        <w:rPr>
          <w:color w:val="000000" w:themeColor="text1"/>
          <w:sz w:val="24"/>
        </w:rPr>
        <w:t>口</w:t>
      </w:r>
      <w:r>
        <w:rPr>
          <w:rFonts w:hint="eastAsia"/>
          <w:color w:val="000000" w:themeColor="text1"/>
          <w:sz w:val="24"/>
        </w:rPr>
        <w:t>污染跟踪</w:t>
      </w:r>
      <w:r>
        <w:rPr>
          <w:color w:val="000000" w:themeColor="text1"/>
          <w:sz w:val="24"/>
        </w:rPr>
        <w:t>监测井，建立运营期地下水污染监控计划，及时掌握地下水水质情况，以便及时发现问题，采取措施，防止地下水受到污染。</w:t>
      </w:r>
    </w:p>
    <w:p>
      <w:pPr>
        <w:adjustRightInd w:val="0"/>
        <w:snapToGrid w:val="0"/>
        <w:ind w:firstLine="480" w:firstLineChars="200"/>
        <w:jc w:val="left"/>
        <w:rPr>
          <w:color w:val="000000" w:themeColor="text1"/>
          <w:sz w:val="24"/>
        </w:rPr>
      </w:pPr>
      <w:r>
        <w:rPr>
          <w:rFonts w:hint="eastAsia" w:ascii="宋体" w:hAnsi="宋体" w:cs="宋体"/>
          <w:color w:val="000000" w:themeColor="text1"/>
          <w:sz w:val="24"/>
        </w:rPr>
        <w:t>④</w:t>
      </w:r>
      <w:r>
        <w:rPr>
          <w:color w:val="000000" w:themeColor="text1"/>
          <w:sz w:val="24"/>
        </w:rPr>
        <w:t>应急响应措施</w:t>
      </w:r>
    </w:p>
    <w:p>
      <w:pPr>
        <w:ind w:firstLine="460" w:firstLineChars="192"/>
        <w:rPr>
          <w:color w:val="000000" w:themeColor="text1"/>
          <w:sz w:val="24"/>
        </w:rPr>
      </w:pPr>
      <w:r>
        <w:rPr>
          <w:color w:val="000000" w:themeColor="text1"/>
          <w:sz w:val="24"/>
        </w:rPr>
        <w:t>制定地下水污染应急响应预案，明确污染状况下应采取的控制污染源、切断污染途径等措施。</w:t>
      </w:r>
    </w:p>
    <w:p>
      <w:pPr>
        <w:ind w:firstLine="460" w:firstLineChars="192"/>
        <w:rPr>
          <w:bCs/>
          <w:color w:val="000000" w:themeColor="text1"/>
          <w:sz w:val="24"/>
        </w:rPr>
      </w:pPr>
      <w:r>
        <w:rPr>
          <w:bCs/>
          <w:color w:val="000000" w:themeColor="text1"/>
          <w:sz w:val="24"/>
        </w:rPr>
        <w:t>（2）污染防治措施可行性</w:t>
      </w:r>
    </w:p>
    <w:p>
      <w:pPr>
        <w:ind w:firstLine="460" w:firstLineChars="192"/>
        <w:rPr>
          <w:bCs/>
          <w:color w:val="000000" w:themeColor="text1"/>
          <w:sz w:val="24"/>
        </w:rPr>
      </w:pPr>
      <w:r>
        <w:rPr>
          <w:bCs/>
          <w:color w:val="000000" w:themeColor="text1"/>
          <w:sz w:val="24"/>
        </w:rPr>
        <w:t>项目采取的各项防渗措施技术成熟、操作简便、效果好，能满足地下水污染防治的需要，在技术上是可行的。</w:t>
      </w:r>
    </w:p>
    <w:p>
      <w:pPr>
        <w:ind w:firstLine="460" w:firstLineChars="192"/>
        <w:rPr>
          <w:color w:val="000000" w:themeColor="text1"/>
          <w:sz w:val="24"/>
        </w:rPr>
      </w:pPr>
      <w:r>
        <w:rPr>
          <w:color w:val="000000" w:themeColor="text1"/>
          <w:sz w:val="24"/>
        </w:rPr>
        <w:t>经估算，项目防渗措施建设投资为140万元，建设完成后即可长时间稳定运行，后期维护费用低，在经济方面是可行的。</w:t>
      </w:r>
    </w:p>
    <w:p>
      <w:pPr>
        <w:pStyle w:val="4"/>
        <w:adjustRightInd w:val="0"/>
        <w:snapToGrid w:val="0"/>
        <w:spacing w:before="0" w:after="0" w:line="360" w:lineRule="auto"/>
        <w:rPr>
          <w:color w:val="000000" w:themeColor="text1"/>
        </w:rPr>
      </w:pPr>
      <w:bookmarkStart w:id="456" w:name="_Toc510547360"/>
      <w:bookmarkStart w:id="457" w:name="_Toc504403867"/>
      <w:r>
        <w:rPr>
          <w:color w:val="000000" w:themeColor="text1"/>
        </w:rPr>
        <w:t>7.2.4噪声污染防治措施</w:t>
      </w:r>
      <w:bookmarkEnd w:id="456"/>
      <w:bookmarkEnd w:id="457"/>
    </w:p>
    <w:p>
      <w:pPr>
        <w:adjustRightInd w:val="0"/>
        <w:snapToGrid w:val="0"/>
        <w:ind w:firstLine="480" w:firstLineChars="200"/>
        <w:rPr>
          <w:color w:val="000000" w:themeColor="text1"/>
          <w:sz w:val="24"/>
        </w:rPr>
      </w:pPr>
      <w:r>
        <w:rPr>
          <w:color w:val="000000" w:themeColor="text1"/>
          <w:sz w:val="24"/>
        </w:rPr>
        <w:t>为减小运营期噪声对环境的影响，本项目采取以下噪声污染防治措施：</w:t>
      </w:r>
    </w:p>
    <w:p>
      <w:pPr>
        <w:adjustRightInd w:val="0"/>
        <w:snapToGrid w:val="0"/>
        <w:ind w:firstLine="480" w:firstLineChars="200"/>
        <w:rPr>
          <w:color w:val="000000" w:themeColor="text1"/>
          <w:sz w:val="24"/>
        </w:rPr>
      </w:pPr>
      <w:r>
        <w:rPr>
          <w:color w:val="000000" w:themeColor="text1"/>
          <w:sz w:val="24"/>
        </w:rPr>
        <w:t>（1）生产设备采用低噪声设备。</w:t>
      </w:r>
    </w:p>
    <w:p>
      <w:pPr>
        <w:adjustRightInd w:val="0"/>
        <w:snapToGrid w:val="0"/>
        <w:ind w:firstLine="480" w:firstLineChars="200"/>
        <w:rPr>
          <w:color w:val="000000" w:themeColor="text1"/>
          <w:sz w:val="24"/>
        </w:rPr>
      </w:pPr>
      <w:r>
        <w:rPr>
          <w:color w:val="000000" w:themeColor="text1"/>
          <w:sz w:val="24"/>
        </w:rPr>
        <w:t>（2）猪舍四周加强绿化，场界四周种植高大乔木，加强对噪声的阻隔效果。</w:t>
      </w:r>
    </w:p>
    <w:p>
      <w:pPr>
        <w:adjustRightInd w:val="0"/>
        <w:snapToGrid w:val="0"/>
        <w:ind w:firstLine="480" w:firstLineChars="200"/>
        <w:rPr>
          <w:color w:val="000000" w:themeColor="text1"/>
          <w:sz w:val="24"/>
        </w:rPr>
      </w:pPr>
      <w:r>
        <w:rPr>
          <w:color w:val="000000" w:themeColor="text1"/>
          <w:sz w:val="24"/>
        </w:rPr>
        <w:t>采取以上措施最大限度地从源头降低噪声声级，经预测，噪声厂界达到《工业企业厂界环境噪声排放标准》（GB12348-2008）</w:t>
      </w:r>
      <w:r>
        <w:rPr>
          <w:rFonts w:hint="eastAsia"/>
          <w:color w:val="000000" w:themeColor="text1"/>
          <w:sz w:val="24"/>
        </w:rPr>
        <w:t>1</w:t>
      </w:r>
      <w:r>
        <w:rPr>
          <w:color w:val="000000" w:themeColor="text1"/>
          <w:sz w:val="24"/>
        </w:rPr>
        <w:t>类标准，措施可行。</w:t>
      </w:r>
    </w:p>
    <w:p>
      <w:pPr>
        <w:pStyle w:val="4"/>
        <w:adjustRightInd w:val="0"/>
        <w:snapToGrid w:val="0"/>
        <w:spacing w:before="0" w:after="0" w:line="360" w:lineRule="auto"/>
        <w:rPr>
          <w:color w:val="000000" w:themeColor="text1"/>
        </w:rPr>
      </w:pPr>
      <w:bookmarkStart w:id="458" w:name="_Toc504403868"/>
      <w:bookmarkStart w:id="459" w:name="_Toc510547361"/>
      <w:r>
        <w:rPr>
          <w:color w:val="000000" w:themeColor="text1"/>
        </w:rPr>
        <w:t>7.2.5固废处置措施</w:t>
      </w:r>
      <w:bookmarkEnd w:id="458"/>
      <w:bookmarkEnd w:id="459"/>
    </w:p>
    <w:p>
      <w:pPr>
        <w:adjustRightInd w:val="0"/>
        <w:snapToGrid w:val="0"/>
        <w:ind w:firstLine="480" w:firstLineChars="200"/>
        <w:rPr>
          <w:color w:val="000000" w:themeColor="text1"/>
          <w:sz w:val="24"/>
        </w:rPr>
      </w:pPr>
      <w:r>
        <w:rPr>
          <w:color w:val="000000" w:themeColor="text1"/>
          <w:sz w:val="24"/>
        </w:rPr>
        <w:t>（1）固体废物防治措施</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①</w:t>
      </w:r>
      <w:r>
        <w:rPr>
          <w:rFonts w:ascii="Times New Roman" w:hAnsi="Times New Roman" w:cs="Times New Roman"/>
          <w:color w:val="000000" w:themeColor="text1"/>
        </w:rPr>
        <w:t>项目猪粪、饲料渣</w:t>
      </w:r>
      <w:r>
        <w:rPr>
          <w:rFonts w:hint="eastAsia" w:ascii="Times New Roman" w:hAnsi="Times New Roman" w:cs="Times New Roman"/>
          <w:color w:val="000000" w:themeColor="text1"/>
        </w:rPr>
        <w:t>、沼渣及病死猪发酵产物</w:t>
      </w:r>
      <w:r>
        <w:rPr>
          <w:rFonts w:ascii="Times New Roman" w:hAnsi="Times New Roman" w:cs="Times New Roman"/>
          <w:color w:val="000000" w:themeColor="text1"/>
        </w:rPr>
        <w:t>运至发酵间发酵后外售做肥料。</w:t>
      </w:r>
    </w:p>
    <w:p>
      <w:pPr>
        <w:pStyle w:val="132"/>
        <w:ind w:firstLine="480"/>
        <w:rPr>
          <w:rFonts w:ascii="宋体" w:hAnsi="宋体" w:cs="宋体"/>
          <w:color w:val="000000" w:themeColor="text1"/>
        </w:rPr>
      </w:pPr>
      <w:r>
        <w:rPr>
          <w:rFonts w:hint="eastAsia" w:ascii="宋体" w:hAnsi="宋体" w:cs="宋体"/>
          <w:color w:val="000000" w:themeColor="text1"/>
        </w:rPr>
        <w:t>②病死猪采用生物降解法处</w:t>
      </w:r>
      <w:r>
        <w:rPr>
          <w:rFonts w:ascii="Times New Roman" w:hAnsi="Times New Roman" w:cs="Times New Roman"/>
          <w:color w:val="000000" w:themeColor="text1"/>
        </w:rPr>
        <w:t>理，设置2间病死猪堆肥间，化尸废料主送往</w:t>
      </w:r>
      <w:r>
        <w:rPr>
          <w:rFonts w:hint="eastAsia" w:ascii="Times New Roman" w:hAnsi="Times New Roman" w:cs="Times New Roman"/>
          <w:color w:val="000000" w:themeColor="text1"/>
        </w:rPr>
        <w:t>异位</w:t>
      </w:r>
      <w:r>
        <w:rPr>
          <w:rFonts w:ascii="Times New Roman" w:hAnsi="Times New Roman" w:cs="Times New Roman"/>
          <w:color w:val="000000" w:themeColor="text1"/>
        </w:rPr>
        <w:t>发酵车</w:t>
      </w:r>
      <w:r>
        <w:rPr>
          <w:rFonts w:hint="eastAsia" w:ascii="Times New Roman" w:hAnsi="Times New Roman" w:cs="Times New Roman"/>
          <w:color w:val="000000" w:themeColor="text1"/>
        </w:rPr>
        <w:t>间生产有机肥，骨头进行安全填埋。</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③</w:t>
      </w:r>
      <w:r>
        <w:rPr>
          <w:rFonts w:ascii="Times New Roman" w:hAnsi="Times New Roman" w:cs="Times New Roman"/>
          <w:color w:val="000000" w:themeColor="text1"/>
        </w:rPr>
        <w:t>项目建设2口安全填埋井安全对病死猪</w:t>
      </w:r>
      <w:r>
        <w:rPr>
          <w:rFonts w:hint="eastAsia" w:ascii="Times New Roman" w:hAnsi="Times New Roman" w:cs="Times New Roman"/>
          <w:color w:val="000000" w:themeColor="text1"/>
        </w:rPr>
        <w:t>堆肥剩余骨头</w:t>
      </w:r>
      <w:r>
        <w:rPr>
          <w:rFonts w:ascii="Times New Roman" w:hAnsi="Times New Roman" w:cs="Times New Roman"/>
          <w:color w:val="000000" w:themeColor="text1"/>
        </w:rPr>
        <w:t>进行填埋。安全填埋井为混凝土结构，井深5m，直径4m，入口直径1m，井口加盖密封。进行填埋时，在每次投入病死猪只后，应覆盖1层厚度大于10cm的熟石灰，井填满后，用粘土填埋压实并封口。同时环评要求项目对安全井采取防渗措施，避免污染地下水。</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④</w:t>
      </w:r>
      <w:r>
        <w:rPr>
          <w:rFonts w:hint="eastAsia"/>
          <w:color w:val="000000" w:themeColor="text1"/>
        </w:rPr>
        <w:t>项目防疫工艺委托正大集团负责，医疗废物的处置</w:t>
      </w:r>
      <w:r>
        <w:rPr>
          <w:rFonts w:hint="eastAsia" w:ascii="Times New Roman" w:hAnsi="Times New Roman" w:cs="Times New Roman"/>
          <w:color w:val="000000" w:themeColor="text1"/>
        </w:rPr>
        <w:t>按照《危险废物贮存污染控制标准》 （GB18597-2001）和《危险废物转移联单管理办法</w:t>
      </w:r>
      <w:r>
        <w:rPr>
          <w:rFonts w:hint="eastAsia"/>
          <w:color w:val="000000" w:themeColor="text1"/>
        </w:rPr>
        <w:t>》进行收集处置，</w:t>
      </w:r>
      <w:r>
        <w:rPr>
          <w:rFonts w:hint="eastAsia" w:ascii="Times New Roman" w:hAnsi="Times New Roman" w:cs="Times New Roman"/>
          <w:color w:val="000000" w:themeColor="text1"/>
        </w:rPr>
        <w:t>养殖场设置医疗废物暂存于医疗废物暂存间，定期委托有资质的单位处置</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⑤</w:t>
      </w:r>
      <w:r>
        <w:rPr>
          <w:color w:val="000000" w:themeColor="text1"/>
        </w:rPr>
        <w:t>厂区设置垃圾房，统一收集后</w:t>
      </w:r>
      <w:r>
        <w:rPr>
          <w:rFonts w:hint="eastAsia"/>
          <w:color w:val="000000" w:themeColor="text1"/>
        </w:rPr>
        <w:t>依托当地村镇垃圾收集系统处置</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⑥</w:t>
      </w:r>
      <w:r>
        <w:rPr>
          <w:rFonts w:hint="eastAsia"/>
          <w:color w:val="000000" w:themeColor="text1"/>
        </w:rPr>
        <w:t>本项目废包装物收集后外售处理</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⑦</w:t>
      </w:r>
      <w:r>
        <w:rPr>
          <w:rFonts w:ascii="Times New Roman" w:hAnsi="Times New Roman" w:cs="Times New Roman"/>
          <w:color w:val="000000" w:themeColor="text1"/>
        </w:rPr>
        <w:t>废氧化铁脱硫剂由换料的生产厂家带走回收利用。</w:t>
      </w:r>
    </w:p>
    <w:p>
      <w:pPr>
        <w:ind w:firstLine="420" w:firstLineChars="200"/>
        <w:rPr>
          <w:color w:val="000000" w:themeColor="text1"/>
          <w:sz w:val="24"/>
        </w:rPr>
      </w:pPr>
      <w:r>
        <w:rPr>
          <w:rFonts w:hint="eastAsia"/>
          <w:color w:val="000000" w:themeColor="text1"/>
        </w:rPr>
        <w:t>⑧</w:t>
      </w:r>
      <w:r>
        <w:rPr>
          <w:rFonts w:hint="eastAsia"/>
          <w:color w:val="000000" w:themeColor="text1"/>
          <w:sz w:val="24"/>
        </w:rPr>
        <w:t>废枝条可委托相关厂家加工成异位发酵车间垫料。烂水果可作为异位发酵车间原料。</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（2）固体废物处置措施可行性</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根据《畜禽养殖业污染物防治技术规范》（HJ/81-2001）规定，养殖场猪粪可采取发酵法、干燥法和焚烧法等。结合项目特点，猪粪、沼渣等拟采取发酵后，全部做为有机肥还田利用，符合畜禽粪便“无害化、减量化、资源化”相关要求。</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养猪场产生的猪粪及饲料残渣除含有大量的有机质、氮、磷、钾和其他植物</w:t>
      </w:r>
      <w:r>
        <w:rPr>
          <w:rFonts w:hint="eastAsia" w:ascii="Times New Roman" w:hAnsi="Times New Roman" w:cs="Times New Roman"/>
          <w:color w:val="000000" w:themeColor="text1"/>
          <w:shd w:val="clear" w:fill="FFFF00"/>
        </w:rPr>
        <w:t>必需的</w:t>
      </w:r>
      <w:r>
        <w:rPr>
          <w:rFonts w:ascii="Times New Roman" w:hAnsi="Times New Roman" w:cs="Times New Roman"/>
          <w:color w:val="000000" w:themeColor="text1"/>
        </w:rPr>
        <w:t>微量元素外，还有各种生物酶和微生物酶，是一种很好的有机肥原料。污泥中农作物生长所</w:t>
      </w:r>
      <w:r>
        <w:rPr>
          <w:rFonts w:hint="eastAsia" w:ascii="Times New Roman" w:hAnsi="Times New Roman" w:cs="Times New Roman"/>
          <w:color w:val="000000" w:themeColor="text1"/>
          <w:shd w:val="clear" w:fill="FFFF00"/>
        </w:rPr>
        <w:t>必需的</w:t>
      </w:r>
      <w:r>
        <w:rPr>
          <w:rFonts w:ascii="Times New Roman" w:hAnsi="Times New Roman" w:cs="Times New Roman"/>
          <w:color w:val="000000" w:themeColor="text1"/>
        </w:rPr>
        <w:t>氮、磷、钾等元素都远高于农家厩肥，有机成分也较之高，</w:t>
      </w:r>
      <w:r>
        <w:rPr>
          <w:rFonts w:hint="eastAsia" w:ascii="Times New Roman" w:hAnsi="Times New Roman" w:cs="Times New Roman"/>
          <w:color w:val="000000" w:themeColor="text1"/>
        </w:rPr>
        <w:t>发酵</w:t>
      </w:r>
      <w:r>
        <w:rPr>
          <w:rFonts w:ascii="Times New Roman" w:hAnsi="Times New Roman" w:cs="Times New Roman"/>
          <w:color w:val="000000" w:themeColor="text1"/>
        </w:rPr>
        <w:t>后的污泥是一种很好的土壤改良剂。猪粪、饲料残渣及污水处理站污泥直接外售作为肥料或通过发酵，利用好氧微生物及厌氧微生物，将不易被作物直接利用的有机物分解转化为小分子物质(无机盐和矿物质)，并在发酵过程中达到除臭、杀虫卵、灭病害的目的，发酵最终物料得到充分腐熟，作为肥料使用时不</w:t>
      </w:r>
    </w:p>
    <w:p>
      <w:pPr>
        <w:pStyle w:val="132"/>
        <w:ind w:firstLine="0" w:firstLineChars="0"/>
        <w:rPr>
          <w:rFonts w:ascii="Times New Roman" w:hAnsi="Times New Roman" w:cs="Times New Roman"/>
          <w:color w:val="000000" w:themeColor="text1"/>
        </w:rPr>
      </w:pPr>
      <w:r>
        <w:rPr>
          <w:rFonts w:ascii="Times New Roman" w:hAnsi="Times New Roman" w:cs="Times New Roman"/>
          <w:color w:val="000000" w:themeColor="text1"/>
        </w:rPr>
        <w:t>会出现烧苗现象，可以安全的作为肥料使用。</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通过</w:t>
      </w:r>
      <w:r>
        <w:rPr>
          <w:rFonts w:hint="eastAsia" w:ascii="Times New Roman" w:hAnsi="Times New Roman" w:cs="Times New Roman"/>
          <w:color w:val="000000" w:themeColor="text1"/>
        </w:rPr>
        <w:t>发酵</w:t>
      </w:r>
      <w:r>
        <w:rPr>
          <w:rFonts w:ascii="Times New Roman" w:hAnsi="Times New Roman" w:cs="Times New Roman"/>
          <w:color w:val="000000" w:themeColor="text1"/>
        </w:rPr>
        <w:t>处理，可实现猪粪、饲料残渣及</w:t>
      </w:r>
      <w:r>
        <w:rPr>
          <w:rFonts w:hint="eastAsia" w:ascii="Times New Roman" w:hAnsi="Times New Roman" w:cs="Times New Roman"/>
          <w:color w:val="000000" w:themeColor="text1"/>
        </w:rPr>
        <w:t>沼渣</w:t>
      </w:r>
      <w:r>
        <w:rPr>
          <w:rFonts w:ascii="Times New Roman" w:hAnsi="Times New Roman" w:cs="Times New Roman"/>
          <w:color w:val="000000" w:themeColor="text1"/>
        </w:rPr>
        <w:t>的资源化利用，创造经济价值，符合国家相关环境政策，且</w:t>
      </w:r>
      <w:r>
        <w:rPr>
          <w:rFonts w:hint="eastAsia" w:ascii="Times New Roman" w:hAnsi="Times New Roman" w:cs="Times New Roman"/>
          <w:color w:val="000000" w:themeColor="text1"/>
        </w:rPr>
        <w:t>发酵</w:t>
      </w:r>
      <w:r>
        <w:rPr>
          <w:rFonts w:ascii="Times New Roman" w:hAnsi="Times New Roman" w:cs="Times New Roman"/>
          <w:color w:val="000000" w:themeColor="text1"/>
        </w:rPr>
        <w:t>工艺技术成熟、操作简单、机械化程度高、处理效果好，在技术和经济方面是可行的。</w:t>
      </w:r>
    </w:p>
    <w:p>
      <w:pPr>
        <w:pStyle w:val="4"/>
        <w:adjustRightInd w:val="0"/>
        <w:snapToGrid w:val="0"/>
        <w:spacing w:before="0" w:after="0" w:line="360" w:lineRule="auto"/>
        <w:rPr>
          <w:color w:val="000000" w:themeColor="text1"/>
        </w:rPr>
      </w:pPr>
      <w:bookmarkStart w:id="460" w:name="_Toc510547362"/>
      <w:bookmarkStart w:id="461" w:name="_Toc504403870"/>
      <w:r>
        <w:rPr>
          <w:color w:val="000000" w:themeColor="text1"/>
        </w:rPr>
        <w:t>7.2.6风险事故防范措施</w:t>
      </w:r>
      <w:bookmarkEnd w:id="460"/>
      <w:bookmarkEnd w:id="461"/>
    </w:p>
    <w:p>
      <w:pPr>
        <w:ind w:firstLine="480" w:firstLineChars="200"/>
        <w:rPr>
          <w:color w:val="000000" w:themeColor="text1"/>
          <w:sz w:val="24"/>
        </w:rPr>
      </w:pPr>
      <w:r>
        <w:rPr>
          <w:color w:val="000000" w:themeColor="text1"/>
          <w:sz w:val="24"/>
        </w:rPr>
        <w:t>（1）设计时，提高污水处理系统的设计强度和抗破坏能力，处理系统避开不良地质区域建设。</w:t>
      </w:r>
    </w:p>
    <w:p>
      <w:pPr>
        <w:ind w:firstLine="480" w:firstLineChars="200"/>
        <w:rPr>
          <w:color w:val="000000" w:themeColor="text1"/>
          <w:sz w:val="24"/>
        </w:rPr>
      </w:pPr>
      <w:r>
        <w:rPr>
          <w:color w:val="000000" w:themeColor="text1"/>
          <w:sz w:val="24"/>
        </w:rPr>
        <w:t>（2）定期对污水处理设备进行检查，是否存在开裂、渗漏，及时修补和发现问题，解决问题。</w:t>
      </w:r>
    </w:p>
    <w:p>
      <w:pPr>
        <w:ind w:firstLine="480" w:firstLineChars="200"/>
        <w:rPr>
          <w:color w:val="000000" w:themeColor="text1"/>
          <w:sz w:val="24"/>
        </w:rPr>
      </w:pPr>
      <w:r>
        <w:rPr>
          <w:color w:val="000000" w:themeColor="text1"/>
          <w:sz w:val="24"/>
        </w:rPr>
        <w:t>（3）必须加强对污水处理设施的运行管理、维修，应在生产中严格按照操作规程，避免废水事故性排放。</w:t>
      </w:r>
    </w:p>
    <w:p>
      <w:pPr>
        <w:ind w:firstLine="480" w:firstLineChars="200"/>
        <w:rPr>
          <w:color w:val="000000" w:themeColor="text1"/>
          <w:sz w:val="24"/>
        </w:rPr>
      </w:pPr>
      <w:r>
        <w:rPr>
          <w:color w:val="000000" w:themeColor="text1"/>
          <w:sz w:val="24"/>
        </w:rPr>
        <w:t>（4）加强对废水处理设施的运行管理，一旦出现事故性排放，应立即停止处理，废水进事故池储存，排除故障后，再进行正常运行。</w:t>
      </w:r>
    </w:p>
    <w:p>
      <w:pPr>
        <w:ind w:firstLine="480" w:firstLineChars="200"/>
        <w:rPr>
          <w:color w:val="000000" w:themeColor="text1"/>
          <w:sz w:val="24"/>
        </w:rPr>
      </w:pPr>
      <w:r>
        <w:rPr>
          <w:rFonts w:hint="eastAsia"/>
          <w:color w:val="000000" w:themeColor="text1"/>
          <w:sz w:val="24"/>
        </w:rPr>
        <w:t>（5）构筑物防渗应委托有资质单位设计及施工，防渗层验收合格后方可进行后续工程施工。</w:t>
      </w:r>
    </w:p>
    <w:p>
      <w:pPr>
        <w:ind w:firstLine="480" w:firstLineChars="200"/>
        <w:rPr>
          <w:color w:val="000000" w:themeColor="text1"/>
          <w:sz w:val="24"/>
        </w:rPr>
      </w:pPr>
      <w:r>
        <w:rPr>
          <w:rFonts w:hint="eastAsia"/>
          <w:color w:val="000000" w:themeColor="text1"/>
          <w:sz w:val="24"/>
        </w:rPr>
        <w:t>（6）沼液输送管道设计时应提高管道安全等级，规范施工。</w:t>
      </w:r>
    </w:p>
    <w:p>
      <w:pPr>
        <w:ind w:firstLine="480" w:firstLineChars="200"/>
        <w:rPr>
          <w:color w:val="000000" w:themeColor="text1"/>
          <w:sz w:val="24"/>
        </w:rPr>
      </w:pPr>
      <w:r>
        <w:rPr>
          <w:rFonts w:hint="eastAsia"/>
          <w:color w:val="000000" w:themeColor="text1"/>
          <w:sz w:val="24"/>
        </w:rPr>
        <w:t>（7）沼液输送管道进水口安装总阀门，并且在非施肥和发生破损时及时关闭阀门。</w:t>
      </w:r>
    </w:p>
    <w:p>
      <w:pPr>
        <w:ind w:firstLine="480" w:firstLineChars="200"/>
        <w:rPr>
          <w:color w:val="000000" w:themeColor="text1"/>
          <w:sz w:val="24"/>
        </w:rPr>
      </w:pPr>
      <w:r>
        <w:rPr>
          <w:rFonts w:hint="eastAsia"/>
          <w:color w:val="000000" w:themeColor="text1"/>
          <w:sz w:val="24"/>
        </w:rPr>
        <w:t>（8）定期对管道进行巡检、维护，消除事故隐患。</w:t>
      </w:r>
    </w:p>
    <w:p>
      <w:pPr>
        <w:ind w:firstLine="480" w:firstLineChars="200"/>
        <w:rPr>
          <w:color w:val="000000" w:themeColor="text1"/>
          <w:sz w:val="24"/>
        </w:rPr>
      </w:pPr>
      <w:r>
        <w:rPr>
          <w:color w:val="000000" w:themeColor="text1"/>
          <w:sz w:val="24"/>
        </w:rPr>
        <w:t>（</w:t>
      </w:r>
      <w:r>
        <w:rPr>
          <w:rFonts w:hint="eastAsia"/>
          <w:color w:val="000000" w:themeColor="text1"/>
          <w:sz w:val="24"/>
        </w:rPr>
        <w:t>9</w:t>
      </w:r>
      <w:r>
        <w:rPr>
          <w:color w:val="000000" w:themeColor="text1"/>
          <w:sz w:val="24"/>
        </w:rPr>
        <w:t>）沼气池的设计应严格执行《规模化畜禽养殖场沼气工程设计规范》（NY/T1222-2006），生产的沼气经净化系统后方可以进入贮气系统。</w:t>
      </w:r>
    </w:p>
    <w:p>
      <w:pPr>
        <w:ind w:firstLine="480" w:firstLineChars="200"/>
        <w:rPr>
          <w:color w:val="000000" w:themeColor="text1"/>
          <w:sz w:val="24"/>
        </w:rPr>
      </w:pPr>
      <w:r>
        <w:rPr>
          <w:color w:val="000000" w:themeColor="text1"/>
          <w:sz w:val="24"/>
        </w:rPr>
        <w:t>（</w:t>
      </w:r>
      <w:r>
        <w:rPr>
          <w:rFonts w:hint="eastAsia"/>
          <w:color w:val="000000" w:themeColor="text1"/>
          <w:sz w:val="24"/>
        </w:rPr>
        <w:t>10</w:t>
      </w:r>
      <w:r>
        <w:rPr>
          <w:color w:val="000000" w:themeColor="text1"/>
          <w:sz w:val="24"/>
        </w:rPr>
        <w:t>）沼气收集、输送管道、管件等采用可靠的密封技术，使沼气输送过程都在密闭的情况下进行，防止沼气泄漏。</w:t>
      </w:r>
    </w:p>
    <w:p>
      <w:pPr>
        <w:ind w:firstLine="480" w:firstLineChars="200"/>
        <w:rPr>
          <w:color w:val="000000" w:themeColor="text1"/>
          <w:sz w:val="24"/>
        </w:rPr>
      </w:pPr>
      <w:r>
        <w:rPr>
          <w:color w:val="000000" w:themeColor="text1"/>
          <w:sz w:val="24"/>
        </w:rPr>
        <w:t>（</w:t>
      </w:r>
      <w:r>
        <w:rPr>
          <w:rFonts w:hint="eastAsia"/>
          <w:color w:val="000000" w:themeColor="text1"/>
          <w:sz w:val="24"/>
        </w:rPr>
        <w:t>11</w:t>
      </w:r>
      <w:r>
        <w:rPr>
          <w:color w:val="000000" w:themeColor="text1"/>
          <w:sz w:val="24"/>
        </w:rPr>
        <w:t>）定期对沼气管道、储气柜进行检修。</w:t>
      </w:r>
    </w:p>
    <w:p>
      <w:pPr>
        <w:ind w:firstLine="480" w:firstLineChars="200"/>
        <w:rPr>
          <w:color w:val="000000" w:themeColor="text1"/>
          <w:sz w:val="24"/>
        </w:rPr>
      </w:pPr>
      <w:r>
        <w:rPr>
          <w:color w:val="000000" w:themeColor="text1"/>
          <w:sz w:val="24"/>
        </w:rPr>
        <w:t>（</w:t>
      </w:r>
      <w:r>
        <w:rPr>
          <w:rFonts w:hint="eastAsia"/>
          <w:color w:val="000000" w:themeColor="text1"/>
          <w:sz w:val="24"/>
        </w:rPr>
        <w:t>12</w:t>
      </w:r>
      <w:r>
        <w:rPr>
          <w:color w:val="000000" w:themeColor="text1"/>
          <w:sz w:val="24"/>
        </w:rPr>
        <w:t>）设备设置严格执行国家有关防火防爆的规范、规定，按要求设置消防通道，设备之间保证有足够的安全间距，尽量采用技术先进和安全可靠的设备。</w:t>
      </w:r>
    </w:p>
    <w:p>
      <w:pPr>
        <w:pStyle w:val="13"/>
        <w:adjustRightInd w:val="0"/>
        <w:snapToGrid w:val="0"/>
        <w:spacing w:after="0"/>
        <w:ind w:firstLine="480" w:firstLineChars="200"/>
        <w:rPr>
          <w:color w:val="000000" w:themeColor="text1"/>
          <w:sz w:val="24"/>
        </w:rPr>
      </w:pPr>
      <w:r>
        <w:rPr>
          <w:color w:val="000000" w:themeColor="text1"/>
          <w:sz w:val="24"/>
        </w:rPr>
        <w:t>（</w:t>
      </w:r>
      <w:r>
        <w:rPr>
          <w:rFonts w:hint="eastAsia"/>
          <w:color w:val="000000" w:themeColor="text1"/>
          <w:sz w:val="24"/>
        </w:rPr>
        <w:t>13</w:t>
      </w:r>
      <w:r>
        <w:rPr>
          <w:color w:val="000000" w:themeColor="text1"/>
          <w:sz w:val="24"/>
        </w:rPr>
        <w:t>）强化安全管理，强化职工风险意识。</w:t>
      </w:r>
    </w:p>
    <w:p>
      <w:pPr>
        <w:ind w:firstLine="480" w:firstLineChars="200"/>
        <w:rPr>
          <w:color w:val="000000" w:themeColor="text1"/>
          <w:sz w:val="24"/>
        </w:rPr>
      </w:pPr>
      <w:r>
        <w:rPr>
          <w:rFonts w:hint="eastAsia"/>
          <w:color w:val="000000" w:themeColor="text1"/>
          <w:sz w:val="24"/>
        </w:rPr>
        <w:t>（14）在生产中应坚持“防病重于治病”的方针，引种时的检疫、隔离、消毒；猪场疾病的化验与预测；疫苗的注射、药物预防等等，都是将疾病拒之门外的有效办法。</w:t>
      </w:r>
    </w:p>
    <w:p>
      <w:pPr>
        <w:ind w:firstLine="480" w:firstLineChars="200"/>
        <w:rPr>
          <w:color w:val="000000" w:themeColor="text1"/>
          <w:sz w:val="24"/>
        </w:rPr>
      </w:pPr>
      <w:r>
        <w:rPr>
          <w:rFonts w:hint="eastAsia"/>
          <w:color w:val="000000" w:themeColor="text1"/>
          <w:sz w:val="24"/>
        </w:rPr>
        <w:t>（15）企业将养殖区与生活区分开，养殖区门口应设置消毒池和消毒室。</w:t>
      </w:r>
    </w:p>
    <w:p>
      <w:pPr>
        <w:ind w:firstLine="480" w:firstLineChars="200"/>
        <w:rPr>
          <w:color w:val="000000" w:themeColor="text1"/>
          <w:sz w:val="24"/>
        </w:rPr>
      </w:pPr>
      <w:r>
        <w:rPr>
          <w:rFonts w:hint="eastAsia"/>
          <w:color w:val="000000" w:themeColor="text1"/>
          <w:sz w:val="24"/>
        </w:rPr>
        <w:t>（16）严格控制非生产人员进入生产区，必须进入时应更换工作服及鞋帽，经消毒室消毒后才能进入。</w:t>
      </w:r>
    </w:p>
    <w:p>
      <w:pPr>
        <w:ind w:firstLine="480" w:firstLineChars="200"/>
        <w:rPr>
          <w:color w:val="000000" w:themeColor="text1"/>
          <w:sz w:val="24"/>
        </w:rPr>
      </w:pPr>
      <w:r>
        <w:rPr>
          <w:rFonts w:hint="eastAsia"/>
          <w:color w:val="000000" w:themeColor="text1"/>
          <w:sz w:val="24"/>
        </w:rPr>
        <w:t>（17）经常开展常规消毒，加强饲养管理，搞好环境卫生，保持猪舍、猪体清洁。</w:t>
      </w:r>
    </w:p>
    <w:p>
      <w:pPr>
        <w:ind w:firstLine="480" w:firstLineChars="200"/>
        <w:rPr>
          <w:color w:val="000000" w:themeColor="text1"/>
          <w:sz w:val="24"/>
        </w:rPr>
      </w:pPr>
      <w:r>
        <w:rPr>
          <w:rFonts w:hint="eastAsia"/>
          <w:color w:val="000000" w:themeColor="text1"/>
          <w:sz w:val="24"/>
        </w:rPr>
        <w:t>（18）按《畜禽养殖业污染防治技术规范》（HJ/T81-2001）的相关规定，企业对病死猪尸体及时处理，不随意丢弃，不出售或作为饲料再利用。</w:t>
      </w:r>
    </w:p>
    <w:p>
      <w:pPr>
        <w:ind w:firstLine="480" w:firstLineChars="200"/>
        <w:rPr>
          <w:color w:val="000000" w:themeColor="text1"/>
          <w:sz w:val="24"/>
        </w:rPr>
      </w:pPr>
      <w:r>
        <w:rPr>
          <w:rFonts w:hint="eastAsia"/>
          <w:color w:val="000000" w:themeColor="text1"/>
          <w:sz w:val="24"/>
        </w:rPr>
        <w:t>（19）若不慎发生传染病，应立立即按照计划组成防疫小组，尽快做出确切诊断，迅速向卫生防疫部门报告疫情；迅速隔离病猪，对危害较重的传染病应及时划区封锁，建立封锁带，出人人员和车辆要严格消毒，同时严格消毒污染环境；对病猪及封锁区内的猪只实行合理的综合防制措施，包括疫苗的紧急接种、抗生素疗法、高免血清的特异性疗法、化学疗法、增强体质和生理机能的辅助疗法等。</w:t>
      </w:r>
    </w:p>
    <w:p>
      <w:pPr>
        <w:adjustRightInd w:val="0"/>
        <w:snapToGrid w:val="0"/>
        <w:ind w:firstLine="480" w:firstLineChars="200"/>
        <w:rPr>
          <w:color w:val="000000" w:themeColor="text1"/>
          <w:sz w:val="24"/>
        </w:rPr>
        <w:sectPr>
          <w:pgSz w:w="11906" w:h="16838"/>
          <w:pgMar w:top="1440" w:right="1797" w:bottom="1440" w:left="1797" w:header="851" w:footer="992" w:gutter="0"/>
          <w:cols w:space="720" w:num="1"/>
          <w:docGrid w:linePitch="312" w:charSpace="0"/>
        </w:sectPr>
      </w:pPr>
    </w:p>
    <w:p>
      <w:pPr>
        <w:pStyle w:val="2"/>
        <w:rPr>
          <w:rFonts w:hAnsi="Times New Roman"/>
          <w:color w:val="000000" w:themeColor="text1"/>
        </w:rPr>
      </w:pPr>
      <w:bookmarkStart w:id="462" w:name="_Toc307581851"/>
      <w:bookmarkStart w:id="463" w:name="_Toc11156"/>
      <w:bookmarkStart w:id="464" w:name="_Toc510547363"/>
      <w:bookmarkStart w:id="465" w:name="_Toc4076506"/>
      <w:bookmarkStart w:id="466" w:name="_Toc402186409"/>
      <w:bookmarkStart w:id="467" w:name="_Toc20655"/>
      <w:bookmarkStart w:id="468" w:name="_Toc29090"/>
      <w:r>
        <w:rPr>
          <w:rFonts w:hAnsi="Times New Roman"/>
          <w:color w:val="000000" w:themeColor="text1"/>
        </w:rPr>
        <w:t>8选址及产业政策的符合性和合理性分析</w:t>
      </w:r>
      <w:bookmarkEnd w:id="462"/>
      <w:bookmarkEnd w:id="463"/>
      <w:bookmarkEnd w:id="464"/>
      <w:bookmarkEnd w:id="465"/>
      <w:bookmarkEnd w:id="466"/>
      <w:bookmarkEnd w:id="467"/>
      <w:bookmarkEnd w:id="468"/>
    </w:p>
    <w:p>
      <w:pPr>
        <w:pStyle w:val="3"/>
        <w:adjustRightInd w:val="0"/>
        <w:snapToGrid w:val="0"/>
        <w:spacing w:before="0" w:after="0"/>
        <w:rPr>
          <w:rFonts w:ascii="Times New Roman" w:hAnsi="Times New Roman"/>
          <w:color w:val="000000" w:themeColor="text1"/>
        </w:rPr>
      </w:pPr>
      <w:bookmarkStart w:id="469" w:name="_Toc510547364"/>
      <w:bookmarkStart w:id="470" w:name="_Toc402186410"/>
      <w:bookmarkStart w:id="471" w:name="_Toc4076507"/>
      <w:r>
        <w:rPr>
          <w:rFonts w:ascii="Times New Roman" w:hAnsi="Times New Roman"/>
          <w:color w:val="000000" w:themeColor="text1"/>
        </w:rPr>
        <w:t>8.1产业政策符合性</w:t>
      </w:r>
      <w:bookmarkEnd w:id="469"/>
      <w:bookmarkEnd w:id="470"/>
      <w:bookmarkEnd w:id="471"/>
    </w:p>
    <w:p>
      <w:pPr>
        <w:pStyle w:val="13"/>
        <w:adjustRightInd w:val="0"/>
        <w:snapToGrid w:val="0"/>
        <w:spacing w:after="0"/>
        <w:ind w:firstLine="480" w:firstLineChars="200"/>
        <w:rPr>
          <w:color w:val="000000" w:themeColor="text1"/>
          <w:sz w:val="24"/>
        </w:rPr>
      </w:pPr>
      <w:r>
        <w:rPr>
          <w:color w:val="000000" w:themeColor="text1"/>
          <w:sz w:val="24"/>
        </w:rPr>
        <w:t>根据中华人民共和国发展和改革委员会令第9号《产业结构调整指导目录》（2011年修订本），项目属于：第一类鼓励类一、农林类  5、畜禽标准化规模养殖技术开发与应用，本项目生猪养殖区属于鼓励类项目。</w:t>
      </w:r>
    </w:p>
    <w:p>
      <w:pPr>
        <w:ind w:firstLine="480" w:firstLineChars="200"/>
        <w:rPr>
          <w:color w:val="000000" w:themeColor="text1"/>
          <w:sz w:val="24"/>
        </w:rPr>
      </w:pPr>
      <w:r>
        <w:rPr>
          <w:color w:val="000000" w:themeColor="text1"/>
          <w:sz w:val="24"/>
        </w:rPr>
        <w:t>项目</w:t>
      </w:r>
      <w:r>
        <w:rPr>
          <w:rFonts w:hint="eastAsia"/>
          <w:color w:val="000000" w:themeColor="text1"/>
          <w:sz w:val="24"/>
        </w:rPr>
        <w:t>已</w:t>
      </w:r>
      <w:r>
        <w:rPr>
          <w:color w:val="000000" w:themeColor="text1"/>
          <w:sz w:val="24"/>
        </w:rPr>
        <w:t>取得</w:t>
      </w:r>
      <w:r>
        <w:rPr>
          <w:rFonts w:hint="eastAsia"/>
          <w:color w:val="000000" w:themeColor="text1"/>
          <w:sz w:val="24"/>
        </w:rPr>
        <w:t>新平</w:t>
      </w:r>
      <w:r>
        <w:rPr>
          <w:color w:val="000000" w:themeColor="text1"/>
          <w:sz w:val="24"/>
        </w:rPr>
        <w:t>彝族</w:t>
      </w:r>
      <w:r>
        <w:rPr>
          <w:rFonts w:hint="eastAsia"/>
          <w:color w:val="000000" w:themeColor="text1"/>
          <w:sz w:val="24"/>
        </w:rPr>
        <w:t>傣族</w:t>
      </w:r>
      <w:r>
        <w:rPr>
          <w:color w:val="000000" w:themeColor="text1"/>
          <w:sz w:val="24"/>
        </w:rPr>
        <w:t>自治县发展和改革局出具的投资项目备案证</w:t>
      </w:r>
      <w:r>
        <w:rPr>
          <w:rFonts w:hint="eastAsia"/>
          <w:color w:val="000000" w:themeColor="text1"/>
          <w:sz w:val="24"/>
        </w:rPr>
        <w:t>（新</w:t>
      </w:r>
      <w:r>
        <w:rPr>
          <w:color w:val="000000" w:themeColor="text1"/>
          <w:sz w:val="24"/>
        </w:rPr>
        <w:t>发改</w:t>
      </w:r>
      <w:r>
        <w:rPr>
          <w:rFonts w:hint="eastAsia"/>
          <w:color w:val="000000" w:themeColor="text1"/>
          <w:sz w:val="24"/>
        </w:rPr>
        <w:t>投资</w:t>
      </w:r>
      <w:r>
        <w:rPr>
          <w:color w:val="000000" w:themeColor="text1"/>
          <w:sz w:val="24"/>
        </w:rPr>
        <w:t>备案[201</w:t>
      </w:r>
      <w:r>
        <w:rPr>
          <w:rFonts w:hint="eastAsia"/>
          <w:color w:val="000000" w:themeColor="text1"/>
          <w:sz w:val="24"/>
        </w:rPr>
        <w:t>8</w:t>
      </w:r>
      <w:r>
        <w:rPr>
          <w:color w:val="000000" w:themeColor="text1"/>
          <w:sz w:val="24"/>
        </w:rPr>
        <w:t>]</w:t>
      </w:r>
      <w:r>
        <w:rPr>
          <w:rFonts w:hint="eastAsia"/>
          <w:color w:val="000000" w:themeColor="text1"/>
          <w:sz w:val="24"/>
        </w:rPr>
        <w:t>82</w:t>
      </w:r>
      <w:r>
        <w:rPr>
          <w:color w:val="000000" w:themeColor="text1"/>
          <w:sz w:val="24"/>
        </w:rPr>
        <w:t>号</w:t>
      </w:r>
      <w:r>
        <w:rPr>
          <w:rFonts w:hint="eastAsia"/>
          <w:color w:val="000000" w:themeColor="text1"/>
          <w:sz w:val="24"/>
        </w:rPr>
        <w:t>）</w:t>
      </w:r>
      <w:r>
        <w:rPr>
          <w:color w:val="000000" w:themeColor="text1"/>
          <w:sz w:val="24"/>
        </w:rPr>
        <w:t>。</w:t>
      </w:r>
    </w:p>
    <w:p>
      <w:pPr>
        <w:adjustRightInd w:val="0"/>
        <w:snapToGrid w:val="0"/>
        <w:ind w:firstLine="480" w:firstLineChars="200"/>
        <w:rPr>
          <w:color w:val="000000" w:themeColor="text1"/>
          <w:sz w:val="24"/>
        </w:rPr>
      </w:pPr>
      <w:r>
        <w:rPr>
          <w:color w:val="000000" w:themeColor="text1"/>
          <w:sz w:val="24"/>
        </w:rPr>
        <w:t>综上，本项目的建设符合产业政策。</w:t>
      </w:r>
    </w:p>
    <w:p>
      <w:pPr>
        <w:pStyle w:val="3"/>
        <w:adjustRightInd w:val="0"/>
        <w:snapToGrid w:val="0"/>
        <w:spacing w:before="0" w:after="0"/>
        <w:rPr>
          <w:rFonts w:ascii="Times New Roman" w:hAnsi="Times New Roman"/>
          <w:color w:val="000000" w:themeColor="text1"/>
        </w:rPr>
      </w:pPr>
      <w:bookmarkStart w:id="472" w:name="_Toc4076508"/>
      <w:bookmarkStart w:id="473" w:name="_Toc510547365"/>
      <w:bookmarkStart w:id="474" w:name="_Toc402186411"/>
      <w:r>
        <w:rPr>
          <w:rFonts w:ascii="Times New Roman" w:hAnsi="Times New Roman"/>
          <w:color w:val="000000" w:themeColor="text1"/>
        </w:rPr>
        <w:t>8.2 项目选址合理性分析</w:t>
      </w:r>
      <w:bookmarkEnd w:id="472"/>
      <w:bookmarkEnd w:id="473"/>
      <w:bookmarkEnd w:id="474"/>
    </w:p>
    <w:p>
      <w:pPr>
        <w:adjustRightInd w:val="0"/>
        <w:snapToGrid w:val="0"/>
        <w:outlineLvl w:val="2"/>
        <w:rPr>
          <w:b/>
          <w:color w:val="000000" w:themeColor="text1"/>
          <w:sz w:val="24"/>
        </w:rPr>
      </w:pPr>
      <w:bookmarkStart w:id="475" w:name="_Toc510547366"/>
      <w:r>
        <w:rPr>
          <w:b/>
          <w:color w:val="000000" w:themeColor="text1"/>
          <w:sz w:val="24"/>
        </w:rPr>
        <w:t>8.2.1与《畜禽养殖业污染防治技术规范》（HJ/T81-2001）的符合性分析</w:t>
      </w:r>
      <w:bookmarkEnd w:id="475"/>
    </w:p>
    <w:p>
      <w:pPr>
        <w:adjustRightInd w:val="0"/>
        <w:snapToGrid w:val="0"/>
        <w:ind w:firstLine="480" w:firstLineChars="200"/>
        <w:rPr>
          <w:color w:val="000000" w:themeColor="text1"/>
          <w:sz w:val="24"/>
        </w:rPr>
      </w:pPr>
      <w:r>
        <w:rPr>
          <w:color w:val="000000" w:themeColor="text1"/>
          <w:sz w:val="24"/>
        </w:rPr>
        <w:t>根据《畜禽养殖业污染防治技术规范》（HJ/T81-2001）相关要求，与本工程对照分析见表8.2-1。</w:t>
      </w:r>
    </w:p>
    <w:p>
      <w:pPr>
        <w:ind w:firstLine="422" w:firstLineChars="200"/>
        <w:jc w:val="center"/>
        <w:rPr>
          <w:rFonts w:eastAsia="黑体"/>
          <w:b/>
          <w:bCs/>
          <w:color w:val="000000" w:themeColor="text1"/>
          <w:szCs w:val="21"/>
        </w:rPr>
      </w:pPr>
      <w:r>
        <w:rPr>
          <w:rFonts w:eastAsia="黑体"/>
          <w:b/>
          <w:bCs/>
          <w:color w:val="000000" w:themeColor="text1"/>
          <w:szCs w:val="21"/>
        </w:rPr>
        <w:t>表8.2-1  项目与《畜禽养殖业污染防治技术规范》（HJ/T81-2001）的对照分析</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851"/>
        <w:gridCol w:w="335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gridSpan w:val="2"/>
            <w:vAlign w:val="center"/>
          </w:tcPr>
          <w:p>
            <w:pPr>
              <w:spacing w:line="240" w:lineRule="auto"/>
              <w:jc w:val="center"/>
              <w:rPr>
                <w:b/>
                <w:color w:val="000000" w:themeColor="text1"/>
                <w:szCs w:val="21"/>
              </w:rPr>
            </w:pPr>
            <w:r>
              <w:rPr>
                <w:b/>
                <w:color w:val="000000" w:themeColor="text1"/>
                <w:szCs w:val="21"/>
              </w:rPr>
              <w:t>《畜禽养殖业污染防治技术规范》内容</w:t>
            </w:r>
          </w:p>
        </w:tc>
        <w:tc>
          <w:tcPr>
            <w:tcW w:w="3350" w:type="dxa"/>
            <w:vAlign w:val="center"/>
          </w:tcPr>
          <w:p>
            <w:pPr>
              <w:spacing w:line="240" w:lineRule="auto"/>
              <w:jc w:val="center"/>
              <w:rPr>
                <w:b/>
                <w:color w:val="000000" w:themeColor="text1"/>
                <w:szCs w:val="21"/>
              </w:rPr>
            </w:pPr>
            <w:r>
              <w:rPr>
                <w:b/>
                <w:color w:val="000000" w:themeColor="text1"/>
                <w:szCs w:val="21"/>
              </w:rPr>
              <w:t>本项目</w:t>
            </w:r>
          </w:p>
        </w:tc>
        <w:tc>
          <w:tcPr>
            <w:tcW w:w="665" w:type="dxa"/>
            <w:vAlign w:val="center"/>
          </w:tcPr>
          <w:p>
            <w:pPr>
              <w:spacing w:line="240" w:lineRule="auto"/>
              <w:jc w:val="center"/>
              <w:rPr>
                <w:b/>
                <w:color w:val="000000" w:themeColor="text1"/>
                <w:szCs w:val="21"/>
              </w:rPr>
            </w:pPr>
            <w:r>
              <w:rPr>
                <w:b/>
                <w:color w:val="000000" w:themeColor="text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spacing w:line="240" w:lineRule="auto"/>
              <w:jc w:val="center"/>
              <w:rPr>
                <w:color w:val="000000" w:themeColor="text1"/>
                <w:szCs w:val="21"/>
              </w:rPr>
            </w:pPr>
            <w:r>
              <w:rPr>
                <w:color w:val="000000" w:themeColor="text1"/>
                <w:szCs w:val="21"/>
              </w:rPr>
              <w:t>选址要求</w:t>
            </w:r>
          </w:p>
        </w:tc>
        <w:tc>
          <w:tcPr>
            <w:tcW w:w="3851" w:type="dxa"/>
          </w:tcPr>
          <w:p>
            <w:pPr>
              <w:spacing w:line="240" w:lineRule="auto"/>
              <w:rPr>
                <w:color w:val="000000" w:themeColor="text1"/>
                <w:szCs w:val="21"/>
              </w:rPr>
            </w:pPr>
            <w:r>
              <w:rPr>
                <w:color w:val="000000" w:themeColor="text1"/>
                <w:szCs w:val="21"/>
              </w:rPr>
              <w:t>3.1禁止在下列区域建设畜禽养殖场：</w:t>
            </w:r>
          </w:p>
          <w:p>
            <w:pPr>
              <w:spacing w:line="240" w:lineRule="auto"/>
              <w:ind w:firstLine="420" w:firstLineChars="200"/>
              <w:rPr>
                <w:color w:val="000000" w:themeColor="text1"/>
                <w:szCs w:val="21"/>
              </w:rPr>
            </w:pPr>
            <w:r>
              <w:rPr>
                <w:color w:val="000000" w:themeColor="text1"/>
                <w:szCs w:val="21"/>
              </w:rPr>
              <w:t>（1）生活饮用水水源保护区、风景名胜区、自然保护区的核心区及缓冲区；</w:t>
            </w:r>
          </w:p>
          <w:p>
            <w:pPr>
              <w:spacing w:line="240" w:lineRule="auto"/>
              <w:ind w:firstLine="420" w:firstLineChars="200"/>
              <w:rPr>
                <w:color w:val="000000" w:themeColor="text1"/>
                <w:szCs w:val="21"/>
              </w:rPr>
            </w:pPr>
            <w:r>
              <w:rPr>
                <w:color w:val="000000" w:themeColor="text1"/>
                <w:szCs w:val="21"/>
              </w:rPr>
              <w:t>（2）城市和城镇居民区，包括文教科研区、医疗区、商业区、工业区、游览区等人口集中地区；</w:t>
            </w:r>
          </w:p>
          <w:p>
            <w:pPr>
              <w:spacing w:line="240" w:lineRule="auto"/>
              <w:ind w:firstLine="420" w:firstLineChars="200"/>
              <w:rPr>
                <w:color w:val="000000" w:themeColor="text1"/>
                <w:szCs w:val="21"/>
              </w:rPr>
            </w:pPr>
            <w:r>
              <w:rPr>
                <w:color w:val="000000" w:themeColor="text1"/>
                <w:szCs w:val="21"/>
              </w:rPr>
              <w:t>（3）县级人民政府依法划定的禁养区域；</w:t>
            </w:r>
          </w:p>
          <w:p>
            <w:pPr>
              <w:spacing w:line="240" w:lineRule="auto"/>
              <w:ind w:firstLine="420" w:firstLineChars="200"/>
              <w:rPr>
                <w:color w:val="000000" w:themeColor="text1"/>
                <w:szCs w:val="21"/>
              </w:rPr>
            </w:pPr>
            <w:r>
              <w:rPr>
                <w:color w:val="000000" w:themeColor="text1"/>
                <w:szCs w:val="21"/>
              </w:rPr>
              <w:t>（4）国家或地方法律、法规规定需特殊保护的其它区域。</w:t>
            </w:r>
          </w:p>
          <w:p>
            <w:pPr>
              <w:spacing w:line="240" w:lineRule="auto"/>
              <w:rPr>
                <w:color w:val="000000" w:themeColor="text1"/>
                <w:szCs w:val="21"/>
              </w:rPr>
            </w:pPr>
            <w:r>
              <w:rPr>
                <w:color w:val="000000" w:themeColor="text1"/>
                <w:szCs w:val="21"/>
              </w:rPr>
              <w:t>3.2新建、改建、扩建的畜禽养殖场选址应避开上述规定的禁建区域，在禁建区域附近建设的，应设在上述规定的禁建区域常年主导风向的下风向或侧风向处，场界与禁建区域边界的最小距离不得小于500m。</w:t>
            </w:r>
          </w:p>
        </w:tc>
        <w:tc>
          <w:tcPr>
            <w:tcW w:w="3350" w:type="dxa"/>
          </w:tcPr>
          <w:p>
            <w:pPr>
              <w:spacing w:line="240" w:lineRule="auto"/>
              <w:ind w:firstLine="420" w:firstLineChars="200"/>
              <w:rPr>
                <w:color w:val="000000" w:themeColor="text1"/>
                <w:szCs w:val="21"/>
              </w:rPr>
            </w:pPr>
            <w:r>
              <w:rPr>
                <w:color w:val="000000" w:themeColor="text1"/>
                <w:szCs w:val="21"/>
              </w:rPr>
              <w:t>项目不涉及生活饮用水水源保护区、风景名胜区、自然保护区的核心区及缓冲区；不涉及人口集中地区</w:t>
            </w:r>
            <w:r>
              <w:rPr>
                <w:rFonts w:hint="eastAsia"/>
                <w:color w:val="000000" w:themeColor="text1"/>
                <w:szCs w:val="21"/>
              </w:rPr>
              <w:t>。</w:t>
            </w:r>
          </w:p>
          <w:p>
            <w:pPr>
              <w:spacing w:line="240" w:lineRule="auto"/>
              <w:ind w:firstLine="420" w:firstLineChars="200"/>
              <w:rPr>
                <w:color w:val="000000" w:themeColor="text1"/>
                <w:szCs w:val="21"/>
              </w:rPr>
            </w:pPr>
            <w:r>
              <w:rPr>
                <w:rFonts w:hint="eastAsia"/>
                <w:color w:val="000000" w:themeColor="text1"/>
                <w:szCs w:val="21"/>
              </w:rPr>
              <w:t>根据《新平县畜禽养殖禁养区限养区划定方案》（新征规[2018]1号），项目</w:t>
            </w:r>
            <w:r>
              <w:rPr>
                <w:color w:val="000000" w:themeColor="text1"/>
                <w:szCs w:val="21"/>
              </w:rPr>
              <w:t>不属于县级人民政府依法划定的禁养区域。</w:t>
            </w:r>
          </w:p>
          <w:p>
            <w:pPr>
              <w:spacing w:line="240" w:lineRule="auto"/>
              <w:ind w:firstLine="420" w:firstLineChars="200"/>
              <w:rPr>
                <w:color w:val="000000" w:themeColor="text1"/>
                <w:szCs w:val="21"/>
              </w:rPr>
            </w:pPr>
            <w:r>
              <w:rPr>
                <w:color w:val="000000" w:themeColor="text1"/>
                <w:szCs w:val="21"/>
              </w:rPr>
              <w:t>项目距离最近居民点</w:t>
            </w:r>
            <w:r>
              <w:rPr>
                <w:rFonts w:hint="eastAsia"/>
                <w:color w:val="000000" w:themeColor="text1"/>
                <w:szCs w:val="21"/>
              </w:rPr>
              <w:t>（石头村）543</w:t>
            </w:r>
            <w:r>
              <w:rPr>
                <w:color w:val="000000" w:themeColor="text1"/>
                <w:szCs w:val="21"/>
              </w:rPr>
              <w:t>m，</w:t>
            </w:r>
            <w:r>
              <w:rPr>
                <w:rFonts w:hint="eastAsia"/>
                <w:color w:val="000000" w:themeColor="text1"/>
                <w:szCs w:val="21"/>
              </w:rPr>
              <w:t>位于区域常年主导风侧风向，项目</w:t>
            </w:r>
            <w:r>
              <w:rPr>
                <w:color w:val="000000" w:themeColor="text1"/>
                <w:szCs w:val="21"/>
              </w:rPr>
              <w:t>场界与禁建区域</w:t>
            </w:r>
            <w:r>
              <w:rPr>
                <w:rFonts w:hint="eastAsia"/>
                <w:color w:val="000000" w:themeColor="text1"/>
                <w:szCs w:val="21"/>
              </w:rPr>
              <w:t>（石头村）</w:t>
            </w:r>
            <w:r>
              <w:rPr>
                <w:color w:val="000000" w:themeColor="text1"/>
                <w:szCs w:val="21"/>
              </w:rPr>
              <w:t>边界的最小距离</w:t>
            </w:r>
            <w:r>
              <w:rPr>
                <w:rFonts w:hint="eastAsia"/>
                <w:color w:val="000000" w:themeColor="text1"/>
                <w:szCs w:val="21"/>
              </w:rPr>
              <w:t>满足要求。</w:t>
            </w:r>
          </w:p>
          <w:p>
            <w:pPr>
              <w:spacing w:line="240" w:lineRule="auto"/>
              <w:rPr>
                <w:color w:val="000000" w:themeColor="text1"/>
                <w:szCs w:val="21"/>
              </w:rPr>
            </w:pPr>
          </w:p>
        </w:tc>
        <w:tc>
          <w:tcPr>
            <w:tcW w:w="665" w:type="dxa"/>
            <w:vAlign w:val="center"/>
          </w:tcPr>
          <w:p>
            <w:pPr>
              <w:spacing w:line="240" w:lineRule="auto"/>
              <w:jc w:val="center"/>
              <w:rPr>
                <w:color w:val="000000" w:themeColor="text1"/>
                <w:szCs w:val="21"/>
              </w:rPr>
            </w:pPr>
            <w:r>
              <w:rPr>
                <w:color w:val="000000" w:themeColor="text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spacing w:line="240" w:lineRule="auto"/>
              <w:jc w:val="center"/>
              <w:rPr>
                <w:color w:val="000000" w:themeColor="text1"/>
                <w:szCs w:val="21"/>
              </w:rPr>
            </w:pPr>
            <w:r>
              <w:rPr>
                <w:color w:val="000000" w:themeColor="text1"/>
                <w:szCs w:val="21"/>
              </w:rPr>
              <w:t>畜禽粪便的贮存</w:t>
            </w:r>
          </w:p>
        </w:tc>
        <w:tc>
          <w:tcPr>
            <w:tcW w:w="3851" w:type="dxa"/>
            <w:vAlign w:val="center"/>
          </w:tcPr>
          <w:p>
            <w:pPr>
              <w:spacing w:line="240" w:lineRule="auto"/>
              <w:ind w:firstLine="420" w:firstLineChars="200"/>
              <w:jc w:val="center"/>
              <w:rPr>
                <w:color w:val="000000" w:themeColor="text1"/>
                <w:szCs w:val="21"/>
              </w:rPr>
            </w:pPr>
            <w:r>
              <w:rPr>
                <w:color w:val="000000" w:themeColor="text1"/>
                <w:szCs w:val="21"/>
              </w:rPr>
              <w:t>贮存设施的位置必须远离各类功能地表水体（距离不得小于400m）。</w:t>
            </w:r>
          </w:p>
        </w:tc>
        <w:tc>
          <w:tcPr>
            <w:tcW w:w="3350" w:type="dxa"/>
            <w:vAlign w:val="center"/>
          </w:tcPr>
          <w:p>
            <w:pPr>
              <w:spacing w:line="240" w:lineRule="auto"/>
              <w:jc w:val="center"/>
              <w:rPr>
                <w:color w:val="000000" w:themeColor="text1"/>
                <w:szCs w:val="21"/>
              </w:rPr>
            </w:pPr>
            <w:r>
              <w:rPr>
                <w:color w:val="000000" w:themeColor="text1"/>
                <w:szCs w:val="21"/>
              </w:rPr>
              <w:t>项目</w:t>
            </w:r>
            <w:r>
              <w:rPr>
                <w:rFonts w:hint="eastAsia"/>
                <w:color w:val="000000" w:themeColor="text1"/>
                <w:szCs w:val="21"/>
              </w:rPr>
              <w:t>异位</w:t>
            </w:r>
            <w:r>
              <w:rPr>
                <w:color w:val="000000" w:themeColor="text1"/>
                <w:szCs w:val="21"/>
              </w:rPr>
              <w:t>发酵间</w:t>
            </w:r>
            <w:r>
              <w:rPr>
                <w:rFonts w:hint="eastAsia"/>
                <w:color w:val="000000" w:themeColor="text1"/>
                <w:szCs w:val="21"/>
              </w:rPr>
              <w:t>、沼液储存池</w:t>
            </w:r>
            <w:r>
              <w:rPr>
                <w:color w:val="000000" w:themeColor="text1"/>
                <w:szCs w:val="21"/>
              </w:rPr>
              <w:t>远离地表水体，距离</w:t>
            </w:r>
            <w:r>
              <w:rPr>
                <w:rFonts w:hint="eastAsia"/>
                <w:color w:val="000000" w:themeColor="text1"/>
                <w:szCs w:val="21"/>
              </w:rPr>
              <w:t>康之康河支流480</w:t>
            </w:r>
            <w:r>
              <w:rPr>
                <w:color w:val="000000" w:themeColor="text1"/>
                <w:szCs w:val="21"/>
              </w:rPr>
              <w:t>m。</w:t>
            </w:r>
          </w:p>
        </w:tc>
        <w:tc>
          <w:tcPr>
            <w:tcW w:w="665" w:type="dxa"/>
            <w:vAlign w:val="center"/>
          </w:tcPr>
          <w:p>
            <w:pPr>
              <w:spacing w:line="240" w:lineRule="auto"/>
              <w:jc w:val="center"/>
              <w:rPr>
                <w:color w:val="000000" w:themeColor="text1"/>
                <w:szCs w:val="21"/>
              </w:rPr>
            </w:pPr>
            <w:r>
              <w:rPr>
                <w:color w:val="000000" w:themeColor="text1"/>
                <w:szCs w:val="21"/>
              </w:rPr>
              <w:t>相符</w:t>
            </w:r>
          </w:p>
        </w:tc>
      </w:tr>
    </w:tbl>
    <w:p>
      <w:pPr>
        <w:adjustRightInd w:val="0"/>
        <w:snapToGrid w:val="0"/>
        <w:ind w:firstLine="480" w:firstLineChars="200"/>
        <w:rPr>
          <w:color w:val="000000" w:themeColor="text1"/>
          <w:sz w:val="24"/>
        </w:rPr>
      </w:pPr>
      <w:r>
        <w:rPr>
          <w:color w:val="000000" w:themeColor="text1"/>
          <w:sz w:val="24"/>
        </w:rPr>
        <w:t>根据表8.2-1，项目选址、发酵间布置符合《畜禽养殖业污染防治技术规范》（HJ/T81-2001）中相关要求。</w:t>
      </w:r>
    </w:p>
    <w:p>
      <w:pPr>
        <w:adjustRightInd w:val="0"/>
        <w:snapToGrid w:val="0"/>
        <w:ind w:firstLine="480" w:firstLineChars="200"/>
        <w:rPr>
          <w:color w:val="000000" w:themeColor="text1"/>
          <w:sz w:val="24"/>
        </w:rPr>
      </w:pPr>
    </w:p>
    <w:p>
      <w:pPr>
        <w:pStyle w:val="132"/>
        <w:ind w:firstLine="0" w:firstLineChars="0"/>
        <w:outlineLvl w:val="2"/>
        <w:rPr>
          <w:rFonts w:ascii="Times New Roman" w:hAnsi="Times New Roman" w:cs="Times New Roman"/>
          <w:b/>
          <w:color w:val="000000" w:themeColor="text1"/>
        </w:rPr>
      </w:pPr>
      <w:bookmarkStart w:id="476" w:name="_Toc510547367"/>
      <w:r>
        <w:rPr>
          <w:rFonts w:ascii="Times New Roman" w:hAnsi="Times New Roman" w:cs="Times New Roman"/>
          <w:b/>
          <w:color w:val="000000" w:themeColor="text1"/>
        </w:rPr>
        <w:t>8.2.2与《畜禽养殖业污染治理工程技术规范》（HJ497-2009）的符合性分析</w:t>
      </w:r>
      <w:bookmarkEnd w:id="476"/>
    </w:p>
    <w:p>
      <w:pPr>
        <w:adjustRightInd w:val="0"/>
        <w:snapToGrid w:val="0"/>
        <w:ind w:firstLine="480" w:firstLineChars="200"/>
        <w:rPr>
          <w:color w:val="000000" w:themeColor="text1"/>
          <w:sz w:val="24"/>
        </w:rPr>
      </w:pPr>
      <w:r>
        <w:rPr>
          <w:color w:val="000000" w:themeColor="text1"/>
          <w:sz w:val="24"/>
        </w:rPr>
        <w:t>根据《畜禽养殖业污染治理工程技术规范》（HJ497-2009）相关要求，与本工程对照分析见表8.2-2。</w:t>
      </w:r>
    </w:p>
    <w:p>
      <w:pPr>
        <w:ind w:firstLine="422" w:firstLineChars="200"/>
        <w:jc w:val="center"/>
        <w:rPr>
          <w:rFonts w:eastAsia="黑体"/>
          <w:b/>
          <w:bCs/>
          <w:color w:val="000000" w:themeColor="text1"/>
          <w:szCs w:val="21"/>
        </w:rPr>
      </w:pPr>
      <w:r>
        <w:rPr>
          <w:rFonts w:eastAsia="黑体"/>
          <w:b/>
          <w:bCs/>
          <w:color w:val="000000" w:themeColor="text1"/>
          <w:szCs w:val="21"/>
        </w:rPr>
        <w:t>表8.2-2  项目与《畜禽养殖业污染治理工程技术规范》（HJ497-2009）的对照分析</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851"/>
        <w:gridCol w:w="335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gridSpan w:val="2"/>
            <w:vAlign w:val="center"/>
          </w:tcPr>
          <w:p>
            <w:pPr>
              <w:spacing w:line="240" w:lineRule="auto"/>
              <w:jc w:val="center"/>
              <w:rPr>
                <w:b/>
                <w:color w:val="000000" w:themeColor="text1"/>
                <w:szCs w:val="21"/>
              </w:rPr>
            </w:pPr>
            <w:r>
              <w:rPr>
                <w:b/>
                <w:color w:val="000000" w:themeColor="text1"/>
                <w:szCs w:val="21"/>
              </w:rPr>
              <w:t>《畜禽养殖业污染治理工程技术规范》内容</w:t>
            </w:r>
          </w:p>
        </w:tc>
        <w:tc>
          <w:tcPr>
            <w:tcW w:w="3350" w:type="dxa"/>
            <w:vAlign w:val="center"/>
          </w:tcPr>
          <w:p>
            <w:pPr>
              <w:spacing w:line="240" w:lineRule="auto"/>
              <w:jc w:val="center"/>
              <w:rPr>
                <w:b/>
                <w:color w:val="000000" w:themeColor="text1"/>
                <w:szCs w:val="21"/>
              </w:rPr>
            </w:pPr>
            <w:r>
              <w:rPr>
                <w:b/>
                <w:color w:val="000000" w:themeColor="text1"/>
                <w:szCs w:val="21"/>
              </w:rPr>
              <w:t>本项目</w:t>
            </w:r>
          </w:p>
        </w:tc>
        <w:tc>
          <w:tcPr>
            <w:tcW w:w="665" w:type="dxa"/>
            <w:vAlign w:val="center"/>
          </w:tcPr>
          <w:p>
            <w:pPr>
              <w:spacing w:line="240" w:lineRule="auto"/>
              <w:jc w:val="center"/>
              <w:rPr>
                <w:b/>
                <w:color w:val="000000" w:themeColor="text1"/>
                <w:szCs w:val="21"/>
              </w:rPr>
            </w:pPr>
            <w:r>
              <w:rPr>
                <w:b/>
                <w:color w:val="000000" w:themeColor="text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restart"/>
            <w:vAlign w:val="center"/>
          </w:tcPr>
          <w:p>
            <w:pPr>
              <w:spacing w:line="240" w:lineRule="auto"/>
              <w:jc w:val="center"/>
              <w:rPr>
                <w:color w:val="000000" w:themeColor="text1"/>
                <w:szCs w:val="21"/>
              </w:rPr>
            </w:pPr>
            <w:r>
              <w:rPr>
                <w:color w:val="000000" w:themeColor="text1"/>
                <w:szCs w:val="21"/>
              </w:rPr>
              <w:t>选址要求</w:t>
            </w:r>
          </w:p>
        </w:tc>
        <w:tc>
          <w:tcPr>
            <w:tcW w:w="3851" w:type="dxa"/>
            <w:vAlign w:val="center"/>
          </w:tcPr>
          <w:p>
            <w:pPr>
              <w:spacing w:line="240" w:lineRule="auto"/>
              <w:jc w:val="center"/>
              <w:rPr>
                <w:color w:val="000000" w:themeColor="text1"/>
                <w:szCs w:val="21"/>
              </w:rPr>
            </w:pPr>
            <w:r>
              <w:rPr>
                <w:color w:val="000000" w:themeColor="text1"/>
                <w:szCs w:val="21"/>
              </w:rPr>
              <w:t>5.3.1畜禽养殖业污染治理工程应与养殖场生产区、居民区等建筑保持一定的卫生防护距离，设置在畜禽养殖场的生产区、生活区的主导风向下风向或侧风向处</w:t>
            </w:r>
          </w:p>
        </w:tc>
        <w:tc>
          <w:tcPr>
            <w:tcW w:w="3350" w:type="dxa"/>
            <w:vAlign w:val="center"/>
          </w:tcPr>
          <w:p>
            <w:pPr>
              <w:spacing w:line="240" w:lineRule="auto"/>
              <w:ind w:firstLine="420" w:firstLineChars="200"/>
              <w:rPr>
                <w:color w:val="000000" w:themeColor="text1"/>
                <w:szCs w:val="21"/>
              </w:rPr>
            </w:pPr>
            <w:r>
              <w:rPr>
                <w:color w:val="000000" w:themeColor="text1"/>
                <w:szCs w:val="21"/>
              </w:rPr>
              <w:t>项目</w:t>
            </w:r>
            <w:r>
              <w:rPr>
                <w:rFonts w:hint="eastAsia"/>
                <w:color w:val="000000" w:themeColor="text1"/>
                <w:szCs w:val="21"/>
              </w:rPr>
              <w:t>沼气工程、异位</w:t>
            </w:r>
            <w:r>
              <w:rPr>
                <w:color w:val="000000" w:themeColor="text1"/>
                <w:szCs w:val="21"/>
              </w:rPr>
              <w:t>发酵间均位于生产区和生活区的常年主导风向的下风向处，与生产区和生活区间隔</w:t>
            </w:r>
            <w:r>
              <w:rPr>
                <w:rFonts w:hint="eastAsia"/>
                <w:color w:val="000000" w:themeColor="text1"/>
                <w:szCs w:val="21"/>
              </w:rPr>
              <w:t>90</w:t>
            </w:r>
            <w:r>
              <w:rPr>
                <w:color w:val="000000" w:themeColor="text1"/>
                <w:szCs w:val="21"/>
              </w:rPr>
              <w:t>m。</w:t>
            </w:r>
          </w:p>
          <w:p>
            <w:pPr>
              <w:spacing w:line="240" w:lineRule="auto"/>
              <w:ind w:firstLine="420" w:firstLineChars="200"/>
              <w:jc w:val="center"/>
              <w:rPr>
                <w:color w:val="000000" w:themeColor="text1"/>
                <w:szCs w:val="21"/>
              </w:rPr>
            </w:pPr>
            <w:r>
              <w:rPr>
                <w:color w:val="000000" w:themeColor="text1"/>
                <w:szCs w:val="21"/>
              </w:rPr>
              <w:t>项目设置500m的卫生防护距离，卫生防护距离内无居民点</w:t>
            </w:r>
          </w:p>
        </w:tc>
        <w:tc>
          <w:tcPr>
            <w:tcW w:w="665" w:type="dxa"/>
            <w:vAlign w:val="center"/>
          </w:tcPr>
          <w:p>
            <w:pPr>
              <w:spacing w:line="240" w:lineRule="auto"/>
              <w:jc w:val="center"/>
              <w:rPr>
                <w:color w:val="000000" w:themeColor="text1"/>
                <w:szCs w:val="21"/>
              </w:rPr>
            </w:pPr>
            <w:r>
              <w:rPr>
                <w:color w:val="000000" w:themeColor="text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pPr>
              <w:spacing w:line="240" w:lineRule="auto"/>
              <w:jc w:val="center"/>
              <w:rPr>
                <w:color w:val="000000" w:themeColor="text1"/>
                <w:szCs w:val="21"/>
              </w:rPr>
            </w:pPr>
          </w:p>
        </w:tc>
        <w:tc>
          <w:tcPr>
            <w:tcW w:w="3851" w:type="dxa"/>
            <w:vAlign w:val="center"/>
          </w:tcPr>
          <w:p>
            <w:pPr>
              <w:spacing w:line="240" w:lineRule="auto"/>
              <w:jc w:val="center"/>
              <w:rPr>
                <w:color w:val="000000" w:themeColor="text1"/>
                <w:szCs w:val="21"/>
              </w:rPr>
            </w:pPr>
            <w:r>
              <w:rPr>
                <w:color w:val="000000" w:themeColor="text1"/>
                <w:szCs w:val="21"/>
              </w:rPr>
              <w:t>5.3.2畜禽养殖业污染治理工程位置应有利于排放、资源化利用和运输，并留有扩建的余地，方便施工、运行和维护。</w:t>
            </w:r>
          </w:p>
        </w:tc>
        <w:tc>
          <w:tcPr>
            <w:tcW w:w="3350" w:type="dxa"/>
            <w:vAlign w:val="center"/>
          </w:tcPr>
          <w:p>
            <w:pPr>
              <w:spacing w:line="240" w:lineRule="auto"/>
              <w:jc w:val="center"/>
              <w:rPr>
                <w:color w:val="000000" w:themeColor="text1"/>
                <w:szCs w:val="21"/>
              </w:rPr>
            </w:pPr>
            <w:r>
              <w:rPr>
                <w:color w:val="000000" w:themeColor="text1"/>
                <w:szCs w:val="21"/>
              </w:rPr>
              <w:t>项目</w:t>
            </w:r>
            <w:r>
              <w:rPr>
                <w:rFonts w:hint="eastAsia"/>
                <w:color w:val="000000" w:themeColor="text1"/>
                <w:szCs w:val="21"/>
              </w:rPr>
              <w:t>沼气工程</w:t>
            </w:r>
            <w:r>
              <w:rPr>
                <w:color w:val="000000" w:themeColor="text1"/>
                <w:szCs w:val="21"/>
              </w:rPr>
              <w:t>、</w:t>
            </w:r>
            <w:r>
              <w:rPr>
                <w:rFonts w:hint="eastAsia"/>
                <w:color w:val="000000" w:themeColor="text1"/>
                <w:szCs w:val="21"/>
              </w:rPr>
              <w:t>沼气储存池</w:t>
            </w:r>
            <w:r>
              <w:rPr>
                <w:color w:val="000000" w:themeColor="text1"/>
                <w:szCs w:val="21"/>
              </w:rPr>
              <w:t>及</w:t>
            </w:r>
            <w:r>
              <w:rPr>
                <w:rFonts w:hint="eastAsia"/>
                <w:color w:val="000000" w:themeColor="text1"/>
                <w:szCs w:val="21"/>
              </w:rPr>
              <w:t>异位</w:t>
            </w:r>
            <w:r>
              <w:rPr>
                <w:color w:val="000000" w:themeColor="text1"/>
                <w:szCs w:val="21"/>
              </w:rPr>
              <w:t>发酵间均有厂内道路达到，运输方便。</w:t>
            </w:r>
          </w:p>
        </w:tc>
        <w:tc>
          <w:tcPr>
            <w:tcW w:w="665" w:type="dxa"/>
            <w:vAlign w:val="center"/>
          </w:tcPr>
          <w:p>
            <w:pPr>
              <w:spacing w:line="240" w:lineRule="auto"/>
              <w:jc w:val="center"/>
              <w:rPr>
                <w:color w:val="000000" w:themeColor="text1"/>
                <w:szCs w:val="21"/>
              </w:rPr>
            </w:pPr>
            <w:r>
              <w:rPr>
                <w:color w:val="000000" w:themeColor="text1"/>
                <w:szCs w:val="21"/>
              </w:rPr>
              <w:t>相符</w:t>
            </w:r>
          </w:p>
        </w:tc>
      </w:tr>
    </w:tbl>
    <w:p>
      <w:pPr>
        <w:adjustRightInd w:val="0"/>
        <w:snapToGrid w:val="0"/>
        <w:ind w:firstLine="480" w:firstLineChars="200"/>
        <w:rPr>
          <w:color w:val="000000" w:themeColor="text1"/>
          <w:sz w:val="24"/>
        </w:rPr>
      </w:pPr>
      <w:r>
        <w:rPr>
          <w:color w:val="000000" w:themeColor="text1"/>
          <w:sz w:val="24"/>
        </w:rPr>
        <w:t>根据表8.2-2，项目污染治理工程选址符合《畜禽养殖业污染治理工程技术规范》（HJ497-2009）要求。</w:t>
      </w:r>
    </w:p>
    <w:p>
      <w:pPr>
        <w:adjustRightInd w:val="0"/>
        <w:snapToGrid w:val="0"/>
        <w:outlineLvl w:val="2"/>
        <w:rPr>
          <w:b/>
          <w:color w:val="000000" w:themeColor="text1"/>
          <w:sz w:val="24"/>
        </w:rPr>
      </w:pPr>
      <w:r>
        <w:rPr>
          <w:b/>
          <w:color w:val="000000" w:themeColor="text1"/>
          <w:sz w:val="24"/>
        </w:rPr>
        <w:t>8.2.</w:t>
      </w:r>
      <w:r>
        <w:rPr>
          <w:rFonts w:hint="eastAsia"/>
          <w:b/>
          <w:color w:val="000000" w:themeColor="text1"/>
          <w:sz w:val="24"/>
        </w:rPr>
        <w:t>3</w:t>
      </w:r>
      <w:r>
        <w:rPr>
          <w:b/>
          <w:color w:val="000000" w:themeColor="text1"/>
          <w:sz w:val="24"/>
        </w:rPr>
        <w:t>与《</w:t>
      </w:r>
      <w:r>
        <w:rPr>
          <w:rFonts w:hint="eastAsia"/>
          <w:b/>
          <w:color w:val="000000" w:themeColor="text1"/>
          <w:sz w:val="24"/>
        </w:rPr>
        <w:t>新平县畜禽养殖禁养区限养区划定方案》</w:t>
      </w:r>
      <w:r>
        <w:rPr>
          <w:b/>
          <w:color w:val="000000" w:themeColor="text1"/>
          <w:sz w:val="24"/>
        </w:rPr>
        <w:t>符合性分析</w:t>
      </w:r>
    </w:p>
    <w:p>
      <w:pPr>
        <w:adjustRightInd w:val="0"/>
        <w:snapToGrid w:val="0"/>
        <w:ind w:firstLine="480" w:firstLineChars="200"/>
        <w:rPr>
          <w:color w:val="000000" w:themeColor="text1"/>
          <w:sz w:val="24"/>
        </w:rPr>
      </w:pPr>
      <w:r>
        <w:rPr>
          <w:rFonts w:hint="eastAsia"/>
          <w:color w:val="000000" w:themeColor="text1"/>
          <w:sz w:val="24"/>
        </w:rPr>
        <w:t>根据《新平县畜禽养殖禁养区限养区划定方案》（新征规[2018]1号，2018年7月29日实施），全县共划定畜禽养殖禁养区32个，禁养区面积400.95平方公里，限养区12个，限养区面积144.94平方公里。</w:t>
      </w:r>
    </w:p>
    <w:p>
      <w:pPr>
        <w:adjustRightInd w:val="0"/>
        <w:snapToGrid w:val="0"/>
        <w:ind w:firstLine="480" w:firstLineChars="200"/>
        <w:rPr>
          <w:color w:val="000000" w:themeColor="text1"/>
          <w:sz w:val="24"/>
        </w:rPr>
      </w:pPr>
      <w:r>
        <w:rPr>
          <w:rFonts w:hint="eastAsia"/>
          <w:color w:val="000000" w:themeColor="text1"/>
          <w:sz w:val="24"/>
        </w:rPr>
        <w:t>（1）禁养区</w:t>
      </w:r>
    </w:p>
    <w:p>
      <w:pPr>
        <w:adjustRightInd w:val="0"/>
        <w:snapToGrid w:val="0"/>
        <w:ind w:firstLine="480" w:firstLineChars="200"/>
        <w:rPr>
          <w:color w:val="000000" w:themeColor="text1"/>
          <w:sz w:val="24"/>
        </w:rPr>
      </w:pPr>
      <w:r>
        <w:rPr>
          <w:rFonts w:hint="eastAsia"/>
          <w:color w:val="000000" w:themeColor="text1"/>
          <w:sz w:val="24"/>
        </w:rPr>
        <w:t>①饮用水水源保护区</w:t>
      </w:r>
    </w:p>
    <w:p>
      <w:pPr>
        <w:adjustRightInd w:val="0"/>
        <w:snapToGrid w:val="0"/>
        <w:ind w:firstLine="480" w:firstLineChars="200"/>
        <w:rPr>
          <w:color w:val="000000" w:themeColor="text1"/>
          <w:sz w:val="24"/>
        </w:rPr>
      </w:pPr>
      <w:r>
        <w:rPr>
          <w:rFonts w:hint="eastAsia"/>
          <w:color w:val="000000" w:themeColor="text1"/>
          <w:sz w:val="24"/>
        </w:rPr>
        <w:t>本次划定县城饮用水水源-清水河水库保护区、他拉河水库保护区、腊咩冲水库保护区、土官箐水库保护区；戛洒集镇饮用水水源-南恩河（含马鞍山水库和南恩河河流）保护区、达哈河（又名十里河）保护区、发启河保护区；漠沙集镇饮用水水源-洋发城水库保护区、光山河水库保护区；扬武集镇饮用水水源-他克冲水库（含尼鲊水库连通工程）保护区；建兴集镇饮用水水源-黑马箐水库保护区；者竜集镇饮用水水源-竹箐河保护区、冬瓜箐保护区；新化集镇饮用水水源-瓦白果水库保护区；老厂集镇饮用水水源-老厂河水库保护区、维白拉水库保护区；水塘集镇饮用水水源-南达河保护区和平掌集镇饮用水水源-猴进水库保护区共18个城镇集中式饮用水源保护区。其中饮用水源一级保护区边界以内设为禁养区，禁养面积为54.72平方公里，但部分面积与自然保护区重合，为避免重复计算，本方案中饮用水水源一级保护区纯面积为18.55平方公里。</w:t>
      </w:r>
    </w:p>
    <w:p>
      <w:pPr>
        <w:adjustRightInd w:val="0"/>
        <w:snapToGrid w:val="0"/>
        <w:ind w:firstLine="480" w:firstLineChars="200"/>
        <w:rPr>
          <w:color w:val="000000" w:themeColor="text1"/>
          <w:sz w:val="24"/>
        </w:rPr>
      </w:pPr>
      <w:r>
        <w:rPr>
          <w:rFonts w:hint="eastAsia"/>
          <w:color w:val="000000" w:themeColor="text1"/>
          <w:sz w:val="24"/>
        </w:rPr>
        <w:t>②自然保护区</w:t>
      </w:r>
    </w:p>
    <w:p>
      <w:pPr>
        <w:adjustRightInd w:val="0"/>
        <w:snapToGrid w:val="0"/>
        <w:ind w:firstLine="480" w:firstLineChars="200"/>
        <w:rPr>
          <w:color w:val="000000" w:themeColor="text1"/>
          <w:sz w:val="24"/>
        </w:rPr>
      </w:pPr>
      <w:r>
        <w:rPr>
          <w:rFonts w:hint="eastAsia"/>
          <w:color w:val="000000" w:themeColor="text1"/>
          <w:sz w:val="24"/>
        </w:rPr>
        <w:t>本次划定磨盘山县级自然保护区（含磨盘山国家级森林公园）、哀牢山国家级自然保护区、哀牢山县级自然保护区和玉白顶林场市级自然保护区共4个自然保护区，禁养面积355.86平方公里。</w:t>
      </w:r>
    </w:p>
    <w:p>
      <w:pPr>
        <w:adjustRightInd w:val="0"/>
        <w:snapToGrid w:val="0"/>
        <w:ind w:firstLine="480" w:firstLineChars="200"/>
        <w:rPr>
          <w:color w:val="000000" w:themeColor="text1"/>
          <w:sz w:val="24"/>
        </w:rPr>
      </w:pPr>
      <w:r>
        <w:rPr>
          <w:rFonts w:hint="eastAsia"/>
          <w:color w:val="000000" w:themeColor="text1"/>
          <w:sz w:val="24"/>
        </w:rPr>
        <w:t>③城镇居民区和文化教育科学研究区</w:t>
      </w:r>
    </w:p>
    <w:p>
      <w:pPr>
        <w:adjustRightInd w:val="0"/>
        <w:snapToGrid w:val="0"/>
        <w:ind w:firstLine="480" w:firstLineChars="200"/>
        <w:rPr>
          <w:color w:val="000000" w:themeColor="text1"/>
          <w:sz w:val="24"/>
        </w:rPr>
      </w:pPr>
      <w:r>
        <w:rPr>
          <w:rFonts w:hint="eastAsia"/>
          <w:color w:val="000000" w:themeColor="text1"/>
          <w:sz w:val="24"/>
        </w:rPr>
        <w:t>本次划定主要为新平县城中心城区、扬武镇、新化乡、老厂乡、戛洒镇、水塘镇、者竜乡、漠沙镇、建兴乡、平掌乡共10个城镇规划区，禁养面积26.18平方公里。</w:t>
      </w:r>
    </w:p>
    <w:p>
      <w:pPr>
        <w:adjustRightInd w:val="0"/>
        <w:snapToGrid w:val="0"/>
        <w:ind w:firstLine="480" w:firstLineChars="200"/>
        <w:rPr>
          <w:color w:val="000000" w:themeColor="text1"/>
          <w:sz w:val="24"/>
        </w:rPr>
      </w:pPr>
      <w:r>
        <w:rPr>
          <w:rFonts w:hint="eastAsia"/>
          <w:color w:val="000000" w:themeColor="text1"/>
          <w:sz w:val="24"/>
        </w:rPr>
        <w:t>（2）限养区</w:t>
      </w:r>
    </w:p>
    <w:p>
      <w:pPr>
        <w:adjustRightInd w:val="0"/>
        <w:snapToGrid w:val="0"/>
        <w:ind w:firstLine="480" w:firstLineChars="200"/>
        <w:rPr>
          <w:color w:val="000000" w:themeColor="text1"/>
          <w:sz w:val="24"/>
        </w:rPr>
      </w:pPr>
      <w:r>
        <w:rPr>
          <w:rFonts w:hint="eastAsia"/>
          <w:color w:val="000000" w:themeColor="text1"/>
          <w:sz w:val="24"/>
        </w:rPr>
        <w:t>本次划定限养区范围为清水河水库保护区、南恩河保护区、达哈河（又名十里河）保护区、发启河保护区、洋发城水库保护区、光山河水库保护区、他克冲水库（含尼鲊水库连通工程）保护区、竹箐河保护区、瓦白果水库保护区、老厂河水库保护区、南达河保护区共11个城镇集中式饮用水源保护区二级保护区及1个县城规划区限养区，限养面积144.94平方公里。</w:t>
      </w:r>
    </w:p>
    <w:p>
      <w:pPr>
        <w:adjustRightInd w:val="0"/>
        <w:snapToGrid w:val="0"/>
        <w:ind w:firstLine="480" w:firstLineChars="200"/>
        <w:rPr>
          <w:color w:val="000000" w:themeColor="text1"/>
          <w:sz w:val="24"/>
        </w:rPr>
      </w:pPr>
      <w:r>
        <w:rPr>
          <w:rFonts w:hint="eastAsia"/>
          <w:color w:val="000000" w:themeColor="text1"/>
          <w:sz w:val="24"/>
        </w:rPr>
        <w:t>（3）管理</w:t>
      </w:r>
    </w:p>
    <w:p>
      <w:pPr>
        <w:adjustRightInd w:val="0"/>
        <w:snapToGrid w:val="0"/>
        <w:ind w:firstLine="480" w:firstLineChars="200"/>
        <w:rPr>
          <w:color w:val="000000" w:themeColor="text1"/>
          <w:sz w:val="24"/>
        </w:rPr>
      </w:pPr>
      <w:r>
        <w:rPr>
          <w:rFonts w:hint="eastAsia"/>
          <w:color w:val="000000" w:themeColor="text1"/>
          <w:sz w:val="24"/>
        </w:rPr>
        <w:t>①禁养区管理</w:t>
      </w:r>
    </w:p>
    <w:p>
      <w:pPr>
        <w:adjustRightInd w:val="0"/>
        <w:snapToGrid w:val="0"/>
        <w:ind w:firstLine="480" w:firstLineChars="200"/>
        <w:rPr>
          <w:color w:val="000000" w:themeColor="text1"/>
          <w:sz w:val="24"/>
        </w:rPr>
      </w:pPr>
      <w:r>
        <w:rPr>
          <w:rFonts w:hint="eastAsia"/>
          <w:color w:val="000000" w:themeColor="text1"/>
          <w:sz w:val="24"/>
        </w:rPr>
        <w:t>a.严禁在禁养区新建、改建和扩建畜禽规模养殖场（小区），禁养区内现有的规模养殖场（小区）限期实现搬迁或关闭。擅自建设的由县环境保护主管部门责令停止违法行为，对拒不停止违法行为的处以罚款，并报县人民政府责令拆除或关闭。</w:t>
      </w:r>
    </w:p>
    <w:p>
      <w:pPr>
        <w:adjustRightInd w:val="0"/>
        <w:snapToGrid w:val="0"/>
        <w:ind w:firstLine="480" w:firstLineChars="200"/>
        <w:rPr>
          <w:color w:val="000000" w:themeColor="text1"/>
          <w:sz w:val="24"/>
        </w:rPr>
      </w:pPr>
      <w:r>
        <w:rPr>
          <w:rFonts w:hint="eastAsia"/>
          <w:color w:val="000000" w:themeColor="text1"/>
          <w:sz w:val="24"/>
        </w:rPr>
        <w:t>b.鼓励禁养区内现有畜禽散养户自行拆除养殖圈舍退养，继续养殖的必须建设达标粪污处理设施，严禁粪污直排。经劝告仍违法直排的，由环境保护主管部门限期治理。</w:t>
      </w:r>
    </w:p>
    <w:p>
      <w:pPr>
        <w:adjustRightInd w:val="0"/>
        <w:snapToGrid w:val="0"/>
        <w:ind w:firstLine="480" w:firstLineChars="200"/>
        <w:rPr>
          <w:color w:val="000000" w:themeColor="text1"/>
          <w:sz w:val="24"/>
        </w:rPr>
      </w:pPr>
      <w:r>
        <w:rPr>
          <w:rFonts w:hint="eastAsia"/>
          <w:color w:val="000000" w:themeColor="text1"/>
          <w:sz w:val="24"/>
        </w:rPr>
        <w:t>②限养区管理</w:t>
      </w:r>
    </w:p>
    <w:p>
      <w:pPr>
        <w:adjustRightInd w:val="0"/>
        <w:snapToGrid w:val="0"/>
        <w:ind w:firstLine="480" w:firstLineChars="200"/>
        <w:rPr>
          <w:color w:val="000000" w:themeColor="text1"/>
          <w:sz w:val="24"/>
        </w:rPr>
      </w:pPr>
      <w:r>
        <w:rPr>
          <w:rFonts w:hint="eastAsia"/>
          <w:color w:val="000000" w:themeColor="text1"/>
          <w:sz w:val="24"/>
        </w:rPr>
        <w:t>a.限养区内不得新建和改扩建各类畜禽规模养殖场（小区）。</w:t>
      </w:r>
    </w:p>
    <w:p>
      <w:pPr>
        <w:adjustRightInd w:val="0"/>
        <w:snapToGrid w:val="0"/>
        <w:ind w:firstLine="480" w:firstLineChars="200"/>
        <w:rPr>
          <w:color w:val="000000" w:themeColor="text1"/>
          <w:sz w:val="24"/>
        </w:rPr>
      </w:pPr>
      <w:r>
        <w:rPr>
          <w:rFonts w:hint="eastAsia"/>
          <w:color w:val="000000" w:themeColor="text1"/>
          <w:sz w:val="24"/>
        </w:rPr>
        <w:t>b.划定方案公布前在限养区内已建成的畜禽规模养殖场（小区），应配套建设相应的污染防治设施，污染物的排放要符合《畜禽养殖污染物排放标准》要求，实行污染物达标排放。</w:t>
      </w:r>
    </w:p>
    <w:p>
      <w:pPr>
        <w:adjustRightInd w:val="0"/>
        <w:snapToGrid w:val="0"/>
        <w:ind w:firstLine="480" w:firstLineChars="200"/>
        <w:rPr>
          <w:color w:val="000000" w:themeColor="text1"/>
          <w:sz w:val="24"/>
        </w:rPr>
      </w:pPr>
      <w:r>
        <w:rPr>
          <w:rFonts w:hint="eastAsia"/>
          <w:color w:val="000000" w:themeColor="text1"/>
          <w:sz w:val="24"/>
        </w:rPr>
        <w:t>（4）项目选址</w:t>
      </w:r>
    </w:p>
    <w:p>
      <w:pPr>
        <w:adjustRightInd w:val="0"/>
        <w:snapToGrid w:val="0"/>
        <w:ind w:firstLine="480" w:firstLineChars="200"/>
        <w:rPr>
          <w:color w:val="000000" w:themeColor="text1"/>
          <w:sz w:val="24"/>
        </w:rPr>
      </w:pPr>
      <w:r>
        <w:rPr>
          <w:rFonts w:hint="eastAsia"/>
          <w:color w:val="000000" w:themeColor="text1"/>
          <w:sz w:val="24"/>
        </w:rPr>
        <w:t>根据上文分析，结合新平县畜禽养殖禁养区限养区分布示意图（附图7），项目不属于《新平县畜禽养殖禁养区限养区划定方案》中禁养区、限养区范围。</w:t>
      </w:r>
    </w:p>
    <w:p>
      <w:pPr>
        <w:adjustRightInd w:val="0"/>
        <w:snapToGrid w:val="0"/>
        <w:outlineLvl w:val="2"/>
        <w:rPr>
          <w:b/>
          <w:color w:val="000000" w:themeColor="text1"/>
          <w:sz w:val="24"/>
        </w:rPr>
      </w:pPr>
      <w:r>
        <w:rPr>
          <w:b/>
          <w:color w:val="000000" w:themeColor="text1"/>
          <w:sz w:val="24"/>
        </w:rPr>
        <w:t>8.2.</w:t>
      </w:r>
      <w:r>
        <w:rPr>
          <w:rFonts w:hint="eastAsia"/>
          <w:b/>
          <w:color w:val="000000" w:themeColor="text1"/>
          <w:sz w:val="24"/>
        </w:rPr>
        <w:t>4</w:t>
      </w:r>
      <w:r>
        <w:rPr>
          <w:b/>
          <w:color w:val="000000" w:themeColor="text1"/>
          <w:sz w:val="24"/>
        </w:rPr>
        <w:t>与《</w:t>
      </w:r>
      <w:r>
        <w:rPr>
          <w:rFonts w:hint="eastAsia"/>
          <w:b/>
          <w:color w:val="000000" w:themeColor="text1"/>
          <w:sz w:val="24"/>
        </w:rPr>
        <w:t>大气污染防治行动计划</w:t>
      </w:r>
      <w:r>
        <w:rPr>
          <w:b/>
          <w:color w:val="000000" w:themeColor="text1"/>
          <w:sz w:val="24"/>
        </w:rPr>
        <w:t>》符合性分析</w:t>
      </w:r>
    </w:p>
    <w:p>
      <w:pPr>
        <w:adjustRightInd w:val="0"/>
        <w:snapToGrid w:val="0"/>
        <w:ind w:firstLine="480" w:firstLineChars="200"/>
        <w:rPr>
          <w:color w:val="000000" w:themeColor="text1"/>
          <w:sz w:val="24"/>
        </w:rPr>
      </w:pPr>
      <w:r>
        <w:rPr>
          <w:color w:val="000000" w:themeColor="text1"/>
          <w:sz w:val="24"/>
        </w:rPr>
        <w:t>根据《</w:t>
      </w:r>
      <w:r>
        <w:rPr>
          <w:rFonts w:hint="eastAsia"/>
          <w:color w:val="000000" w:themeColor="text1"/>
          <w:sz w:val="24"/>
        </w:rPr>
        <w:t>大气污染防治行动计划</w:t>
      </w:r>
      <w:r>
        <w:rPr>
          <w:color w:val="000000" w:themeColor="text1"/>
          <w:sz w:val="24"/>
        </w:rPr>
        <w:t>》相关要求，与本工程对照分析见表8.2-</w:t>
      </w:r>
      <w:r>
        <w:rPr>
          <w:rFonts w:hint="eastAsia"/>
          <w:color w:val="000000" w:themeColor="text1"/>
          <w:sz w:val="24"/>
        </w:rPr>
        <w:t>3</w:t>
      </w:r>
      <w:r>
        <w:rPr>
          <w:color w:val="000000" w:themeColor="text1"/>
          <w:sz w:val="24"/>
        </w:rPr>
        <w:t>。</w:t>
      </w:r>
    </w:p>
    <w:p>
      <w:pPr>
        <w:ind w:firstLine="422" w:firstLineChars="200"/>
        <w:jc w:val="center"/>
        <w:rPr>
          <w:rFonts w:eastAsia="黑体"/>
          <w:b/>
          <w:bCs/>
          <w:color w:val="000000" w:themeColor="text1"/>
          <w:szCs w:val="21"/>
        </w:rPr>
      </w:pPr>
      <w:r>
        <w:rPr>
          <w:rFonts w:eastAsia="黑体"/>
          <w:b/>
          <w:bCs/>
          <w:color w:val="000000" w:themeColor="text1"/>
          <w:szCs w:val="21"/>
        </w:rPr>
        <w:t>表8.2-</w:t>
      </w:r>
      <w:r>
        <w:rPr>
          <w:rFonts w:hint="eastAsia" w:eastAsia="黑体"/>
          <w:b/>
          <w:bCs/>
          <w:color w:val="000000" w:themeColor="text1"/>
          <w:szCs w:val="21"/>
        </w:rPr>
        <w:t xml:space="preserve">3  </w:t>
      </w:r>
      <w:r>
        <w:rPr>
          <w:rFonts w:eastAsia="黑体"/>
          <w:b/>
          <w:bCs/>
          <w:color w:val="000000" w:themeColor="text1"/>
          <w:szCs w:val="21"/>
        </w:rPr>
        <w:t>项目与《</w:t>
      </w:r>
      <w:r>
        <w:rPr>
          <w:rFonts w:hint="eastAsia" w:eastAsia="黑体"/>
          <w:b/>
          <w:bCs/>
          <w:color w:val="000000" w:themeColor="text1"/>
          <w:szCs w:val="21"/>
        </w:rPr>
        <w:t>大气污染防治行动计划</w:t>
      </w:r>
      <w:r>
        <w:rPr>
          <w:rFonts w:eastAsia="黑体"/>
          <w:b/>
          <w:bCs/>
          <w:color w:val="000000" w:themeColor="text1"/>
          <w:szCs w:val="21"/>
        </w:rPr>
        <w:t>》的对照分析</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2845"/>
        <w:gridCol w:w="335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gridSpan w:val="3"/>
            <w:vAlign w:val="center"/>
          </w:tcPr>
          <w:p>
            <w:pPr>
              <w:spacing w:line="240" w:lineRule="auto"/>
              <w:jc w:val="center"/>
              <w:rPr>
                <w:b/>
                <w:color w:val="000000" w:themeColor="text1"/>
                <w:szCs w:val="21"/>
              </w:rPr>
            </w:pPr>
            <w:r>
              <w:rPr>
                <w:b/>
                <w:color w:val="000000" w:themeColor="text1"/>
                <w:szCs w:val="21"/>
              </w:rPr>
              <w:t>《</w:t>
            </w:r>
            <w:r>
              <w:rPr>
                <w:rFonts w:hint="eastAsia"/>
                <w:b/>
                <w:color w:val="000000" w:themeColor="text1"/>
                <w:szCs w:val="21"/>
              </w:rPr>
              <w:t>大气污染防治行动计划</w:t>
            </w:r>
            <w:r>
              <w:rPr>
                <w:b/>
                <w:color w:val="000000" w:themeColor="text1"/>
                <w:szCs w:val="21"/>
              </w:rPr>
              <w:t>》内容</w:t>
            </w:r>
          </w:p>
        </w:tc>
        <w:tc>
          <w:tcPr>
            <w:tcW w:w="3350" w:type="dxa"/>
            <w:vAlign w:val="center"/>
          </w:tcPr>
          <w:p>
            <w:pPr>
              <w:spacing w:line="240" w:lineRule="auto"/>
              <w:jc w:val="center"/>
              <w:rPr>
                <w:b/>
                <w:color w:val="000000" w:themeColor="text1"/>
                <w:szCs w:val="21"/>
              </w:rPr>
            </w:pPr>
            <w:r>
              <w:rPr>
                <w:b/>
                <w:color w:val="000000" w:themeColor="text1"/>
                <w:szCs w:val="21"/>
              </w:rPr>
              <w:t>本项目</w:t>
            </w:r>
          </w:p>
        </w:tc>
        <w:tc>
          <w:tcPr>
            <w:tcW w:w="665" w:type="dxa"/>
            <w:vAlign w:val="center"/>
          </w:tcPr>
          <w:p>
            <w:pPr>
              <w:spacing w:line="240" w:lineRule="auto"/>
              <w:jc w:val="center"/>
              <w:rPr>
                <w:b/>
                <w:color w:val="000000" w:themeColor="text1"/>
                <w:szCs w:val="21"/>
              </w:rPr>
            </w:pPr>
            <w:r>
              <w:rPr>
                <w:b/>
                <w:color w:val="000000" w:themeColor="text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uto"/>
              <w:jc w:val="center"/>
              <w:rPr>
                <w:color w:val="000000" w:themeColor="text1"/>
                <w:szCs w:val="21"/>
              </w:rPr>
            </w:pPr>
            <w:r>
              <w:rPr>
                <w:rFonts w:hint="eastAsia"/>
                <w:color w:val="000000" w:themeColor="text1"/>
                <w:szCs w:val="21"/>
              </w:rPr>
              <w:t>第十条</w:t>
            </w:r>
          </w:p>
        </w:tc>
        <w:tc>
          <w:tcPr>
            <w:tcW w:w="993" w:type="dxa"/>
            <w:vAlign w:val="center"/>
          </w:tcPr>
          <w:p>
            <w:pPr>
              <w:spacing w:line="240" w:lineRule="auto"/>
              <w:jc w:val="center"/>
              <w:rPr>
                <w:color w:val="000000" w:themeColor="text1"/>
                <w:szCs w:val="21"/>
              </w:rPr>
            </w:pPr>
            <w:r>
              <w:rPr>
                <w:rFonts w:hint="eastAsia"/>
                <w:color w:val="000000" w:themeColor="text1"/>
                <w:szCs w:val="21"/>
              </w:rPr>
              <w:t>明确政府企业和社会的责任，动员全民参与环境保护</w:t>
            </w:r>
          </w:p>
        </w:tc>
        <w:tc>
          <w:tcPr>
            <w:tcW w:w="2845" w:type="dxa"/>
            <w:vAlign w:val="center"/>
          </w:tcPr>
          <w:p>
            <w:pPr>
              <w:spacing w:line="240" w:lineRule="auto"/>
              <w:ind w:firstLine="420" w:firstLineChars="200"/>
              <w:jc w:val="left"/>
              <w:rPr>
                <w:color w:val="000000" w:themeColor="text1"/>
                <w:szCs w:val="21"/>
              </w:rPr>
            </w:pPr>
            <w:r>
              <w:rPr>
                <w:rFonts w:hint="eastAsia"/>
                <w:color w:val="000000" w:themeColor="text1"/>
                <w:szCs w:val="21"/>
              </w:rPr>
              <w:t>（三十四）强化企业施治。企业是大气污染治理的责任主体，要按照环保规范要求，加强内部管理，增加资金投入，采用先进的生产工艺和治理技术，确保达标排放，甚至达到“零排放”；要自觉履行环境保护的社会责任，接受社会监督。</w:t>
            </w:r>
          </w:p>
        </w:tc>
        <w:tc>
          <w:tcPr>
            <w:tcW w:w="3350" w:type="dxa"/>
            <w:vAlign w:val="center"/>
          </w:tcPr>
          <w:p>
            <w:pPr>
              <w:spacing w:line="240" w:lineRule="auto"/>
              <w:rPr>
                <w:color w:val="000000" w:themeColor="text1"/>
                <w:szCs w:val="21"/>
              </w:rPr>
            </w:pPr>
            <w:r>
              <w:rPr>
                <w:rFonts w:hint="eastAsia"/>
                <w:color w:val="000000" w:themeColor="text1"/>
                <w:szCs w:val="21"/>
              </w:rPr>
              <w:t>项目养殖过程产生的NH</w:t>
            </w:r>
            <w:r>
              <w:rPr>
                <w:rFonts w:hint="eastAsia"/>
                <w:color w:val="000000" w:themeColor="text1"/>
                <w:szCs w:val="21"/>
                <w:vertAlign w:val="subscript"/>
              </w:rPr>
              <w:t>3</w:t>
            </w:r>
            <w:r>
              <w:rPr>
                <w:rFonts w:hint="eastAsia"/>
                <w:color w:val="000000" w:themeColor="text1"/>
                <w:szCs w:val="21"/>
              </w:rPr>
              <w:t>、H</w:t>
            </w:r>
            <w:r>
              <w:rPr>
                <w:rFonts w:hint="eastAsia"/>
                <w:color w:val="000000" w:themeColor="text1"/>
                <w:szCs w:val="21"/>
                <w:vertAlign w:val="subscript"/>
              </w:rPr>
              <w:t>2</w:t>
            </w:r>
            <w:r>
              <w:rPr>
                <w:rFonts w:hint="eastAsia"/>
                <w:color w:val="000000" w:themeColor="text1"/>
                <w:szCs w:val="21"/>
              </w:rPr>
              <w:t>S、臭气浓度采取相应的防治措施后，排放量大大降低，厂界NH</w:t>
            </w:r>
            <w:r>
              <w:rPr>
                <w:rFonts w:hint="eastAsia"/>
                <w:color w:val="000000" w:themeColor="text1"/>
                <w:szCs w:val="21"/>
                <w:vertAlign w:val="subscript"/>
              </w:rPr>
              <w:t>3</w:t>
            </w:r>
            <w:r>
              <w:rPr>
                <w:rFonts w:hint="eastAsia"/>
                <w:color w:val="000000" w:themeColor="text1"/>
                <w:szCs w:val="21"/>
              </w:rPr>
              <w:t>、H</w:t>
            </w:r>
            <w:r>
              <w:rPr>
                <w:rFonts w:hint="eastAsia"/>
                <w:color w:val="000000" w:themeColor="text1"/>
                <w:szCs w:val="21"/>
                <w:vertAlign w:val="subscript"/>
              </w:rPr>
              <w:t>2</w:t>
            </w:r>
            <w:r>
              <w:rPr>
                <w:rFonts w:hint="eastAsia"/>
                <w:color w:val="000000" w:themeColor="text1"/>
                <w:szCs w:val="21"/>
              </w:rPr>
              <w:t>S《恶臭污染物排放标准》（GB14554-93）中恶臭污染物厂界标准限值二级标准，臭气浓度满足《畜禽养殖业污染物排放标准》（GB18596-2001）标准。</w:t>
            </w:r>
          </w:p>
        </w:tc>
        <w:tc>
          <w:tcPr>
            <w:tcW w:w="665" w:type="dxa"/>
            <w:vAlign w:val="center"/>
          </w:tcPr>
          <w:p>
            <w:pPr>
              <w:spacing w:line="240" w:lineRule="auto"/>
              <w:jc w:val="center"/>
              <w:rPr>
                <w:color w:val="000000" w:themeColor="text1"/>
                <w:szCs w:val="21"/>
              </w:rPr>
            </w:pPr>
            <w:r>
              <w:rPr>
                <w:color w:val="000000" w:themeColor="text1"/>
                <w:szCs w:val="21"/>
              </w:rPr>
              <w:t>相符</w:t>
            </w:r>
          </w:p>
        </w:tc>
      </w:tr>
    </w:tbl>
    <w:p>
      <w:pPr>
        <w:adjustRightInd w:val="0"/>
        <w:snapToGrid w:val="0"/>
        <w:ind w:firstLine="480" w:firstLineChars="200"/>
        <w:rPr>
          <w:color w:val="000000" w:themeColor="text1"/>
          <w:sz w:val="24"/>
        </w:rPr>
      </w:pPr>
      <w:r>
        <w:rPr>
          <w:color w:val="000000" w:themeColor="text1"/>
          <w:sz w:val="24"/>
        </w:rPr>
        <w:t>根据表8.2-</w:t>
      </w:r>
      <w:r>
        <w:rPr>
          <w:rFonts w:hint="eastAsia"/>
          <w:color w:val="000000" w:themeColor="text1"/>
          <w:sz w:val="24"/>
        </w:rPr>
        <w:t>3</w:t>
      </w:r>
      <w:r>
        <w:rPr>
          <w:color w:val="000000" w:themeColor="text1"/>
          <w:sz w:val="24"/>
        </w:rPr>
        <w:t>，项目</w:t>
      </w:r>
      <w:r>
        <w:rPr>
          <w:rFonts w:hint="eastAsia"/>
          <w:color w:val="000000" w:themeColor="text1"/>
          <w:sz w:val="24"/>
        </w:rPr>
        <w:t>建设符合</w:t>
      </w:r>
      <w:r>
        <w:rPr>
          <w:color w:val="000000" w:themeColor="text1"/>
          <w:sz w:val="24"/>
        </w:rPr>
        <w:t>《</w:t>
      </w:r>
      <w:r>
        <w:rPr>
          <w:rFonts w:hint="eastAsia"/>
          <w:color w:val="000000" w:themeColor="text1"/>
          <w:sz w:val="24"/>
        </w:rPr>
        <w:t>大气污染防治行动计划</w:t>
      </w:r>
      <w:r>
        <w:rPr>
          <w:color w:val="000000" w:themeColor="text1"/>
          <w:sz w:val="24"/>
        </w:rPr>
        <w:t>》</w:t>
      </w:r>
      <w:r>
        <w:rPr>
          <w:rFonts w:hint="eastAsia"/>
          <w:color w:val="000000" w:themeColor="text1"/>
          <w:sz w:val="24"/>
        </w:rPr>
        <w:t>要求</w:t>
      </w:r>
      <w:r>
        <w:rPr>
          <w:color w:val="000000" w:themeColor="text1"/>
          <w:sz w:val="24"/>
        </w:rPr>
        <w:t>。</w:t>
      </w:r>
    </w:p>
    <w:p>
      <w:pPr>
        <w:adjustRightInd w:val="0"/>
        <w:snapToGrid w:val="0"/>
        <w:outlineLvl w:val="2"/>
        <w:rPr>
          <w:b/>
          <w:color w:val="000000" w:themeColor="text1"/>
          <w:sz w:val="24"/>
        </w:rPr>
      </w:pPr>
      <w:r>
        <w:rPr>
          <w:b/>
          <w:color w:val="000000" w:themeColor="text1"/>
          <w:sz w:val="24"/>
        </w:rPr>
        <w:t>8.2.</w:t>
      </w:r>
      <w:r>
        <w:rPr>
          <w:rFonts w:hint="eastAsia"/>
          <w:b/>
          <w:color w:val="000000" w:themeColor="text1"/>
          <w:sz w:val="24"/>
        </w:rPr>
        <w:t>5</w:t>
      </w:r>
      <w:r>
        <w:rPr>
          <w:b/>
          <w:color w:val="000000" w:themeColor="text1"/>
          <w:sz w:val="24"/>
        </w:rPr>
        <w:t>与《</w:t>
      </w:r>
      <w:r>
        <w:rPr>
          <w:rFonts w:hint="eastAsia"/>
          <w:b/>
          <w:color w:val="000000" w:themeColor="text1"/>
          <w:sz w:val="24"/>
        </w:rPr>
        <w:t>水污染防治行动计划</w:t>
      </w:r>
      <w:r>
        <w:rPr>
          <w:b/>
          <w:color w:val="000000" w:themeColor="text1"/>
          <w:sz w:val="24"/>
        </w:rPr>
        <w:t>》符合性分析</w:t>
      </w:r>
    </w:p>
    <w:p>
      <w:pPr>
        <w:adjustRightInd w:val="0"/>
        <w:snapToGrid w:val="0"/>
        <w:ind w:firstLine="480" w:firstLineChars="200"/>
        <w:rPr>
          <w:color w:val="000000" w:themeColor="text1"/>
          <w:sz w:val="24"/>
        </w:rPr>
      </w:pPr>
      <w:r>
        <w:rPr>
          <w:color w:val="000000" w:themeColor="text1"/>
          <w:sz w:val="24"/>
        </w:rPr>
        <w:t>根据《</w:t>
      </w:r>
      <w:r>
        <w:rPr>
          <w:rFonts w:hint="eastAsia"/>
          <w:color w:val="000000" w:themeColor="text1"/>
          <w:sz w:val="24"/>
        </w:rPr>
        <w:t>水污染防治行动计划</w:t>
      </w:r>
      <w:r>
        <w:rPr>
          <w:color w:val="000000" w:themeColor="text1"/>
          <w:sz w:val="24"/>
        </w:rPr>
        <w:t>》相关要求，与本工程对照分析见表8.2-</w:t>
      </w:r>
      <w:r>
        <w:rPr>
          <w:rFonts w:hint="eastAsia"/>
          <w:color w:val="000000" w:themeColor="text1"/>
          <w:sz w:val="24"/>
        </w:rPr>
        <w:t>4</w:t>
      </w:r>
      <w:r>
        <w:rPr>
          <w:color w:val="000000" w:themeColor="text1"/>
          <w:sz w:val="24"/>
        </w:rPr>
        <w:t>。</w:t>
      </w:r>
    </w:p>
    <w:p>
      <w:pPr>
        <w:ind w:firstLine="422" w:firstLineChars="200"/>
        <w:jc w:val="center"/>
        <w:rPr>
          <w:rFonts w:eastAsia="黑体"/>
          <w:b/>
          <w:bCs/>
          <w:color w:val="000000" w:themeColor="text1"/>
          <w:szCs w:val="21"/>
        </w:rPr>
      </w:pPr>
      <w:r>
        <w:rPr>
          <w:rFonts w:eastAsia="黑体"/>
          <w:b/>
          <w:bCs/>
          <w:color w:val="000000" w:themeColor="text1"/>
          <w:szCs w:val="21"/>
        </w:rPr>
        <w:t>表8.2-</w:t>
      </w:r>
      <w:r>
        <w:rPr>
          <w:rFonts w:hint="eastAsia" w:eastAsia="黑体"/>
          <w:b/>
          <w:bCs/>
          <w:color w:val="000000" w:themeColor="text1"/>
          <w:szCs w:val="21"/>
        </w:rPr>
        <w:t xml:space="preserve">4  </w:t>
      </w:r>
      <w:r>
        <w:rPr>
          <w:rFonts w:eastAsia="黑体"/>
          <w:b/>
          <w:bCs/>
          <w:color w:val="000000" w:themeColor="text1"/>
          <w:szCs w:val="21"/>
        </w:rPr>
        <w:t>项目与《</w:t>
      </w:r>
      <w:r>
        <w:rPr>
          <w:rFonts w:hint="eastAsia" w:eastAsia="黑体"/>
          <w:b/>
          <w:bCs/>
          <w:color w:val="000000" w:themeColor="text1"/>
          <w:szCs w:val="21"/>
        </w:rPr>
        <w:t>水污染防治行动计划</w:t>
      </w:r>
      <w:r>
        <w:rPr>
          <w:rFonts w:eastAsia="黑体"/>
          <w:b/>
          <w:bCs/>
          <w:color w:val="000000" w:themeColor="text1"/>
          <w:szCs w:val="21"/>
        </w:rPr>
        <w:t>》的对照分析</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2845"/>
        <w:gridCol w:w="335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gridSpan w:val="3"/>
            <w:vAlign w:val="center"/>
          </w:tcPr>
          <w:p>
            <w:pPr>
              <w:spacing w:line="240" w:lineRule="auto"/>
              <w:jc w:val="center"/>
              <w:rPr>
                <w:b/>
                <w:color w:val="000000" w:themeColor="text1"/>
                <w:szCs w:val="21"/>
              </w:rPr>
            </w:pPr>
            <w:r>
              <w:rPr>
                <w:b/>
                <w:color w:val="000000" w:themeColor="text1"/>
                <w:szCs w:val="21"/>
              </w:rPr>
              <w:t>《</w:t>
            </w:r>
            <w:r>
              <w:rPr>
                <w:rFonts w:hint="eastAsia"/>
                <w:b/>
                <w:color w:val="000000" w:themeColor="text1"/>
                <w:szCs w:val="21"/>
              </w:rPr>
              <w:t>水污染防治行动计划</w:t>
            </w:r>
            <w:r>
              <w:rPr>
                <w:b/>
                <w:color w:val="000000" w:themeColor="text1"/>
                <w:szCs w:val="21"/>
              </w:rPr>
              <w:t>》内容</w:t>
            </w:r>
          </w:p>
        </w:tc>
        <w:tc>
          <w:tcPr>
            <w:tcW w:w="3350" w:type="dxa"/>
            <w:vAlign w:val="center"/>
          </w:tcPr>
          <w:p>
            <w:pPr>
              <w:spacing w:line="240" w:lineRule="auto"/>
              <w:jc w:val="center"/>
              <w:rPr>
                <w:b/>
                <w:color w:val="000000" w:themeColor="text1"/>
                <w:szCs w:val="21"/>
              </w:rPr>
            </w:pPr>
            <w:r>
              <w:rPr>
                <w:b/>
                <w:color w:val="000000" w:themeColor="text1"/>
                <w:szCs w:val="21"/>
              </w:rPr>
              <w:t>本项目</w:t>
            </w:r>
          </w:p>
        </w:tc>
        <w:tc>
          <w:tcPr>
            <w:tcW w:w="665" w:type="dxa"/>
            <w:vAlign w:val="center"/>
          </w:tcPr>
          <w:p>
            <w:pPr>
              <w:spacing w:line="240" w:lineRule="auto"/>
              <w:jc w:val="center"/>
              <w:rPr>
                <w:b/>
                <w:color w:val="000000" w:themeColor="text1"/>
                <w:szCs w:val="21"/>
              </w:rPr>
            </w:pPr>
            <w:r>
              <w:rPr>
                <w:b/>
                <w:color w:val="000000" w:themeColor="text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40" w:lineRule="auto"/>
              <w:jc w:val="center"/>
              <w:rPr>
                <w:color w:val="000000" w:themeColor="text1"/>
                <w:szCs w:val="21"/>
              </w:rPr>
            </w:pPr>
            <w:r>
              <w:rPr>
                <w:rFonts w:hint="eastAsia"/>
                <w:color w:val="000000" w:themeColor="text1"/>
                <w:szCs w:val="21"/>
              </w:rPr>
              <w:t>第一条</w:t>
            </w:r>
          </w:p>
          <w:p>
            <w:pPr>
              <w:spacing w:line="240" w:lineRule="auto"/>
              <w:jc w:val="center"/>
              <w:rPr>
                <w:color w:val="000000" w:themeColor="text1"/>
                <w:szCs w:val="21"/>
              </w:rPr>
            </w:pPr>
            <w:r>
              <w:rPr>
                <w:rFonts w:hint="eastAsia"/>
                <w:color w:val="000000" w:themeColor="text1"/>
                <w:szCs w:val="21"/>
              </w:rPr>
              <w:t>全面控制污染物排放</w:t>
            </w:r>
          </w:p>
        </w:tc>
        <w:tc>
          <w:tcPr>
            <w:tcW w:w="851" w:type="dxa"/>
            <w:vAlign w:val="center"/>
          </w:tcPr>
          <w:p>
            <w:pPr>
              <w:spacing w:line="240" w:lineRule="auto"/>
              <w:jc w:val="center"/>
              <w:rPr>
                <w:color w:val="000000" w:themeColor="text1"/>
                <w:szCs w:val="21"/>
              </w:rPr>
            </w:pPr>
            <w:r>
              <w:rPr>
                <w:rFonts w:hint="eastAsia"/>
                <w:color w:val="000000" w:themeColor="text1"/>
                <w:szCs w:val="21"/>
              </w:rPr>
              <w:t>推进农业农村污染防治，防治畜禽养殖污染</w:t>
            </w:r>
          </w:p>
        </w:tc>
        <w:tc>
          <w:tcPr>
            <w:tcW w:w="2845" w:type="dxa"/>
            <w:vAlign w:val="center"/>
          </w:tcPr>
          <w:p>
            <w:pPr>
              <w:spacing w:line="240" w:lineRule="auto"/>
              <w:ind w:firstLine="420" w:firstLineChars="200"/>
              <w:jc w:val="left"/>
              <w:rPr>
                <w:color w:val="000000" w:themeColor="text1"/>
                <w:szCs w:val="21"/>
              </w:rPr>
            </w:pPr>
            <w:r>
              <w:rPr>
                <w:rFonts w:hint="eastAsia"/>
                <w:color w:val="000000" w:themeColor="text1"/>
                <w:szCs w:val="21"/>
              </w:rPr>
              <w:t>科学划定畜禽养殖禁养区，2017年底前，依法关闭或搬迁禁养区内的畜禽养殖场（小区）和养殖专业户，京津冀、长三角、珠三角等区域提前一年完成。现有规模化畜禽养殖场（小区）要根据污染防治需要，配套建设粪便污水贮存、处理、利用设施。散养密集区要实行畜禽粪便污水分户收集、集中处理利用。自2016年起，新建、改建、扩建规模化畜禽养殖场（小区）要实施雨污分流、粪便污水资源化利用。</w:t>
            </w:r>
          </w:p>
        </w:tc>
        <w:tc>
          <w:tcPr>
            <w:tcW w:w="3350" w:type="dxa"/>
            <w:vAlign w:val="center"/>
          </w:tcPr>
          <w:p>
            <w:pPr>
              <w:spacing w:line="240" w:lineRule="auto"/>
              <w:ind w:firstLine="315" w:firstLineChars="150"/>
              <w:rPr>
                <w:color w:val="000000" w:themeColor="text1"/>
                <w:szCs w:val="21"/>
              </w:rPr>
            </w:pPr>
            <w:r>
              <w:rPr>
                <w:rFonts w:hint="eastAsia"/>
                <w:color w:val="000000" w:themeColor="text1"/>
                <w:szCs w:val="21"/>
              </w:rPr>
              <w:t>项目选址不属于《畜禽养殖禁养区划定技术指南》中禁养区范围。</w:t>
            </w:r>
          </w:p>
          <w:p>
            <w:pPr>
              <w:spacing w:line="240" w:lineRule="auto"/>
              <w:ind w:firstLine="315" w:firstLineChars="150"/>
              <w:rPr>
                <w:color w:val="000000" w:themeColor="text1"/>
                <w:szCs w:val="21"/>
              </w:rPr>
            </w:pPr>
            <w:r>
              <w:rPr>
                <w:rFonts w:hint="eastAsia"/>
                <w:color w:val="000000" w:themeColor="text1"/>
                <w:szCs w:val="21"/>
              </w:rPr>
              <w:t>项目实施雨污分流。</w:t>
            </w:r>
          </w:p>
          <w:p>
            <w:pPr>
              <w:spacing w:line="240" w:lineRule="auto"/>
              <w:rPr>
                <w:color w:val="000000" w:themeColor="text1"/>
                <w:szCs w:val="21"/>
              </w:rPr>
            </w:pPr>
            <w:r>
              <w:rPr>
                <w:rFonts w:hint="eastAsia"/>
                <w:color w:val="000000" w:themeColor="text1"/>
                <w:szCs w:val="21"/>
              </w:rPr>
              <w:t>项目污水经厌氧消化处理后沼液一部分用于种植区施肥，剩余部分进入异位发酵车间发酵处理，实现资源化利用。粪污经异位发酵处理后生产有机肥外售，实现粪便资源化利用。</w:t>
            </w:r>
          </w:p>
        </w:tc>
        <w:tc>
          <w:tcPr>
            <w:tcW w:w="665" w:type="dxa"/>
            <w:vAlign w:val="center"/>
          </w:tcPr>
          <w:p>
            <w:pPr>
              <w:spacing w:line="240" w:lineRule="auto"/>
              <w:jc w:val="center"/>
              <w:rPr>
                <w:color w:val="000000" w:themeColor="text1"/>
                <w:szCs w:val="21"/>
              </w:rPr>
            </w:pPr>
            <w:r>
              <w:rPr>
                <w:color w:val="000000" w:themeColor="text1"/>
                <w:szCs w:val="21"/>
              </w:rPr>
              <w:t>相符</w:t>
            </w:r>
          </w:p>
        </w:tc>
      </w:tr>
    </w:tbl>
    <w:p>
      <w:pPr>
        <w:adjustRightInd w:val="0"/>
        <w:snapToGrid w:val="0"/>
        <w:ind w:firstLine="480" w:firstLineChars="200"/>
        <w:rPr>
          <w:color w:val="000000" w:themeColor="text1"/>
          <w:sz w:val="24"/>
        </w:rPr>
      </w:pPr>
      <w:r>
        <w:rPr>
          <w:color w:val="000000" w:themeColor="text1"/>
          <w:sz w:val="24"/>
        </w:rPr>
        <w:t>根据表8.2-</w:t>
      </w:r>
      <w:r>
        <w:rPr>
          <w:rFonts w:hint="eastAsia"/>
          <w:color w:val="000000" w:themeColor="text1"/>
          <w:sz w:val="24"/>
        </w:rPr>
        <w:t>4</w:t>
      </w:r>
      <w:r>
        <w:rPr>
          <w:color w:val="000000" w:themeColor="text1"/>
          <w:sz w:val="24"/>
        </w:rPr>
        <w:t>，项目</w:t>
      </w:r>
      <w:r>
        <w:rPr>
          <w:rFonts w:hint="eastAsia"/>
          <w:color w:val="000000" w:themeColor="text1"/>
          <w:sz w:val="24"/>
        </w:rPr>
        <w:t>建设符合</w:t>
      </w:r>
      <w:r>
        <w:rPr>
          <w:color w:val="000000" w:themeColor="text1"/>
          <w:sz w:val="24"/>
        </w:rPr>
        <w:t>《</w:t>
      </w:r>
      <w:r>
        <w:rPr>
          <w:rFonts w:hint="eastAsia"/>
          <w:color w:val="000000" w:themeColor="text1"/>
          <w:sz w:val="24"/>
        </w:rPr>
        <w:t>水污染防治行动计划</w:t>
      </w:r>
      <w:r>
        <w:rPr>
          <w:color w:val="000000" w:themeColor="text1"/>
          <w:sz w:val="24"/>
        </w:rPr>
        <w:t>》</w:t>
      </w:r>
      <w:r>
        <w:rPr>
          <w:rFonts w:hint="eastAsia"/>
          <w:color w:val="000000" w:themeColor="text1"/>
          <w:sz w:val="24"/>
        </w:rPr>
        <w:t>要求</w:t>
      </w:r>
      <w:r>
        <w:rPr>
          <w:color w:val="000000" w:themeColor="text1"/>
          <w:sz w:val="24"/>
        </w:rPr>
        <w:t>。</w:t>
      </w:r>
    </w:p>
    <w:p>
      <w:pPr>
        <w:adjustRightInd w:val="0"/>
        <w:snapToGrid w:val="0"/>
        <w:outlineLvl w:val="2"/>
        <w:rPr>
          <w:b/>
          <w:color w:val="000000" w:themeColor="text1"/>
          <w:sz w:val="24"/>
        </w:rPr>
      </w:pPr>
      <w:r>
        <w:rPr>
          <w:b/>
          <w:color w:val="000000" w:themeColor="text1"/>
          <w:sz w:val="24"/>
        </w:rPr>
        <w:t>8.2.</w:t>
      </w:r>
      <w:r>
        <w:rPr>
          <w:rFonts w:hint="eastAsia"/>
          <w:b/>
          <w:color w:val="000000" w:themeColor="text1"/>
          <w:sz w:val="24"/>
        </w:rPr>
        <w:t>6</w:t>
      </w:r>
      <w:r>
        <w:rPr>
          <w:b/>
          <w:color w:val="000000" w:themeColor="text1"/>
          <w:sz w:val="24"/>
        </w:rPr>
        <w:t>与《</w:t>
      </w:r>
      <w:r>
        <w:rPr>
          <w:rFonts w:hint="eastAsia"/>
          <w:b/>
          <w:color w:val="000000" w:themeColor="text1"/>
          <w:sz w:val="24"/>
        </w:rPr>
        <w:t>土壤污染防治行动计划</w:t>
      </w:r>
      <w:r>
        <w:rPr>
          <w:b/>
          <w:color w:val="000000" w:themeColor="text1"/>
          <w:sz w:val="24"/>
        </w:rPr>
        <w:t>》符合性分析</w:t>
      </w:r>
    </w:p>
    <w:p>
      <w:pPr>
        <w:adjustRightInd w:val="0"/>
        <w:snapToGrid w:val="0"/>
        <w:ind w:firstLine="480" w:firstLineChars="200"/>
        <w:rPr>
          <w:color w:val="000000" w:themeColor="text1"/>
          <w:sz w:val="24"/>
        </w:rPr>
      </w:pPr>
      <w:r>
        <w:rPr>
          <w:color w:val="000000" w:themeColor="text1"/>
          <w:sz w:val="24"/>
        </w:rPr>
        <w:t>根据《</w:t>
      </w:r>
      <w:r>
        <w:rPr>
          <w:rFonts w:hint="eastAsia"/>
          <w:color w:val="000000" w:themeColor="text1"/>
          <w:sz w:val="24"/>
        </w:rPr>
        <w:t>土壤污染防治行动计划</w:t>
      </w:r>
      <w:r>
        <w:rPr>
          <w:color w:val="000000" w:themeColor="text1"/>
          <w:sz w:val="24"/>
        </w:rPr>
        <w:t>》相关要求，与本工程对照分析见表8.2-</w:t>
      </w:r>
      <w:r>
        <w:rPr>
          <w:rFonts w:hint="eastAsia"/>
          <w:color w:val="000000" w:themeColor="text1"/>
          <w:sz w:val="24"/>
        </w:rPr>
        <w:t>5</w:t>
      </w:r>
      <w:r>
        <w:rPr>
          <w:color w:val="000000" w:themeColor="text1"/>
          <w:sz w:val="24"/>
        </w:rPr>
        <w:t>。</w:t>
      </w:r>
    </w:p>
    <w:p>
      <w:pPr>
        <w:ind w:firstLine="422" w:firstLineChars="200"/>
        <w:jc w:val="center"/>
        <w:rPr>
          <w:rFonts w:eastAsia="黑体"/>
          <w:b/>
          <w:bCs/>
          <w:color w:val="000000" w:themeColor="text1"/>
          <w:szCs w:val="21"/>
        </w:rPr>
      </w:pPr>
      <w:r>
        <w:rPr>
          <w:rFonts w:eastAsia="黑体"/>
          <w:b/>
          <w:bCs/>
          <w:color w:val="000000" w:themeColor="text1"/>
          <w:szCs w:val="21"/>
        </w:rPr>
        <w:t>表8.2-</w:t>
      </w:r>
      <w:r>
        <w:rPr>
          <w:rFonts w:hint="eastAsia" w:eastAsia="黑体"/>
          <w:b/>
          <w:bCs/>
          <w:color w:val="000000" w:themeColor="text1"/>
          <w:szCs w:val="21"/>
        </w:rPr>
        <w:t xml:space="preserve">5  </w:t>
      </w:r>
      <w:r>
        <w:rPr>
          <w:rFonts w:eastAsia="黑体"/>
          <w:b/>
          <w:bCs/>
          <w:color w:val="000000" w:themeColor="text1"/>
          <w:szCs w:val="21"/>
        </w:rPr>
        <w:t>项目与《</w:t>
      </w:r>
      <w:r>
        <w:rPr>
          <w:rFonts w:hint="eastAsia" w:eastAsia="黑体"/>
          <w:b/>
          <w:bCs/>
          <w:color w:val="000000" w:themeColor="text1"/>
          <w:szCs w:val="21"/>
        </w:rPr>
        <w:t>土壤污染防治行动计划</w:t>
      </w:r>
      <w:r>
        <w:rPr>
          <w:rFonts w:eastAsia="黑体"/>
          <w:b/>
          <w:bCs/>
          <w:color w:val="000000" w:themeColor="text1"/>
          <w:szCs w:val="21"/>
        </w:rPr>
        <w:t>》的对照分析</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2845"/>
        <w:gridCol w:w="335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gridSpan w:val="3"/>
            <w:vAlign w:val="center"/>
          </w:tcPr>
          <w:p>
            <w:pPr>
              <w:spacing w:line="240" w:lineRule="auto"/>
              <w:jc w:val="center"/>
              <w:rPr>
                <w:b/>
                <w:color w:val="000000" w:themeColor="text1"/>
                <w:szCs w:val="21"/>
              </w:rPr>
            </w:pPr>
            <w:r>
              <w:rPr>
                <w:b/>
                <w:color w:val="000000" w:themeColor="text1"/>
                <w:szCs w:val="21"/>
              </w:rPr>
              <w:t>《</w:t>
            </w:r>
            <w:r>
              <w:rPr>
                <w:rFonts w:hint="eastAsia"/>
                <w:b/>
                <w:color w:val="000000" w:themeColor="text1"/>
                <w:szCs w:val="21"/>
              </w:rPr>
              <w:t>土壤污染防治行动计划</w:t>
            </w:r>
            <w:r>
              <w:rPr>
                <w:b/>
                <w:color w:val="000000" w:themeColor="text1"/>
                <w:szCs w:val="21"/>
              </w:rPr>
              <w:t>》内容</w:t>
            </w:r>
          </w:p>
        </w:tc>
        <w:tc>
          <w:tcPr>
            <w:tcW w:w="3350" w:type="dxa"/>
            <w:vAlign w:val="center"/>
          </w:tcPr>
          <w:p>
            <w:pPr>
              <w:spacing w:line="240" w:lineRule="auto"/>
              <w:jc w:val="center"/>
              <w:rPr>
                <w:b/>
                <w:color w:val="000000" w:themeColor="text1"/>
                <w:szCs w:val="21"/>
              </w:rPr>
            </w:pPr>
            <w:r>
              <w:rPr>
                <w:b/>
                <w:color w:val="000000" w:themeColor="text1"/>
                <w:szCs w:val="21"/>
              </w:rPr>
              <w:t>本项目</w:t>
            </w:r>
          </w:p>
        </w:tc>
        <w:tc>
          <w:tcPr>
            <w:tcW w:w="665" w:type="dxa"/>
            <w:vAlign w:val="center"/>
          </w:tcPr>
          <w:p>
            <w:pPr>
              <w:spacing w:line="240" w:lineRule="auto"/>
              <w:jc w:val="center"/>
              <w:rPr>
                <w:b/>
                <w:color w:val="000000" w:themeColor="text1"/>
                <w:szCs w:val="21"/>
              </w:rPr>
            </w:pPr>
            <w:r>
              <w:rPr>
                <w:b/>
                <w:color w:val="000000" w:themeColor="text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40" w:lineRule="auto"/>
              <w:jc w:val="center"/>
              <w:rPr>
                <w:color w:val="000000" w:themeColor="text1"/>
                <w:szCs w:val="21"/>
              </w:rPr>
            </w:pPr>
            <w:r>
              <w:rPr>
                <w:rFonts w:hint="eastAsia"/>
                <w:color w:val="000000" w:themeColor="text1"/>
                <w:szCs w:val="21"/>
              </w:rPr>
              <w:t>第六条</w:t>
            </w:r>
          </w:p>
          <w:p>
            <w:pPr>
              <w:spacing w:line="240" w:lineRule="auto"/>
              <w:jc w:val="center"/>
              <w:rPr>
                <w:color w:val="000000" w:themeColor="text1"/>
                <w:szCs w:val="21"/>
              </w:rPr>
            </w:pPr>
            <w:r>
              <w:rPr>
                <w:rFonts w:hint="eastAsia"/>
                <w:color w:val="000000" w:themeColor="text1"/>
                <w:szCs w:val="21"/>
              </w:rPr>
              <w:t>加强污染源监管，做好土壤污染预防工作</w:t>
            </w:r>
          </w:p>
        </w:tc>
        <w:tc>
          <w:tcPr>
            <w:tcW w:w="851" w:type="dxa"/>
            <w:vAlign w:val="center"/>
          </w:tcPr>
          <w:p>
            <w:pPr>
              <w:spacing w:line="240" w:lineRule="auto"/>
              <w:jc w:val="center"/>
              <w:rPr>
                <w:color w:val="000000" w:themeColor="text1"/>
                <w:szCs w:val="21"/>
              </w:rPr>
            </w:pPr>
            <w:r>
              <w:rPr>
                <w:rFonts w:hint="eastAsia"/>
                <w:color w:val="000000" w:themeColor="text1"/>
                <w:szCs w:val="21"/>
              </w:rPr>
              <w:t>强化畜禽养殖污染防治</w:t>
            </w:r>
          </w:p>
        </w:tc>
        <w:tc>
          <w:tcPr>
            <w:tcW w:w="2845" w:type="dxa"/>
            <w:vAlign w:val="center"/>
          </w:tcPr>
          <w:p>
            <w:pPr>
              <w:spacing w:line="240" w:lineRule="auto"/>
              <w:ind w:firstLine="420" w:firstLineChars="200"/>
              <w:jc w:val="left"/>
              <w:rPr>
                <w:color w:val="000000" w:themeColor="text1"/>
                <w:szCs w:val="21"/>
              </w:rPr>
            </w:pPr>
            <w:r>
              <w:rPr>
                <w:rFonts w:hint="eastAsia"/>
                <w:color w:val="000000" w:themeColor="text1"/>
                <w:szCs w:val="21"/>
              </w:rPr>
              <w:t>严格规范兽药、饲料添加剂的生产和使用，防止过量使用，促进源头减量。加强畜禽粪便综合利用，在部分生猪大县开展种养业有机结合、循环发展试点。鼓励支持畜禽粪便处理利用设施建设，到2020年，规模化养殖场、养殖小区配套建设废弃物处理设施比例达到75%以上。</w:t>
            </w:r>
          </w:p>
        </w:tc>
        <w:tc>
          <w:tcPr>
            <w:tcW w:w="3350" w:type="dxa"/>
            <w:vAlign w:val="center"/>
          </w:tcPr>
          <w:p>
            <w:pPr>
              <w:spacing w:line="240" w:lineRule="auto"/>
              <w:rPr>
                <w:color w:val="000000" w:themeColor="text1"/>
                <w:szCs w:val="21"/>
              </w:rPr>
            </w:pPr>
            <w:r>
              <w:rPr>
                <w:rFonts w:hint="eastAsia"/>
                <w:color w:val="000000" w:themeColor="text1"/>
                <w:szCs w:val="21"/>
              </w:rPr>
              <w:t>粪污水经异位发酵处理后生产有机肥外售，实现粪便资源化利用。</w:t>
            </w:r>
          </w:p>
        </w:tc>
        <w:tc>
          <w:tcPr>
            <w:tcW w:w="665" w:type="dxa"/>
            <w:vAlign w:val="center"/>
          </w:tcPr>
          <w:p>
            <w:pPr>
              <w:spacing w:line="240" w:lineRule="auto"/>
              <w:jc w:val="center"/>
              <w:rPr>
                <w:color w:val="000000" w:themeColor="text1"/>
                <w:szCs w:val="21"/>
              </w:rPr>
            </w:pPr>
            <w:r>
              <w:rPr>
                <w:color w:val="000000" w:themeColor="text1"/>
                <w:szCs w:val="21"/>
              </w:rPr>
              <w:t>相符</w:t>
            </w:r>
          </w:p>
        </w:tc>
      </w:tr>
    </w:tbl>
    <w:p>
      <w:pPr>
        <w:adjustRightInd w:val="0"/>
        <w:snapToGrid w:val="0"/>
        <w:ind w:firstLine="480" w:firstLineChars="200"/>
        <w:rPr>
          <w:color w:val="000000" w:themeColor="text1"/>
          <w:sz w:val="24"/>
        </w:rPr>
      </w:pPr>
      <w:r>
        <w:rPr>
          <w:color w:val="000000" w:themeColor="text1"/>
          <w:sz w:val="24"/>
        </w:rPr>
        <w:t>根据表8.2-</w:t>
      </w:r>
      <w:r>
        <w:rPr>
          <w:rFonts w:hint="eastAsia"/>
          <w:color w:val="000000" w:themeColor="text1"/>
          <w:sz w:val="24"/>
        </w:rPr>
        <w:t>5</w:t>
      </w:r>
      <w:r>
        <w:rPr>
          <w:color w:val="000000" w:themeColor="text1"/>
          <w:sz w:val="24"/>
        </w:rPr>
        <w:t>，项目</w:t>
      </w:r>
      <w:r>
        <w:rPr>
          <w:rFonts w:hint="eastAsia"/>
          <w:color w:val="000000" w:themeColor="text1"/>
          <w:sz w:val="24"/>
        </w:rPr>
        <w:t>建设符合</w:t>
      </w:r>
      <w:r>
        <w:rPr>
          <w:color w:val="000000" w:themeColor="text1"/>
          <w:sz w:val="24"/>
        </w:rPr>
        <w:t>《</w:t>
      </w:r>
      <w:r>
        <w:rPr>
          <w:rFonts w:hint="eastAsia"/>
          <w:color w:val="000000" w:themeColor="text1"/>
          <w:sz w:val="24"/>
        </w:rPr>
        <w:t>土壤污染防治行动计划</w:t>
      </w:r>
      <w:r>
        <w:rPr>
          <w:color w:val="000000" w:themeColor="text1"/>
          <w:sz w:val="24"/>
        </w:rPr>
        <w:t>》</w:t>
      </w:r>
      <w:r>
        <w:rPr>
          <w:rFonts w:hint="eastAsia"/>
          <w:color w:val="000000" w:themeColor="text1"/>
          <w:sz w:val="24"/>
        </w:rPr>
        <w:t>要求</w:t>
      </w:r>
      <w:r>
        <w:rPr>
          <w:color w:val="000000" w:themeColor="text1"/>
          <w:sz w:val="24"/>
        </w:rPr>
        <w:t>。</w:t>
      </w:r>
    </w:p>
    <w:p>
      <w:pPr>
        <w:adjustRightInd w:val="0"/>
        <w:snapToGrid w:val="0"/>
        <w:outlineLvl w:val="2"/>
        <w:rPr>
          <w:b/>
          <w:color w:val="000000" w:themeColor="text1"/>
          <w:sz w:val="24"/>
        </w:rPr>
      </w:pPr>
      <w:r>
        <w:rPr>
          <w:b/>
          <w:color w:val="000000" w:themeColor="text1"/>
          <w:sz w:val="24"/>
        </w:rPr>
        <w:t>8.2.</w:t>
      </w:r>
      <w:r>
        <w:rPr>
          <w:rFonts w:hint="eastAsia"/>
          <w:b/>
          <w:color w:val="000000" w:themeColor="text1"/>
          <w:sz w:val="24"/>
        </w:rPr>
        <w:t>7</w:t>
      </w:r>
      <w:r>
        <w:rPr>
          <w:b/>
          <w:color w:val="000000" w:themeColor="text1"/>
          <w:sz w:val="24"/>
        </w:rPr>
        <w:t>与《</w:t>
      </w:r>
      <w:r>
        <w:rPr>
          <w:rFonts w:hint="eastAsia"/>
          <w:b/>
          <w:color w:val="000000" w:themeColor="text1"/>
          <w:sz w:val="24"/>
        </w:rPr>
        <w:t>玉溪市水污染防治工作方案</w:t>
      </w:r>
      <w:r>
        <w:rPr>
          <w:b/>
          <w:color w:val="000000" w:themeColor="text1"/>
          <w:sz w:val="24"/>
        </w:rPr>
        <w:t>》符合性分析</w:t>
      </w:r>
    </w:p>
    <w:p>
      <w:pPr>
        <w:adjustRightInd w:val="0"/>
        <w:snapToGrid w:val="0"/>
        <w:ind w:firstLine="480" w:firstLineChars="200"/>
        <w:rPr>
          <w:color w:val="000000" w:themeColor="text1"/>
          <w:sz w:val="24"/>
        </w:rPr>
      </w:pPr>
      <w:r>
        <w:rPr>
          <w:color w:val="000000" w:themeColor="text1"/>
          <w:sz w:val="24"/>
        </w:rPr>
        <w:t>根据《</w:t>
      </w:r>
      <w:r>
        <w:rPr>
          <w:rFonts w:hint="eastAsia"/>
          <w:color w:val="000000" w:themeColor="text1"/>
          <w:sz w:val="24"/>
        </w:rPr>
        <w:t>玉溪市水污染防治工作方案</w:t>
      </w:r>
      <w:r>
        <w:rPr>
          <w:color w:val="000000" w:themeColor="text1"/>
          <w:sz w:val="24"/>
        </w:rPr>
        <w:t>》相关要求，与本工程对照分析见表8.2-</w:t>
      </w:r>
      <w:r>
        <w:rPr>
          <w:rFonts w:hint="eastAsia"/>
          <w:color w:val="000000" w:themeColor="text1"/>
          <w:sz w:val="24"/>
        </w:rPr>
        <w:t>6</w:t>
      </w:r>
      <w:r>
        <w:rPr>
          <w:color w:val="000000" w:themeColor="text1"/>
          <w:sz w:val="24"/>
        </w:rPr>
        <w:t>。</w:t>
      </w:r>
    </w:p>
    <w:p>
      <w:pPr>
        <w:ind w:firstLine="422" w:firstLineChars="200"/>
        <w:jc w:val="center"/>
        <w:rPr>
          <w:rFonts w:eastAsia="黑体"/>
          <w:b/>
          <w:bCs/>
          <w:color w:val="000000" w:themeColor="text1"/>
          <w:szCs w:val="21"/>
        </w:rPr>
      </w:pPr>
      <w:r>
        <w:rPr>
          <w:rFonts w:eastAsia="黑体"/>
          <w:b/>
          <w:bCs/>
          <w:color w:val="000000" w:themeColor="text1"/>
          <w:szCs w:val="21"/>
        </w:rPr>
        <w:t>表8.2-</w:t>
      </w:r>
      <w:r>
        <w:rPr>
          <w:rFonts w:hint="eastAsia" w:eastAsia="黑体"/>
          <w:b/>
          <w:bCs/>
          <w:color w:val="000000" w:themeColor="text1"/>
          <w:szCs w:val="21"/>
        </w:rPr>
        <w:t xml:space="preserve">6  </w:t>
      </w:r>
      <w:r>
        <w:rPr>
          <w:rFonts w:eastAsia="黑体"/>
          <w:b/>
          <w:bCs/>
          <w:color w:val="000000" w:themeColor="text1"/>
          <w:szCs w:val="21"/>
        </w:rPr>
        <w:t>项目与《</w:t>
      </w:r>
      <w:r>
        <w:rPr>
          <w:rFonts w:hint="eastAsia" w:eastAsia="黑体"/>
          <w:b/>
          <w:bCs/>
          <w:color w:val="000000" w:themeColor="text1"/>
          <w:szCs w:val="21"/>
        </w:rPr>
        <w:t>玉溪市水污染防治工作方案</w:t>
      </w:r>
      <w:r>
        <w:rPr>
          <w:rFonts w:eastAsia="黑体"/>
          <w:b/>
          <w:bCs/>
          <w:color w:val="000000" w:themeColor="text1"/>
          <w:szCs w:val="21"/>
        </w:rPr>
        <w:t>》的对照分析</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2845"/>
        <w:gridCol w:w="335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gridSpan w:val="3"/>
            <w:vAlign w:val="center"/>
          </w:tcPr>
          <w:p>
            <w:pPr>
              <w:spacing w:line="240" w:lineRule="auto"/>
              <w:jc w:val="center"/>
              <w:rPr>
                <w:b/>
                <w:color w:val="000000" w:themeColor="text1"/>
                <w:szCs w:val="21"/>
              </w:rPr>
            </w:pPr>
            <w:r>
              <w:rPr>
                <w:b/>
                <w:color w:val="000000" w:themeColor="text1"/>
                <w:szCs w:val="21"/>
              </w:rPr>
              <w:t>《</w:t>
            </w:r>
            <w:r>
              <w:rPr>
                <w:rFonts w:hint="eastAsia"/>
                <w:b/>
                <w:color w:val="000000" w:themeColor="text1"/>
                <w:szCs w:val="21"/>
              </w:rPr>
              <w:t>玉溪市水污染防治工作方案</w:t>
            </w:r>
            <w:r>
              <w:rPr>
                <w:b/>
                <w:color w:val="000000" w:themeColor="text1"/>
                <w:szCs w:val="21"/>
              </w:rPr>
              <w:t>》内容</w:t>
            </w:r>
          </w:p>
        </w:tc>
        <w:tc>
          <w:tcPr>
            <w:tcW w:w="3350" w:type="dxa"/>
            <w:vAlign w:val="center"/>
          </w:tcPr>
          <w:p>
            <w:pPr>
              <w:spacing w:line="240" w:lineRule="auto"/>
              <w:jc w:val="center"/>
              <w:rPr>
                <w:b/>
                <w:color w:val="000000" w:themeColor="text1"/>
                <w:szCs w:val="21"/>
              </w:rPr>
            </w:pPr>
            <w:r>
              <w:rPr>
                <w:b/>
                <w:color w:val="000000" w:themeColor="text1"/>
                <w:szCs w:val="21"/>
              </w:rPr>
              <w:t>本项目</w:t>
            </w:r>
          </w:p>
        </w:tc>
        <w:tc>
          <w:tcPr>
            <w:tcW w:w="665" w:type="dxa"/>
            <w:vAlign w:val="center"/>
          </w:tcPr>
          <w:p>
            <w:pPr>
              <w:spacing w:line="240" w:lineRule="auto"/>
              <w:jc w:val="center"/>
              <w:rPr>
                <w:b/>
                <w:color w:val="000000" w:themeColor="text1"/>
                <w:szCs w:val="21"/>
              </w:rPr>
            </w:pPr>
            <w:r>
              <w:rPr>
                <w:b/>
                <w:color w:val="000000" w:themeColor="text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40" w:lineRule="auto"/>
              <w:jc w:val="center"/>
              <w:rPr>
                <w:color w:val="000000" w:themeColor="text1"/>
                <w:szCs w:val="21"/>
              </w:rPr>
            </w:pPr>
            <w:r>
              <w:rPr>
                <w:rFonts w:hint="eastAsia"/>
                <w:color w:val="000000" w:themeColor="text1"/>
                <w:szCs w:val="21"/>
              </w:rPr>
              <w:t>第三条</w:t>
            </w:r>
          </w:p>
          <w:p>
            <w:pPr>
              <w:spacing w:line="240" w:lineRule="auto"/>
              <w:jc w:val="center"/>
              <w:rPr>
                <w:color w:val="000000" w:themeColor="text1"/>
                <w:szCs w:val="21"/>
              </w:rPr>
            </w:pPr>
            <w:r>
              <w:rPr>
                <w:rFonts w:hint="eastAsia"/>
                <w:color w:val="000000" w:themeColor="text1"/>
                <w:szCs w:val="21"/>
              </w:rPr>
              <w:t>防治任务和责任分工</w:t>
            </w:r>
          </w:p>
        </w:tc>
        <w:tc>
          <w:tcPr>
            <w:tcW w:w="851" w:type="dxa"/>
            <w:vAlign w:val="center"/>
          </w:tcPr>
          <w:p>
            <w:pPr>
              <w:spacing w:line="240" w:lineRule="auto"/>
              <w:jc w:val="center"/>
              <w:rPr>
                <w:color w:val="000000" w:themeColor="text1"/>
                <w:szCs w:val="21"/>
              </w:rPr>
            </w:pPr>
            <w:r>
              <w:rPr>
                <w:rFonts w:hint="eastAsia"/>
                <w:color w:val="000000" w:themeColor="text1"/>
                <w:szCs w:val="21"/>
              </w:rPr>
              <w:t>（三）全面控制污染物排放</w:t>
            </w:r>
          </w:p>
        </w:tc>
        <w:tc>
          <w:tcPr>
            <w:tcW w:w="2845" w:type="dxa"/>
            <w:vAlign w:val="center"/>
          </w:tcPr>
          <w:p>
            <w:pPr>
              <w:spacing w:line="240" w:lineRule="auto"/>
              <w:ind w:firstLine="420" w:firstLineChars="200"/>
              <w:jc w:val="left"/>
              <w:rPr>
                <w:color w:val="000000" w:themeColor="text1"/>
                <w:szCs w:val="21"/>
              </w:rPr>
            </w:pPr>
            <w:r>
              <w:rPr>
                <w:rFonts w:hint="eastAsia"/>
                <w:color w:val="000000" w:themeColor="text1"/>
                <w:szCs w:val="21"/>
              </w:rPr>
              <w:t>到2017年底，依法关闭或搬迁禁养区内的畜禽养殖场（小区）和养殖专业户。推行标准化规模养殖，配套建设粪便污水贮存、处理、利用设施，改进设施养殖工艺，完善技术装备条件，鼓励和支持散养密集区实行畜禽粪污分户收集、集中处理。推广畜禽粪便污水综合利用技术模式，规范和引导畜禽养殖场做好养殖废弃物资源化利用。自2016年起，新建、改建、扩建规模化畜禽养殖场（小区）要实施雨污分流、粪便污水资源化利用。到2020年底，规模畜禽养殖场（小区）配套建设废弃物处理设施比例达70%以上。</w:t>
            </w:r>
          </w:p>
        </w:tc>
        <w:tc>
          <w:tcPr>
            <w:tcW w:w="3350" w:type="dxa"/>
            <w:vAlign w:val="center"/>
          </w:tcPr>
          <w:p>
            <w:pPr>
              <w:spacing w:line="240" w:lineRule="auto"/>
              <w:ind w:firstLine="315" w:firstLineChars="150"/>
              <w:rPr>
                <w:color w:val="000000" w:themeColor="text1"/>
                <w:szCs w:val="21"/>
              </w:rPr>
            </w:pPr>
            <w:r>
              <w:rPr>
                <w:rFonts w:hint="eastAsia"/>
                <w:color w:val="000000" w:themeColor="text1"/>
                <w:szCs w:val="21"/>
              </w:rPr>
              <w:t>项目选址不属于《畜禽养殖禁养区划定技术指南》中禁养区范围。</w:t>
            </w:r>
          </w:p>
          <w:p>
            <w:pPr>
              <w:spacing w:line="240" w:lineRule="auto"/>
              <w:ind w:firstLine="315" w:firstLineChars="150"/>
              <w:rPr>
                <w:color w:val="000000" w:themeColor="text1"/>
                <w:szCs w:val="21"/>
              </w:rPr>
            </w:pPr>
            <w:r>
              <w:rPr>
                <w:rFonts w:hint="eastAsia"/>
                <w:color w:val="000000" w:themeColor="text1"/>
                <w:szCs w:val="21"/>
              </w:rPr>
              <w:t>项目实施雨污分流。项目污水经厌氧消化处理后沼液一部分用于种植区施肥，剩余部分进入异位发酵车间发酵处理，实现资源化利用。粪污水经发酵处理后生产有机肥外售，实现粪便资源化利用。</w:t>
            </w:r>
          </w:p>
        </w:tc>
        <w:tc>
          <w:tcPr>
            <w:tcW w:w="665" w:type="dxa"/>
            <w:vAlign w:val="center"/>
          </w:tcPr>
          <w:p>
            <w:pPr>
              <w:spacing w:line="240" w:lineRule="auto"/>
              <w:jc w:val="center"/>
              <w:rPr>
                <w:color w:val="000000" w:themeColor="text1"/>
                <w:szCs w:val="21"/>
              </w:rPr>
            </w:pPr>
            <w:r>
              <w:rPr>
                <w:color w:val="000000" w:themeColor="text1"/>
                <w:szCs w:val="21"/>
              </w:rPr>
              <w:t>相符</w:t>
            </w:r>
          </w:p>
        </w:tc>
      </w:tr>
    </w:tbl>
    <w:p>
      <w:pPr>
        <w:adjustRightInd w:val="0"/>
        <w:snapToGrid w:val="0"/>
        <w:ind w:firstLine="480" w:firstLineChars="200"/>
        <w:rPr>
          <w:color w:val="000000" w:themeColor="text1"/>
          <w:sz w:val="24"/>
        </w:rPr>
      </w:pPr>
      <w:r>
        <w:rPr>
          <w:color w:val="000000" w:themeColor="text1"/>
          <w:sz w:val="24"/>
        </w:rPr>
        <w:t>根据表8.2-</w:t>
      </w:r>
      <w:r>
        <w:rPr>
          <w:rFonts w:hint="eastAsia"/>
          <w:color w:val="000000" w:themeColor="text1"/>
          <w:sz w:val="24"/>
        </w:rPr>
        <w:t>6</w:t>
      </w:r>
      <w:r>
        <w:rPr>
          <w:color w:val="000000" w:themeColor="text1"/>
          <w:sz w:val="24"/>
        </w:rPr>
        <w:t>，项目</w:t>
      </w:r>
      <w:r>
        <w:rPr>
          <w:rFonts w:hint="eastAsia"/>
          <w:color w:val="000000" w:themeColor="text1"/>
          <w:sz w:val="24"/>
        </w:rPr>
        <w:t>建设符合</w:t>
      </w:r>
      <w:r>
        <w:rPr>
          <w:color w:val="000000" w:themeColor="text1"/>
          <w:sz w:val="24"/>
        </w:rPr>
        <w:t>《</w:t>
      </w:r>
      <w:r>
        <w:rPr>
          <w:rFonts w:hint="eastAsia"/>
          <w:color w:val="000000" w:themeColor="text1"/>
          <w:sz w:val="24"/>
        </w:rPr>
        <w:t>玉溪市水污染防治工作方案</w:t>
      </w:r>
      <w:r>
        <w:rPr>
          <w:color w:val="000000" w:themeColor="text1"/>
          <w:sz w:val="24"/>
        </w:rPr>
        <w:t>》</w:t>
      </w:r>
      <w:r>
        <w:rPr>
          <w:rFonts w:hint="eastAsia"/>
          <w:color w:val="000000" w:themeColor="text1"/>
          <w:sz w:val="24"/>
        </w:rPr>
        <w:t>要求</w:t>
      </w:r>
      <w:r>
        <w:rPr>
          <w:color w:val="000000" w:themeColor="text1"/>
          <w:sz w:val="24"/>
        </w:rPr>
        <w:t>。</w:t>
      </w:r>
    </w:p>
    <w:p>
      <w:pPr>
        <w:adjustRightInd w:val="0"/>
        <w:snapToGrid w:val="0"/>
        <w:outlineLvl w:val="2"/>
        <w:rPr>
          <w:b/>
          <w:color w:val="000000" w:themeColor="text1"/>
          <w:sz w:val="24"/>
        </w:rPr>
      </w:pPr>
      <w:bookmarkStart w:id="477" w:name="_Toc510547368"/>
      <w:r>
        <w:rPr>
          <w:b/>
          <w:color w:val="000000" w:themeColor="text1"/>
          <w:sz w:val="24"/>
        </w:rPr>
        <w:t>8.2.</w:t>
      </w:r>
      <w:r>
        <w:rPr>
          <w:rFonts w:hint="eastAsia"/>
          <w:b/>
          <w:color w:val="000000" w:themeColor="text1"/>
          <w:sz w:val="24"/>
        </w:rPr>
        <w:t>8</w:t>
      </w:r>
      <w:r>
        <w:rPr>
          <w:b/>
          <w:color w:val="000000" w:themeColor="text1"/>
          <w:sz w:val="24"/>
        </w:rPr>
        <w:t>环境敏感性</w:t>
      </w:r>
      <w:bookmarkEnd w:id="477"/>
    </w:p>
    <w:p>
      <w:pPr>
        <w:adjustRightInd w:val="0"/>
        <w:snapToGrid w:val="0"/>
        <w:ind w:firstLine="480" w:firstLineChars="200"/>
        <w:rPr>
          <w:color w:val="000000" w:themeColor="text1"/>
          <w:sz w:val="24"/>
        </w:rPr>
      </w:pPr>
      <w:r>
        <w:rPr>
          <w:color w:val="000000" w:themeColor="text1"/>
          <w:sz w:val="24"/>
        </w:rPr>
        <w:t>项目不在水源保护区、自然保护区、风景名胜区等环境敏感区。</w:t>
      </w:r>
    </w:p>
    <w:p>
      <w:pPr>
        <w:adjustRightInd w:val="0"/>
        <w:snapToGrid w:val="0"/>
        <w:outlineLvl w:val="2"/>
        <w:rPr>
          <w:b/>
          <w:color w:val="000000" w:themeColor="text1"/>
          <w:sz w:val="24"/>
        </w:rPr>
      </w:pPr>
      <w:bookmarkStart w:id="478" w:name="_Toc510547369"/>
      <w:r>
        <w:rPr>
          <w:b/>
          <w:color w:val="000000" w:themeColor="text1"/>
          <w:sz w:val="24"/>
        </w:rPr>
        <w:t>8.2.</w:t>
      </w:r>
      <w:r>
        <w:rPr>
          <w:rFonts w:hint="eastAsia"/>
          <w:b/>
          <w:color w:val="000000" w:themeColor="text1"/>
          <w:sz w:val="24"/>
        </w:rPr>
        <w:t>9</w:t>
      </w:r>
      <w:r>
        <w:rPr>
          <w:b/>
          <w:color w:val="000000" w:themeColor="text1"/>
          <w:sz w:val="24"/>
        </w:rPr>
        <w:t>环境质量现状</w:t>
      </w:r>
      <w:bookmarkEnd w:id="478"/>
    </w:p>
    <w:p>
      <w:pPr>
        <w:adjustRightInd w:val="0"/>
        <w:snapToGrid w:val="0"/>
        <w:ind w:firstLine="480" w:firstLineChars="200"/>
        <w:rPr>
          <w:color w:val="000000" w:themeColor="text1"/>
          <w:sz w:val="24"/>
        </w:rPr>
      </w:pPr>
      <w:r>
        <w:rPr>
          <w:color w:val="000000" w:themeColor="text1"/>
          <w:sz w:val="24"/>
        </w:rPr>
        <w:t>项目周边为农村地区，所在区域范围内无大型工厂及废气、废水排放大的排放源，项目区环境空气质量达到《环境空气质量标准》（GB3095-2012）中二级标准的要求，声环境质量达到《声环境质量标准》（GB3096-2008）</w:t>
      </w:r>
      <w:r>
        <w:rPr>
          <w:rFonts w:hint="eastAsia"/>
          <w:color w:val="000000" w:themeColor="text1"/>
          <w:sz w:val="24"/>
        </w:rPr>
        <w:t>1</w:t>
      </w:r>
      <w:r>
        <w:rPr>
          <w:color w:val="000000" w:themeColor="text1"/>
          <w:sz w:val="24"/>
        </w:rPr>
        <w:t>类标准要求，环境质量良好。</w:t>
      </w:r>
    </w:p>
    <w:p>
      <w:pPr>
        <w:adjustRightInd w:val="0"/>
        <w:snapToGrid w:val="0"/>
        <w:outlineLvl w:val="2"/>
        <w:rPr>
          <w:b/>
          <w:color w:val="000000" w:themeColor="text1"/>
          <w:sz w:val="24"/>
        </w:rPr>
      </w:pPr>
      <w:bookmarkStart w:id="479" w:name="_Toc510547370"/>
      <w:r>
        <w:rPr>
          <w:b/>
          <w:color w:val="000000" w:themeColor="text1"/>
          <w:sz w:val="24"/>
        </w:rPr>
        <w:t>8.2</w:t>
      </w:r>
      <w:r>
        <w:rPr>
          <w:rFonts w:hint="eastAsia"/>
          <w:b/>
          <w:color w:val="000000" w:themeColor="text1"/>
          <w:sz w:val="24"/>
        </w:rPr>
        <w:t>.10</w:t>
      </w:r>
      <w:r>
        <w:rPr>
          <w:b/>
          <w:color w:val="000000" w:themeColor="text1"/>
          <w:sz w:val="24"/>
        </w:rPr>
        <w:t>环境影响</w:t>
      </w:r>
      <w:bookmarkEnd w:id="479"/>
    </w:p>
    <w:p>
      <w:pPr>
        <w:adjustRightInd w:val="0"/>
        <w:snapToGrid w:val="0"/>
        <w:ind w:firstLine="480" w:firstLineChars="200"/>
        <w:rPr>
          <w:color w:val="000000" w:themeColor="text1"/>
          <w:sz w:val="24"/>
        </w:rPr>
      </w:pPr>
      <w:r>
        <w:rPr>
          <w:color w:val="000000" w:themeColor="text1"/>
          <w:sz w:val="24"/>
        </w:rPr>
        <w:t>项目污水经处理后</w:t>
      </w:r>
      <w:r>
        <w:rPr>
          <w:rFonts w:hint="eastAsia"/>
          <w:color w:val="000000" w:themeColor="text1"/>
          <w:sz w:val="24"/>
        </w:rPr>
        <w:t>沼液一部分用于种植区施肥，剩余部分进入异位发酵车间发酵处理</w:t>
      </w:r>
      <w:r>
        <w:rPr>
          <w:color w:val="000000" w:themeColor="text1"/>
          <w:sz w:val="24"/>
        </w:rPr>
        <w:t>，</w:t>
      </w:r>
      <w:r>
        <w:rPr>
          <w:rFonts w:hint="eastAsia"/>
          <w:color w:val="000000" w:themeColor="text1"/>
          <w:sz w:val="24"/>
        </w:rPr>
        <w:t>沼液用于种植区施肥，不超过土地承载范围，</w:t>
      </w:r>
      <w:r>
        <w:rPr>
          <w:color w:val="000000" w:themeColor="text1"/>
          <w:sz w:val="24"/>
        </w:rPr>
        <w:t>对区域水环境影响小；项目区臭气采取饲料添加活菌剂、喷洒生物除臭剂等措施后，臭气排放量降低，对周围环境及敏感空气质量影响小；项目固体废物处置率100%；项目设备采取降噪措施后，厂界能够达到《工业企业厂界环境噪声排放标准》（GB12348-2008）</w:t>
      </w:r>
      <w:r>
        <w:rPr>
          <w:rFonts w:hint="eastAsia"/>
          <w:color w:val="000000" w:themeColor="text1"/>
          <w:sz w:val="24"/>
        </w:rPr>
        <w:t>1</w:t>
      </w:r>
      <w:r>
        <w:rPr>
          <w:color w:val="000000" w:themeColor="text1"/>
          <w:sz w:val="24"/>
        </w:rPr>
        <w:t>类标准。</w:t>
      </w:r>
    </w:p>
    <w:p>
      <w:pPr>
        <w:adjustRightInd w:val="0"/>
        <w:snapToGrid w:val="0"/>
        <w:outlineLvl w:val="2"/>
        <w:rPr>
          <w:b/>
          <w:color w:val="000000" w:themeColor="text1"/>
          <w:sz w:val="24"/>
        </w:rPr>
      </w:pPr>
      <w:bookmarkStart w:id="480" w:name="_Toc510547371"/>
      <w:r>
        <w:rPr>
          <w:b/>
          <w:color w:val="000000" w:themeColor="text1"/>
          <w:sz w:val="24"/>
        </w:rPr>
        <w:t>8.2.</w:t>
      </w:r>
      <w:r>
        <w:rPr>
          <w:rFonts w:hint="eastAsia"/>
          <w:b/>
          <w:color w:val="000000" w:themeColor="text1"/>
          <w:sz w:val="24"/>
        </w:rPr>
        <w:t>11</w:t>
      </w:r>
      <w:r>
        <w:rPr>
          <w:b/>
          <w:color w:val="000000" w:themeColor="text1"/>
          <w:sz w:val="24"/>
        </w:rPr>
        <w:t>结论</w:t>
      </w:r>
      <w:bookmarkEnd w:id="480"/>
    </w:p>
    <w:p>
      <w:pPr>
        <w:adjustRightInd w:val="0"/>
        <w:snapToGrid w:val="0"/>
        <w:ind w:firstLine="480" w:firstLineChars="200"/>
        <w:rPr>
          <w:color w:val="000000" w:themeColor="text1"/>
          <w:sz w:val="24"/>
        </w:rPr>
      </w:pPr>
      <w:r>
        <w:rPr>
          <w:color w:val="000000" w:themeColor="text1"/>
          <w:sz w:val="24"/>
        </w:rPr>
        <w:t>综上所述，从规范符合性、环境敏感性、环境影响及相关部门选址意见角度分析，项目选址合理。</w:t>
      </w:r>
    </w:p>
    <w:p>
      <w:pPr>
        <w:pStyle w:val="3"/>
        <w:adjustRightInd w:val="0"/>
        <w:snapToGrid w:val="0"/>
        <w:spacing w:before="0" w:after="0"/>
        <w:rPr>
          <w:rFonts w:ascii="Times New Roman" w:hAnsi="Times New Roman"/>
          <w:color w:val="000000" w:themeColor="text1"/>
        </w:rPr>
      </w:pPr>
      <w:bookmarkStart w:id="481" w:name="_Toc4076509"/>
      <w:bookmarkStart w:id="482" w:name="_Toc510547372"/>
      <w:bookmarkStart w:id="483" w:name="_Toc402186413"/>
      <w:r>
        <w:rPr>
          <w:rFonts w:ascii="Times New Roman" w:hAnsi="Times New Roman"/>
          <w:color w:val="000000" w:themeColor="text1"/>
        </w:rPr>
        <w:t>8.3法规及规划符合性分析</w:t>
      </w:r>
      <w:bookmarkEnd w:id="481"/>
      <w:bookmarkEnd w:id="482"/>
    </w:p>
    <w:p>
      <w:pPr>
        <w:pStyle w:val="132"/>
        <w:ind w:firstLine="0" w:firstLineChars="0"/>
        <w:outlineLvl w:val="2"/>
        <w:rPr>
          <w:rFonts w:ascii="Times New Roman" w:hAnsi="Times New Roman" w:cs="Times New Roman"/>
          <w:b/>
          <w:color w:val="000000" w:themeColor="text1"/>
        </w:rPr>
      </w:pPr>
      <w:bookmarkStart w:id="484" w:name="_Toc510547373"/>
      <w:r>
        <w:rPr>
          <w:rFonts w:ascii="Times New Roman" w:hAnsi="Times New Roman" w:cs="Times New Roman"/>
          <w:b/>
          <w:color w:val="000000" w:themeColor="text1"/>
        </w:rPr>
        <w:t>8.3.1与《畜禽规模养殖污染防治条例》的符合性分析</w:t>
      </w:r>
      <w:bookmarkEnd w:id="484"/>
    </w:p>
    <w:p>
      <w:pPr>
        <w:adjustRightInd w:val="0"/>
        <w:snapToGrid w:val="0"/>
        <w:ind w:firstLine="480" w:firstLineChars="200"/>
        <w:rPr>
          <w:color w:val="000000" w:themeColor="text1"/>
          <w:sz w:val="24"/>
        </w:rPr>
      </w:pPr>
      <w:r>
        <w:rPr>
          <w:color w:val="000000" w:themeColor="text1"/>
          <w:sz w:val="24"/>
        </w:rPr>
        <w:t>根据《畜禽规模养殖污染防治条例》相关要求，与本工程对照分析见表8.3-1。</w:t>
      </w:r>
    </w:p>
    <w:p>
      <w:pPr>
        <w:spacing w:line="240" w:lineRule="auto"/>
        <w:ind w:firstLine="422" w:firstLineChars="200"/>
        <w:jc w:val="center"/>
        <w:rPr>
          <w:rFonts w:eastAsia="黑体"/>
          <w:b/>
          <w:bCs/>
          <w:color w:val="000000" w:themeColor="text1"/>
          <w:szCs w:val="21"/>
        </w:rPr>
      </w:pPr>
      <w:r>
        <w:rPr>
          <w:rFonts w:eastAsia="黑体"/>
          <w:b/>
          <w:bCs/>
          <w:color w:val="000000" w:themeColor="text1"/>
          <w:szCs w:val="21"/>
        </w:rPr>
        <w:t>表8.3-1  项目与《畜禽规模养殖污染防治条例》的对照分析</w:t>
      </w:r>
    </w:p>
    <w:tbl>
      <w:tblPr>
        <w:tblStyle w:val="42"/>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9"/>
        <w:gridCol w:w="3644"/>
        <w:gridCol w:w="3356"/>
        <w:gridCol w:w="6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4503" w:type="dxa"/>
            <w:gridSpan w:val="2"/>
            <w:vAlign w:val="center"/>
          </w:tcPr>
          <w:p>
            <w:pPr>
              <w:pStyle w:val="215"/>
              <w:rPr>
                <w:rFonts w:cs="Times New Roman"/>
                <w:color w:val="000000" w:themeColor="text1"/>
              </w:rPr>
            </w:pPr>
            <w:r>
              <w:rPr>
                <w:rFonts w:cs="Times New Roman"/>
                <w:color w:val="000000" w:themeColor="text1"/>
              </w:rPr>
              <w:t>《畜禽规模养殖污染防治条例》</w:t>
            </w:r>
          </w:p>
          <w:p>
            <w:pPr>
              <w:pStyle w:val="215"/>
              <w:rPr>
                <w:rFonts w:cs="Times New Roman"/>
                <w:color w:val="000000" w:themeColor="text1"/>
              </w:rPr>
            </w:pPr>
            <w:r>
              <w:rPr>
                <w:rFonts w:cs="Times New Roman"/>
                <w:color w:val="000000" w:themeColor="text1"/>
              </w:rPr>
              <w:t>相关要求</w:t>
            </w:r>
          </w:p>
        </w:tc>
        <w:tc>
          <w:tcPr>
            <w:tcW w:w="3356" w:type="dxa"/>
            <w:vAlign w:val="center"/>
          </w:tcPr>
          <w:p>
            <w:pPr>
              <w:pStyle w:val="215"/>
              <w:rPr>
                <w:rFonts w:cs="Times New Roman"/>
                <w:color w:val="000000" w:themeColor="text1"/>
              </w:rPr>
            </w:pPr>
            <w:r>
              <w:rPr>
                <w:rFonts w:cs="Times New Roman"/>
                <w:color w:val="000000" w:themeColor="text1"/>
              </w:rPr>
              <w:t>本项目情况</w:t>
            </w:r>
          </w:p>
        </w:tc>
        <w:tc>
          <w:tcPr>
            <w:tcW w:w="669" w:type="dxa"/>
            <w:vAlign w:val="center"/>
          </w:tcPr>
          <w:p>
            <w:pPr>
              <w:pStyle w:val="215"/>
              <w:rPr>
                <w:rFonts w:cs="Times New Roman"/>
                <w:color w:val="000000" w:themeColor="text1"/>
              </w:rPr>
            </w:pPr>
            <w:r>
              <w:rPr>
                <w:rFonts w:cs="Times New Roman"/>
                <w:b w:val="0"/>
                <w:color w:val="000000" w:themeColor="text1"/>
                <w:szCs w:val="21"/>
              </w:rPr>
              <w:t>相符性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59" w:type="dxa"/>
            <w:tcBorders>
              <w:righ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第十一条</w:t>
            </w:r>
          </w:p>
        </w:tc>
        <w:tc>
          <w:tcPr>
            <w:tcW w:w="3644" w:type="dxa"/>
            <w:tcBorders>
              <w:lef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禁止在下列区域内建设畜禽养殖场、养殖小区：（一）饮用水水源保护区，风景名胜区；（二）自然保护区的核心区和缓冲区；（三）城镇居民区、文化教育科学研究区等人口集中区域；（四）法律、法规规定的其他禁止养殖区域。</w:t>
            </w:r>
          </w:p>
        </w:tc>
        <w:tc>
          <w:tcPr>
            <w:tcW w:w="3356" w:type="dxa"/>
            <w:vAlign w:val="center"/>
          </w:tcPr>
          <w:p>
            <w:pPr>
              <w:spacing w:line="240" w:lineRule="auto"/>
              <w:ind w:firstLine="420" w:firstLineChars="200"/>
              <w:rPr>
                <w:color w:val="000000" w:themeColor="text1"/>
                <w:szCs w:val="21"/>
              </w:rPr>
            </w:pPr>
            <w:r>
              <w:rPr>
                <w:color w:val="000000" w:themeColor="text1"/>
                <w:szCs w:val="21"/>
              </w:rPr>
              <w:t>项目不涉及生活饮用水水源保护区、风景名胜区、自然保护区的核心区及缓冲区；不涉及人口集中地区；</w:t>
            </w:r>
            <w:r>
              <w:rPr>
                <w:color w:val="000000" w:themeColor="text1"/>
              </w:rPr>
              <w:t>亦不</w:t>
            </w:r>
            <w:r>
              <w:rPr>
                <w:color w:val="000000" w:themeColor="text1"/>
                <w:spacing w:val="3"/>
              </w:rPr>
              <w:t>属</w:t>
            </w:r>
            <w:r>
              <w:rPr>
                <w:color w:val="000000" w:themeColor="text1"/>
              </w:rPr>
              <w:t>于法律、法</w:t>
            </w:r>
            <w:r>
              <w:rPr>
                <w:color w:val="000000" w:themeColor="text1"/>
                <w:spacing w:val="3"/>
              </w:rPr>
              <w:t>规</w:t>
            </w:r>
            <w:r>
              <w:rPr>
                <w:color w:val="000000" w:themeColor="text1"/>
              </w:rPr>
              <w:t>规定的其他禁止养殖区域。</w:t>
            </w:r>
          </w:p>
        </w:tc>
        <w:tc>
          <w:tcPr>
            <w:tcW w:w="669" w:type="dxa"/>
            <w:tcBorders>
              <w:bottom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相符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59" w:type="dxa"/>
            <w:tcBorders>
              <w:righ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第</w:t>
            </w:r>
            <w:r>
              <w:rPr>
                <w:rFonts w:ascii="Times New Roman" w:hAnsi="Times New Roman" w:cs="Times New Roman"/>
                <w:color w:val="000000" w:themeColor="text1"/>
                <w:spacing w:val="3"/>
              </w:rPr>
              <w:t>十</w:t>
            </w:r>
            <w:r>
              <w:rPr>
                <w:rFonts w:ascii="Times New Roman" w:hAnsi="Times New Roman" w:cs="Times New Roman"/>
                <w:color w:val="000000" w:themeColor="text1"/>
              </w:rPr>
              <w:t>二</w:t>
            </w:r>
            <w:r>
              <w:rPr>
                <w:rFonts w:ascii="Times New Roman" w:hAnsi="Times New Roman" w:cs="Times New Roman"/>
                <w:color w:val="000000" w:themeColor="text1"/>
                <w:spacing w:val="4"/>
              </w:rPr>
              <w:t>条</w:t>
            </w:r>
          </w:p>
        </w:tc>
        <w:tc>
          <w:tcPr>
            <w:tcW w:w="3644" w:type="dxa"/>
            <w:tcBorders>
              <w:lef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新建</w:t>
            </w:r>
            <w:r>
              <w:rPr>
                <w:rFonts w:ascii="Times New Roman" w:hAnsi="Times New Roman" w:cs="Times New Roman"/>
                <w:color w:val="000000" w:themeColor="text1"/>
                <w:spacing w:val="-8"/>
              </w:rPr>
              <w:t>、</w:t>
            </w:r>
            <w:r>
              <w:rPr>
                <w:rFonts w:ascii="Times New Roman" w:hAnsi="Times New Roman" w:cs="Times New Roman"/>
                <w:color w:val="000000" w:themeColor="text1"/>
              </w:rPr>
              <w:t>改建</w:t>
            </w:r>
            <w:r>
              <w:rPr>
                <w:rFonts w:ascii="Times New Roman" w:hAnsi="Times New Roman" w:cs="Times New Roman"/>
                <w:color w:val="000000" w:themeColor="text1"/>
                <w:spacing w:val="-8"/>
              </w:rPr>
              <w:t>、</w:t>
            </w:r>
            <w:r>
              <w:rPr>
                <w:rFonts w:ascii="Times New Roman" w:hAnsi="Times New Roman" w:cs="Times New Roman"/>
                <w:color w:val="000000" w:themeColor="text1"/>
              </w:rPr>
              <w:t>扩建畜禽养殖场</w:t>
            </w:r>
            <w:r>
              <w:rPr>
                <w:rFonts w:ascii="Times New Roman" w:hAnsi="Times New Roman" w:cs="Times New Roman"/>
                <w:color w:val="000000" w:themeColor="text1"/>
                <w:spacing w:val="-12"/>
              </w:rPr>
              <w:t>、</w:t>
            </w:r>
            <w:r>
              <w:rPr>
                <w:rFonts w:ascii="Times New Roman" w:hAnsi="Times New Roman" w:cs="Times New Roman"/>
                <w:color w:val="000000" w:themeColor="text1"/>
              </w:rPr>
              <w:t>养殖小区</w:t>
            </w:r>
            <w:r>
              <w:rPr>
                <w:rFonts w:ascii="Times New Roman" w:hAnsi="Times New Roman" w:cs="Times New Roman"/>
                <w:color w:val="000000" w:themeColor="text1"/>
                <w:spacing w:val="-12"/>
              </w:rPr>
              <w:t>，</w:t>
            </w:r>
            <w:r>
              <w:rPr>
                <w:rFonts w:ascii="Times New Roman" w:hAnsi="Times New Roman" w:cs="Times New Roman"/>
                <w:color w:val="000000" w:themeColor="text1"/>
              </w:rPr>
              <w:t>应当符合畜牧业发展规划</w:t>
            </w:r>
            <w:r>
              <w:rPr>
                <w:rFonts w:ascii="Times New Roman" w:hAnsi="Times New Roman" w:cs="Times New Roman"/>
                <w:color w:val="000000" w:themeColor="text1"/>
                <w:spacing w:val="-12"/>
              </w:rPr>
              <w:t>、</w:t>
            </w:r>
            <w:r>
              <w:rPr>
                <w:rFonts w:ascii="Times New Roman" w:hAnsi="Times New Roman" w:cs="Times New Roman"/>
                <w:color w:val="000000" w:themeColor="text1"/>
              </w:rPr>
              <w:t>畜禽养殖污染防治规划</w:t>
            </w:r>
            <w:r>
              <w:rPr>
                <w:rFonts w:ascii="Times New Roman" w:hAnsi="Times New Roman" w:cs="Times New Roman"/>
                <w:color w:val="000000" w:themeColor="text1"/>
                <w:spacing w:val="-12"/>
              </w:rPr>
              <w:t>，</w:t>
            </w:r>
            <w:r>
              <w:rPr>
                <w:rFonts w:ascii="Times New Roman" w:hAnsi="Times New Roman" w:cs="Times New Roman"/>
                <w:color w:val="000000" w:themeColor="text1"/>
              </w:rPr>
              <w:t>满足动物防疫条件</w:t>
            </w:r>
            <w:r>
              <w:rPr>
                <w:rFonts w:ascii="Times New Roman" w:hAnsi="Times New Roman" w:cs="Times New Roman"/>
                <w:color w:val="000000" w:themeColor="text1"/>
                <w:spacing w:val="-12"/>
              </w:rPr>
              <w:t>，</w:t>
            </w:r>
            <w:r>
              <w:rPr>
                <w:rFonts w:ascii="Times New Roman" w:hAnsi="Times New Roman" w:cs="Times New Roman"/>
                <w:color w:val="000000" w:themeColor="text1"/>
              </w:rPr>
              <w:t>并进行环境影响评价</w:t>
            </w:r>
            <w:r>
              <w:rPr>
                <w:rFonts w:ascii="Times New Roman" w:hAnsi="Times New Roman" w:cs="Times New Roman"/>
                <w:color w:val="000000" w:themeColor="text1"/>
                <w:spacing w:val="-12"/>
              </w:rPr>
              <w:t>。</w:t>
            </w:r>
          </w:p>
        </w:tc>
        <w:tc>
          <w:tcPr>
            <w:tcW w:w="3356" w:type="dxa"/>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本项目属于新建</w:t>
            </w:r>
            <w:r>
              <w:rPr>
                <w:rFonts w:ascii="Times New Roman" w:hAnsi="Times New Roman" w:cs="Times New Roman"/>
                <w:color w:val="000000" w:themeColor="text1"/>
                <w:spacing w:val="3"/>
              </w:rPr>
              <w:t>的</w:t>
            </w:r>
            <w:r>
              <w:rPr>
                <w:rFonts w:ascii="Times New Roman" w:hAnsi="Times New Roman" w:cs="Times New Roman"/>
                <w:color w:val="000000" w:themeColor="text1"/>
              </w:rPr>
              <w:t>畜禽养殖场</w:t>
            </w:r>
            <w:r>
              <w:rPr>
                <w:rFonts w:ascii="Times New Roman" w:hAnsi="Times New Roman" w:cs="Times New Roman"/>
                <w:color w:val="000000" w:themeColor="text1"/>
                <w:spacing w:val="3"/>
              </w:rPr>
              <w:t>，</w:t>
            </w:r>
            <w:r>
              <w:rPr>
                <w:rFonts w:hint="eastAsia" w:ascii="Times New Roman" w:hAnsi="Times New Roman" w:cs="Times New Roman"/>
                <w:color w:val="000000" w:themeColor="text1"/>
                <w:spacing w:val="3"/>
              </w:rPr>
              <w:t>白鹤村委会、平甸乡人民政府、县国土局、县林业局、县人民政府等相关部门同意的设施农用地备案表（新平县农设备[2018]69号、新平县农设备[2018]70号），明确项目选址合理</w:t>
            </w:r>
            <w:r>
              <w:rPr>
                <w:rFonts w:ascii="Times New Roman" w:hAnsi="Times New Roman" w:cs="Times New Roman"/>
                <w:color w:val="000000" w:themeColor="text1"/>
              </w:rPr>
              <w:t>。</w:t>
            </w:r>
          </w:p>
        </w:tc>
        <w:tc>
          <w:tcPr>
            <w:tcW w:w="669" w:type="dxa"/>
            <w:tcBorders>
              <w:top w:val="single" w:color="auto" w:sz="4" w:space="0"/>
              <w:bottom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相符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59" w:type="dxa"/>
            <w:tcBorders>
              <w:righ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第十三条</w:t>
            </w:r>
          </w:p>
        </w:tc>
        <w:tc>
          <w:tcPr>
            <w:tcW w:w="3644" w:type="dxa"/>
            <w:tcBorders>
              <w:lef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w:t>
            </w:r>
          </w:p>
        </w:tc>
        <w:tc>
          <w:tcPr>
            <w:tcW w:w="3356" w:type="dxa"/>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本项目建设有粪便、污水与雨水分流设施，污水经处理后</w:t>
            </w:r>
            <w:r>
              <w:rPr>
                <w:rFonts w:hint="eastAsia" w:ascii="Times New Roman" w:hAnsi="Times New Roman" w:cs="Times New Roman"/>
                <w:color w:val="000000" w:themeColor="text1"/>
              </w:rPr>
              <w:t>沼液一部分用于种植区施肥，剩余部分进入异位发酵车间发酵处理</w:t>
            </w:r>
            <w:r>
              <w:rPr>
                <w:rFonts w:ascii="Times New Roman" w:hAnsi="Times New Roman" w:cs="Times New Roman"/>
                <w:color w:val="000000" w:themeColor="text1"/>
              </w:rPr>
              <w:t>；病死猪</w:t>
            </w:r>
            <w:r>
              <w:rPr>
                <w:rFonts w:hint="eastAsia" w:ascii="Times New Roman" w:hAnsi="Times New Roman" w:cs="Times New Roman"/>
                <w:color w:val="000000" w:themeColor="text1"/>
              </w:rPr>
              <w:t>进行堆肥处理后剩余骨头</w:t>
            </w:r>
            <w:r>
              <w:rPr>
                <w:rFonts w:ascii="Times New Roman" w:hAnsi="Times New Roman" w:cs="Times New Roman"/>
                <w:color w:val="000000" w:themeColor="text1"/>
              </w:rPr>
              <w:t>进行安全填埋</w:t>
            </w:r>
            <w:r>
              <w:rPr>
                <w:rFonts w:hint="eastAsia" w:ascii="Times New Roman" w:hAnsi="Times New Roman" w:cs="Times New Roman"/>
                <w:color w:val="000000" w:themeColor="text1"/>
              </w:rPr>
              <w:t>，堆肥产物与</w:t>
            </w:r>
            <w:r>
              <w:rPr>
                <w:rFonts w:ascii="Times New Roman" w:hAnsi="Times New Roman" w:cs="Times New Roman"/>
                <w:color w:val="000000" w:themeColor="text1"/>
              </w:rPr>
              <w:t>粪便经</w:t>
            </w:r>
            <w:r>
              <w:rPr>
                <w:rFonts w:hint="eastAsia" w:ascii="Times New Roman" w:hAnsi="Times New Roman" w:cs="Times New Roman"/>
                <w:color w:val="000000" w:themeColor="text1"/>
              </w:rPr>
              <w:t>异位</w:t>
            </w:r>
            <w:r>
              <w:rPr>
                <w:rFonts w:ascii="Times New Roman" w:hAnsi="Times New Roman" w:cs="Times New Roman"/>
                <w:color w:val="000000" w:themeColor="text1"/>
              </w:rPr>
              <w:t>发酵间无害化处置后</w:t>
            </w:r>
            <w:r>
              <w:rPr>
                <w:rFonts w:hint="eastAsia" w:ascii="Times New Roman" w:hAnsi="Times New Roman" w:cs="Times New Roman"/>
                <w:color w:val="000000" w:themeColor="text1"/>
              </w:rPr>
              <w:t>外售</w:t>
            </w:r>
            <w:r>
              <w:rPr>
                <w:rFonts w:ascii="Times New Roman" w:hAnsi="Times New Roman" w:cs="Times New Roman"/>
                <w:color w:val="000000" w:themeColor="text1"/>
              </w:rPr>
              <w:t>。</w:t>
            </w:r>
          </w:p>
        </w:tc>
        <w:tc>
          <w:tcPr>
            <w:tcW w:w="669" w:type="dxa"/>
            <w:tcBorders>
              <w:top w:val="single" w:color="auto" w:sz="4" w:space="0"/>
              <w:bottom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相符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59" w:type="dxa"/>
            <w:tcBorders>
              <w:righ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第十八条</w:t>
            </w:r>
          </w:p>
        </w:tc>
        <w:tc>
          <w:tcPr>
            <w:tcW w:w="3644" w:type="dxa"/>
            <w:tcBorders>
              <w:lef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将畜禽粪便、污水、沼渣、沼液等用作肥料的，应当与土地的消纳能力相适应，并采取有效措施，消除可能引起传染病的微生物，防止污染环境和传播疫病。</w:t>
            </w:r>
          </w:p>
        </w:tc>
        <w:tc>
          <w:tcPr>
            <w:tcW w:w="3356" w:type="dxa"/>
            <w:vAlign w:val="center"/>
          </w:tcPr>
          <w:p>
            <w:pPr>
              <w:pStyle w:val="214"/>
              <w:jc w:val="both"/>
              <w:rPr>
                <w:rFonts w:ascii="Times New Roman" w:hAnsi="Times New Roman" w:cs="Times New Roman"/>
                <w:color w:val="000000" w:themeColor="text1"/>
              </w:rPr>
            </w:pPr>
            <w:r>
              <w:rPr>
                <w:rFonts w:hint="eastAsia" w:ascii="Times New Roman" w:hAnsi="Times New Roman" w:cs="Times New Roman"/>
                <w:color w:val="000000" w:themeColor="text1"/>
              </w:rPr>
              <w:t>沼液用于种植区施肥，施用量不超过土地承载范围</w:t>
            </w:r>
            <w:r>
              <w:rPr>
                <w:rFonts w:ascii="Times New Roman" w:hAnsi="Times New Roman" w:cs="Times New Roman"/>
                <w:color w:val="000000" w:themeColor="text1"/>
              </w:rPr>
              <w:t>。</w:t>
            </w:r>
          </w:p>
        </w:tc>
        <w:tc>
          <w:tcPr>
            <w:tcW w:w="669" w:type="dxa"/>
            <w:tcBorders>
              <w:top w:val="single" w:color="auto" w:sz="4" w:space="0"/>
              <w:bottom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相符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59" w:type="dxa"/>
            <w:tcBorders>
              <w:righ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第十九条</w:t>
            </w:r>
          </w:p>
        </w:tc>
        <w:tc>
          <w:tcPr>
            <w:tcW w:w="3644" w:type="dxa"/>
            <w:tcBorders>
              <w:lef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从事畜禽养殖活动和畜禽养殖废弃物处理活动，应当及时对畜禽粪便、畜禽尸体、污水等进行收集、贮存、清运，防止恶臭和畜禽养殖废弃物渗出、泄漏。</w:t>
            </w:r>
          </w:p>
        </w:tc>
        <w:tc>
          <w:tcPr>
            <w:tcW w:w="3356" w:type="dxa"/>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养殖场产生的粪便，日产日清，干湿分离，猪粪进行</w:t>
            </w:r>
            <w:r>
              <w:rPr>
                <w:rFonts w:hint="eastAsia" w:ascii="Times New Roman" w:hAnsi="Times New Roman" w:cs="Times New Roman"/>
                <w:color w:val="000000" w:themeColor="text1"/>
              </w:rPr>
              <w:t>异位</w:t>
            </w:r>
            <w:r>
              <w:rPr>
                <w:rFonts w:ascii="Times New Roman" w:hAnsi="Times New Roman" w:cs="Times New Roman"/>
                <w:color w:val="000000" w:themeColor="text1"/>
              </w:rPr>
              <w:t>发酵处理后</w:t>
            </w:r>
            <w:r>
              <w:rPr>
                <w:rFonts w:hint="eastAsia" w:ascii="Times New Roman" w:hAnsi="Times New Roman" w:cs="Times New Roman"/>
                <w:color w:val="000000" w:themeColor="text1"/>
              </w:rPr>
              <w:t>外售</w:t>
            </w:r>
            <w:r>
              <w:rPr>
                <w:rFonts w:ascii="Times New Roman" w:hAnsi="Times New Roman" w:cs="Times New Roman"/>
                <w:color w:val="000000" w:themeColor="text1"/>
              </w:rPr>
              <w:t>；病死猪</w:t>
            </w:r>
            <w:r>
              <w:rPr>
                <w:rFonts w:hint="eastAsia" w:ascii="Times New Roman" w:hAnsi="Times New Roman" w:cs="Times New Roman"/>
                <w:color w:val="000000" w:themeColor="text1"/>
              </w:rPr>
              <w:t>进行堆肥处理后剩余骨头</w:t>
            </w:r>
            <w:r>
              <w:rPr>
                <w:rFonts w:ascii="Times New Roman" w:hAnsi="Times New Roman" w:cs="Times New Roman"/>
                <w:color w:val="000000" w:themeColor="text1"/>
              </w:rPr>
              <w:t>进行安全填埋</w:t>
            </w:r>
            <w:r>
              <w:rPr>
                <w:rFonts w:hint="eastAsia" w:ascii="Times New Roman" w:hAnsi="Times New Roman" w:cs="Times New Roman"/>
                <w:color w:val="000000" w:themeColor="text1"/>
              </w:rPr>
              <w:t>，堆肥产物与</w:t>
            </w:r>
            <w:r>
              <w:rPr>
                <w:rFonts w:ascii="Times New Roman" w:hAnsi="Times New Roman" w:cs="Times New Roman"/>
                <w:color w:val="000000" w:themeColor="text1"/>
              </w:rPr>
              <w:t>粪便经</w:t>
            </w:r>
            <w:r>
              <w:rPr>
                <w:rFonts w:hint="eastAsia" w:ascii="Times New Roman" w:hAnsi="Times New Roman" w:cs="Times New Roman"/>
                <w:color w:val="000000" w:themeColor="text1"/>
              </w:rPr>
              <w:t>异位</w:t>
            </w:r>
            <w:r>
              <w:rPr>
                <w:rFonts w:ascii="Times New Roman" w:hAnsi="Times New Roman" w:cs="Times New Roman"/>
                <w:color w:val="000000" w:themeColor="text1"/>
              </w:rPr>
              <w:t>发酵间无害化处置后</w:t>
            </w:r>
            <w:r>
              <w:rPr>
                <w:rFonts w:hint="eastAsia" w:ascii="Times New Roman" w:hAnsi="Times New Roman" w:cs="Times New Roman"/>
                <w:color w:val="000000" w:themeColor="text1"/>
              </w:rPr>
              <w:t>外售</w:t>
            </w:r>
            <w:r>
              <w:rPr>
                <w:rFonts w:ascii="Times New Roman" w:hAnsi="Times New Roman" w:cs="Times New Roman"/>
                <w:color w:val="000000" w:themeColor="text1"/>
              </w:rPr>
              <w:t>；猪场设有完善的污水收集管网、处理站，确保废水得到有效处理。</w:t>
            </w:r>
          </w:p>
        </w:tc>
        <w:tc>
          <w:tcPr>
            <w:tcW w:w="669" w:type="dxa"/>
            <w:tcBorders>
              <w:top w:val="single" w:color="auto" w:sz="4" w:space="0"/>
              <w:bottom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相符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59" w:type="dxa"/>
            <w:tcBorders>
              <w:righ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第二十一条</w:t>
            </w:r>
          </w:p>
        </w:tc>
        <w:tc>
          <w:tcPr>
            <w:tcW w:w="3644" w:type="dxa"/>
            <w:tcBorders>
              <w:lef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染疫畜禽以及染疫畜禽排泄物、染疫畜禽产品、病死或者死因不明的畜禽尸体等病害畜禽养殖废弃物，应当按照有关法律、法规和国务院农牧主管部门的规定，进行深埋、化制、焚烧等无害化处理，不得随意处置。</w:t>
            </w:r>
          </w:p>
        </w:tc>
        <w:tc>
          <w:tcPr>
            <w:tcW w:w="3356" w:type="dxa"/>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病死猪</w:t>
            </w:r>
            <w:r>
              <w:rPr>
                <w:rFonts w:hint="eastAsia" w:ascii="Times New Roman" w:hAnsi="Times New Roman" w:cs="Times New Roman"/>
                <w:color w:val="000000" w:themeColor="text1"/>
              </w:rPr>
              <w:t>进行堆肥处理后剩余骨头</w:t>
            </w:r>
            <w:r>
              <w:rPr>
                <w:rFonts w:ascii="Times New Roman" w:hAnsi="Times New Roman" w:cs="Times New Roman"/>
                <w:color w:val="000000" w:themeColor="text1"/>
              </w:rPr>
              <w:t>进行安全填埋</w:t>
            </w:r>
            <w:r>
              <w:rPr>
                <w:rFonts w:hint="eastAsia" w:ascii="Times New Roman" w:hAnsi="Times New Roman" w:cs="Times New Roman"/>
                <w:color w:val="000000" w:themeColor="text1"/>
              </w:rPr>
              <w:t>，堆肥产物与</w:t>
            </w:r>
            <w:r>
              <w:rPr>
                <w:rFonts w:ascii="Times New Roman" w:hAnsi="Times New Roman" w:cs="Times New Roman"/>
                <w:color w:val="000000" w:themeColor="text1"/>
              </w:rPr>
              <w:t>粪便经</w:t>
            </w:r>
            <w:r>
              <w:rPr>
                <w:rFonts w:hint="eastAsia" w:ascii="Times New Roman" w:hAnsi="Times New Roman" w:cs="Times New Roman"/>
                <w:color w:val="000000" w:themeColor="text1"/>
              </w:rPr>
              <w:t>异位</w:t>
            </w:r>
            <w:r>
              <w:rPr>
                <w:rFonts w:ascii="Times New Roman" w:hAnsi="Times New Roman" w:cs="Times New Roman"/>
                <w:color w:val="000000" w:themeColor="text1"/>
              </w:rPr>
              <w:t>发酵间无害化处置后</w:t>
            </w:r>
            <w:r>
              <w:rPr>
                <w:rFonts w:hint="eastAsia" w:ascii="Times New Roman" w:hAnsi="Times New Roman" w:cs="Times New Roman"/>
                <w:color w:val="000000" w:themeColor="text1"/>
              </w:rPr>
              <w:t>外售</w:t>
            </w:r>
            <w:r>
              <w:rPr>
                <w:rFonts w:ascii="Times New Roman" w:hAnsi="Times New Roman" w:cs="Times New Roman"/>
                <w:color w:val="000000" w:themeColor="text1"/>
              </w:rPr>
              <w:t>。</w:t>
            </w:r>
          </w:p>
        </w:tc>
        <w:tc>
          <w:tcPr>
            <w:tcW w:w="669" w:type="dxa"/>
            <w:tcBorders>
              <w:top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相符</w:t>
            </w:r>
          </w:p>
        </w:tc>
      </w:tr>
    </w:tbl>
    <w:p>
      <w:pPr>
        <w:widowControl/>
        <w:ind w:firstLine="480" w:firstLineChars="200"/>
        <w:rPr>
          <w:color w:val="000000" w:themeColor="text1"/>
          <w:sz w:val="24"/>
        </w:rPr>
      </w:pPr>
      <w:r>
        <w:rPr>
          <w:color w:val="000000" w:themeColor="text1"/>
          <w:sz w:val="24"/>
        </w:rPr>
        <w:t>根据表8.3-1，项目建设内容符合《畜禽规模养殖污染防治条例》中相关要求。</w:t>
      </w:r>
    </w:p>
    <w:p>
      <w:pPr>
        <w:pStyle w:val="132"/>
        <w:ind w:firstLine="0" w:firstLineChars="0"/>
        <w:outlineLvl w:val="2"/>
        <w:rPr>
          <w:rFonts w:ascii="Times New Roman" w:hAnsi="Times New Roman" w:cs="Times New Roman"/>
          <w:b/>
          <w:color w:val="000000" w:themeColor="text1"/>
        </w:rPr>
      </w:pPr>
      <w:bookmarkStart w:id="485" w:name="_Toc510547374"/>
      <w:r>
        <w:rPr>
          <w:rFonts w:ascii="Times New Roman" w:hAnsi="Times New Roman" w:cs="Times New Roman"/>
          <w:b/>
          <w:color w:val="000000" w:themeColor="text1"/>
        </w:rPr>
        <w:t>8.3.2与《玉溪市“十三五”高原特色现代农业发展规划（2016~2020年）》符合性分析</w:t>
      </w:r>
      <w:bookmarkEnd w:id="485"/>
    </w:p>
    <w:p>
      <w:pPr>
        <w:adjustRightInd w:val="0"/>
        <w:snapToGrid w:val="0"/>
        <w:ind w:firstLine="480" w:firstLineChars="200"/>
        <w:rPr>
          <w:color w:val="000000" w:themeColor="text1"/>
          <w:sz w:val="24"/>
        </w:rPr>
      </w:pPr>
      <w:r>
        <w:rPr>
          <w:color w:val="000000" w:themeColor="text1"/>
          <w:sz w:val="24"/>
        </w:rPr>
        <w:t>根据《玉溪市“十三五”高原特色现代农业发展规划（2016~2020年）》，与本工程对照分析见表8.3-2。</w:t>
      </w:r>
    </w:p>
    <w:p>
      <w:pPr>
        <w:spacing w:line="240" w:lineRule="auto"/>
        <w:ind w:firstLine="422" w:firstLineChars="200"/>
        <w:jc w:val="center"/>
        <w:rPr>
          <w:rFonts w:eastAsia="黑体"/>
          <w:b/>
          <w:bCs/>
          <w:color w:val="000000" w:themeColor="text1"/>
          <w:szCs w:val="21"/>
        </w:rPr>
      </w:pPr>
      <w:r>
        <w:rPr>
          <w:rFonts w:eastAsia="黑体"/>
          <w:b/>
          <w:bCs/>
          <w:color w:val="000000" w:themeColor="text1"/>
          <w:szCs w:val="21"/>
        </w:rPr>
        <w:t>表8.3-2  与《玉溪市“十三五”高原特色现代农业发展规划》对照分析</w:t>
      </w:r>
    </w:p>
    <w:tbl>
      <w:tblPr>
        <w:tblStyle w:val="42"/>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9"/>
        <w:gridCol w:w="3880"/>
        <w:gridCol w:w="3120"/>
        <w:gridCol w:w="6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4739" w:type="dxa"/>
            <w:gridSpan w:val="2"/>
            <w:vAlign w:val="center"/>
          </w:tcPr>
          <w:p>
            <w:pPr>
              <w:pStyle w:val="215"/>
              <w:rPr>
                <w:rFonts w:cs="Times New Roman"/>
                <w:color w:val="000000" w:themeColor="text1"/>
              </w:rPr>
            </w:pPr>
            <w:r>
              <w:rPr>
                <w:rFonts w:cs="Times New Roman"/>
                <w:color w:val="000000" w:themeColor="text1"/>
              </w:rPr>
              <w:t>《玉溪市“十三五”高原特色现代农业发展规划（2016~2020年）》相关要求</w:t>
            </w:r>
          </w:p>
        </w:tc>
        <w:tc>
          <w:tcPr>
            <w:tcW w:w="3120" w:type="dxa"/>
            <w:vAlign w:val="center"/>
          </w:tcPr>
          <w:p>
            <w:pPr>
              <w:pStyle w:val="215"/>
              <w:rPr>
                <w:rFonts w:cs="Times New Roman"/>
                <w:color w:val="000000" w:themeColor="text1"/>
              </w:rPr>
            </w:pPr>
            <w:r>
              <w:rPr>
                <w:rFonts w:cs="Times New Roman"/>
                <w:color w:val="000000" w:themeColor="text1"/>
              </w:rPr>
              <w:t>本项目情况</w:t>
            </w:r>
          </w:p>
        </w:tc>
        <w:tc>
          <w:tcPr>
            <w:tcW w:w="669" w:type="dxa"/>
            <w:vAlign w:val="center"/>
          </w:tcPr>
          <w:p>
            <w:pPr>
              <w:pStyle w:val="215"/>
              <w:rPr>
                <w:rFonts w:cs="Times New Roman"/>
                <w:color w:val="000000" w:themeColor="text1"/>
              </w:rPr>
            </w:pPr>
            <w:r>
              <w:rPr>
                <w:rFonts w:cs="Times New Roman"/>
                <w:b w:val="0"/>
                <w:color w:val="000000" w:themeColor="text1"/>
                <w:szCs w:val="21"/>
              </w:rPr>
              <w:t>相符性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59" w:type="dxa"/>
            <w:tcBorders>
              <w:righ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养殖业</w:t>
            </w:r>
          </w:p>
        </w:tc>
        <w:tc>
          <w:tcPr>
            <w:tcW w:w="3880" w:type="dxa"/>
            <w:tcBorders>
              <w:left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以“扩量、提质、增效”为核心，更加突出生猪和家禽这两个重点，优化区域布局，全力推进规模化、标准化养殖。以红塔区、易门县、新平</w:t>
            </w:r>
            <w:r>
              <w:rPr>
                <w:rFonts w:hint="eastAsia" w:ascii="Times New Roman" w:hAnsi="Times New Roman" w:cs="Times New Roman"/>
                <w:color w:val="000000" w:themeColor="text1"/>
              </w:rPr>
              <w:t>县</w:t>
            </w:r>
            <w:r>
              <w:rPr>
                <w:rFonts w:ascii="Times New Roman" w:hAnsi="Times New Roman" w:cs="Times New Roman"/>
                <w:color w:val="000000" w:themeColor="text1"/>
              </w:rPr>
              <w:t>、峨山县为重点发展外向型生猪产业。</w:t>
            </w:r>
          </w:p>
        </w:tc>
        <w:tc>
          <w:tcPr>
            <w:tcW w:w="3120" w:type="dxa"/>
            <w:vAlign w:val="center"/>
          </w:tcPr>
          <w:p>
            <w:pPr>
              <w:spacing w:line="240" w:lineRule="auto"/>
              <w:ind w:firstLine="420" w:firstLineChars="200"/>
              <w:rPr>
                <w:color w:val="000000" w:themeColor="text1"/>
                <w:szCs w:val="21"/>
              </w:rPr>
            </w:pPr>
            <w:r>
              <w:rPr>
                <w:color w:val="000000" w:themeColor="text1"/>
                <w:szCs w:val="21"/>
              </w:rPr>
              <w:t>项目为</w:t>
            </w:r>
            <w:r>
              <w:rPr>
                <w:rFonts w:hint="eastAsia"/>
                <w:color w:val="000000" w:themeColor="text1"/>
                <w:szCs w:val="21"/>
              </w:rPr>
              <w:t>生猪</w:t>
            </w:r>
            <w:r>
              <w:rPr>
                <w:color w:val="000000" w:themeColor="text1"/>
                <w:szCs w:val="21"/>
              </w:rPr>
              <w:t>养殖，实行标准化养殖</w:t>
            </w:r>
            <w:r>
              <w:rPr>
                <w:color w:val="000000" w:themeColor="text1"/>
              </w:rPr>
              <w:t>。</w:t>
            </w:r>
          </w:p>
        </w:tc>
        <w:tc>
          <w:tcPr>
            <w:tcW w:w="669" w:type="dxa"/>
            <w:tcBorders>
              <w:bottom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相符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59" w:type="dxa"/>
            <w:tcBorders>
              <w:right w:val="single" w:color="auto" w:sz="4" w:space="0"/>
            </w:tcBorders>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发展重点工作</w:t>
            </w:r>
          </w:p>
        </w:tc>
        <w:tc>
          <w:tcPr>
            <w:tcW w:w="3880" w:type="dxa"/>
            <w:tcBorders>
              <w:left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大力发展生态循环农业，畜禽规模养殖场（小区）粪污处理与利用率达85%以上。</w:t>
            </w:r>
          </w:p>
        </w:tc>
        <w:tc>
          <w:tcPr>
            <w:tcW w:w="3120" w:type="dxa"/>
            <w:vAlign w:val="center"/>
          </w:tcPr>
          <w:p>
            <w:pPr>
              <w:pStyle w:val="214"/>
              <w:jc w:val="both"/>
              <w:rPr>
                <w:rFonts w:ascii="Times New Roman" w:hAnsi="Times New Roman" w:cs="Times New Roman"/>
                <w:color w:val="000000" w:themeColor="text1"/>
              </w:rPr>
            </w:pPr>
            <w:r>
              <w:rPr>
                <w:rFonts w:ascii="Times New Roman" w:hAnsi="Times New Roman" w:cs="Times New Roman"/>
                <w:color w:val="000000" w:themeColor="text1"/>
              </w:rPr>
              <w:t>本项目污水经处理</w:t>
            </w:r>
            <w:r>
              <w:rPr>
                <w:rFonts w:hint="eastAsia" w:ascii="Times New Roman" w:hAnsi="Times New Roman" w:cs="Times New Roman"/>
                <w:color w:val="000000" w:themeColor="text1"/>
              </w:rPr>
              <w:t>后沼液</w:t>
            </w:r>
            <w:r>
              <w:rPr>
                <w:rFonts w:hint="eastAsia"/>
                <w:color w:val="000000" w:themeColor="text1"/>
              </w:rPr>
              <w:t>一部分用于种植区施肥，剩余部分进入异位发酵车间发酵处理</w:t>
            </w:r>
            <w:r>
              <w:rPr>
                <w:rFonts w:ascii="Times New Roman" w:hAnsi="Times New Roman" w:cs="Times New Roman"/>
                <w:color w:val="000000" w:themeColor="text1"/>
              </w:rPr>
              <w:t>，</w:t>
            </w:r>
            <w:r>
              <w:rPr>
                <w:rFonts w:hint="eastAsia" w:ascii="Times New Roman" w:hAnsi="Times New Roman" w:cs="Times New Roman"/>
                <w:color w:val="000000" w:themeColor="text1"/>
              </w:rPr>
              <w:t>粪污水</w:t>
            </w:r>
            <w:r>
              <w:rPr>
                <w:rFonts w:ascii="Times New Roman" w:hAnsi="Times New Roman" w:cs="Times New Roman"/>
                <w:color w:val="000000" w:themeColor="text1"/>
              </w:rPr>
              <w:t>经发酵后</w:t>
            </w:r>
            <w:r>
              <w:rPr>
                <w:rFonts w:hint="eastAsia" w:ascii="Times New Roman" w:hAnsi="Times New Roman" w:cs="Times New Roman"/>
                <w:color w:val="000000" w:themeColor="text1"/>
              </w:rPr>
              <w:t>外售</w:t>
            </w:r>
            <w:r>
              <w:rPr>
                <w:rFonts w:ascii="Times New Roman" w:hAnsi="Times New Roman" w:cs="Times New Roman"/>
                <w:color w:val="000000" w:themeColor="text1"/>
              </w:rPr>
              <w:t>。项目粪污完全实现利用，符合发展生态循环农业要求。</w:t>
            </w:r>
          </w:p>
        </w:tc>
        <w:tc>
          <w:tcPr>
            <w:tcW w:w="669" w:type="dxa"/>
            <w:tcBorders>
              <w:top w:val="single" w:color="auto" w:sz="4" w:space="0"/>
              <w:bottom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相符</w:t>
            </w:r>
          </w:p>
        </w:tc>
      </w:tr>
    </w:tbl>
    <w:p>
      <w:pPr>
        <w:adjustRightInd w:val="0"/>
        <w:snapToGrid w:val="0"/>
        <w:ind w:firstLine="480" w:firstLineChars="200"/>
        <w:rPr>
          <w:color w:val="000000" w:themeColor="text1"/>
          <w:sz w:val="24"/>
        </w:rPr>
      </w:pPr>
      <w:r>
        <w:rPr>
          <w:color w:val="000000" w:themeColor="text1"/>
          <w:sz w:val="24"/>
        </w:rPr>
        <w:t>根据表8.3-2，项目建设符合《玉溪市“十三五”高原特色现代农业发展规划》中</w:t>
      </w:r>
      <w:r>
        <w:rPr>
          <w:rFonts w:hint="eastAsia"/>
          <w:color w:val="000000" w:themeColor="text1"/>
          <w:sz w:val="24"/>
        </w:rPr>
        <w:t>发展重点要求</w:t>
      </w:r>
      <w:r>
        <w:rPr>
          <w:color w:val="000000" w:themeColor="text1"/>
          <w:sz w:val="24"/>
        </w:rPr>
        <w:t>。</w:t>
      </w:r>
    </w:p>
    <w:p>
      <w:pPr>
        <w:pStyle w:val="132"/>
        <w:ind w:firstLine="0" w:firstLineChars="0"/>
        <w:outlineLvl w:val="2"/>
        <w:rPr>
          <w:rFonts w:ascii="Times New Roman" w:hAnsi="Times New Roman" w:cs="Times New Roman"/>
          <w:b/>
          <w:color w:val="000000" w:themeColor="text1"/>
        </w:rPr>
      </w:pPr>
      <w:r>
        <w:rPr>
          <w:rFonts w:ascii="Times New Roman" w:hAnsi="Times New Roman" w:cs="Times New Roman"/>
          <w:b/>
          <w:color w:val="000000" w:themeColor="text1"/>
        </w:rPr>
        <w:t>8.3.</w:t>
      </w:r>
      <w:r>
        <w:rPr>
          <w:rFonts w:hint="eastAsia" w:ascii="Times New Roman" w:hAnsi="Times New Roman" w:cs="Times New Roman"/>
          <w:b/>
          <w:color w:val="000000" w:themeColor="text1"/>
        </w:rPr>
        <w:t>3</w:t>
      </w:r>
      <w:r>
        <w:rPr>
          <w:rFonts w:ascii="Times New Roman" w:hAnsi="Times New Roman" w:cs="Times New Roman"/>
          <w:b/>
          <w:color w:val="000000" w:themeColor="text1"/>
        </w:rPr>
        <w:t>与《</w:t>
      </w:r>
      <w:r>
        <w:rPr>
          <w:rFonts w:hint="eastAsia" w:ascii="Times New Roman" w:hAnsi="Times New Roman" w:cs="Times New Roman"/>
          <w:b/>
          <w:color w:val="000000" w:themeColor="text1"/>
        </w:rPr>
        <w:t>新平彝族傣族自治县国民经济和社会发展第十三个五年规划纲要</w:t>
      </w:r>
      <w:r>
        <w:rPr>
          <w:rFonts w:ascii="Times New Roman" w:hAnsi="Times New Roman" w:cs="Times New Roman"/>
          <w:b/>
          <w:color w:val="000000" w:themeColor="text1"/>
        </w:rPr>
        <w:t>》符合性分析</w:t>
      </w:r>
    </w:p>
    <w:p>
      <w:pPr>
        <w:adjustRightInd w:val="0"/>
        <w:snapToGrid w:val="0"/>
        <w:ind w:firstLine="480" w:firstLineChars="200"/>
        <w:rPr>
          <w:color w:val="000000" w:themeColor="text1"/>
          <w:sz w:val="24"/>
        </w:rPr>
      </w:pPr>
      <w:r>
        <w:rPr>
          <w:color w:val="000000" w:themeColor="text1"/>
          <w:sz w:val="24"/>
        </w:rPr>
        <w:t>根据</w:t>
      </w:r>
      <w:r>
        <w:rPr>
          <w:rFonts w:hint="eastAsia"/>
          <w:color w:val="000000" w:themeColor="text1"/>
          <w:sz w:val="24"/>
        </w:rPr>
        <w:t>《新平彝族傣族自治县国民经济和社会发展第十三个五年规划纲要》</w:t>
      </w:r>
      <w:r>
        <w:rPr>
          <w:color w:val="000000" w:themeColor="text1"/>
          <w:sz w:val="24"/>
        </w:rPr>
        <w:t>，与本工程对照分析见表8.3-</w:t>
      </w:r>
      <w:r>
        <w:rPr>
          <w:rFonts w:hint="eastAsia"/>
          <w:color w:val="000000" w:themeColor="text1"/>
          <w:sz w:val="24"/>
        </w:rPr>
        <w:t>3</w:t>
      </w:r>
      <w:r>
        <w:rPr>
          <w:color w:val="000000" w:themeColor="text1"/>
          <w:sz w:val="24"/>
        </w:rPr>
        <w:t>。</w:t>
      </w:r>
    </w:p>
    <w:p>
      <w:pPr>
        <w:spacing w:line="240" w:lineRule="auto"/>
        <w:ind w:firstLine="422" w:firstLineChars="200"/>
        <w:jc w:val="center"/>
        <w:rPr>
          <w:rFonts w:eastAsia="黑体"/>
          <w:b/>
          <w:bCs/>
          <w:color w:val="000000" w:themeColor="text1"/>
          <w:szCs w:val="21"/>
        </w:rPr>
      </w:pPr>
      <w:r>
        <w:rPr>
          <w:rFonts w:eastAsia="黑体"/>
          <w:b/>
          <w:bCs/>
          <w:color w:val="000000" w:themeColor="text1"/>
          <w:szCs w:val="21"/>
        </w:rPr>
        <w:t>表8.3-</w:t>
      </w:r>
      <w:r>
        <w:rPr>
          <w:rFonts w:hint="eastAsia" w:eastAsia="黑体"/>
          <w:b/>
          <w:bCs/>
          <w:color w:val="000000" w:themeColor="text1"/>
          <w:szCs w:val="21"/>
        </w:rPr>
        <w:t>3</w:t>
      </w:r>
      <w:r>
        <w:rPr>
          <w:rFonts w:eastAsia="黑体"/>
          <w:b/>
          <w:bCs/>
          <w:color w:val="000000" w:themeColor="text1"/>
          <w:szCs w:val="21"/>
        </w:rPr>
        <w:t>与《</w:t>
      </w:r>
      <w:r>
        <w:rPr>
          <w:rFonts w:hint="eastAsia" w:eastAsia="黑体"/>
          <w:b/>
          <w:bCs/>
          <w:color w:val="000000" w:themeColor="text1"/>
          <w:szCs w:val="21"/>
        </w:rPr>
        <w:t>新平彝族傣族自治县国民经济和社会发展第十三个五年规划纲要</w:t>
      </w:r>
      <w:r>
        <w:rPr>
          <w:rFonts w:eastAsia="黑体"/>
          <w:b/>
          <w:bCs/>
          <w:color w:val="000000" w:themeColor="text1"/>
          <w:szCs w:val="21"/>
        </w:rPr>
        <w:t>》</w:t>
      </w:r>
    </w:p>
    <w:p>
      <w:pPr>
        <w:spacing w:line="240" w:lineRule="auto"/>
        <w:ind w:firstLine="422" w:firstLineChars="200"/>
        <w:jc w:val="center"/>
        <w:rPr>
          <w:rFonts w:eastAsia="黑体"/>
          <w:b/>
          <w:bCs/>
          <w:color w:val="000000" w:themeColor="text1"/>
          <w:szCs w:val="21"/>
        </w:rPr>
      </w:pPr>
      <w:r>
        <w:rPr>
          <w:rFonts w:eastAsia="黑体"/>
          <w:b/>
          <w:bCs/>
          <w:color w:val="000000" w:themeColor="text1"/>
          <w:szCs w:val="21"/>
        </w:rPr>
        <w:t>对照分析</w:t>
      </w:r>
    </w:p>
    <w:tbl>
      <w:tblPr>
        <w:tblStyle w:val="42"/>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9"/>
        <w:gridCol w:w="3880"/>
        <w:gridCol w:w="3120"/>
        <w:gridCol w:w="6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4739" w:type="dxa"/>
            <w:gridSpan w:val="2"/>
            <w:vAlign w:val="center"/>
          </w:tcPr>
          <w:p>
            <w:pPr>
              <w:pStyle w:val="215"/>
              <w:rPr>
                <w:rFonts w:cs="Times New Roman"/>
                <w:color w:val="000000" w:themeColor="text1"/>
              </w:rPr>
            </w:pPr>
            <w:r>
              <w:rPr>
                <w:rFonts w:cs="Times New Roman"/>
                <w:color w:val="000000" w:themeColor="text1"/>
              </w:rPr>
              <w:t>《</w:t>
            </w:r>
            <w:r>
              <w:rPr>
                <w:rFonts w:hint="eastAsia" w:cs="Times New Roman"/>
                <w:color w:val="000000" w:themeColor="text1"/>
              </w:rPr>
              <w:t>新平彝族傣族自治县国民经济和社会发展第十三个五年规划纲要</w:t>
            </w:r>
            <w:r>
              <w:rPr>
                <w:rFonts w:cs="Times New Roman"/>
                <w:color w:val="000000" w:themeColor="text1"/>
              </w:rPr>
              <w:t>》相关要求</w:t>
            </w:r>
          </w:p>
        </w:tc>
        <w:tc>
          <w:tcPr>
            <w:tcW w:w="3120" w:type="dxa"/>
            <w:vAlign w:val="center"/>
          </w:tcPr>
          <w:p>
            <w:pPr>
              <w:pStyle w:val="215"/>
              <w:rPr>
                <w:rFonts w:cs="Times New Roman"/>
                <w:color w:val="000000" w:themeColor="text1"/>
              </w:rPr>
            </w:pPr>
            <w:r>
              <w:rPr>
                <w:rFonts w:cs="Times New Roman"/>
                <w:color w:val="000000" w:themeColor="text1"/>
              </w:rPr>
              <w:t>本项目情况</w:t>
            </w:r>
          </w:p>
        </w:tc>
        <w:tc>
          <w:tcPr>
            <w:tcW w:w="669" w:type="dxa"/>
            <w:vAlign w:val="center"/>
          </w:tcPr>
          <w:p>
            <w:pPr>
              <w:pStyle w:val="215"/>
              <w:rPr>
                <w:rFonts w:cs="Times New Roman"/>
                <w:color w:val="000000" w:themeColor="text1"/>
              </w:rPr>
            </w:pPr>
            <w:r>
              <w:rPr>
                <w:rFonts w:cs="Times New Roman"/>
                <w:b w:val="0"/>
                <w:color w:val="000000" w:themeColor="text1"/>
                <w:szCs w:val="21"/>
              </w:rPr>
              <w:t>相符性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59" w:type="dxa"/>
            <w:tcBorders>
              <w:right w:val="single" w:color="auto" w:sz="4" w:space="0"/>
            </w:tcBorders>
            <w:vAlign w:val="center"/>
          </w:tcPr>
          <w:p>
            <w:pPr>
              <w:pStyle w:val="214"/>
              <w:jc w:val="both"/>
              <w:rPr>
                <w:rFonts w:ascii="Times New Roman" w:hAnsi="Times New Roman" w:cs="Times New Roman"/>
                <w:color w:val="000000" w:themeColor="text1"/>
              </w:rPr>
            </w:pPr>
            <w:r>
              <w:rPr>
                <w:rFonts w:hint="eastAsia" w:ascii="Times New Roman" w:hAnsi="Times New Roman" w:cs="Times New Roman"/>
                <w:color w:val="000000" w:themeColor="text1"/>
              </w:rPr>
              <w:t>高原特色农业现代化十大重点工程</w:t>
            </w:r>
          </w:p>
        </w:tc>
        <w:tc>
          <w:tcPr>
            <w:tcW w:w="3880" w:type="dxa"/>
            <w:tcBorders>
              <w:left w:val="single" w:color="auto" w:sz="4" w:space="0"/>
            </w:tcBorders>
            <w:vAlign w:val="center"/>
          </w:tcPr>
          <w:p>
            <w:pPr>
              <w:pStyle w:val="214"/>
              <w:rPr>
                <w:rFonts w:ascii="Times New Roman" w:hAnsi="Times New Roman" w:cs="Times New Roman"/>
                <w:color w:val="000000" w:themeColor="text1"/>
              </w:rPr>
            </w:pPr>
            <w:r>
              <w:rPr>
                <w:rFonts w:hint="eastAsia" w:ascii="Times New Roman" w:hAnsi="Times New Roman" w:cs="Times New Roman"/>
                <w:color w:val="000000" w:themeColor="text1"/>
              </w:rPr>
              <w:t>建立种植业标准化生产示范区10个，示范面积5万亩；建年出栏肉猪500头以上的生猪标准化规模养殖场50个，建存栏千头肉牛养殖小区1个，建存栏千只肉羊养殖场1个，建山地鸡养殖场30个，全县新增绿色食品认证企业3户。</w:t>
            </w:r>
          </w:p>
        </w:tc>
        <w:tc>
          <w:tcPr>
            <w:tcW w:w="3120" w:type="dxa"/>
            <w:vAlign w:val="center"/>
          </w:tcPr>
          <w:p>
            <w:pPr>
              <w:spacing w:line="240" w:lineRule="auto"/>
              <w:ind w:firstLine="420" w:firstLineChars="200"/>
              <w:jc w:val="center"/>
              <w:rPr>
                <w:color w:val="000000" w:themeColor="text1"/>
                <w:szCs w:val="21"/>
              </w:rPr>
            </w:pPr>
            <w:r>
              <w:rPr>
                <w:color w:val="000000" w:themeColor="text1"/>
                <w:szCs w:val="21"/>
              </w:rPr>
              <w:t>项目为</w:t>
            </w:r>
            <w:r>
              <w:rPr>
                <w:rFonts w:hint="eastAsia"/>
                <w:color w:val="000000" w:themeColor="text1"/>
              </w:rPr>
              <w:t>生猪标准化规模养殖场</w:t>
            </w:r>
            <w:r>
              <w:rPr>
                <w:color w:val="000000" w:themeColor="text1"/>
              </w:rPr>
              <w:t>。</w:t>
            </w:r>
          </w:p>
        </w:tc>
        <w:tc>
          <w:tcPr>
            <w:tcW w:w="669" w:type="dxa"/>
            <w:tcBorders>
              <w:bottom w:val="single" w:color="auto" w:sz="4" w:space="0"/>
            </w:tcBorders>
            <w:vAlign w:val="center"/>
          </w:tcPr>
          <w:p>
            <w:pPr>
              <w:pStyle w:val="214"/>
              <w:rPr>
                <w:rFonts w:ascii="Times New Roman" w:hAnsi="Times New Roman" w:cs="Times New Roman"/>
                <w:color w:val="000000" w:themeColor="text1"/>
              </w:rPr>
            </w:pPr>
            <w:r>
              <w:rPr>
                <w:rFonts w:ascii="Times New Roman" w:hAnsi="Times New Roman" w:cs="Times New Roman"/>
                <w:color w:val="000000" w:themeColor="text1"/>
              </w:rPr>
              <w:t>相符</w:t>
            </w:r>
          </w:p>
        </w:tc>
      </w:tr>
    </w:tbl>
    <w:p>
      <w:pPr>
        <w:adjustRightInd w:val="0"/>
        <w:snapToGrid w:val="0"/>
        <w:ind w:firstLine="480" w:firstLineChars="200"/>
        <w:rPr>
          <w:color w:val="000000" w:themeColor="text1"/>
          <w:sz w:val="24"/>
        </w:rPr>
      </w:pPr>
      <w:r>
        <w:rPr>
          <w:color w:val="000000" w:themeColor="text1"/>
          <w:sz w:val="24"/>
        </w:rPr>
        <w:t>根据表8.3-</w:t>
      </w:r>
      <w:r>
        <w:rPr>
          <w:rFonts w:hint="eastAsia"/>
          <w:color w:val="000000" w:themeColor="text1"/>
          <w:sz w:val="24"/>
        </w:rPr>
        <w:t>3</w:t>
      </w:r>
      <w:r>
        <w:rPr>
          <w:color w:val="000000" w:themeColor="text1"/>
          <w:sz w:val="24"/>
        </w:rPr>
        <w:t>，项目建设符合《</w:t>
      </w:r>
      <w:r>
        <w:rPr>
          <w:rFonts w:hint="eastAsia"/>
          <w:color w:val="000000" w:themeColor="text1"/>
          <w:sz w:val="24"/>
        </w:rPr>
        <w:t>新平彝族傣族自治县国民经济和社会发展第十三个五年规划纲要</w:t>
      </w:r>
      <w:r>
        <w:rPr>
          <w:color w:val="000000" w:themeColor="text1"/>
          <w:sz w:val="24"/>
        </w:rPr>
        <w:t>》中</w:t>
      </w:r>
      <w:r>
        <w:rPr>
          <w:rFonts w:hint="eastAsia"/>
          <w:color w:val="000000" w:themeColor="text1"/>
          <w:sz w:val="24"/>
        </w:rPr>
        <w:t>发展目标、发展重点和布局要求</w:t>
      </w:r>
      <w:r>
        <w:rPr>
          <w:color w:val="000000" w:themeColor="text1"/>
          <w:sz w:val="24"/>
        </w:rPr>
        <w:t>。</w:t>
      </w:r>
    </w:p>
    <w:p>
      <w:pPr>
        <w:pStyle w:val="3"/>
        <w:adjustRightInd w:val="0"/>
        <w:snapToGrid w:val="0"/>
        <w:spacing w:before="0" w:after="0"/>
        <w:rPr>
          <w:rFonts w:ascii="Times New Roman" w:hAnsi="Times New Roman"/>
          <w:color w:val="000000" w:themeColor="text1"/>
        </w:rPr>
      </w:pPr>
      <w:bookmarkStart w:id="486" w:name="_Toc510547375"/>
      <w:bookmarkStart w:id="487" w:name="_Toc4076510"/>
      <w:r>
        <w:rPr>
          <w:rFonts w:ascii="Times New Roman" w:hAnsi="Times New Roman"/>
          <w:color w:val="000000" w:themeColor="text1"/>
        </w:rPr>
        <w:t>8.4平面布置合理性分析</w:t>
      </w:r>
      <w:bookmarkEnd w:id="483"/>
      <w:bookmarkEnd w:id="486"/>
      <w:bookmarkEnd w:id="487"/>
    </w:p>
    <w:p>
      <w:pPr>
        <w:adjustRightInd w:val="0"/>
        <w:snapToGrid w:val="0"/>
        <w:ind w:firstLine="480" w:firstLineChars="200"/>
        <w:rPr>
          <w:color w:val="000000" w:themeColor="text1"/>
          <w:sz w:val="24"/>
        </w:rPr>
      </w:pPr>
      <w:r>
        <w:rPr>
          <w:color w:val="000000" w:themeColor="text1"/>
          <w:sz w:val="24"/>
        </w:rPr>
        <w:t>本项目厂区布局符合性分析如下：</w:t>
      </w:r>
    </w:p>
    <w:p>
      <w:pPr>
        <w:ind w:firstLine="422" w:firstLineChars="200"/>
        <w:jc w:val="center"/>
        <w:rPr>
          <w:rFonts w:eastAsia="黑体"/>
          <w:b/>
          <w:bCs/>
          <w:color w:val="000000" w:themeColor="text1"/>
          <w:szCs w:val="21"/>
        </w:rPr>
      </w:pPr>
      <w:r>
        <w:rPr>
          <w:rFonts w:eastAsia="黑体"/>
          <w:b/>
          <w:bCs/>
          <w:color w:val="000000" w:themeColor="text1"/>
          <w:szCs w:val="21"/>
        </w:rPr>
        <w:t xml:space="preserve">表8.4-1  </w:t>
      </w:r>
      <w:r>
        <w:rPr>
          <w:rFonts w:hint="eastAsia" w:eastAsia="黑体"/>
          <w:b/>
          <w:bCs/>
          <w:color w:val="000000" w:themeColor="text1"/>
          <w:szCs w:val="21"/>
        </w:rPr>
        <w:t>平面布局合理性</w:t>
      </w:r>
      <w:r>
        <w:rPr>
          <w:rFonts w:eastAsia="黑体"/>
          <w:b/>
          <w:bCs/>
          <w:color w:val="000000" w:themeColor="text1"/>
          <w:szCs w:val="21"/>
        </w:rPr>
        <w:t>分析</w:t>
      </w:r>
    </w:p>
    <w:tbl>
      <w:tblPr>
        <w:tblStyle w:val="4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851"/>
        <w:gridCol w:w="335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gridSpan w:val="2"/>
            <w:vAlign w:val="center"/>
          </w:tcPr>
          <w:p>
            <w:pPr>
              <w:spacing w:line="240" w:lineRule="auto"/>
              <w:jc w:val="center"/>
              <w:rPr>
                <w:b/>
                <w:color w:val="000000" w:themeColor="text1"/>
                <w:szCs w:val="21"/>
              </w:rPr>
            </w:pPr>
            <w:r>
              <w:rPr>
                <w:b/>
                <w:color w:val="000000" w:themeColor="text1"/>
                <w:szCs w:val="21"/>
              </w:rPr>
              <w:t>《畜禽养殖业污染防治技术规范》</w:t>
            </w:r>
            <w:r>
              <w:rPr>
                <w:b/>
                <w:color w:val="000000" w:themeColor="text1"/>
                <w:sz w:val="24"/>
              </w:rPr>
              <w:t>（HJ/T81-2001）</w:t>
            </w:r>
            <w:r>
              <w:rPr>
                <w:b/>
                <w:color w:val="000000" w:themeColor="text1"/>
                <w:szCs w:val="21"/>
              </w:rPr>
              <w:t>内容</w:t>
            </w:r>
          </w:p>
        </w:tc>
        <w:tc>
          <w:tcPr>
            <w:tcW w:w="3350" w:type="dxa"/>
            <w:vAlign w:val="center"/>
          </w:tcPr>
          <w:p>
            <w:pPr>
              <w:spacing w:line="240" w:lineRule="auto"/>
              <w:jc w:val="center"/>
              <w:rPr>
                <w:b/>
                <w:color w:val="000000" w:themeColor="text1"/>
                <w:szCs w:val="21"/>
              </w:rPr>
            </w:pPr>
            <w:r>
              <w:rPr>
                <w:b/>
                <w:color w:val="000000" w:themeColor="text1"/>
                <w:szCs w:val="21"/>
              </w:rPr>
              <w:t>本项目</w:t>
            </w:r>
          </w:p>
        </w:tc>
        <w:tc>
          <w:tcPr>
            <w:tcW w:w="665" w:type="dxa"/>
            <w:vAlign w:val="center"/>
          </w:tcPr>
          <w:p>
            <w:pPr>
              <w:spacing w:line="240" w:lineRule="auto"/>
              <w:jc w:val="center"/>
              <w:rPr>
                <w:b/>
                <w:color w:val="000000" w:themeColor="text1"/>
                <w:szCs w:val="21"/>
              </w:rPr>
            </w:pPr>
            <w:r>
              <w:rPr>
                <w:b/>
                <w:color w:val="000000" w:themeColor="text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restart"/>
            <w:vAlign w:val="center"/>
          </w:tcPr>
          <w:p>
            <w:pPr>
              <w:spacing w:line="240" w:lineRule="auto"/>
              <w:jc w:val="center"/>
              <w:rPr>
                <w:color w:val="000000" w:themeColor="text1"/>
                <w:szCs w:val="21"/>
              </w:rPr>
            </w:pPr>
            <w:r>
              <w:rPr>
                <w:color w:val="000000" w:themeColor="text1"/>
                <w:szCs w:val="21"/>
              </w:rPr>
              <w:t>厂区布局要求</w:t>
            </w:r>
          </w:p>
        </w:tc>
        <w:tc>
          <w:tcPr>
            <w:tcW w:w="3851" w:type="dxa"/>
            <w:vAlign w:val="center"/>
          </w:tcPr>
          <w:p>
            <w:pPr>
              <w:spacing w:line="240" w:lineRule="auto"/>
              <w:jc w:val="center"/>
              <w:rPr>
                <w:color w:val="000000" w:themeColor="text1"/>
                <w:szCs w:val="21"/>
              </w:rPr>
            </w:pPr>
            <w:r>
              <w:rPr>
                <w:color w:val="000000" w:themeColor="text1"/>
                <w:szCs w:val="21"/>
              </w:rPr>
              <w:t>4.1畜禽养殖业污染治理工程应与养殖场生产区、居民区等建筑保持一定的卫生防护距离，设置在畜禽养殖场的生产区、生活区的主导风向下风向或侧风向处</w:t>
            </w:r>
          </w:p>
        </w:tc>
        <w:tc>
          <w:tcPr>
            <w:tcW w:w="3350" w:type="dxa"/>
            <w:vAlign w:val="center"/>
          </w:tcPr>
          <w:p>
            <w:pPr>
              <w:spacing w:line="240" w:lineRule="auto"/>
              <w:ind w:firstLine="420" w:firstLineChars="200"/>
              <w:rPr>
                <w:color w:val="000000" w:themeColor="text1"/>
                <w:szCs w:val="21"/>
              </w:rPr>
            </w:pPr>
            <w:r>
              <w:rPr>
                <w:color w:val="000000" w:themeColor="text1"/>
                <w:szCs w:val="21"/>
              </w:rPr>
              <w:t>项目</w:t>
            </w:r>
            <w:r>
              <w:rPr>
                <w:rFonts w:hint="eastAsia"/>
                <w:color w:val="000000" w:themeColor="text1"/>
                <w:szCs w:val="21"/>
              </w:rPr>
              <w:t>沼气工程、异位</w:t>
            </w:r>
            <w:r>
              <w:rPr>
                <w:color w:val="000000" w:themeColor="text1"/>
                <w:szCs w:val="21"/>
              </w:rPr>
              <w:t>发酵间均位于生产区和生活区的常年主导风向的下风向处，与生产区和生活区间隔</w:t>
            </w:r>
            <w:r>
              <w:rPr>
                <w:rFonts w:hint="eastAsia"/>
                <w:color w:val="000000" w:themeColor="text1"/>
                <w:szCs w:val="21"/>
              </w:rPr>
              <w:t>90</w:t>
            </w:r>
            <w:r>
              <w:rPr>
                <w:color w:val="000000" w:themeColor="text1"/>
                <w:szCs w:val="21"/>
              </w:rPr>
              <w:t>m。</w:t>
            </w:r>
          </w:p>
          <w:p>
            <w:pPr>
              <w:spacing w:line="240" w:lineRule="auto"/>
              <w:ind w:firstLine="420" w:firstLineChars="200"/>
              <w:jc w:val="center"/>
              <w:rPr>
                <w:color w:val="000000" w:themeColor="text1"/>
                <w:szCs w:val="21"/>
              </w:rPr>
            </w:pPr>
            <w:r>
              <w:rPr>
                <w:color w:val="000000" w:themeColor="text1"/>
                <w:szCs w:val="21"/>
              </w:rPr>
              <w:t>项目设置500m的卫生防护距离，卫生防护距离内无居民点</w:t>
            </w:r>
          </w:p>
        </w:tc>
        <w:tc>
          <w:tcPr>
            <w:tcW w:w="665" w:type="dxa"/>
            <w:vAlign w:val="center"/>
          </w:tcPr>
          <w:p>
            <w:pPr>
              <w:spacing w:line="240" w:lineRule="auto"/>
              <w:jc w:val="center"/>
              <w:rPr>
                <w:color w:val="000000" w:themeColor="text1"/>
                <w:szCs w:val="21"/>
              </w:rPr>
            </w:pPr>
            <w:r>
              <w:rPr>
                <w:color w:val="000000" w:themeColor="text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pPr>
              <w:spacing w:line="240" w:lineRule="auto"/>
              <w:jc w:val="center"/>
              <w:rPr>
                <w:color w:val="000000" w:themeColor="text1"/>
                <w:szCs w:val="21"/>
              </w:rPr>
            </w:pPr>
          </w:p>
        </w:tc>
        <w:tc>
          <w:tcPr>
            <w:tcW w:w="3851" w:type="dxa"/>
            <w:vAlign w:val="center"/>
          </w:tcPr>
          <w:p>
            <w:pPr>
              <w:spacing w:line="240" w:lineRule="auto"/>
              <w:jc w:val="center"/>
              <w:rPr>
                <w:color w:val="000000" w:themeColor="text1"/>
                <w:szCs w:val="21"/>
              </w:rPr>
            </w:pPr>
            <w:r>
              <w:rPr>
                <w:color w:val="000000" w:themeColor="text1"/>
                <w:szCs w:val="21"/>
              </w:rPr>
              <w:t>4.2养殖场的排水系统应实现雨水和污水收集输送系统分离，在厂区内外设置的污水收集输送系统，不得采取明沟布设。</w:t>
            </w:r>
          </w:p>
        </w:tc>
        <w:tc>
          <w:tcPr>
            <w:tcW w:w="3350" w:type="dxa"/>
            <w:vAlign w:val="center"/>
          </w:tcPr>
          <w:p>
            <w:pPr>
              <w:spacing w:line="240" w:lineRule="auto"/>
              <w:jc w:val="center"/>
              <w:rPr>
                <w:color w:val="000000" w:themeColor="text1"/>
                <w:szCs w:val="21"/>
              </w:rPr>
            </w:pPr>
            <w:r>
              <w:rPr>
                <w:color w:val="000000" w:themeColor="text1"/>
                <w:szCs w:val="21"/>
              </w:rPr>
              <w:t>养殖场排水采用雨、污分流的形式，在圈舍外设置污水收集输送暗管。</w:t>
            </w:r>
          </w:p>
        </w:tc>
        <w:tc>
          <w:tcPr>
            <w:tcW w:w="665" w:type="dxa"/>
            <w:vAlign w:val="center"/>
          </w:tcPr>
          <w:p>
            <w:pPr>
              <w:spacing w:line="240" w:lineRule="auto"/>
              <w:jc w:val="center"/>
              <w:rPr>
                <w:color w:val="000000" w:themeColor="text1"/>
                <w:szCs w:val="21"/>
              </w:rPr>
            </w:pPr>
            <w:r>
              <w:rPr>
                <w:color w:val="000000" w:themeColor="text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spacing w:line="240" w:lineRule="auto"/>
              <w:jc w:val="center"/>
              <w:rPr>
                <w:color w:val="000000" w:themeColor="text1"/>
                <w:szCs w:val="21"/>
              </w:rPr>
            </w:pPr>
            <w:r>
              <w:rPr>
                <w:color w:val="000000" w:themeColor="text1"/>
                <w:szCs w:val="21"/>
              </w:rPr>
              <w:t>畜禽粪便的贮存</w:t>
            </w:r>
          </w:p>
        </w:tc>
        <w:tc>
          <w:tcPr>
            <w:tcW w:w="3851" w:type="dxa"/>
            <w:vAlign w:val="center"/>
          </w:tcPr>
          <w:p>
            <w:pPr>
              <w:spacing w:line="240" w:lineRule="auto"/>
              <w:jc w:val="center"/>
              <w:rPr>
                <w:color w:val="000000" w:themeColor="text1"/>
                <w:szCs w:val="21"/>
              </w:rPr>
            </w:pPr>
            <w:r>
              <w:rPr>
                <w:color w:val="000000" w:themeColor="text1"/>
                <w:szCs w:val="21"/>
              </w:rPr>
              <w:t>贮存设施的位置必须远离各类功能地表水体（距离不得小于400m）。</w:t>
            </w:r>
          </w:p>
        </w:tc>
        <w:tc>
          <w:tcPr>
            <w:tcW w:w="3350" w:type="dxa"/>
            <w:vAlign w:val="center"/>
          </w:tcPr>
          <w:p>
            <w:pPr>
              <w:spacing w:line="240" w:lineRule="auto"/>
              <w:jc w:val="center"/>
              <w:rPr>
                <w:color w:val="000000" w:themeColor="text1"/>
                <w:szCs w:val="21"/>
              </w:rPr>
            </w:pPr>
            <w:r>
              <w:rPr>
                <w:color w:val="000000" w:themeColor="text1"/>
                <w:szCs w:val="21"/>
              </w:rPr>
              <w:t>项目</w:t>
            </w:r>
            <w:r>
              <w:rPr>
                <w:rFonts w:hint="eastAsia"/>
                <w:color w:val="000000" w:themeColor="text1"/>
                <w:szCs w:val="21"/>
              </w:rPr>
              <w:t>异位</w:t>
            </w:r>
            <w:r>
              <w:rPr>
                <w:color w:val="000000" w:themeColor="text1"/>
                <w:szCs w:val="21"/>
              </w:rPr>
              <w:t>发酵间</w:t>
            </w:r>
            <w:r>
              <w:rPr>
                <w:rFonts w:hint="eastAsia"/>
                <w:color w:val="000000" w:themeColor="text1"/>
                <w:szCs w:val="21"/>
              </w:rPr>
              <w:t>、沼液储存池</w:t>
            </w:r>
            <w:r>
              <w:rPr>
                <w:color w:val="000000" w:themeColor="text1"/>
                <w:szCs w:val="21"/>
              </w:rPr>
              <w:t>远离地表水体，距离</w:t>
            </w:r>
            <w:r>
              <w:rPr>
                <w:rFonts w:hint="eastAsia"/>
                <w:color w:val="000000" w:themeColor="text1"/>
                <w:szCs w:val="21"/>
              </w:rPr>
              <w:t>康之康河支流480</w:t>
            </w:r>
            <w:r>
              <w:rPr>
                <w:color w:val="000000" w:themeColor="text1"/>
                <w:szCs w:val="21"/>
              </w:rPr>
              <w:t>m。</w:t>
            </w:r>
          </w:p>
        </w:tc>
        <w:tc>
          <w:tcPr>
            <w:tcW w:w="665" w:type="dxa"/>
            <w:vAlign w:val="center"/>
          </w:tcPr>
          <w:p>
            <w:pPr>
              <w:spacing w:line="240" w:lineRule="auto"/>
              <w:jc w:val="center"/>
              <w:rPr>
                <w:color w:val="000000" w:themeColor="text1"/>
                <w:szCs w:val="21"/>
              </w:rPr>
            </w:pPr>
            <w:r>
              <w:rPr>
                <w:color w:val="000000" w:themeColor="text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3" w:type="dxa"/>
            <w:gridSpan w:val="2"/>
            <w:vAlign w:val="center"/>
          </w:tcPr>
          <w:p>
            <w:pPr>
              <w:spacing w:line="240" w:lineRule="auto"/>
              <w:jc w:val="center"/>
              <w:rPr>
                <w:color w:val="000000" w:themeColor="text1"/>
                <w:szCs w:val="21"/>
              </w:rPr>
            </w:pPr>
            <w:r>
              <w:rPr>
                <w:b/>
                <w:color w:val="000000" w:themeColor="text1"/>
                <w:szCs w:val="21"/>
              </w:rPr>
              <w:t>《</w:t>
            </w:r>
            <w:r>
              <w:rPr>
                <w:rFonts w:hint="eastAsia"/>
                <w:b/>
                <w:color w:val="000000" w:themeColor="text1"/>
                <w:szCs w:val="21"/>
              </w:rPr>
              <w:t>病害动物和病害动物产品生物安全处理规程</w:t>
            </w:r>
            <w:r>
              <w:rPr>
                <w:b/>
                <w:color w:val="000000" w:themeColor="text1"/>
                <w:szCs w:val="21"/>
              </w:rPr>
              <w:t>》</w:t>
            </w:r>
            <w:r>
              <w:rPr>
                <w:rFonts w:hint="eastAsia"/>
                <w:b/>
                <w:color w:val="000000" w:themeColor="text1"/>
                <w:szCs w:val="21"/>
              </w:rPr>
              <w:t>（</w:t>
            </w:r>
            <w:r>
              <w:rPr>
                <w:b/>
                <w:color w:val="000000" w:themeColor="text1"/>
                <w:szCs w:val="21"/>
              </w:rPr>
              <w:t>GB16548-2006</w:t>
            </w:r>
            <w:r>
              <w:rPr>
                <w:rFonts w:hint="eastAsia"/>
                <w:b/>
                <w:color w:val="000000" w:themeColor="text1"/>
                <w:szCs w:val="21"/>
              </w:rPr>
              <w:t>）</w:t>
            </w:r>
            <w:r>
              <w:rPr>
                <w:b/>
                <w:color w:val="000000" w:themeColor="text1"/>
                <w:szCs w:val="21"/>
              </w:rPr>
              <w:t>内容</w:t>
            </w:r>
          </w:p>
        </w:tc>
        <w:tc>
          <w:tcPr>
            <w:tcW w:w="3350" w:type="dxa"/>
            <w:vAlign w:val="center"/>
          </w:tcPr>
          <w:p>
            <w:pPr>
              <w:spacing w:line="240" w:lineRule="auto"/>
              <w:jc w:val="center"/>
              <w:rPr>
                <w:color w:val="000000" w:themeColor="text1"/>
                <w:szCs w:val="21"/>
              </w:rPr>
            </w:pPr>
            <w:r>
              <w:rPr>
                <w:b/>
                <w:color w:val="000000" w:themeColor="text1"/>
                <w:szCs w:val="21"/>
              </w:rPr>
              <w:t>本项目</w:t>
            </w:r>
          </w:p>
        </w:tc>
        <w:tc>
          <w:tcPr>
            <w:tcW w:w="665" w:type="dxa"/>
            <w:vAlign w:val="center"/>
          </w:tcPr>
          <w:p>
            <w:pPr>
              <w:spacing w:line="240" w:lineRule="auto"/>
              <w:jc w:val="center"/>
              <w:rPr>
                <w:color w:val="000000" w:themeColor="text1"/>
                <w:szCs w:val="21"/>
              </w:rPr>
            </w:pPr>
            <w:r>
              <w:rPr>
                <w:b/>
                <w:color w:val="000000" w:themeColor="text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spacing w:line="240" w:lineRule="auto"/>
              <w:jc w:val="center"/>
              <w:rPr>
                <w:color w:val="000000" w:themeColor="text1"/>
                <w:szCs w:val="21"/>
              </w:rPr>
            </w:pPr>
            <w:r>
              <w:rPr>
                <w:rFonts w:hint="eastAsia"/>
                <w:color w:val="000000" w:themeColor="text1"/>
                <w:szCs w:val="21"/>
              </w:rPr>
              <w:t>掩埋</w:t>
            </w:r>
          </w:p>
        </w:tc>
        <w:tc>
          <w:tcPr>
            <w:tcW w:w="3851" w:type="dxa"/>
            <w:vAlign w:val="center"/>
          </w:tcPr>
          <w:p>
            <w:pPr>
              <w:spacing w:line="240" w:lineRule="auto"/>
              <w:jc w:val="center"/>
              <w:rPr>
                <w:color w:val="000000" w:themeColor="text1"/>
                <w:szCs w:val="21"/>
              </w:rPr>
            </w:pPr>
            <w:r>
              <w:rPr>
                <w:rFonts w:hint="eastAsia"/>
                <w:color w:val="000000" w:themeColor="text1"/>
                <w:szCs w:val="21"/>
              </w:rPr>
              <w:t>掩埋地应远离学校、公共场所、居民住宅区、村庄、动物饲养和屠宰场所、饮用水源地、河流等地区。</w:t>
            </w:r>
          </w:p>
        </w:tc>
        <w:tc>
          <w:tcPr>
            <w:tcW w:w="3350" w:type="dxa"/>
            <w:vAlign w:val="center"/>
          </w:tcPr>
          <w:p>
            <w:pPr>
              <w:spacing w:line="240" w:lineRule="auto"/>
              <w:jc w:val="center"/>
              <w:rPr>
                <w:color w:val="000000" w:themeColor="text1"/>
                <w:szCs w:val="21"/>
              </w:rPr>
            </w:pPr>
            <w:r>
              <w:rPr>
                <w:rFonts w:hint="eastAsia"/>
                <w:color w:val="000000" w:themeColor="text1"/>
                <w:szCs w:val="21"/>
              </w:rPr>
              <w:t>项目填埋井位于项目用地中部，距猪舍最近距离为50m，距离村庄最近距离700m，距离康之康河支流600</w:t>
            </w:r>
            <w:r>
              <w:rPr>
                <w:color w:val="000000" w:themeColor="text1"/>
                <w:szCs w:val="21"/>
              </w:rPr>
              <w:t>m</w:t>
            </w:r>
            <w:r>
              <w:rPr>
                <w:rFonts w:hint="eastAsia"/>
                <w:color w:val="000000" w:themeColor="text1"/>
                <w:szCs w:val="21"/>
              </w:rPr>
              <w:t>，且填埋井不涉及饮用水源地</w:t>
            </w:r>
          </w:p>
        </w:tc>
        <w:tc>
          <w:tcPr>
            <w:tcW w:w="665" w:type="dxa"/>
            <w:vAlign w:val="center"/>
          </w:tcPr>
          <w:p>
            <w:pPr>
              <w:spacing w:line="240" w:lineRule="auto"/>
              <w:jc w:val="center"/>
              <w:rPr>
                <w:color w:val="000000" w:themeColor="text1"/>
                <w:szCs w:val="21"/>
              </w:rPr>
            </w:pPr>
            <w:r>
              <w:rPr>
                <w:color w:val="000000" w:themeColor="text1"/>
                <w:szCs w:val="21"/>
              </w:rPr>
              <w:t>相符</w:t>
            </w:r>
          </w:p>
        </w:tc>
      </w:tr>
    </w:tbl>
    <w:p>
      <w:pPr>
        <w:adjustRightInd w:val="0"/>
        <w:snapToGrid w:val="0"/>
        <w:ind w:firstLine="480" w:firstLineChars="200"/>
        <w:rPr>
          <w:color w:val="000000" w:themeColor="text1"/>
          <w:sz w:val="24"/>
        </w:rPr>
      </w:pPr>
      <w:r>
        <w:rPr>
          <w:color w:val="000000" w:themeColor="text1"/>
          <w:sz w:val="24"/>
        </w:rPr>
        <w:t>根据表8.4-1，项目布局符合《畜禽养殖业污染防治技术规范》（HJ/T81-2001）</w:t>
      </w:r>
      <w:r>
        <w:rPr>
          <w:rFonts w:hint="eastAsia"/>
          <w:color w:val="000000" w:themeColor="text1"/>
          <w:sz w:val="24"/>
        </w:rPr>
        <w:t>及《病害动物和病害动物产品生物安全处理规程》（GB16548-2006）</w:t>
      </w:r>
      <w:r>
        <w:rPr>
          <w:color w:val="000000" w:themeColor="text1"/>
          <w:sz w:val="24"/>
        </w:rPr>
        <w:t>要求，总平面布局合理。</w:t>
      </w:r>
    </w:p>
    <w:p>
      <w:pPr>
        <w:pStyle w:val="132"/>
        <w:ind w:firstLine="199" w:firstLineChars="83"/>
        <w:rPr>
          <w:rFonts w:ascii="Times New Roman" w:hAnsi="Times New Roman" w:cs="Times New Roman"/>
          <w:color w:val="000000" w:themeColor="text1"/>
        </w:rPr>
        <w:sectPr>
          <w:pgSz w:w="11906" w:h="16838"/>
          <w:pgMar w:top="1440" w:right="1797" w:bottom="1440" w:left="1797" w:header="851" w:footer="992" w:gutter="0"/>
          <w:cols w:space="720" w:num="1"/>
          <w:docGrid w:linePitch="312" w:charSpace="0"/>
        </w:sectPr>
      </w:pPr>
    </w:p>
    <w:p>
      <w:pPr>
        <w:pStyle w:val="2"/>
        <w:rPr>
          <w:rFonts w:hAnsi="Times New Roman"/>
          <w:color w:val="000000" w:themeColor="text1"/>
        </w:rPr>
      </w:pPr>
      <w:bookmarkStart w:id="488" w:name="_Toc4076511"/>
      <w:bookmarkStart w:id="489" w:name="_Toc402186417"/>
      <w:bookmarkStart w:id="490" w:name="_Toc510547376"/>
      <w:bookmarkStart w:id="491" w:name="_Toc202295969"/>
      <w:bookmarkStart w:id="492" w:name="_Toc269776763"/>
      <w:bookmarkStart w:id="493" w:name="_Toc181977707"/>
      <w:bookmarkStart w:id="494" w:name="_Toc202295471"/>
      <w:bookmarkStart w:id="495" w:name="_Toc181977159"/>
      <w:bookmarkStart w:id="496" w:name="_Toc271228907"/>
      <w:bookmarkStart w:id="497" w:name="_Toc181977981"/>
      <w:bookmarkStart w:id="498" w:name="_Toc137444127"/>
      <w:bookmarkStart w:id="499" w:name="_Toc168928016"/>
      <w:bookmarkStart w:id="500" w:name="_Toc191562546"/>
      <w:r>
        <w:rPr>
          <w:rFonts w:hAnsi="Times New Roman"/>
          <w:color w:val="000000" w:themeColor="text1"/>
        </w:rPr>
        <w:t>9环境经济损益分析</w:t>
      </w:r>
      <w:bookmarkEnd w:id="488"/>
      <w:bookmarkEnd w:id="489"/>
      <w:bookmarkEnd w:id="490"/>
    </w:p>
    <w:p>
      <w:pPr>
        <w:adjustRightInd w:val="0"/>
        <w:snapToGrid w:val="0"/>
        <w:ind w:firstLine="480" w:firstLineChars="200"/>
        <w:rPr>
          <w:color w:val="000000" w:themeColor="text1"/>
          <w:sz w:val="24"/>
        </w:rPr>
      </w:pPr>
      <w:r>
        <w:rPr>
          <w:color w:val="000000" w:themeColor="text1"/>
          <w:sz w:val="24"/>
        </w:rPr>
        <w:t>项目的实施对环境的污染和破坏会产生一定的经济损失，造成外部不经济性，项目为防止或减轻对环境的影响和经济损失，将支出一定的环保费用用于污染源治理，同时环保费用的投入使项目对环境的影响减轻而带来一定的环境效益，而环保投资本身也能产生一定的经济效益。</w:t>
      </w:r>
    </w:p>
    <w:p>
      <w:pPr>
        <w:pStyle w:val="3"/>
        <w:spacing w:before="0" w:after="0"/>
        <w:rPr>
          <w:rFonts w:ascii="Times New Roman" w:hAnsi="Times New Roman"/>
          <w:color w:val="000000" w:themeColor="text1"/>
        </w:rPr>
      </w:pPr>
      <w:bookmarkStart w:id="501" w:name="_Toc177630965"/>
      <w:bookmarkStart w:id="502" w:name="_Toc510547377"/>
      <w:bookmarkStart w:id="503" w:name="_Toc177630417"/>
      <w:bookmarkStart w:id="504" w:name="_Toc177630230"/>
      <w:bookmarkStart w:id="505" w:name="_Toc163314240"/>
      <w:bookmarkStart w:id="506" w:name="_Toc181623390"/>
      <w:bookmarkStart w:id="507" w:name="_Toc180375675"/>
      <w:bookmarkStart w:id="508" w:name="_Toc180549432"/>
      <w:bookmarkStart w:id="509" w:name="_Toc402186418"/>
      <w:bookmarkStart w:id="510" w:name="_Toc182157590"/>
      <w:bookmarkStart w:id="511" w:name="_Toc4076512"/>
      <w:r>
        <w:rPr>
          <w:rFonts w:ascii="Times New Roman" w:hAnsi="Times New Roman"/>
          <w:color w:val="000000" w:themeColor="text1"/>
        </w:rPr>
        <w:t>9.1项目的环境保护投资</w:t>
      </w:r>
      <w:bookmarkEnd w:id="501"/>
      <w:bookmarkEnd w:id="502"/>
      <w:bookmarkEnd w:id="503"/>
      <w:bookmarkEnd w:id="504"/>
      <w:bookmarkEnd w:id="505"/>
      <w:bookmarkEnd w:id="506"/>
      <w:bookmarkEnd w:id="507"/>
      <w:bookmarkEnd w:id="508"/>
      <w:bookmarkEnd w:id="509"/>
      <w:bookmarkEnd w:id="510"/>
      <w:bookmarkEnd w:id="511"/>
    </w:p>
    <w:p>
      <w:pPr>
        <w:pStyle w:val="65"/>
        <w:adjustRightInd w:val="0"/>
        <w:snapToGrid w:val="0"/>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本项目总投资为</w:t>
      </w:r>
      <w:r>
        <w:rPr>
          <w:rFonts w:hint="eastAsia" w:ascii="Times New Roman" w:hAnsi="Times New Roman" w:cs="Times New Roman"/>
          <w:color w:val="000000" w:themeColor="text1"/>
          <w:sz w:val="24"/>
        </w:rPr>
        <w:t>5000</w:t>
      </w:r>
      <w:r>
        <w:rPr>
          <w:rFonts w:ascii="Times New Roman" w:hAnsi="Times New Roman" w:cs="Times New Roman"/>
          <w:color w:val="000000" w:themeColor="text1"/>
          <w:sz w:val="24"/>
        </w:rPr>
        <w:t>元，其中环保投资估算为</w:t>
      </w:r>
      <w:r>
        <w:rPr>
          <w:rFonts w:hint="eastAsia" w:ascii="Times New Roman" w:hAnsi="Times New Roman" w:cs="Times New Roman"/>
          <w:color w:val="000000" w:themeColor="text1"/>
          <w:sz w:val="24"/>
        </w:rPr>
        <w:t>984.1</w:t>
      </w:r>
      <w:r>
        <w:rPr>
          <w:rFonts w:ascii="Times New Roman" w:hAnsi="Times New Roman" w:cs="Times New Roman"/>
          <w:color w:val="000000" w:themeColor="text1"/>
          <w:sz w:val="24"/>
        </w:rPr>
        <w:t>万元（环保投资已列入工程总投资预备费中，不新增总投资），环保投资占总投资的</w:t>
      </w:r>
      <w:r>
        <w:rPr>
          <w:rFonts w:hint="eastAsia" w:ascii="Times New Roman" w:hAnsi="Times New Roman" w:cs="Times New Roman"/>
          <w:color w:val="000000" w:themeColor="text1"/>
          <w:sz w:val="24"/>
        </w:rPr>
        <w:t>19.68</w:t>
      </w:r>
      <w:r>
        <w:rPr>
          <w:rFonts w:ascii="Times New Roman" w:hAnsi="Times New Roman" w:cs="Times New Roman"/>
          <w:color w:val="000000" w:themeColor="text1"/>
          <w:sz w:val="24"/>
        </w:rPr>
        <w:t>%。环保费用的投入使本项目能采取措施减轻对环境的影响，并带来一定的环境效益。</w:t>
      </w:r>
    </w:p>
    <w:p>
      <w:pPr>
        <w:adjustRightInd w:val="0"/>
        <w:snapToGrid w:val="0"/>
        <w:spacing w:line="240" w:lineRule="auto"/>
        <w:jc w:val="center"/>
        <w:rPr>
          <w:b/>
          <w:color w:val="000000" w:themeColor="text1"/>
          <w:szCs w:val="21"/>
        </w:rPr>
      </w:pPr>
      <w:r>
        <w:rPr>
          <w:b/>
          <w:color w:val="000000" w:themeColor="text1"/>
          <w:szCs w:val="21"/>
        </w:rPr>
        <w:t>表9.1-1   项目环保投资估算表单位：万元</w:t>
      </w:r>
    </w:p>
    <w:tbl>
      <w:tblPr>
        <w:tblStyle w:val="42"/>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2"/>
        <w:gridCol w:w="788"/>
        <w:gridCol w:w="2010"/>
        <w:gridCol w:w="1426"/>
        <w:gridCol w:w="1570"/>
        <w:gridCol w:w="999"/>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72" w:type="dxa"/>
            <w:vAlign w:val="center"/>
          </w:tcPr>
          <w:p>
            <w:pPr>
              <w:adjustRightInd w:val="0"/>
              <w:snapToGrid w:val="0"/>
              <w:spacing w:line="240" w:lineRule="auto"/>
              <w:jc w:val="center"/>
              <w:rPr>
                <w:b/>
                <w:color w:val="000000" w:themeColor="text1"/>
                <w:kern w:val="0"/>
              </w:rPr>
            </w:pPr>
            <w:r>
              <w:rPr>
                <w:b/>
                <w:color w:val="000000" w:themeColor="text1"/>
                <w:kern w:val="0"/>
              </w:rPr>
              <w:t>时段</w:t>
            </w:r>
          </w:p>
        </w:tc>
        <w:tc>
          <w:tcPr>
            <w:tcW w:w="788" w:type="dxa"/>
            <w:vAlign w:val="center"/>
          </w:tcPr>
          <w:p>
            <w:pPr>
              <w:adjustRightInd w:val="0"/>
              <w:snapToGrid w:val="0"/>
              <w:spacing w:line="240" w:lineRule="auto"/>
              <w:jc w:val="center"/>
              <w:rPr>
                <w:b/>
                <w:color w:val="000000" w:themeColor="text1"/>
                <w:kern w:val="0"/>
              </w:rPr>
            </w:pPr>
            <w:r>
              <w:rPr>
                <w:b/>
                <w:color w:val="000000" w:themeColor="text1"/>
                <w:kern w:val="0"/>
              </w:rPr>
              <w:t>环境</w:t>
            </w:r>
          </w:p>
          <w:p>
            <w:pPr>
              <w:adjustRightInd w:val="0"/>
              <w:snapToGrid w:val="0"/>
              <w:spacing w:line="240" w:lineRule="auto"/>
              <w:jc w:val="center"/>
              <w:rPr>
                <w:b/>
                <w:color w:val="000000" w:themeColor="text1"/>
                <w:kern w:val="0"/>
              </w:rPr>
            </w:pPr>
            <w:r>
              <w:rPr>
                <w:b/>
                <w:color w:val="000000" w:themeColor="text1"/>
                <w:kern w:val="0"/>
              </w:rPr>
              <w:t>要素</w:t>
            </w:r>
          </w:p>
        </w:tc>
        <w:tc>
          <w:tcPr>
            <w:tcW w:w="2010" w:type="dxa"/>
            <w:vAlign w:val="center"/>
          </w:tcPr>
          <w:p>
            <w:pPr>
              <w:adjustRightInd w:val="0"/>
              <w:snapToGrid w:val="0"/>
              <w:spacing w:line="240" w:lineRule="auto"/>
              <w:jc w:val="center"/>
              <w:rPr>
                <w:b/>
                <w:color w:val="000000" w:themeColor="text1"/>
                <w:kern w:val="0"/>
              </w:rPr>
            </w:pPr>
            <w:r>
              <w:rPr>
                <w:b/>
                <w:color w:val="000000" w:themeColor="text1"/>
                <w:kern w:val="0"/>
              </w:rPr>
              <w:t>污染源</w:t>
            </w:r>
          </w:p>
        </w:tc>
        <w:tc>
          <w:tcPr>
            <w:tcW w:w="1426" w:type="dxa"/>
            <w:vAlign w:val="center"/>
          </w:tcPr>
          <w:p>
            <w:pPr>
              <w:adjustRightInd w:val="0"/>
              <w:snapToGrid w:val="0"/>
              <w:spacing w:line="240" w:lineRule="auto"/>
              <w:jc w:val="center"/>
              <w:rPr>
                <w:b/>
                <w:color w:val="000000" w:themeColor="text1"/>
                <w:kern w:val="0"/>
              </w:rPr>
            </w:pPr>
            <w:r>
              <w:rPr>
                <w:b/>
                <w:color w:val="000000" w:themeColor="text1"/>
                <w:kern w:val="0"/>
              </w:rPr>
              <w:t>治理方法</w:t>
            </w:r>
          </w:p>
        </w:tc>
        <w:tc>
          <w:tcPr>
            <w:tcW w:w="1570" w:type="dxa"/>
            <w:vAlign w:val="center"/>
          </w:tcPr>
          <w:p>
            <w:pPr>
              <w:adjustRightInd w:val="0"/>
              <w:snapToGrid w:val="0"/>
              <w:spacing w:line="240" w:lineRule="auto"/>
              <w:jc w:val="center"/>
              <w:rPr>
                <w:b/>
                <w:color w:val="000000" w:themeColor="text1"/>
                <w:kern w:val="0"/>
              </w:rPr>
            </w:pPr>
            <w:r>
              <w:rPr>
                <w:b/>
                <w:color w:val="000000" w:themeColor="text1"/>
                <w:kern w:val="0"/>
              </w:rPr>
              <w:t>主要污染物</w:t>
            </w:r>
          </w:p>
        </w:tc>
        <w:tc>
          <w:tcPr>
            <w:tcW w:w="999" w:type="dxa"/>
            <w:vAlign w:val="center"/>
          </w:tcPr>
          <w:p>
            <w:pPr>
              <w:adjustRightInd w:val="0"/>
              <w:snapToGrid w:val="0"/>
              <w:spacing w:line="240" w:lineRule="auto"/>
              <w:jc w:val="center"/>
              <w:rPr>
                <w:b/>
                <w:color w:val="000000" w:themeColor="text1"/>
                <w:kern w:val="0"/>
              </w:rPr>
            </w:pPr>
            <w:r>
              <w:rPr>
                <w:b/>
                <w:color w:val="000000" w:themeColor="text1"/>
                <w:kern w:val="0"/>
              </w:rPr>
              <w:t>投资额</w:t>
            </w:r>
          </w:p>
          <w:p>
            <w:pPr>
              <w:adjustRightInd w:val="0"/>
              <w:snapToGrid w:val="0"/>
              <w:spacing w:line="240" w:lineRule="auto"/>
              <w:jc w:val="center"/>
              <w:rPr>
                <w:b/>
                <w:color w:val="000000" w:themeColor="text1"/>
                <w:kern w:val="0"/>
              </w:rPr>
            </w:pPr>
            <w:r>
              <w:rPr>
                <w:b/>
                <w:color w:val="000000" w:themeColor="text1"/>
                <w:kern w:val="0"/>
              </w:rPr>
              <w:t xml:space="preserve">(万元) </w:t>
            </w:r>
          </w:p>
        </w:tc>
        <w:tc>
          <w:tcPr>
            <w:tcW w:w="1203" w:type="dxa"/>
            <w:vAlign w:val="center"/>
          </w:tcPr>
          <w:p>
            <w:pPr>
              <w:adjustRightInd w:val="0"/>
              <w:snapToGrid w:val="0"/>
              <w:spacing w:line="240" w:lineRule="auto"/>
              <w:jc w:val="center"/>
              <w:rPr>
                <w:b/>
                <w:color w:val="000000" w:themeColor="text1"/>
                <w:kern w:val="0"/>
              </w:rPr>
            </w:pPr>
            <w:r>
              <w:rPr>
                <w:b/>
                <w:color w:val="000000" w:themeColor="text1"/>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restart"/>
            <w:vAlign w:val="center"/>
          </w:tcPr>
          <w:p>
            <w:pPr>
              <w:adjustRightInd w:val="0"/>
              <w:snapToGrid w:val="0"/>
              <w:spacing w:line="240" w:lineRule="auto"/>
              <w:jc w:val="center"/>
              <w:rPr>
                <w:color w:val="000000" w:themeColor="text1"/>
                <w:kern w:val="0"/>
              </w:rPr>
            </w:pPr>
            <w:r>
              <w:rPr>
                <w:color w:val="000000" w:themeColor="text1"/>
                <w:kern w:val="0"/>
              </w:rPr>
              <w:t>运营期</w:t>
            </w:r>
          </w:p>
        </w:tc>
        <w:tc>
          <w:tcPr>
            <w:tcW w:w="788" w:type="dxa"/>
            <w:vMerge w:val="restart"/>
            <w:vAlign w:val="center"/>
          </w:tcPr>
          <w:p>
            <w:pPr>
              <w:adjustRightInd w:val="0"/>
              <w:snapToGrid w:val="0"/>
              <w:spacing w:line="240" w:lineRule="auto"/>
              <w:jc w:val="center"/>
              <w:rPr>
                <w:color w:val="000000" w:themeColor="text1"/>
                <w:kern w:val="0"/>
              </w:rPr>
            </w:pPr>
            <w:r>
              <w:rPr>
                <w:color w:val="000000" w:themeColor="text1"/>
                <w:kern w:val="0"/>
              </w:rPr>
              <w:t>大气污染物</w:t>
            </w:r>
          </w:p>
        </w:tc>
        <w:tc>
          <w:tcPr>
            <w:tcW w:w="2010" w:type="dxa"/>
            <w:vAlign w:val="center"/>
          </w:tcPr>
          <w:p>
            <w:pPr>
              <w:adjustRightInd w:val="0"/>
              <w:snapToGrid w:val="0"/>
              <w:spacing w:line="240" w:lineRule="auto"/>
              <w:jc w:val="center"/>
              <w:rPr>
                <w:color w:val="000000" w:themeColor="text1"/>
                <w:kern w:val="0"/>
              </w:rPr>
            </w:pPr>
            <w:r>
              <w:rPr>
                <w:color w:val="000000" w:themeColor="text1"/>
                <w:kern w:val="0"/>
              </w:rPr>
              <w:t>食堂</w:t>
            </w:r>
          </w:p>
        </w:tc>
        <w:tc>
          <w:tcPr>
            <w:tcW w:w="1426" w:type="dxa"/>
            <w:vAlign w:val="center"/>
          </w:tcPr>
          <w:p>
            <w:pPr>
              <w:adjustRightInd w:val="0"/>
              <w:snapToGrid w:val="0"/>
              <w:spacing w:line="240" w:lineRule="auto"/>
              <w:jc w:val="center"/>
              <w:rPr>
                <w:color w:val="000000" w:themeColor="text1"/>
                <w:kern w:val="0"/>
              </w:rPr>
            </w:pPr>
            <w:r>
              <w:rPr>
                <w:color w:val="000000" w:themeColor="text1"/>
                <w:kern w:val="0"/>
              </w:rPr>
              <w:t>油烟净化器+排烟管</w:t>
            </w:r>
          </w:p>
        </w:tc>
        <w:tc>
          <w:tcPr>
            <w:tcW w:w="1570" w:type="dxa"/>
            <w:vAlign w:val="center"/>
          </w:tcPr>
          <w:p>
            <w:pPr>
              <w:adjustRightInd w:val="0"/>
              <w:snapToGrid w:val="0"/>
              <w:spacing w:line="240" w:lineRule="auto"/>
              <w:jc w:val="center"/>
              <w:rPr>
                <w:color w:val="000000" w:themeColor="text1"/>
                <w:kern w:val="0"/>
              </w:rPr>
            </w:pPr>
            <w:r>
              <w:rPr>
                <w:color w:val="000000" w:themeColor="text1"/>
                <w:kern w:val="0"/>
              </w:rPr>
              <w:t>油烟</w:t>
            </w:r>
          </w:p>
        </w:tc>
        <w:tc>
          <w:tcPr>
            <w:tcW w:w="999" w:type="dxa"/>
            <w:vAlign w:val="center"/>
          </w:tcPr>
          <w:p>
            <w:pPr>
              <w:adjustRightInd w:val="0"/>
              <w:snapToGrid w:val="0"/>
              <w:spacing w:line="240" w:lineRule="auto"/>
              <w:jc w:val="center"/>
              <w:rPr>
                <w:color w:val="000000" w:themeColor="text1"/>
                <w:kern w:val="0"/>
              </w:rPr>
            </w:pPr>
            <w:r>
              <w:rPr>
                <w:color w:val="000000" w:themeColor="text1"/>
                <w:kern w:val="0"/>
              </w:rPr>
              <w:t>1</w:t>
            </w:r>
          </w:p>
        </w:tc>
        <w:tc>
          <w:tcPr>
            <w:tcW w:w="1203" w:type="dxa"/>
            <w:vAlign w:val="center"/>
          </w:tcPr>
          <w:p>
            <w:pPr>
              <w:adjustRightInd w:val="0"/>
              <w:snapToGrid w:val="0"/>
              <w:spacing w:line="240" w:lineRule="auto"/>
              <w:jc w:val="center"/>
              <w:rPr>
                <w:color w:val="000000" w:themeColor="text1"/>
                <w:kern w:val="0"/>
              </w:rPr>
            </w:pPr>
            <w:r>
              <w:rPr>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rFonts w:hint="eastAsia"/>
                <w:color w:val="000000" w:themeColor="text1"/>
                <w:kern w:val="0"/>
              </w:rPr>
              <w:t>污水</w:t>
            </w:r>
          </w:p>
        </w:tc>
        <w:tc>
          <w:tcPr>
            <w:tcW w:w="1426" w:type="dxa"/>
            <w:vAlign w:val="center"/>
          </w:tcPr>
          <w:p>
            <w:pPr>
              <w:adjustRightInd w:val="0"/>
              <w:snapToGrid w:val="0"/>
              <w:spacing w:line="240" w:lineRule="auto"/>
              <w:jc w:val="center"/>
              <w:rPr>
                <w:color w:val="000000" w:themeColor="text1"/>
                <w:kern w:val="0"/>
              </w:rPr>
            </w:pPr>
            <w:r>
              <w:rPr>
                <w:color w:val="000000" w:themeColor="text1"/>
                <w:kern w:val="0"/>
              </w:rPr>
              <w:t>沼气利用系统1套，包括脱硫塔、沼气储气柜</w:t>
            </w:r>
          </w:p>
        </w:tc>
        <w:tc>
          <w:tcPr>
            <w:tcW w:w="1570" w:type="dxa"/>
            <w:vAlign w:val="center"/>
          </w:tcPr>
          <w:p>
            <w:pPr>
              <w:adjustRightInd w:val="0"/>
              <w:snapToGrid w:val="0"/>
              <w:spacing w:line="240" w:lineRule="auto"/>
              <w:jc w:val="center"/>
              <w:rPr>
                <w:color w:val="000000" w:themeColor="text1"/>
                <w:kern w:val="0"/>
              </w:rPr>
            </w:pPr>
            <w:r>
              <w:rPr>
                <w:color w:val="000000" w:themeColor="text1"/>
                <w:kern w:val="0"/>
              </w:rPr>
              <w:t>沼气</w:t>
            </w:r>
          </w:p>
        </w:tc>
        <w:tc>
          <w:tcPr>
            <w:tcW w:w="999" w:type="dxa"/>
            <w:vAlign w:val="center"/>
          </w:tcPr>
          <w:p>
            <w:pPr>
              <w:adjustRightInd w:val="0"/>
              <w:snapToGrid w:val="0"/>
              <w:spacing w:line="240" w:lineRule="auto"/>
              <w:jc w:val="center"/>
              <w:rPr>
                <w:color w:val="000000" w:themeColor="text1"/>
                <w:kern w:val="0"/>
              </w:rPr>
            </w:pPr>
            <w:r>
              <w:rPr>
                <w:rFonts w:hint="eastAsia"/>
                <w:color w:val="000000" w:themeColor="text1"/>
                <w:kern w:val="0"/>
              </w:rPr>
              <w:t>60</w:t>
            </w:r>
          </w:p>
        </w:tc>
        <w:tc>
          <w:tcPr>
            <w:tcW w:w="1203" w:type="dxa"/>
            <w:vAlign w:val="center"/>
          </w:tcPr>
          <w:p>
            <w:pPr>
              <w:adjustRightInd w:val="0"/>
              <w:snapToGrid w:val="0"/>
              <w:spacing w:line="240" w:lineRule="auto"/>
              <w:jc w:val="center"/>
              <w:rPr>
                <w:color w:val="000000" w:themeColor="text1"/>
                <w:kern w:val="0"/>
              </w:rPr>
            </w:pPr>
            <w:r>
              <w:rPr>
                <w:color w:val="000000" w:themeColor="text1"/>
                <w:kern w:val="0"/>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color w:val="000000" w:themeColor="text1"/>
                <w:kern w:val="0"/>
              </w:rPr>
              <w:t>猪舍</w:t>
            </w:r>
            <w:r>
              <w:rPr>
                <w:rFonts w:hint="eastAsia"/>
                <w:color w:val="000000" w:themeColor="text1"/>
                <w:kern w:val="0"/>
              </w:rPr>
              <w:t>、异位发酵车间</w:t>
            </w:r>
          </w:p>
        </w:tc>
        <w:tc>
          <w:tcPr>
            <w:tcW w:w="1426" w:type="dxa"/>
            <w:vAlign w:val="center"/>
          </w:tcPr>
          <w:p>
            <w:pPr>
              <w:adjustRightInd w:val="0"/>
              <w:snapToGrid w:val="0"/>
              <w:spacing w:line="240" w:lineRule="auto"/>
              <w:jc w:val="center"/>
              <w:rPr>
                <w:color w:val="000000" w:themeColor="text1"/>
                <w:kern w:val="0"/>
              </w:rPr>
            </w:pPr>
            <w:r>
              <w:rPr>
                <w:rFonts w:hint="eastAsia"/>
                <w:color w:val="000000" w:themeColor="text1"/>
                <w:kern w:val="0"/>
              </w:rPr>
              <w:t>喷洒生物除臭剂</w:t>
            </w:r>
          </w:p>
        </w:tc>
        <w:tc>
          <w:tcPr>
            <w:tcW w:w="1570" w:type="dxa"/>
            <w:vAlign w:val="center"/>
          </w:tcPr>
          <w:p>
            <w:pPr>
              <w:adjustRightInd w:val="0"/>
              <w:snapToGrid w:val="0"/>
              <w:spacing w:line="240" w:lineRule="auto"/>
              <w:jc w:val="center"/>
              <w:rPr>
                <w:color w:val="000000" w:themeColor="text1"/>
                <w:kern w:val="0"/>
              </w:rPr>
            </w:pPr>
            <w:r>
              <w:rPr>
                <w:color w:val="000000" w:themeColor="text1"/>
                <w:kern w:val="0"/>
              </w:rPr>
              <w:t>臭气</w:t>
            </w:r>
          </w:p>
        </w:tc>
        <w:tc>
          <w:tcPr>
            <w:tcW w:w="999" w:type="dxa"/>
            <w:vAlign w:val="center"/>
          </w:tcPr>
          <w:p>
            <w:pPr>
              <w:adjustRightInd w:val="0"/>
              <w:snapToGrid w:val="0"/>
              <w:spacing w:line="240" w:lineRule="auto"/>
              <w:jc w:val="center"/>
              <w:rPr>
                <w:color w:val="000000" w:themeColor="text1"/>
                <w:kern w:val="0"/>
              </w:rPr>
            </w:pPr>
            <w:r>
              <w:rPr>
                <w:color w:val="000000" w:themeColor="text1"/>
                <w:kern w:val="0"/>
              </w:rPr>
              <w:t>10</w:t>
            </w:r>
          </w:p>
        </w:tc>
        <w:tc>
          <w:tcPr>
            <w:tcW w:w="1203" w:type="dxa"/>
            <w:vAlign w:val="center"/>
          </w:tcPr>
          <w:p>
            <w:pPr>
              <w:adjustRightInd w:val="0"/>
              <w:snapToGrid w:val="0"/>
              <w:spacing w:line="240" w:lineRule="auto"/>
              <w:jc w:val="center"/>
              <w:rPr>
                <w:color w:val="000000" w:themeColor="text1"/>
                <w:kern w:val="0"/>
              </w:rPr>
            </w:pPr>
            <w:r>
              <w:rPr>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rFonts w:hint="eastAsia"/>
                <w:color w:val="000000" w:themeColor="text1"/>
                <w:kern w:val="0"/>
              </w:rPr>
              <w:t>沼气发电机</w:t>
            </w:r>
          </w:p>
        </w:tc>
        <w:tc>
          <w:tcPr>
            <w:tcW w:w="1426" w:type="dxa"/>
            <w:vAlign w:val="center"/>
          </w:tcPr>
          <w:p>
            <w:pPr>
              <w:adjustRightInd w:val="0"/>
              <w:snapToGrid w:val="0"/>
              <w:spacing w:line="240" w:lineRule="auto"/>
              <w:jc w:val="center"/>
              <w:rPr>
                <w:color w:val="000000" w:themeColor="text1"/>
                <w:kern w:val="0"/>
              </w:rPr>
            </w:pPr>
            <w:r>
              <w:rPr>
                <w:rFonts w:hint="eastAsia"/>
                <w:color w:val="000000" w:themeColor="text1"/>
                <w:szCs w:val="21"/>
              </w:rPr>
              <w:t>1根15m排气筒</w:t>
            </w:r>
          </w:p>
        </w:tc>
        <w:tc>
          <w:tcPr>
            <w:tcW w:w="1570" w:type="dxa"/>
            <w:vAlign w:val="center"/>
          </w:tcPr>
          <w:p>
            <w:pPr>
              <w:adjustRightInd w:val="0"/>
              <w:snapToGrid w:val="0"/>
              <w:spacing w:line="240" w:lineRule="auto"/>
              <w:jc w:val="center"/>
              <w:rPr>
                <w:color w:val="000000" w:themeColor="text1"/>
                <w:kern w:val="0"/>
              </w:rPr>
            </w:pPr>
            <w:r>
              <w:rPr>
                <w:rFonts w:hint="eastAsia"/>
                <w:color w:val="000000" w:themeColor="text1"/>
                <w:kern w:val="0"/>
              </w:rPr>
              <w:t>SO</w:t>
            </w:r>
            <w:r>
              <w:rPr>
                <w:rFonts w:hint="eastAsia"/>
                <w:color w:val="000000" w:themeColor="text1"/>
                <w:kern w:val="0"/>
                <w:vertAlign w:val="subscript"/>
              </w:rPr>
              <w:t>2</w:t>
            </w:r>
            <w:r>
              <w:rPr>
                <w:rFonts w:hint="eastAsia"/>
                <w:color w:val="000000" w:themeColor="text1"/>
                <w:kern w:val="0"/>
              </w:rPr>
              <w:t>、NO</w:t>
            </w:r>
            <w:r>
              <w:rPr>
                <w:rFonts w:hint="eastAsia"/>
                <w:color w:val="000000" w:themeColor="text1"/>
                <w:kern w:val="0"/>
                <w:vertAlign w:val="subscript"/>
              </w:rPr>
              <w:t>X</w:t>
            </w:r>
          </w:p>
        </w:tc>
        <w:tc>
          <w:tcPr>
            <w:tcW w:w="999" w:type="dxa"/>
            <w:vAlign w:val="center"/>
          </w:tcPr>
          <w:p>
            <w:pPr>
              <w:adjustRightInd w:val="0"/>
              <w:snapToGrid w:val="0"/>
              <w:spacing w:line="240" w:lineRule="auto"/>
              <w:jc w:val="center"/>
              <w:rPr>
                <w:color w:val="000000" w:themeColor="text1"/>
                <w:kern w:val="0"/>
              </w:rPr>
            </w:pPr>
            <w:r>
              <w:rPr>
                <w:rFonts w:hint="eastAsia"/>
                <w:color w:val="000000" w:themeColor="text1"/>
                <w:kern w:val="0"/>
              </w:rPr>
              <w:t>0.5</w:t>
            </w:r>
          </w:p>
        </w:tc>
        <w:tc>
          <w:tcPr>
            <w:tcW w:w="1203" w:type="dxa"/>
            <w:vAlign w:val="center"/>
          </w:tcPr>
          <w:p>
            <w:pPr>
              <w:adjustRightInd w:val="0"/>
              <w:snapToGrid w:val="0"/>
              <w:spacing w:line="240" w:lineRule="auto"/>
              <w:jc w:val="center"/>
              <w:rPr>
                <w:color w:val="000000" w:themeColor="text1"/>
                <w:kern w:val="0"/>
              </w:rPr>
            </w:pPr>
            <w:r>
              <w:rPr>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restart"/>
            <w:vAlign w:val="center"/>
          </w:tcPr>
          <w:p>
            <w:pPr>
              <w:adjustRightInd w:val="0"/>
              <w:snapToGrid w:val="0"/>
              <w:spacing w:line="240" w:lineRule="auto"/>
              <w:jc w:val="center"/>
              <w:rPr>
                <w:color w:val="000000" w:themeColor="text1"/>
                <w:kern w:val="0"/>
              </w:rPr>
            </w:pPr>
            <w:r>
              <w:rPr>
                <w:color w:val="000000" w:themeColor="text1"/>
                <w:kern w:val="0"/>
              </w:rPr>
              <w:t>水污</w:t>
            </w:r>
          </w:p>
          <w:p>
            <w:pPr>
              <w:adjustRightInd w:val="0"/>
              <w:snapToGrid w:val="0"/>
              <w:spacing w:line="240" w:lineRule="auto"/>
              <w:jc w:val="center"/>
              <w:rPr>
                <w:color w:val="000000" w:themeColor="text1"/>
                <w:kern w:val="0"/>
              </w:rPr>
            </w:pPr>
            <w:r>
              <w:rPr>
                <w:color w:val="000000" w:themeColor="text1"/>
                <w:kern w:val="0"/>
              </w:rPr>
              <w:t>染物</w:t>
            </w:r>
          </w:p>
        </w:tc>
        <w:tc>
          <w:tcPr>
            <w:tcW w:w="2010" w:type="dxa"/>
            <w:vAlign w:val="center"/>
          </w:tcPr>
          <w:p>
            <w:pPr>
              <w:adjustRightInd w:val="0"/>
              <w:snapToGrid w:val="0"/>
              <w:spacing w:line="240" w:lineRule="auto"/>
              <w:jc w:val="center"/>
              <w:rPr>
                <w:color w:val="000000" w:themeColor="text1"/>
                <w:kern w:val="0"/>
              </w:rPr>
            </w:pPr>
            <w:r>
              <w:rPr>
                <w:color w:val="000000" w:themeColor="text1"/>
                <w:kern w:val="0"/>
              </w:rPr>
              <w:t>食堂</w:t>
            </w:r>
          </w:p>
        </w:tc>
        <w:tc>
          <w:tcPr>
            <w:tcW w:w="1426" w:type="dxa"/>
            <w:vAlign w:val="center"/>
          </w:tcPr>
          <w:p>
            <w:pPr>
              <w:adjustRightInd w:val="0"/>
              <w:snapToGrid w:val="0"/>
              <w:spacing w:line="240" w:lineRule="auto"/>
              <w:jc w:val="center"/>
              <w:rPr>
                <w:color w:val="000000" w:themeColor="text1"/>
                <w:kern w:val="0"/>
              </w:rPr>
            </w:pPr>
            <w:r>
              <w:rPr>
                <w:rFonts w:hint="eastAsia"/>
                <w:color w:val="000000" w:themeColor="text1"/>
                <w:kern w:val="0"/>
              </w:rPr>
              <w:t>1</w:t>
            </w:r>
            <w:r>
              <w:rPr>
                <w:color w:val="000000" w:themeColor="text1"/>
                <w:kern w:val="0"/>
              </w:rPr>
              <w:t>m</w:t>
            </w:r>
            <w:r>
              <w:rPr>
                <w:color w:val="000000" w:themeColor="text1"/>
                <w:kern w:val="0"/>
                <w:vertAlign w:val="superscript"/>
              </w:rPr>
              <w:t>3</w:t>
            </w:r>
            <w:r>
              <w:rPr>
                <w:color w:val="000000" w:themeColor="text1"/>
                <w:kern w:val="0"/>
              </w:rPr>
              <w:t>隔油池1个</w:t>
            </w:r>
          </w:p>
        </w:tc>
        <w:tc>
          <w:tcPr>
            <w:tcW w:w="1570" w:type="dxa"/>
            <w:vAlign w:val="center"/>
          </w:tcPr>
          <w:p>
            <w:pPr>
              <w:adjustRightInd w:val="0"/>
              <w:snapToGrid w:val="0"/>
              <w:spacing w:line="240" w:lineRule="auto"/>
              <w:jc w:val="center"/>
              <w:rPr>
                <w:color w:val="000000" w:themeColor="text1"/>
                <w:kern w:val="0"/>
              </w:rPr>
            </w:pPr>
            <w:r>
              <w:rPr>
                <w:color w:val="000000" w:themeColor="text1"/>
                <w:kern w:val="0"/>
              </w:rPr>
              <w:t>动植物油</w:t>
            </w:r>
          </w:p>
        </w:tc>
        <w:tc>
          <w:tcPr>
            <w:tcW w:w="999" w:type="dxa"/>
            <w:vAlign w:val="center"/>
          </w:tcPr>
          <w:p>
            <w:pPr>
              <w:adjustRightInd w:val="0"/>
              <w:snapToGrid w:val="0"/>
              <w:spacing w:line="240" w:lineRule="auto"/>
              <w:jc w:val="center"/>
              <w:rPr>
                <w:color w:val="000000" w:themeColor="text1"/>
                <w:kern w:val="0"/>
              </w:rPr>
            </w:pPr>
            <w:r>
              <w:rPr>
                <w:color w:val="000000" w:themeColor="text1"/>
                <w:kern w:val="0"/>
              </w:rPr>
              <w:t>0.5</w:t>
            </w:r>
          </w:p>
        </w:tc>
        <w:tc>
          <w:tcPr>
            <w:tcW w:w="1203" w:type="dxa"/>
            <w:vAlign w:val="center"/>
          </w:tcPr>
          <w:p>
            <w:pPr>
              <w:spacing w:line="240" w:lineRule="auto"/>
              <w:jc w:val="center"/>
              <w:rPr>
                <w:color w:val="000000" w:themeColor="text1"/>
              </w:rPr>
            </w:pPr>
            <w:r>
              <w:rPr>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color w:val="000000" w:themeColor="text1"/>
                <w:kern w:val="0"/>
              </w:rPr>
              <w:t>生活污水、生产废水</w:t>
            </w:r>
          </w:p>
        </w:tc>
        <w:tc>
          <w:tcPr>
            <w:tcW w:w="1426" w:type="dxa"/>
            <w:vAlign w:val="center"/>
          </w:tcPr>
          <w:p>
            <w:pPr>
              <w:adjustRightInd w:val="0"/>
              <w:snapToGrid w:val="0"/>
              <w:spacing w:line="240" w:lineRule="auto"/>
              <w:jc w:val="center"/>
              <w:rPr>
                <w:color w:val="000000" w:themeColor="text1"/>
                <w:kern w:val="0"/>
              </w:rPr>
            </w:pPr>
            <w:r>
              <w:rPr>
                <w:rFonts w:hint="eastAsia"/>
                <w:color w:val="000000" w:themeColor="text1"/>
                <w:szCs w:val="21"/>
              </w:rPr>
              <w:t>沼气工程1套，处理规模70m</w:t>
            </w:r>
            <w:r>
              <w:rPr>
                <w:rFonts w:hint="eastAsia"/>
                <w:color w:val="000000" w:themeColor="text1"/>
                <w:szCs w:val="21"/>
                <w:vertAlign w:val="superscript"/>
              </w:rPr>
              <w:t>3</w:t>
            </w:r>
            <w:r>
              <w:rPr>
                <w:rFonts w:hint="eastAsia"/>
                <w:color w:val="000000" w:themeColor="text1"/>
                <w:szCs w:val="21"/>
              </w:rPr>
              <w:t>/d，包括预处理设施及中温厌氧消化罐</w:t>
            </w:r>
          </w:p>
        </w:tc>
        <w:tc>
          <w:tcPr>
            <w:tcW w:w="1570" w:type="dxa"/>
            <w:vAlign w:val="center"/>
          </w:tcPr>
          <w:p>
            <w:pPr>
              <w:adjustRightInd w:val="0"/>
              <w:snapToGrid w:val="0"/>
              <w:spacing w:line="240" w:lineRule="auto"/>
              <w:jc w:val="center"/>
              <w:rPr>
                <w:color w:val="000000" w:themeColor="text1"/>
                <w:kern w:val="0"/>
              </w:rPr>
            </w:pPr>
            <w:r>
              <w:rPr>
                <w:color w:val="000000" w:themeColor="text1"/>
                <w:kern w:val="0"/>
              </w:rPr>
              <w:t>COD、BOD</w:t>
            </w:r>
            <w:r>
              <w:rPr>
                <w:color w:val="000000" w:themeColor="text1"/>
                <w:kern w:val="0"/>
                <w:vertAlign w:val="subscript"/>
              </w:rPr>
              <w:t>5</w:t>
            </w:r>
            <w:r>
              <w:rPr>
                <w:color w:val="000000" w:themeColor="text1"/>
                <w:kern w:val="0"/>
              </w:rPr>
              <w:t>、NH</w:t>
            </w:r>
            <w:r>
              <w:rPr>
                <w:color w:val="000000" w:themeColor="text1"/>
                <w:kern w:val="0"/>
                <w:vertAlign w:val="subscript"/>
              </w:rPr>
              <w:t>3</w:t>
            </w:r>
            <w:r>
              <w:rPr>
                <w:color w:val="000000" w:themeColor="text1"/>
                <w:kern w:val="0"/>
              </w:rPr>
              <w:t>-N、TP等</w:t>
            </w:r>
          </w:p>
        </w:tc>
        <w:tc>
          <w:tcPr>
            <w:tcW w:w="999" w:type="dxa"/>
            <w:vAlign w:val="center"/>
          </w:tcPr>
          <w:p>
            <w:pPr>
              <w:adjustRightInd w:val="0"/>
              <w:snapToGrid w:val="0"/>
              <w:spacing w:line="240" w:lineRule="auto"/>
              <w:jc w:val="center"/>
              <w:rPr>
                <w:color w:val="000000" w:themeColor="text1"/>
                <w:kern w:val="0"/>
              </w:rPr>
            </w:pPr>
            <w:r>
              <w:rPr>
                <w:rFonts w:hint="eastAsia"/>
                <w:color w:val="000000" w:themeColor="text1"/>
                <w:kern w:val="0"/>
              </w:rPr>
              <w:t>585</w:t>
            </w:r>
          </w:p>
        </w:tc>
        <w:tc>
          <w:tcPr>
            <w:tcW w:w="1203" w:type="dxa"/>
            <w:vAlign w:val="center"/>
          </w:tcPr>
          <w:p>
            <w:pPr>
              <w:spacing w:line="240" w:lineRule="auto"/>
              <w:jc w:val="center"/>
              <w:rPr>
                <w:color w:val="000000" w:themeColor="text1"/>
                <w:kern w:val="0"/>
              </w:rPr>
            </w:pPr>
            <w:r>
              <w:rPr>
                <w:color w:val="000000" w:themeColor="text1"/>
                <w:kern w:val="0"/>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rFonts w:hint="eastAsia"/>
                <w:color w:val="000000" w:themeColor="text1"/>
                <w:kern w:val="0"/>
              </w:rPr>
              <w:t>粪污水</w:t>
            </w:r>
          </w:p>
        </w:tc>
        <w:tc>
          <w:tcPr>
            <w:tcW w:w="1426" w:type="dxa"/>
            <w:vAlign w:val="center"/>
          </w:tcPr>
          <w:p>
            <w:pPr>
              <w:adjustRightInd w:val="0"/>
              <w:snapToGrid w:val="0"/>
              <w:spacing w:line="240" w:lineRule="auto"/>
              <w:jc w:val="center"/>
              <w:rPr>
                <w:color w:val="000000" w:themeColor="text1"/>
                <w:szCs w:val="21"/>
              </w:rPr>
            </w:pPr>
            <w:r>
              <w:rPr>
                <w:rFonts w:hint="eastAsia"/>
                <w:color w:val="000000" w:themeColor="text1"/>
                <w:kern w:val="0"/>
              </w:rPr>
              <w:t>1间异位发酵车间</w:t>
            </w:r>
          </w:p>
        </w:tc>
        <w:tc>
          <w:tcPr>
            <w:tcW w:w="1570" w:type="dxa"/>
            <w:vAlign w:val="center"/>
          </w:tcPr>
          <w:p>
            <w:pPr>
              <w:adjustRightInd w:val="0"/>
              <w:snapToGrid w:val="0"/>
              <w:spacing w:line="240" w:lineRule="auto"/>
              <w:jc w:val="center"/>
              <w:rPr>
                <w:color w:val="000000" w:themeColor="text1"/>
                <w:kern w:val="0"/>
              </w:rPr>
            </w:pPr>
          </w:p>
        </w:tc>
        <w:tc>
          <w:tcPr>
            <w:tcW w:w="999" w:type="dxa"/>
            <w:vAlign w:val="center"/>
          </w:tcPr>
          <w:p>
            <w:pPr>
              <w:adjustRightInd w:val="0"/>
              <w:snapToGrid w:val="0"/>
              <w:spacing w:line="240" w:lineRule="auto"/>
              <w:jc w:val="center"/>
              <w:rPr>
                <w:color w:val="000000" w:themeColor="text1"/>
                <w:kern w:val="0"/>
              </w:rPr>
            </w:pPr>
            <w:r>
              <w:rPr>
                <w:rFonts w:hint="eastAsia"/>
                <w:color w:val="000000" w:themeColor="text1"/>
                <w:kern w:val="0"/>
              </w:rPr>
              <w:t>120</w:t>
            </w:r>
          </w:p>
        </w:tc>
        <w:tc>
          <w:tcPr>
            <w:tcW w:w="1203" w:type="dxa"/>
            <w:vAlign w:val="center"/>
          </w:tcPr>
          <w:p>
            <w:pPr>
              <w:spacing w:line="240" w:lineRule="auto"/>
              <w:jc w:val="center"/>
              <w:rPr>
                <w:color w:val="000000" w:themeColor="text1"/>
                <w:kern w:val="0"/>
              </w:rPr>
            </w:pPr>
            <w:r>
              <w:rPr>
                <w:color w:val="000000" w:themeColor="text1"/>
                <w:kern w:val="0"/>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rFonts w:hint="eastAsia"/>
                <w:color w:val="000000" w:themeColor="text1"/>
                <w:kern w:val="0"/>
              </w:rPr>
              <w:t>沼液储存池</w:t>
            </w:r>
          </w:p>
        </w:tc>
        <w:tc>
          <w:tcPr>
            <w:tcW w:w="1426" w:type="dxa"/>
            <w:vAlign w:val="center"/>
          </w:tcPr>
          <w:p>
            <w:pPr>
              <w:adjustRightInd w:val="0"/>
              <w:snapToGrid w:val="0"/>
              <w:spacing w:line="240" w:lineRule="auto"/>
              <w:jc w:val="center"/>
              <w:rPr>
                <w:color w:val="000000" w:themeColor="text1"/>
                <w:szCs w:val="21"/>
              </w:rPr>
            </w:pPr>
            <w:r>
              <w:rPr>
                <w:color w:val="000000" w:themeColor="text1"/>
                <w:szCs w:val="21"/>
              </w:rPr>
              <w:t>1个，容积为</w:t>
            </w:r>
            <w:r>
              <w:rPr>
                <w:rFonts w:hint="eastAsia"/>
                <w:color w:val="000000" w:themeColor="text1"/>
                <w:szCs w:val="21"/>
              </w:rPr>
              <w:t>800</w:t>
            </w:r>
            <w:r>
              <w:rPr>
                <w:color w:val="000000" w:themeColor="text1"/>
                <w:szCs w:val="21"/>
              </w:rPr>
              <w:t>m</w:t>
            </w:r>
            <w:r>
              <w:rPr>
                <w:color w:val="000000" w:themeColor="text1"/>
                <w:szCs w:val="21"/>
                <w:vertAlign w:val="superscript"/>
              </w:rPr>
              <w:t>3</w:t>
            </w:r>
          </w:p>
        </w:tc>
        <w:tc>
          <w:tcPr>
            <w:tcW w:w="1570" w:type="dxa"/>
            <w:vAlign w:val="center"/>
          </w:tcPr>
          <w:p>
            <w:pPr>
              <w:adjustRightInd w:val="0"/>
              <w:snapToGrid w:val="0"/>
              <w:spacing w:line="240" w:lineRule="auto"/>
              <w:jc w:val="center"/>
              <w:rPr>
                <w:color w:val="000000" w:themeColor="text1"/>
                <w:kern w:val="0"/>
              </w:rPr>
            </w:pPr>
          </w:p>
        </w:tc>
        <w:tc>
          <w:tcPr>
            <w:tcW w:w="999" w:type="dxa"/>
            <w:vAlign w:val="center"/>
          </w:tcPr>
          <w:p>
            <w:pPr>
              <w:adjustRightInd w:val="0"/>
              <w:snapToGrid w:val="0"/>
              <w:spacing w:line="240" w:lineRule="auto"/>
              <w:jc w:val="center"/>
              <w:rPr>
                <w:color w:val="000000" w:themeColor="text1"/>
                <w:kern w:val="0"/>
              </w:rPr>
            </w:pPr>
            <w:r>
              <w:rPr>
                <w:rFonts w:hint="eastAsia"/>
                <w:color w:val="000000" w:themeColor="text1"/>
                <w:kern w:val="0"/>
              </w:rPr>
              <w:t>10</w:t>
            </w:r>
          </w:p>
        </w:tc>
        <w:tc>
          <w:tcPr>
            <w:tcW w:w="1203" w:type="dxa"/>
            <w:vAlign w:val="center"/>
          </w:tcPr>
          <w:p>
            <w:pPr>
              <w:spacing w:line="240" w:lineRule="auto"/>
              <w:jc w:val="center"/>
              <w:rPr>
                <w:color w:val="000000" w:themeColor="text1"/>
                <w:kern w:val="0"/>
              </w:rPr>
            </w:pPr>
            <w:r>
              <w:rPr>
                <w:color w:val="000000" w:themeColor="text1"/>
                <w:kern w:val="0"/>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color w:val="000000" w:themeColor="text1"/>
                <w:kern w:val="0"/>
              </w:rPr>
              <w:t>事故应急池</w:t>
            </w:r>
          </w:p>
        </w:tc>
        <w:tc>
          <w:tcPr>
            <w:tcW w:w="1426" w:type="dxa"/>
            <w:vAlign w:val="center"/>
          </w:tcPr>
          <w:p>
            <w:pPr>
              <w:adjustRightInd w:val="0"/>
              <w:snapToGrid w:val="0"/>
              <w:spacing w:line="240" w:lineRule="auto"/>
              <w:jc w:val="center"/>
              <w:rPr>
                <w:color w:val="000000" w:themeColor="text1"/>
                <w:szCs w:val="21"/>
              </w:rPr>
            </w:pPr>
            <w:r>
              <w:rPr>
                <w:color w:val="000000" w:themeColor="text1"/>
                <w:szCs w:val="21"/>
              </w:rPr>
              <w:t>1个，容积为</w:t>
            </w:r>
            <w:r>
              <w:rPr>
                <w:rFonts w:hint="eastAsia"/>
                <w:color w:val="000000" w:themeColor="text1"/>
                <w:szCs w:val="21"/>
              </w:rPr>
              <w:t>5</w:t>
            </w:r>
            <w:r>
              <w:rPr>
                <w:color w:val="000000" w:themeColor="text1"/>
                <w:szCs w:val="21"/>
              </w:rPr>
              <w:t>00m</w:t>
            </w:r>
            <w:r>
              <w:rPr>
                <w:color w:val="000000" w:themeColor="text1"/>
                <w:szCs w:val="21"/>
                <w:vertAlign w:val="superscript"/>
              </w:rPr>
              <w:t>3</w:t>
            </w:r>
          </w:p>
        </w:tc>
        <w:tc>
          <w:tcPr>
            <w:tcW w:w="1570" w:type="dxa"/>
            <w:vAlign w:val="center"/>
          </w:tcPr>
          <w:p>
            <w:pPr>
              <w:adjustRightInd w:val="0"/>
              <w:snapToGrid w:val="0"/>
              <w:spacing w:line="240" w:lineRule="auto"/>
              <w:jc w:val="center"/>
              <w:rPr>
                <w:color w:val="000000" w:themeColor="text1"/>
                <w:kern w:val="0"/>
              </w:rPr>
            </w:pPr>
          </w:p>
        </w:tc>
        <w:tc>
          <w:tcPr>
            <w:tcW w:w="999" w:type="dxa"/>
            <w:vAlign w:val="center"/>
          </w:tcPr>
          <w:p>
            <w:pPr>
              <w:adjustRightInd w:val="0"/>
              <w:snapToGrid w:val="0"/>
              <w:spacing w:line="240" w:lineRule="auto"/>
              <w:jc w:val="center"/>
              <w:rPr>
                <w:color w:val="000000" w:themeColor="text1"/>
                <w:kern w:val="0"/>
              </w:rPr>
            </w:pPr>
            <w:r>
              <w:rPr>
                <w:rFonts w:hint="eastAsia"/>
                <w:color w:val="000000" w:themeColor="text1"/>
                <w:kern w:val="0"/>
              </w:rPr>
              <w:t>4</w:t>
            </w:r>
          </w:p>
        </w:tc>
        <w:tc>
          <w:tcPr>
            <w:tcW w:w="1203" w:type="dxa"/>
            <w:vAlign w:val="center"/>
          </w:tcPr>
          <w:p>
            <w:pPr>
              <w:spacing w:line="240" w:lineRule="auto"/>
              <w:jc w:val="center"/>
              <w:rPr>
                <w:color w:val="000000" w:themeColor="text1"/>
                <w:kern w:val="0"/>
              </w:rPr>
            </w:pPr>
            <w:r>
              <w:rPr>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color w:val="000000" w:themeColor="text1"/>
                <w:szCs w:val="21"/>
              </w:rPr>
              <w:t>消毒废水</w:t>
            </w:r>
          </w:p>
        </w:tc>
        <w:tc>
          <w:tcPr>
            <w:tcW w:w="1426" w:type="dxa"/>
            <w:vAlign w:val="center"/>
          </w:tcPr>
          <w:p>
            <w:pPr>
              <w:adjustRightInd w:val="0"/>
              <w:snapToGrid w:val="0"/>
              <w:spacing w:line="240" w:lineRule="auto"/>
              <w:jc w:val="center"/>
              <w:rPr>
                <w:color w:val="000000" w:themeColor="text1"/>
                <w:szCs w:val="21"/>
              </w:rPr>
            </w:pPr>
            <w:r>
              <w:rPr>
                <w:color w:val="000000" w:themeColor="text1"/>
                <w:szCs w:val="21"/>
              </w:rPr>
              <w:t>1m</w:t>
            </w:r>
            <w:r>
              <w:rPr>
                <w:color w:val="000000" w:themeColor="text1"/>
                <w:szCs w:val="21"/>
                <w:vertAlign w:val="superscript"/>
              </w:rPr>
              <w:t>3</w:t>
            </w:r>
            <w:r>
              <w:rPr>
                <w:color w:val="000000" w:themeColor="text1"/>
                <w:szCs w:val="21"/>
              </w:rPr>
              <w:t>中和池1个</w:t>
            </w:r>
          </w:p>
        </w:tc>
        <w:tc>
          <w:tcPr>
            <w:tcW w:w="1570" w:type="dxa"/>
            <w:vAlign w:val="center"/>
          </w:tcPr>
          <w:p>
            <w:pPr>
              <w:adjustRightInd w:val="0"/>
              <w:snapToGrid w:val="0"/>
              <w:spacing w:line="240" w:lineRule="auto"/>
              <w:jc w:val="center"/>
              <w:rPr>
                <w:color w:val="000000" w:themeColor="text1"/>
                <w:kern w:val="0"/>
              </w:rPr>
            </w:pPr>
            <w:r>
              <w:rPr>
                <w:color w:val="000000" w:themeColor="text1"/>
                <w:kern w:val="0"/>
              </w:rPr>
              <w:t>pH</w:t>
            </w:r>
          </w:p>
        </w:tc>
        <w:tc>
          <w:tcPr>
            <w:tcW w:w="999" w:type="dxa"/>
            <w:vAlign w:val="center"/>
          </w:tcPr>
          <w:p>
            <w:pPr>
              <w:adjustRightInd w:val="0"/>
              <w:snapToGrid w:val="0"/>
              <w:spacing w:line="240" w:lineRule="auto"/>
              <w:jc w:val="center"/>
              <w:rPr>
                <w:color w:val="000000" w:themeColor="text1"/>
                <w:kern w:val="0"/>
              </w:rPr>
            </w:pPr>
            <w:r>
              <w:rPr>
                <w:color w:val="000000" w:themeColor="text1"/>
                <w:kern w:val="0"/>
              </w:rPr>
              <w:t>0.1</w:t>
            </w:r>
          </w:p>
        </w:tc>
        <w:tc>
          <w:tcPr>
            <w:tcW w:w="1203" w:type="dxa"/>
            <w:vAlign w:val="center"/>
          </w:tcPr>
          <w:p>
            <w:pPr>
              <w:spacing w:line="240" w:lineRule="auto"/>
              <w:jc w:val="center"/>
              <w:rPr>
                <w:color w:val="000000" w:themeColor="text1"/>
                <w:kern w:val="0"/>
              </w:rPr>
            </w:pPr>
            <w:r>
              <w:rPr>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szCs w:val="21"/>
              </w:rPr>
            </w:pPr>
            <w:r>
              <w:rPr>
                <w:color w:val="000000" w:themeColor="text1"/>
                <w:szCs w:val="21"/>
              </w:rPr>
              <w:t>雨水</w:t>
            </w:r>
          </w:p>
        </w:tc>
        <w:tc>
          <w:tcPr>
            <w:tcW w:w="1426" w:type="dxa"/>
            <w:vAlign w:val="center"/>
          </w:tcPr>
          <w:p>
            <w:pPr>
              <w:adjustRightInd w:val="0"/>
              <w:snapToGrid w:val="0"/>
              <w:spacing w:line="240" w:lineRule="auto"/>
              <w:jc w:val="center"/>
              <w:rPr>
                <w:color w:val="000000" w:themeColor="text1"/>
                <w:szCs w:val="21"/>
              </w:rPr>
            </w:pPr>
            <w:r>
              <w:rPr>
                <w:color w:val="000000" w:themeColor="text1"/>
                <w:szCs w:val="21"/>
              </w:rPr>
              <w:t>1个收集池，容积800m</w:t>
            </w:r>
            <w:r>
              <w:rPr>
                <w:color w:val="000000" w:themeColor="text1"/>
                <w:szCs w:val="21"/>
                <w:vertAlign w:val="superscript"/>
              </w:rPr>
              <w:t>3</w:t>
            </w:r>
          </w:p>
        </w:tc>
        <w:tc>
          <w:tcPr>
            <w:tcW w:w="1570" w:type="dxa"/>
            <w:vAlign w:val="center"/>
          </w:tcPr>
          <w:p>
            <w:pPr>
              <w:adjustRightInd w:val="0"/>
              <w:snapToGrid w:val="0"/>
              <w:spacing w:line="240" w:lineRule="auto"/>
              <w:jc w:val="center"/>
              <w:rPr>
                <w:color w:val="000000" w:themeColor="text1"/>
                <w:kern w:val="0"/>
              </w:rPr>
            </w:pPr>
          </w:p>
        </w:tc>
        <w:tc>
          <w:tcPr>
            <w:tcW w:w="999" w:type="dxa"/>
            <w:vAlign w:val="center"/>
          </w:tcPr>
          <w:p>
            <w:pPr>
              <w:adjustRightInd w:val="0"/>
              <w:snapToGrid w:val="0"/>
              <w:spacing w:line="240" w:lineRule="auto"/>
              <w:jc w:val="center"/>
              <w:rPr>
                <w:color w:val="000000" w:themeColor="text1"/>
                <w:kern w:val="0"/>
              </w:rPr>
            </w:pPr>
            <w:r>
              <w:rPr>
                <w:color w:val="000000" w:themeColor="text1"/>
                <w:kern w:val="0"/>
              </w:rPr>
              <w:t>5</w:t>
            </w:r>
          </w:p>
        </w:tc>
        <w:tc>
          <w:tcPr>
            <w:tcW w:w="1203" w:type="dxa"/>
            <w:vAlign w:val="center"/>
          </w:tcPr>
          <w:p>
            <w:pPr>
              <w:spacing w:line="240" w:lineRule="auto"/>
              <w:jc w:val="center"/>
              <w:rPr>
                <w:color w:val="000000" w:themeColor="text1"/>
                <w:kern w:val="0"/>
              </w:rPr>
            </w:pPr>
            <w:r>
              <w:rPr>
                <w:color w:val="000000" w:themeColor="text1"/>
                <w:kern w:val="0"/>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color w:val="000000" w:themeColor="text1"/>
                <w:kern w:val="0"/>
              </w:rPr>
              <w:t>雨污管网、</w:t>
            </w:r>
            <w:r>
              <w:rPr>
                <w:rFonts w:hint="eastAsia"/>
                <w:color w:val="000000" w:themeColor="text1"/>
                <w:kern w:val="0"/>
              </w:rPr>
              <w:t>沼液输送管道</w:t>
            </w:r>
          </w:p>
        </w:tc>
        <w:tc>
          <w:tcPr>
            <w:tcW w:w="1426" w:type="dxa"/>
            <w:vAlign w:val="center"/>
          </w:tcPr>
          <w:p>
            <w:pPr>
              <w:adjustRightInd w:val="0"/>
              <w:snapToGrid w:val="0"/>
              <w:spacing w:line="240" w:lineRule="auto"/>
              <w:jc w:val="center"/>
              <w:rPr>
                <w:color w:val="000000" w:themeColor="text1"/>
                <w:kern w:val="0"/>
              </w:rPr>
            </w:pPr>
            <w:r>
              <w:rPr>
                <w:color w:val="000000" w:themeColor="text1"/>
                <w:kern w:val="0"/>
              </w:rPr>
              <w:t>/</w:t>
            </w:r>
          </w:p>
        </w:tc>
        <w:tc>
          <w:tcPr>
            <w:tcW w:w="1570" w:type="dxa"/>
            <w:vAlign w:val="center"/>
          </w:tcPr>
          <w:p>
            <w:pPr>
              <w:adjustRightInd w:val="0"/>
              <w:snapToGrid w:val="0"/>
              <w:spacing w:line="240" w:lineRule="auto"/>
              <w:jc w:val="center"/>
              <w:rPr>
                <w:color w:val="000000" w:themeColor="text1"/>
                <w:kern w:val="0"/>
              </w:rPr>
            </w:pPr>
            <w:r>
              <w:rPr>
                <w:color w:val="000000" w:themeColor="text1"/>
                <w:kern w:val="0"/>
              </w:rPr>
              <w:t>/</w:t>
            </w:r>
          </w:p>
        </w:tc>
        <w:tc>
          <w:tcPr>
            <w:tcW w:w="999" w:type="dxa"/>
            <w:vAlign w:val="center"/>
          </w:tcPr>
          <w:p>
            <w:pPr>
              <w:adjustRightInd w:val="0"/>
              <w:snapToGrid w:val="0"/>
              <w:spacing w:line="240" w:lineRule="auto"/>
              <w:jc w:val="center"/>
              <w:rPr>
                <w:color w:val="000000" w:themeColor="text1"/>
                <w:kern w:val="0"/>
              </w:rPr>
            </w:pPr>
            <w:r>
              <w:rPr>
                <w:rFonts w:hint="eastAsia"/>
                <w:color w:val="000000" w:themeColor="text1"/>
                <w:kern w:val="0"/>
              </w:rPr>
              <w:t>30</w:t>
            </w:r>
          </w:p>
        </w:tc>
        <w:tc>
          <w:tcPr>
            <w:tcW w:w="1203" w:type="dxa"/>
            <w:vAlign w:val="center"/>
          </w:tcPr>
          <w:p>
            <w:pPr>
              <w:spacing w:line="240" w:lineRule="auto"/>
              <w:jc w:val="center"/>
              <w:rPr>
                <w:color w:val="000000" w:themeColor="text1"/>
              </w:rPr>
            </w:pPr>
            <w:r>
              <w:rPr>
                <w:color w:val="000000" w:themeColor="text1"/>
                <w:kern w:val="0"/>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color w:val="000000" w:themeColor="text1"/>
                <w:kern w:val="0"/>
              </w:rPr>
              <w:t>猪舍、</w:t>
            </w:r>
            <w:r>
              <w:rPr>
                <w:rFonts w:hint="eastAsia"/>
                <w:color w:val="000000" w:themeColor="text1"/>
                <w:kern w:val="0"/>
              </w:rPr>
              <w:t>沼气设施</w:t>
            </w:r>
            <w:r>
              <w:rPr>
                <w:color w:val="000000" w:themeColor="text1"/>
                <w:kern w:val="0"/>
              </w:rPr>
              <w:t>、发酵间等</w:t>
            </w:r>
          </w:p>
        </w:tc>
        <w:tc>
          <w:tcPr>
            <w:tcW w:w="1426" w:type="dxa"/>
            <w:vAlign w:val="center"/>
          </w:tcPr>
          <w:p>
            <w:pPr>
              <w:adjustRightInd w:val="0"/>
              <w:snapToGrid w:val="0"/>
              <w:spacing w:line="240" w:lineRule="auto"/>
              <w:jc w:val="center"/>
              <w:rPr>
                <w:color w:val="000000" w:themeColor="text1"/>
                <w:kern w:val="0"/>
              </w:rPr>
            </w:pPr>
            <w:r>
              <w:rPr>
                <w:color w:val="000000" w:themeColor="text1"/>
                <w:kern w:val="0"/>
              </w:rPr>
              <w:t>场地防渗</w:t>
            </w:r>
          </w:p>
        </w:tc>
        <w:tc>
          <w:tcPr>
            <w:tcW w:w="1570" w:type="dxa"/>
            <w:vAlign w:val="center"/>
          </w:tcPr>
          <w:p>
            <w:pPr>
              <w:adjustRightInd w:val="0"/>
              <w:snapToGrid w:val="0"/>
              <w:spacing w:line="240" w:lineRule="auto"/>
              <w:jc w:val="center"/>
              <w:rPr>
                <w:color w:val="000000" w:themeColor="text1"/>
                <w:kern w:val="0"/>
              </w:rPr>
            </w:pPr>
          </w:p>
        </w:tc>
        <w:tc>
          <w:tcPr>
            <w:tcW w:w="999" w:type="dxa"/>
            <w:vAlign w:val="center"/>
          </w:tcPr>
          <w:p>
            <w:pPr>
              <w:adjustRightInd w:val="0"/>
              <w:snapToGrid w:val="0"/>
              <w:spacing w:line="240" w:lineRule="auto"/>
              <w:jc w:val="center"/>
              <w:rPr>
                <w:color w:val="000000" w:themeColor="text1"/>
                <w:kern w:val="0"/>
              </w:rPr>
            </w:pPr>
            <w:r>
              <w:rPr>
                <w:color w:val="000000" w:themeColor="text1"/>
                <w:kern w:val="0"/>
              </w:rPr>
              <w:t>140</w:t>
            </w:r>
          </w:p>
        </w:tc>
        <w:tc>
          <w:tcPr>
            <w:tcW w:w="1203" w:type="dxa"/>
            <w:vAlign w:val="center"/>
          </w:tcPr>
          <w:p>
            <w:pPr>
              <w:spacing w:line="240" w:lineRule="auto"/>
              <w:jc w:val="center"/>
              <w:rPr>
                <w:color w:val="000000" w:themeColor="text1"/>
                <w:kern w:val="0"/>
              </w:rPr>
            </w:pPr>
            <w:r>
              <w:rPr>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restart"/>
            <w:vAlign w:val="center"/>
          </w:tcPr>
          <w:p>
            <w:pPr>
              <w:adjustRightInd w:val="0"/>
              <w:snapToGrid w:val="0"/>
              <w:spacing w:line="240" w:lineRule="auto"/>
              <w:jc w:val="center"/>
              <w:rPr>
                <w:color w:val="000000" w:themeColor="text1"/>
                <w:kern w:val="0"/>
              </w:rPr>
            </w:pPr>
            <w:r>
              <w:rPr>
                <w:color w:val="000000" w:themeColor="text1"/>
                <w:kern w:val="0"/>
              </w:rPr>
              <w:t>固体</w:t>
            </w:r>
          </w:p>
          <w:p>
            <w:pPr>
              <w:adjustRightInd w:val="0"/>
              <w:snapToGrid w:val="0"/>
              <w:spacing w:line="240" w:lineRule="auto"/>
              <w:jc w:val="center"/>
              <w:rPr>
                <w:color w:val="000000" w:themeColor="text1"/>
                <w:kern w:val="0"/>
              </w:rPr>
            </w:pPr>
            <w:r>
              <w:rPr>
                <w:color w:val="000000" w:themeColor="text1"/>
                <w:kern w:val="0"/>
              </w:rPr>
              <w:t>废物</w:t>
            </w:r>
          </w:p>
        </w:tc>
        <w:tc>
          <w:tcPr>
            <w:tcW w:w="2010" w:type="dxa"/>
            <w:vAlign w:val="center"/>
          </w:tcPr>
          <w:p>
            <w:pPr>
              <w:adjustRightInd w:val="0"/>
              <w:snapToGrid w:val="0"/>
              <w:spacing w:line="240" w:lineRule="auto"/>
              <w:jc w:val="center"/>
              <w:rPr>
                <w:color w:val="000000" w:themeColor="text1"/>
                <w:kern w:val="0"/>
              </w:rPr>
            </w:pPr>
            <w:r>
              <w:rPr>
                <w:color w:val="000000" w:themeColor="text1"/>
                <w:kern w:val="0"/>
              </w:rPr>
              <w:t>生活垃圾</w:t>
            </w:r>
          </w:p>
        </w:tc>
        <w:tc>
          <w:tcPr>
            <w:tcW w:w="1426" w:type="dxa"/>
            <w:vAlign w:val="center"/>
          </w:tcPr>
          <w:p>
            <w:pPr>
              <w:adjustRightInd w:val="0"/>
              <w:snapToGrid w:val="0"/>
              <w:spacing w:line="240" w:lineRule="auto"/>
              <w:jc w:val="center"/>
              <w:rPr>
                <w:color w:val="000000" w:themeColor="text1"/>
                <w:kern w:val="0"/>
              </w:rPr>
            </w:pPr>
            <w:r>
              <w:rPr>
                <w:color w:val="000000" w:themeColor="text1"/>
                <w:kern w:val="0"/>
              </w:rPr>
              <w:t>垃圾桶、垃圾房1间</w:t>
            </w:r>
          </w:p>
        </w:tc>
        <w:tc>
          <w:tcPr>
            <w:tcW w:w="1570" w:type="dxa"/>
            <w:vAlign w:val="center"/>
          </w:tcPr>
          <w:p>
            <w:pPr>
              <w:adjustRightInd w:val="0"/>
              <w:snapToGrid w:val="0"/>
              <w:spacing w:line="240" w:lineRule="auto"/>
              <w:jc w:val="center"/>
              <w:rPr>
                <w:color w:val="000000" w:themeColor="text1"/>
                <w:kern w:val="0"/>
              </w:rPr>
            </w:pPr>
            <w:r>
              <w:rPr>
                <w:color w:val="000000" w:themeColor="text1"/>
                <w:kern w:val="0"/>
              </w:rPr>
              <w:t>生活垃圾</w:t>
            </w:r>
          </w:p>
        </w:tc>
        <w:tc>
          <w:tcPr>
            <w:tcW w:w="999" w:type="dxa"/>
            <w:vAlign w:val="center"/>
          </w:tcPr>
          <w:p>
            <w:pPr>
              <w:adjustRightInd w:val="0"/>
              <w:snapToGrid w:val="0"/>
              <w:spacing w:line="240" w:lineRule="auto"/>
              <w:jc w:val="center"/>
              <w:rPr>
                <w:color w:val="000000" w:themeColor="text1"/>
                <w:kern w:val="0"/>
              </w:rPr>
            </w:pPr>
            <w:r>
              <w:rPr>
                <w:color w:val="000000" w:themeColor="text1"/>
                <w:kern w:val="0"/>
              </w:rPr>
              <w:t>2</w:t>
            </w:r>
          </w:p>
        </w:tc>
        <w:tc>
          <w:tcPr>
            <w:tcW w:w="1203" w:type="dxa"/>
            <w:vAlign w:val="center"/>
          </w:tcPr>
          <w:p>
            <w:pPr>
              <w:spacing w:line="240" w:lineRule="auto"/>
              <w:jc w:val="center"/>
              <w:rPr>
                <w:color w:val="000000" w:themeColor="text1"/>
              </w:rPr>
            </w:pPr>
            <w:r>
              <w:rPr>
                <w:color w:val="000000" w:themeColor="text1"/>
                <w:kern w:val="0"/>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color w:val="000000" w:themeColor="text1"/>
                <w:kern w:val="0"/>
              </w:rPr>
              <w:t>病死猪</w:t>
            </w:r>
          </w:p>
        </w:tc>
        <w:tc>
          <w:tcPr>
            <w:tcW w:w="1426" w:type="dxa"/>
            <w:vAlign w:val="center"/>
          </w:tcPr>
          <w:p>
            <w:pPr>
              <w:adjustRightInd w:val="0"/>
              <w:snapToGrid w:val="0"/>
              <w:spacing w:line="240" w:lineRule="auto"/>
              <w:jc w:val="center"/>
              <w:rPr>
                <w:color w:val="000000" w:themeColor="text1"/>
                <w:kern w:val="0"/>
              </w:rPr>
            </w:pPr>
            <w:r>
              <w:rPr>
                <w:rFonts w:hint="eastAsia"/>
                <w:color w:val="000000" w:themeColor="text1"/>
                <w:szCs w:val="21"/>
              </w:rPr>
              <w:t>2间堆肥间，</w:t>
            </w:r>
            <w:r>
              <w:rPr>
                <w:color w:val="000000" w:themeColor="text1"/>
                <w:szCs w:val="21"/>
              </w:rPr>
              <w:t>布置2口安全填埋井，直径4m，入口直径1m，深度5m</w:t>
            </w:r>
          </w:p>
        </w:tc>
        <w:tc>
          <w:tcPr>
            <w:tcW w:w="1570" w:type="dxa"/>
            <w:vAlign w:val="center"/>
          </w:tcPr>
          <w:p>
            <w:pPr>
              <w:adjustRightInd w:val="0"/>
              <w:snapToGrid w:val="0"/>
              <w:spacing w:line="240" w:lineRule="auto"/>
              <w:jc w:val="center"/>
              <w:rPr>
                <w:color w:val="000000" w:themeColor="text1"/>
                <w:kern w:val="0"/>
              </w:rPr>
            </w:pPr>
            <w:r>
              <w:rPr>
                <w:color w:val="000000" w:themeColor="text1"/>
                <w:kern w:val="0"/>
              </w:rPr>
              <w:t>病死猪</w:t>
            </w:r>
          </w:p>
        </w:tc>
        <w:tc>
          <w:tcPr>
            <w:tcW w:w="999" w:type="dxa"/>
            <w:vAlign w:val="center"/>
          </w:tcPr>
          <w:p>
            <w:pPr>
              <w:adjustRightInd w:val="0"/>
              <w:snapToGrid w:val="0"/>
              <w:spacing w:line="240" w:lineRule="auto"/>
              <w:jc w:val="center"/>
              <w:rPr>
                <w:color w:val="000000" w:themeColor="text1"/>
                <w:kern w:val="0"/>
              </w:rPr>
            </w:pPr>
            <w:r>
              <w:rPr>
                <w:rFonts w:hint="eastAsia"/>
                <w:color w:val="000000" w:themeColor="text1"/>
                <w:kern w:val="0"/>
              </w:rPr>
              <w:t>15</w:t>
            </w:r>
          </w:p>
        </w:tc>
        <w:tc>
          <w:tcPr>
            <w:tcW w:w="1203" w:type="dxa"/>
            <w:vAlign w:val="center"/>
          </w:tcPr>
          <w:p>
            <w:pPr>
              <w:spacing w:line="240" w:lineRule="auto"/>
              <w:jc w:val="center"/>
              <w:rPr>
                <w:color w:val="000000" w:themeColor="text1"/>
              </w:rPr>
            </w:pPr>
            <w:r>
              <w:rPr>
                <w:color w:val="000000" w:themeColor="text1"/>
                <w:kern w:val="0"/>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Merge w:val="continue"/>
            <w:vAlign w:val="center"/>
          </w:tcPr>
          <w:p>
            <w:pPr>
              <w:adjustRightInd w:val="0"/>
              <w:snapToGrid w:val="0"/>
              <w:spacing w:line="240" w:lineRule="auto"/>
              <w:jc w:val="center"/>
              <w:rPr>
                <w:color w:val="000000" w:themeColor="text1"/>
                <w:kern w:val="0"/>
              </w:rPr>
            </w:pPr>
          </w:p>
        </w:tc>
        <w:tc>
          <w:tcPr>
            <w:tcW w:w="788" w:type="dxa"/>
            <w:vMerge w:val="continue"/>
            <w:vAlign w:val="center"/>
          </w:tcPr>
          <w:p>
            <w:pPr>
              <w:adjustRightInd w:val="0"/>
              <w:snapToGrid w:val="0"/>
              <w:spacing w:line="240" w:lineRule="auto"/>
              <w:jc w:val="center"/>
              <w:rPr>
                <w:color w:val="000000" w:themeColor="text1"/>
                <w:kern w:val="0"/>
              </w:rPr>
            </w:pPr>
          </w:p>
        </w:tc>
        <w:tc>
          <w:tcPr>
            <w:tcW w:w="2010" w:type="dxa"/>
            <w:vAlign w:val="center"/>
          </w:tcPr>
          <w:p>
            <w:pPr>
              <w:adjustRightInd w:val="0"/>
              <w:snapToGrid w:val="0"/>
              <w:spacing w:line="240" w:lineRule="auto"/>
              <w:jc w:val="center"/>
              <w:rPr>
                <w:color w:val="000000" w:themeColor="text1"/>
                <w:kern w:val="0"/>
              </w:rPr>
            </w:pPr>
            <w:r>
              <w:rPr>
                <w:rFonts w:hint="eastAsia"/>
                <w:color w:val="000000" w:themeColor="text1"/>
                <w:szCs w:val="21"/>
              </w:rPr>
              <w:t>医疗废物暂存间</w:t>
            </w:r>
          </w:p>
        </w:tc>
        <w:tc>
          <w:tcPr>
            <w:tcW w:w="1426" w:type="dxa"/>
            <w:vAlign w:val="center"/>
          </w:tcPr>
          <w:p>
            <w:pPr>
              <w:adjustRightInd w:val="0"/>
              <w:snapToGrid w:val="0"/>
              <w:spacing w:line="240" w:lineRule="auto"/>
              <w:jc w:val="center"/>
              <w:rPr>
                <w:color w:val="000000" w:themeColor="text1"/>
                <w:kern w:val="0"/>
              </w:rPr>
            </w:pPr>
            <w:r>
              <w:rPr>
                <w:rFonts w:hint="eastAsia"/>
                <w:color w:val="000000" w:themeColor="text1"/>
                <w:szCs w:val="21"/>
              </w:rPr>
              <w:t>1间，面积10m</w:t>
            </w:r>
            <w:r>
              <w:rPr>
                <w:rFonts w:hint="eastAsia"/>
                <w:color w:val="000000" w:themeColor="text1"/>
                <w:szCs w:val="21"/>
                <w:vertAlign w:val="superscript"/>
              </w:rPr>
              <w:t>2</w:t>
            </w:r>
          </w:p>
        </w:tc>
        <w:tc>
          <w:tcPr>
            <w:tcW w:w="1570" w:type="dxa"/>
            <w:vAlign w:val="center"/>
          </w:tcPr>
          <w:p>
            <w:pPr>
              <w:adjustRightInd w:val="0"/>
              <w:snapToGrid w:val="0"/>
              <w:spacing w:line="240" w:lineRule="auto"/>
              <w:jc w:val="center"/>
              <w:rPr>
                <w:color w:val="000000" w:themeColor="text1"/>
                <w:kern w:val="0"/>
              </w:rPr>
            </w:pPr>
            <w:r>
              <w:rPr>
                <w:rFonts w:hint="eastAsia"/>
                <w:color w:val="000000" w:themeColor="text1"/>
                <w:szCs w:val="21"/>
              </w:rPr>
              <w:t>医疗废物</w:t>
            </w:r>
          </w:p>
        </w:tc>
        <w:tc>
          <w:tcPr>
            <w:tcW w:w="999" w:type="dxa"/>
            <w:vAlign w:val="center"/>
          </w:tcPr>
          <w:p>
            <w:pPr>
              <w:adjustRightInd w:val="0"/>
              <w:snapToGrid w:val="0"/>
              <w:spacing w:line="240" w:lineRule="auto"/>
              <w:jc w:val="center"/>
              <w:rPr>
                <w:color w:val="000000" w:themeColor="text1"/>
                <w:kern w:val="0"/>
              </w:rPr>
            </w:pPr>
            <w:r>
              <w:rPr>
                <w:rFonts w:hint="eastAsia"/>
                <w:color w:val="000000" w:themeColor="text1"/>
                <w:kern w:val="0"/>
              </w:rPr>
              <w:t>1</w:t>
            </w:r>
          </w:p>
        </w:tc>
        <w:tc>
          <w:tcPr>
            <w:tcW w:w="1203" w:type="dxa"/>
            <w:vAlign w:val="center"/>
          </w:tcPr>
          <w:p>
            <w:pPr>
              <w:spacing w:line="240" w:lineRule="auto"/>
              <w:jc w:val="center"/>
              <w:rPr>
                <w:color w:val="000000" w:themeColor="text1"/>
                <w:kern w:val="0"/>
              </w:rPr>
            </w:pPr>
            <w:r>
              <w:rPr>
                <w:rFonts w:hint="eastAsia"/>
                <w:color w:val="000000" w:themeColor="text1"/>
                <w:kern w:val="0"/>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dxa"/>
            <w:vAlign w:val="center"/>
          </w:tcPr>
          <w:p>
            <w:pPr>
              <w:adjustRightInd w:val="0"/>
              <w:snapToGrid w:val="0"/>
              <w:spacing w:line="240" w:lineRule="auto"/>
              <w:jc w:val="center"/>
              <w:rPr>
                <w:color w:val="000000" w:themeColor="text1"/>
                <w:kern w:val="0"/>
              </w:rPr>
            </w:pPr>
            <w:r>
              <w:rPr>
                <w:color w:val="000000" w:themeColor="text1"/>
                <w:kern w:val="0"/>
              </w:rPr>
              <w:t>合计</w:t>
            </w:r>
          </w:p>
        </w:tc>
        <w:tc>
          <w:tcPr>
            <w:tcW w:w="7996" w:type="dxa"/>
            <w:gridSpan w:val="6"/>
            <w:vAlign w:val="center"/>
          </w:tcPr>
          <w:p>
            <w:pPr>
              <w:adjustRightInd w:val="0"/>
              <w:snapToGrid w:val="0"/>
              <w:spacing w:line="240" w:lineRule="auto"/>
              <w:jc w:val="center"/>
              <w:rPr>
                <w:color w:val="000000" w:themeColor="text1"/>
                <w:kern w:val="0"/>
              </w:rPr>
            </w:pPr>
            <w:r>
              <w:rPr>
                <w:rFonts w:hint="eastAsia"/>
                <w:color w:val="000000" w:themeColor="text1"/>
                <w:kern w:val="0"/>
              </w:rPr>
              <w:t>984.1</w:t>
            </w:r>
          </w:p>
        </w:tc>
      </w:tr>
    </w:tbl>
    <w:p>
      <w:pPr>
        <w:pStyle w:val="3"/>
        <w:spacing w:before="0" w:after="0"/>
        <w:rPr>
          <w:rFonts w:ascii="Times New Roman" w:hAnsi="Times New Roman"/>
          <w:color w:val="000000" w:themeColor="text1"/>
        </w:rPr>
      </w:pPr>
      <w:bookmarkStart w:id="512" w:name="_Toc163314241"/>
      <w:bookmarkStart w:id="513" w:name="_Toc182157591"/>
      <w:bookmarkStart w:id="514" w:name="_Toc4076513"/>
      <w:bookmarkStart w:id="515" w:name="_Toc180375676"/>
      <w:bookmarkStart w:id="516" w:name="_Toc180549433"/>
      <w:bookmarkStart w:id="517" w:name="_Toc510547378"/>
      <w:bookmarkStart w:id="518" w:name="_Toc181623391"/>
      <w:bookmarkStart w:id="519" w:name="_Toc177630966"/>
      <w:bookmarkStart w:id="520" w:name="_Toc177630231"/>
      <w:bookmarkStart w:id="521" w:name="_Toc402186419"/>
      <w:bookmarkStart w:id="522" w:name="_Toc177630418"/>
      <w:r>
        <w:rPr>
          <w:rFonts w:ascii="Times New Roman" w:hAnsi="Times New Roman"/>
          <w:color w:val="000000" w:themeColor="text1"/>
        </w:rPr>
        <w:t>9.2项目的环保效益</w:t>
      </w:r>
      <w:bookmarkEnd w:id="512"/>
      <w:bookmarkEnd w:id="513"/>
      <w:bookmarkEnd w:id="514"/>
      <w:bookmarkEnd w:id="515"/>
      <w:bookmarkEnd w:id="516"/>
      <w:bookmarkEnd w:id="517"/>
      <w:bookmarkEnd w:id="518"/>
      <w:bookmarkEnd w:id="519"/>
      <w:bookmarkEnd w:id="520"/>
      <w:bookmarkEnd w:id="521"/>
      <w:bookmarkEnd w:id="522"/>
    </w:p>
    <w:p>
      <w:pPr>
        <w:adjustRightInd w:val="0"/>
        <w:snapToGrid w:val="0"/>
        <w:ind w:firstLine="480" w:firstLineChars="200"/>
        <w:rPr>
          <w:color w:val="000000" w:themeColor="text1"/>
          <w:sz w:val="24"/>
        </w:rPr>
      </w:pPr>
      <w:r>
        <w:rPr>
          <w:color w:val="000000" w:themeColor="text1"/>
          <w:sz w:val="24"/>
        </w:rPr>
        <w:t>环境保护效益就是指拟建项目的环境保护效益污染控制投资费用所能获取的效益，它一般包括直接经济效益和间接经济效益。</w:t>
      </w:r>
    </w:p>
    <w:p>
      <w:pPr>
        <w:adjustRightInd w:val="0"/>
        <w:snapToGrid w:val="0"/>
        <w:ind w:firstLine="480" w:firstLineChars="200"/>
        <w:rPr>
          <w:color w:val="000000" w:themeColor="text1"/>
          <w:sz w:val="24"/>
        </w:rPr>
      </w:pPr>
      <w:r>
        <w:rPr>
          <w:color w:val="000000" w:themeColor="text1"/>
          <w:sz w:val="24"/>
        </w:rPr>
        <w:t>经济效益是指环保设施实施后所产生的社会效益，包括环境污染所造成损失的减少、人体健康水平的提高、污染物减量或污染达标后免交的排污费、罚款、委托处置费等。但大部分效益难以用货币量化。</w:t>
      </w:r>
    </w:p>
    <w:p>
      <w:pPr>
        <w:adjustRightInd w:val="0"/>
        <w:snapToGrid w:val="0"/>
        <w:ind w:firstLine="480" w:firstLineChars="200"/>
        <w:rPr>
          <w:color w:val="000000" w:themeColor="text1"/>
          <w:sz w:val="24"/>
        </w:rPr>
      </w:pPr>
      <w:r>
        <w:rPr>
          <w:color w:val="000000" w:themeColor="text1"/>
          <w:sz w:val="24"/>
        </w:rPr>
        <w:t>本项目产生的废气主要含H</w:t>
      </w:r>
      <w:r>
        <w:rPr>
          <w:color w:val="000000" w:themeColor="text1"/>
          <w:sz w:val="24"/>
          <w:vertAlign w:val="subscript"/>
        </w:rPr>
        <w:t>2</w:t>
      </w:r>
      <w:r>
        <w:rPr>
          <w:color w:val="000000" w:themeColor="text1"/>
          <w:sz w:val="24"/>
        </w:rPr>
        <w:t>S和NH</w:t>
      </w:r>
      <w:r>
        <w:rPr>
          <w:color w:val="000000" w:themeColor="text1"/>
          <w:sz w:val="24"/>
          <w:vertAlign w:val="subscript"/>
        </w:rPr>
        <w:t>3</w:t>
      </w:r>
      <w:r>
        <w:rPr>
          <w:color w:val="000000" w:themeColor="text1"/>
          <w:sz w:val="24"/>
        </w:rPr>
        <w:t>，如果不对其进行处理，则将造成周围大气环境质量下降，影响人群身体健康，并且造成一定的经济损失；若污水不进行处理直接排放，将造成地表水水质进一步恶化；固废若不进行妥善处置，噪声若不治理将会对环境造成污染并对人群健康造成危害。</w:t>
      </w:r>
    </w:p>
    <w:p>
      <w:pPr>
        <w:pStyle w:val="3"/>
        <w:spacing w:before="0" w:after="0"/>
        <w:rPr>
          <w:rFonts w:ascii="Times New Roman" w:hAnsi="Times New Roman"/>
          <w:color w:val="000000" w:themeColor="text1"/>
        </w:rPr>
      </w:pPr>
      <w:bookmarkStart w:id="523" w:name="_Toc180375677"/>
      <w:bookmarkStart w:id="524" w:name="_Toc163314242"/>
      <w:bookmarkStart w:id="525" w:name="_Toc181623392"/>
      <w:bookmarkStart w:id="526" w:name="_Toc177630232"/>
      <w:bookmarkStart w:id="527" w:name="_Toc180549434"/>
      <w:bookmarkStart w:id="528" w:name="_Toc177630419"/>
      <w:bookmarkStart w:id="529" w:name="_Toc177630967"/>
      <w:bookmarkStart w:id="530" w:name="_Toc182157593"/>
      <w:bookmarkStart w:id="531" w:name="_Toc4076514"/>
      <w:bookmarkStart w:id="532" w:name="_Toc510547379"/>
      <w:bookmarkStart w:id="533" w:name="_Toc402186420"/>
      <w:r>
        <w:rPr>
          <w:rFonts w:ascii="Times New Roman" w:hAnsi="Times New Roman"/>
          <w:color w:val="000000" w:themeColor="text1"/>
        </w:rPr>
        <w:t>9.3项目的社会效益</w:t>
      </w:r>
      <w:bookmarkEnd w:id="523"/>
      <w:bookmarkEnd w:id="524"/>
      <w:bookmarkEnd w:id="525"/>
      <w:bookmarkEnd w:id="526"/>
      <w:bookmarkEnd w:id="527"/>
      <w:bookmarkEnd w:id="528"/>
      <w:bookmarkEnd w:id="529"/>
      <w:bookmarkEnd w:id="530"/>
      <w:bookmarkEnd w:id="531"/>
      <w:bookmarkEnd w:id="532"/>
      <w:bookmarkEnd w:id="533"/>
    </w:p>
    <w:p>
      <w:pPr>
        <w:adjustRightInd w:val="0"/>
        <w:snapToGrid w:val="0"/>
        <w:ind w:firstLine="480" w:firstLineChars="200"/>
        <w:rPr>
          <w:color w:val="000000" w:themeColor="text1"/>
          <w:sz w:val="24"/>
        </w:rPr>
      </w:pPr>
      <w:r>
        <w:rPr>
          <w:color w:val="000000" w:themeColor="text1"/>
          <w:sz w:val="24"/>
        </w:rPr>
        <w:t>（1）项目建设将促进农业现代化建设</w:t>
      </w:r>
    </w:p>
    <w:p>
      <w:pPr>
        <w:adjustRightInd w:val="0"/>
        <w:snapToGrid w:val="0"/>
        <w:ind w:firstLine="480" w:firstLineChars="200"/>
        <w:rPr>
          <w:color w:val="000000" w:themeColor="text1"/>
          <w:sz w:val="24"/>
        </w:rPr>
      </w:pPr>
      <w:r>
        <w:rPr>
          <w:color w:val="000000" w:themeColor="text1"/>
          <w:sz w:val="24"/>
        </w:rPr>
        <w:t>本项目的建设实施，将发挥以科技第一生产力推动农业现代化发展、农业产业化经营的优势，让农民增收致富，促进农村各项事业的全面发展。项目将以科技创新为动力，集聚生产要素，优化资源配置，加快发展优势农产品产业，积极发展农业产业化龙头企业，创建农产品现代营销体系，努力提高农业综合效益，促进农业增效、农民增收，实现由传统农业向现代农业的转变。</w:t>
      </w:r>
    </w:p>
    <w:p>
      <w:pPr>
        <w:adjustRightInd w:val="0"/>
        <w:snapToGrid w:val="0"/>
        <w:ind w:firstLine="480" w:firstLineChars="200"/>
        <w:rPr>
          <w:color w:val="000000" w:themeColor="text1"/>
          <w:sz w:val="24"/>
        </w:rPr>
      </w:pPr>
      <w:bookmarkStart w:id="534" w:name="_Toc275504331"/>
      <w:r>
        <w:rPr>
          <w:color w:val="000000" w:themeColor="text1"/>
          <w:sz w:val="24"/>
        </w:rPr>
        <w:t>（2）本项目的生态和循环原则将有利于环保和可持续发展</w:t>
      </w:r>
      <w:bookmarkEnd w:id="534"/>
    </w:p>
    <w:p>
      <w:pPr>
        <w:adjustRightInd w:val="0"/>
        <w:snapToGrid w:val="0"/>
        <w:ind w:firstLine="480" w:firstLineChars="200"/>
        <w:rPr>
          <w:color w:val="000000" w:themeColor="text1"/>
          <w:sz w:val="24"/>
        </w:rPr>
      </w:pPr>
      <w:r>
        <w:rPr>
          <w:color w:val="000000" w:themeColor="text1"/>
          <w:sz w:val="24"/>
        </w:rPr>
        <w:t>围绕规模化养殖对优质饲料的需求和市场对特色优质生鲜农产品的需求，调整种植业结构，对于豆粕、玉米、麦麸、米糠的需求，极大的带动当地农作物的种植和生产；养殖业的牲畜粪便又为种植业提供优质有机肥料；又可围绕种植产品发展贮藏保鲜、加工业；围绕养殖业建立屠宰和肉类加工业。在此基础上发展运销配送业。形成具有特色的现代农业产业，实现产品的多次增值。这样的做法既可保护环境，又有利于农业的可持续发展。</w:t>
      </w:r>
    </w:p>
    <w:p>
      <w:pPr>
        <w:adjustRightInd w:val="0"/>
        <w:snapToGrid w:val="0"/>
        <w:ind w:firstLine="480" w:firstLineChars="200"/>
        <w:rPr>
          <w:color w:val="000000" w:themeColor="text1"/>
          <w:sz w:val="24"/>
        </w:rPr>
      </w:pPr>
      <w:bookmarkStart w:id="535" w:name="_Toc275504332"/>
      <w:r>
        <w:rPr>
          <w:color w:val="000000" w:themeColor="text1"/>
          <w:sz w:val="24"/>
        </w:rPr>
        <w:t>（3）促进当地社会事业发展</w:t>
      </w:r>
      <w:bookmarkEnd w:id="535"/>
    </w:p>
    <w:p>
      <w:pPr>
        <w:adjustRightInd w:val="0"/>
        <w:snapToGrid w:val="0"/>
        <w:ind w:firstLine="480" w:firstLineChars="200"/>
        <w:rPr>
          <w:color w:val="000000" w:themeColor="text1"/>
          <w:sz w:val="24"/>
        </w:rPr>
      </w:pPr>
      <w:r>
        <w:rPr>
          <w:color w:val="000000" w:themeColor="text1"/>
          <w:sz w:val="24"/>
        </w:rPr>
        <w:t>项目建成后预计可增加附近村庄的农业总产值、增加对项目区附近的农业现代化进程的推进，为尚不富裕的当地经济发展做出积极的贡献，促进当地社会事业的发展。</w:t>
      </w:r>
    </w:p>
    <w:p>
      <w:pPr>
        <w:adjustRightInd w:val="0"/>
        <w:snapToGrid w:val="0"/>
        <w:ind w:firstLine="480" w:firstLineChars="200"/>
        <w:rPr>
          <w:color w:val="000000" w:themeColor="text1"/>
          <w:sz w:val="24"/>
        </w:rPr>
      </w:pPr>
      <w:r>
        <w:rPr>
          <w:color w:val="000000" w:themeColor="text1"/>
          <w:sz w:val="24"/>
        </w:rPr>
        <w:t>该项目的建设极大地推动了当地的经济发展，同时解决了当地一些农民或待业人员的劳动就业问题，一定程度上缓解了当地就业的压力。本项目的投产还对优化农村经济结构，促进农业增值，调整产业结构起到了不可估量的作用。因此，本项目的社会效益明显。</w:t>
      </w:r>
    </w:p>
    <w:p>
      <w:pPr>
        <w:adjustRightInd w:val="0"/>
        <w:snapToGrid w:val="0"/>
        <w:ind w:firstLine="480" w:firstLineChars="200"/>
        <w:rPr>
          <w:color w:val="000000" w:themeColor="text1"/>
          <w:sz w:val="24"/>
        </w:rPr>
      </w:pPr>
      <w:r>
        <w:rPr>
          <w:color w:val="000000" w:themeColor="text1"/>
          <w:sz w:val="24"/>
        </w:rPr>
        <w:t>总之，项目经济效益好，社会效益显著，是符合国情、省情的项目，在采取本环评提出的环境保护措施后，可以有效减小项目对环境的不利影响。最终实现社会效益、经济效益、环境效益的统一。</w:t>
      </w:r>
    </w:p>
    <w:p>
      <w:pPr>
        <w:adjustRightInd w:val="0"/>
        <w:snapToGrid w:val="0"/>
        <w:ind w:firstLine="480"/>
        <w:rPr>
          <w:color w:val="000000" w:themeColor="text1"/>
          <w:sz w:val="24"/>
        </w:rPr>
      </w:pPr>
    </w:p>
    <w:p>
      <w:pPr>
        <w:adjustRightInd w:val="0"/>
        <w:snapToGrid w:val="0"/>
        <w:rPr>
          <w:color w:val="000000" w:themeColor="text1"/>
        </w:rPr>
        <w:sectPr>
          <w:pgSz w:w="11906" w:h="16838"/>
          <w:pgMar w:top="1440" w:right="1797" w:bottom="1440" w:left="1797" w:header="851" w:footer="992" w:gutter="0"/>
          <w:cols w:space="720" w:num="1"/>
          <w:docGrid w:linePitch="312" w:charSpace="0"/>
        </w:sectPr>
      </w:pPr>
    </w:p>
    <w:p>
      <w:pPr>
        <w:pStyle w:val="2"/>
        <w:rPr>
          <w:rFonts w:hAnsi="Times New Roman"/>
          <w:color w:val="000000" w:themeColor="text1"/>
        </w:rPr>
      </w:pPr>
      <w:bookmarkStart w:id="536" w:name="_Toc402186421"/>
      <w:bookmarkStart w:id="537" w:name="_Toc4076515"/>
      <w:bookmarkStart w:id="538" w:name="_Toc510547380"/>
      <w:r>
        <w:rPr>
          <w:rFonts w:hAnsi="Times New Roman"/>
          <w:color w:val="000000" w:themeColor="text1"/>
        </w:rPr>
        <w:t>10环境管理</w:t>
      </w:r>
      <w:bookmarkStart w:id="539" w:name="_Hlt168759121"/>
      <w:bookmarkEnd w:id="539"/>
      <w:r>
        <w:rPr>
          <w:rFonts w:hAnsi="Times New Roman"/>
          <w:color w:val="000000" w:themeColor="text1"/>
        </w:rPr>
        <w:t>计划及环境监测制度建议</w:t>
      </w:r>
      <w:bookmarkEnd w:id="491"/>
      <w:bookmarkEnd w:id="492"/>
      <w:bookmarkEnd w:id="493"/>
      <w:bookmarkEnd w:id="494"/>
      <w:bookmarkEnd w:id="495"/>
      <w:bookmarkEnd w:id="496"/>
      <w:bookmarkEnd w:id="497"/>
      <w:bookmarkEnd w:id="498"/>
      <w:bookmarkEnd w:id="499"/>
      <w:bookmarkEnd w:id="500"/>
      <w:bookmarkEnd w:id="536"/>
      <w:bookmarkEnd w:id="537"/>
      <w:bookmarkEnd w:id="538"/>
      <w:bookmarkStart w:id="540" w:name="_Hlt168759485"/>
      <w:bookmarkEnd w:id="540"/>
      <w:bookmarkStart w:id="541" w:name="_Hlt124586433"/>
      <w:bookmarkEnd w:id="541"/>
      <w:bookmarkStart w:id="542" w:name="_Hlt168927814"/>
      <w:bookmarkEnd w:id="542"/>
    </w:p>
    <w:p>
      <w:pPr>
        <w:pStyle w:val="3"/>
        <w:adjustRightInd w:val="0"/>
        <w:snapToGrid w:val="0"/>
        <w:spacing w:before="0" w:after="0"/>
        <w:rPr>
          <w:rFonts w:ascii="Times New Roman" w:hAnsi="Times New Roman"/>
          <w:color w:val="000000" w:themeColor="text1"/>
        </w:rPr>
      </w:pPr>
      <w:bookmarkStart w:id="543" w:name="_Toc181977982"/>
      <w:bookmarkStart w:id="544" w:name="_Toc202295970"/>
      <w:bookmarkStart w:id="545" w:name="_Toc181977708"/>
      <w:bookmarkStart w:id="546" w:name="_Toc181977160"/>
      <w:bookmarkStart w:id="547" w:name="_Toc137444128"/>
      <w:bookmarkStart w:id="548" w:name="_Toc168928017"/>
      <w:bookmarkStart w:id="549" w:name="_Toc4076516"/>
      <w:bookmarkStart w:id="550" w:name="_Toc402186422"/>
      <w:bookmarkStart w:id="551" w:name="_Toc510547381"/>
      <w:bookmarkStart w:id="552" w:name="_Toc269776764"/>
      <w:bookmarkStart w:id="553" w:name="_Toc271228908"/>
      <w:bookmarkStart w:id="554" w:name="_Toc202295472"/>
      <w:bookmarkStart w:id="555" w:name="_Toc191562547"/>
      <w:r>
        <w:rPr>
          <w:rFonts w:ascii="Times New Roman" w:hAnsi="Times New Roman"/>
          <w:color w:val="000000" w:themeColor="text1"/>
        </w:rPr>
        <w:t>10.1环境管理</w:t>
      </w:r>
      <w:bookmarkEnd w:id="543"/>
      <w:bookmarkEnd w:id="544"/>
      <w:bookmarkEnd w:id="545"/>
      <w:bookmarkEnd w:id="546"/>
      <w:bookmarkEnd w:id="547"/>
      <w:bookmarkEnd w:id="548"/>
      <w:bookmarkEnd w:id="549"/>
      <w:bookmarkEnd w:id="550"/>
      <w:bookmarkEnd w:id="551"/>
      <w:bookmarkEnd w:id="552"/>
      <w:bookmarkEnd w:id="553"/>
      <w:bookmarkEnd w:id="554"/>
      <w:bookmarkEnd w:id="555"/>
      <w:bookmarkStart w:id="556" w:name="_Hlt220294329"/>
      <w:bookmarkEnd w:id="556"/>
    </w:p>
    <w:p>
      <w:pPr>
        <w:pStyle w:val="4"/>
        <w:adjustRightInd w:val="0"/>
        <w:snapToGrid w:val="0"/>
        <w:spacing w:before="0" w:after="0" w:line="360" w:lineRule="auto"/>
        <w:rPr>
          <w:color w:val="000000" w:themeColor="text1"/>
        </w:rPr>
      </w:pPr>
      <w:bookmarkStart w:id="557" w:name="_Toc202295473"/>
      <w:bookmarkStart w:id="558" w:name="_Toc202295971"/>
      <w:bookmarkStart w:id="559" w:name="_Toc269776765"/>
      <w:bookmarkStart w:id="560" w:name="_Toc191562548"/>
      <w:bookmarkStart w:id="561" w:name="_Toc506218145"/>
      <w:bookmarkStart w:id="562" w:name="_Toc181977983"/>
      <w:bookmarkStart w:id="563" w:name="_Toc510547382"/>
      <w:bookmarkStart w:id="564" w:name="_Toc181977161"/>
      <w:bookmarkStart w:id="565" w:name="_Toc181977709"/>
      <w:bookmarkStart w:id="566" w:name="_Toc137444129"/>
      <w:bookmarkStart w:id="567" w:name="_Toc168928018"/>
      <w:bookmarkStart w:id="568" w:name="_Toc504403892"/>
      <w:r>
        <w:rPr>
          <w:color w:val="000000" w:themeColor="text1"/>
        </w:rPr>
        <w:t>10.1.1环境管理机构</w:t>
      </w:r>
      <w:bookmarkEnd w:id="557"/>
      <w:bookmarkEnd w:id="558"/>
      <w:bookmarkEnd w:id="559"/>
      <w:bookmarkEnd w:id="560"/>
      <w:bookmarkEnd w:id="561"/>
      <w:bookmarkEnd w:id="562"/>
      <w:bookmarkEnd w:id="563"/>
      <w:bookmarkEnd w:id="564"/>
      <w:bookmarkEnd w:id="565"/>
      <w:bookmarkEnd w:id="566"/>
      <w:bookmarkEnd w:id="567"/>
      <w:bookmarkEnd w:id="568"/>
    </w:p>
    <w:p>
      <w:pPr>
        <w:adjustRightInd w:val="0"/>
        <w:snapToGrid w:val="0"/>
        <w:ind w:firstLine="480"/>
        <w:rPr>
          <w:color w:val="000000" w:themeColor="text1"/>
          <w:sz w:val="24"/>
        </w:rPr>
      </w:pPr>
      <w:bookmarkStart w:id="569" w:name="_Toc137444130"/>
      <w:r>
        <w:rPr>
          <w:color w:val="000000" w:themeColor="text1"/>
          <w:sz w:val="24"/>
        </w:rPr>
        <w:t>本项目建设完成后必须配置有专职环保机构和专职环境管理人员。</w:t>
      </w:r>
    </w:p>
    <w:p>
      <w:pPr>
        <w:pStyle w:val="4"/>
        <w:adjustRightInd w:val="0"/>
        <w:snapToGrid w:val="0"/>
        <w:spacing w:before="0" w:after="0" w:line="360" w:lineRule="auto"/>
        <w:rPr>
          <w:color w:val="000000" w:themeColor="text1"/>
        </w:rPr>
      </w:pPr>
      <w:bookmarkStart w:id="570" w:name="_Toc168928019"/>
      <w:bookmarkStart w:id="571" w:name="_Toc181977710"/>
      <w:bookmarkStart w:id="572" w:name="_Toc181977162"/>
      <w:bookmarkStart w:id="573" w:name="_Toc506218146"/>
      <w:bookmarkStart w:id="574" w:name="_Toc202295972"/>
      <w:bookmarkStart w:id="575" w:name="_Toc504403893"/>
      <w:bookmarkStart w:id="576" w:name="_Toc510547383"/>
      <w:bookmarkStart w:id="577" w:name="_Toc269776766"/>
      <w:bookmarkStart w:id="578" w:name="_Toc202295474"/>
      <w:bookmarkStart w:id="579" w:name="_Toc191562549"/>
      <w:bookmarkStart w:id="580" w:name="_Toc181977984"/>
      <w:r>
        <w:rPr>
          <w:color w:val="000000" w:themeColor="text1"/>
        </w:rPr>
        <w:t>10.1.2环保管理人员职责</w:t>
      </w:r>
      <w:bookmarkEnd w:id="569"/>
      <w:bookmarkEnd w:id="570"/>
      <w:bookmarkEnd w:id="571"/>
      <w:bookmarkEnd w:id="572"/>
      <w:bookmarkEnd w:id="573"/>
      <w:bookmarkEnd w:id="574"/>
      <w:bookmarkEnd w:id="575"/>
      <w:bookmarkEnd w:id="576"/>
      <w:bookmarkEnd w:id="577"/>
      <w:bookmarkEnd w:id="578"/>
      <w:bookmarkEnd w:id="579"/>
      <w:bookmarkEnd w:id="580"/>
    </w:p>
    <w:p>
      <w:pPr>
        <w:adjustRightInd w:val="0"/>
        <w:snapToGrid w:val="0"/>
        <w:ind w:firstLine="480" w:firstLineChars="200"/>
        <w:rPr>
          <w:color w:val="000000" w:themeColor="text1"/>
          <w:sz w:val="24"/>
        </w:rPr>
      </w:pPr>
      <w:r>
        <w:rPr>
          <w:color w:val="000000" w:themeColor="text1"/>
          <w:sz w:val="24"/>
        </w:rPr>
        <w:t>（1）督促项目环保治理措施、管理措施的实施。</w:t>
      </w:r>
    </w:p>
    <w:p>
      <w:pPr>
        <w:adjustRightInd w:val="0"/>
        <w:snapToGrid w:val="0"/>
        <w:ind w:firstLine="480" w:firstLineChars="200"/>
        <w:rPr>
          <w:color w:val="000000" w:themeColor="text1"/>
          <w:sz w:val="24"/>
        </w:rPr>
      </w:pPr>
      <w:r>
        <w:rPr>
          <w:color w:val="000000" w:themeColor="text1"/>
          <w:sz w:val="24"/>
        </w:rPr>
        <w:t>（2）监督检查公司各项环保设施的运行，并提出改善环境的建议和对策。</w:t>
      </w:r>
    </w:p>
    <w:p>
      <w:pPr>
        <w:adjustRightInd w:val="0"/>
        <w:snapToGrid w:val="0"/>
        <w:ind w:firstLine="480" w:firstLineChars="200"/>
        <w:rPr>
          <w:color w:val="000000" w:themeColor="text1"/>
          <w:sz w:val="24"/>
        </w:rPr>
      </w:pPr>
      <w:r>
        <w:rPr>
          <w:color w:val="000000" w:themeColor="text1"/>
          <w:sz w:val="24"/>
        </w:rPr>
        <w:t>（3）负责本公司职工的环保教育、安全教育工作，以提高全场职工的环保安全及风险防范意识。</w:t>
      </w:r>
    </w:p>
    <w:p>
      <w:pPr>
        <w:adjustRightInd w:val="0"/>
        <w:snapToGrid w:val="0"/>
        <w:ind w:firstLine="480" w:firstLineChars="200"/>
        <w:rPr>
          <w:color w:val="000000" w:themeColor="text1"/>
          <w:sz w:val="24"/>
        </w:rPr>
      </w:pPr>
      <w:r>
        <w:rPr>
          <w:color w:val="000000" w:themeColor="text1"/>
          <w:sz w:val="24"/>
        </w:rPr>
        <w:t>（4）定期向当地环保部门汇报本企业的环保工作情况。</w:t>
      </w:r>
    </w:p>
    <w:p>
      <w:pPr>
        <w:pStyle w:val="3"/>
        <w:adjustRightInd w:val="0"/>
        <w:snapToGrid w:val="0"/>
        <w:spacing w:before="0" w:after="0"/>
        <w:rPr>
          <w:rFonts w:ascii="Times New Roman" w:hAnsi="Times New Roman"/>
          <w:color w:val="000000" w:themeColor="text1"/>
        </w:rPr>
      </w:pPr>
      <w:bookmarkStart w:id="581" w:name="_Toc181977985"/>
      <w:bookmarkStart w:id="582" w:name="_Toc181977711"/>
      <w:bookmarkStart w:id="583" w:name="_Toc4076517"/>
      <w:bookmarkStart w:id="584" w:name="_Toc271228909"/>
      <w:bookmarkStart w:id="585" w:name="_Toc510547384"/>
      <w:bookmarkStart w:id="586" w:name="_Toc402186423"/>
      <w:bookmarkStart w:id="587" w:name="_Toc269776767"/>
      <w:bookmarkStart w:id="588" w:name="_Toc168928020"/>
      <w:bookmarkStart w:id="589" w:name="_Toc202295973"/>
      <w:bookmarkStart w:id="590" w:name="_Toc202295475"/>
      <w:bookmarkStart w:id="591" w:name="_Toc137444131"/>
      <w:bookmarkStart w:id="592" w:name="_Toc181977163"/>
      <w:bookmarkStart w:id="593" w:name="_Toc191562550"/>
      <w:r>
        <w:rPr>
          <w:rFonts w:ascii="Times New Roman" w:hAnsi="Times New Roman"/>
          <w:color w:val="000000" w:themeColor="text1"/>
        </w:rPr>
        <w:t>10.2施工期的环境管理</w:t>
      </w:r>
      <w:bookmarkEnd w:id="581"/>
      <w:bookmarkEnd w:id="582"/>
      <w:bookmarkEnd w:id="583"/>
      <w:bookmarkEnd w:id="584"/>
      <w:bookmarkEnd w:id="585"/>
      <w:bookmarkEnd w:id="586"/>
      <w:bookmarkEnd w:id="587"/>
      <w:bookmarkEnd w:id="588"/>
      <w:bookmarkEnd w:id="589"/>
      <w:bookmarkEnd w:id="590"/>
      <w:bookmarkEnd w:id="591"/>
      <w:bookmarkEnd w:id="592"/>
      <w:bookmarkEnd w:id="593"/>
      <w:bookmarkStart w:id="594" w:name="_Hlt137032292"/>
      <w:bookmarkEnd w:id="594"/>
    </w:p>
    <w:p>
      <w:pPr>
        <w:adjustRightInd w:val="0"/>
        <w:snapToGrid w:val="0"/>
        <w:ind w:firstLine="480" w:firstLineChars="200"/>
        <w:rPr>
          <w:color w:val="000000" w:themeColor="text1"/>
          <w:sz w:val="24"/>
        </w:rPr>
      </w:pPr>
      <w:r>
        <w:rPr>
          <w:color w:val="000000" w:themeColor="text1"/>
          <w:sz w:val="24"/>
        </w:rPr>
        <w:t>（1）对施工单位提出要求，明确责任，督促施工单位采取有效措施减少施工过程中地面扬尘、建筑粉尘和施工机械尾气对大气环境的污染。</w:t>
      </w:r>
    </w:p>
    <w:p>
      <w:pPr>
        <w:adjustRightInd w:val="0"/>
        <w:snapToGrid w:val="0"/>
        <w:ind w:firstLine="480" w:firstLineChars="200"/>
        <w:rPr>
          <w:color w:val="000000" w:themeColor="text1"/>
          <w:sz w:val="24"/>
        </w:rPr>
      </w:pPr>
      <w:r>
        <w:rPr>
          <w:color w:val="000000" w:themeColor="text1"/>
          <w:sz w:val="24"/>
        </w:rPr>
        <w:t>（2）明确施工中废水排放的要求和职责，并定期组织检查，使废水不外排</w:t>
      </w:r>
    </w:p>
    <w:p>
      <w:pPr>
        <w:adjustRightInd w:val="0"/>
        <w:snapToGrid w:val="0"/>
        <w:ind w:firstLine="480" w:firstLineChars="200"/>
        <w:rPr>
          <w:color w:val="000000" w:themeColor="text1"/>
          <w:sz w:val="24"/>
        </w:rPr>
      </w:pPr>
      <w:r>
        <w:rPr>
          <w:color w:val="000000" w:themeColor="text1"/>
          <w:sz w:val="24"/>
        </w:rPr>
        <w:t>（3）要求施工单位按要求设置控制噪声装置，减少噪声对周围环境的影响。</w:t>
      </w:r>
    </w:p>
    <w:p>
      <w:pPr>
        <w:adjustRightInd w:val="0"/>
        <w:snapToGrid w:val="0"/>
        <w:ind w:firstLine="480" w:firstLineChars="200"/>
        <w:rPr>
          <w:color w:val="000000" w:themeColor="text1"/>
          <w:sz w:val="24"/>
        </w:rPr>
      </w:pPr>
      <w:r>
        <w:rPr>
          <w:color w:val="000000" w:themeColor="text1"/>
          <w:sz w:val="24"/>
        </w:rPr>
        <w:t>（4）定期检查，督促施工单位按要求回填处理建筑垃圾，收集和处理施工废渣和生活垃圾。</w:t>
      </w:r>
    </w:p>
    <w:p>
      <w:pPr>
        <w:adjustRightInd w:val="0"/>
        <w:snapToGrid w:val="0"/>
        <w:ind w:firstLine="480" w:firstLineChars="200"/>
        <w:rPr>
          <w:color w:val="000000" w:themeColor="text1"/>
          <w:sz w:val="24"/>
        </w:rPr>
      </w:pPr>
      <w:r>
        <w:rPr>
          <w:color w:val="000000" w:themeColor="text1"/>
          <w:sz w:val="24"/>
        </w:rPr>
        <w:t>（5）项目建成后，应全面检查施工现场的环境恢复情况。</w:t>
      </w:r>
    </w:p>
    <w:p>
      <w:pPr>
        <w:adjustRightInd w:val="0"/>
        <w:snapToGrid w:val="0"/>
        <w:ind w:firstLine="480" w:firstLineChars="200"/>
        <w:rPr>
          <w:color w:val="000000" w:themeColor="text1"/>
          <w:sz w:val="24"/>
        </w:rPr>
      </w:pPr>
      <w:r>
        <w:rPr>
          <w:color w:val="000000" w:themeColor="text1"/>
          <w:sz w:val="24"/>
        </w:rPr>
        <w:t>（6）协助环境监理单位进行施工期的环境监理。</w:t>
      </w:r>
      <w:bookmarkStart w:id="595" w:name="_Hlt202337278"/>
      <w:bookmarkEnd w:id="595"/>
    </w:p>
    <w:p>
      <w:pPr>
        <w:pStyle w:val="3"/>
        <w:adjustRightInd w:val="0"/>
        <w:snapToGrid w:val="0"/>
        <w:spacing w:before="0" w:after="0"/>
        <w:rPr>
          <w:rFonts w:ascii="Times New Roman" w:hAnsi="Times New Roman"/>
          <w:color w:val="000000" w:themeColor="text1"/>
        </w:rPr>
      </w:pPr>
      <w:bookmarkStart w:id="596" w:name="_Toc269776768"/>
      <w:bookmarkStart w:id="597" w:name="_Toc137444132"/>
      <w:bookmarkStart w:id="598" w:name="_Toc181977712"/>
      <w:bookmarkStart w:id="599" w:name="_Toc271228910"/>
      <w:bookmarkStart w:id="600" w:name="_Toc181977164"/>
      <w:bookmarkStart w:id="601" w:name="_Toc4076518"/>
      <w:bookmarkStart w:id="602" w:name="_Toc168928021"/>
      <w:bookmarkStart w:id="603" w:name="_Toc510547385"/>
      <w:bookmarkStart w:id="604" w:name="_Toc191562551"/>
      <w:bookmarkStart w:id="605" w:name="_Toc202295476"/>
      <w:bookmarkStart w:id="606" w:name="_Toc402186424"/>
      <w:bookmarkStart w:id="607" w:name="_Toc202295974"/>
      <w:bookmarkStart w:id="608" w:name="_Toc181977986"/>
      <w:r>
        <w:rPr>
          <w:rFonts w:ascii="Times New Roman" w:hAnsi="Times New Roman"/>
          <w:color w:val="000000" w:themeColor="text1"/>
        </w:rPr>
        <w:t>10.3运营期的环境管理</w:t>
      </w:r>
      <w:bookmarkEnd w:id="596"/>
      <w:bookmarkEnd w:id="597"/>
      <w:bookmarkEnd w:id="598"/>
      <w:bookmarkEnd w:id="599"/>
      <w:bookmarkEnd w:id="600"/>
      <w:bookmarkEnd w:id="601"/>
      <w:bookmarkEnd w:id="602"/>
      <w:bookmarkEnd w:id="603"/>
      <w:bookmarkEnd w:id="604"/>
      <w:bookmarkEnd w:id="605"/>
      <w:bookmarkEnd w:id="606"/>
      <w:bookmarkEnd w:id="607"/>
      <w:bookmarkEnd w:id="608"/>
    </w:p>
    <w:p>
      <w:pPr>
        <w:ind w:firstLine="480" w:firstLineChars="200"/>
        <w:rPr>
          <w:color w:val="000000" w:themeColor="text1"/>
          <w:sz w:val="24"/>
        </w:rPr>
      </w:pPr>
      <w:bookmarkStart w:id="609" w:name="_Toc181977714"/>
      <w:bookmarkStart w:id="610" w:name="_Toc168928023"/>
      <w:bookmarkStart w:id="611" w:name="_Toc202295976"/>
      <w:bookmarkStart w:id="612" w:name="_Toc269776770"/>
      <w:bookmarkStart w:id="613" w:name="_Toc181977166"/>
      <w:bookmarkStart w:id="614" w:name="_Toc181977988"/>
      <w:bookmarkStart w:id="615" w:name="_Toc137444134"/>
      <w:bookmarkStart w:id="616" w:name="_Toc202295478"/>
      <w:bookmarkStart w:id="617" w:name="_Toc191562553"/>
      <w:r>
        <w:rPr>
          <w:color w:val="000000" w:themeColor="text1"/>
          <w:sz w:val="24"/>
        </w:rPr>
        <w:t>（1）项目建成投产前，应由环保部门、建设单位共同参与对建设项目验收，检查环保设施是否达到“三同时”要求。</w:t>
      </w:r>
    </w:p>
    <w:p>
      <w:pPr>
        <w:ind w:firstLine="480" w:firstLineChars="200"/>
        <w:rPr>
          <w:color w:val="000000" w:themeColor="text1"/>
          <w:sz w:val="24"/>
        </w:rPr>
      </w:pPr>
      <w:r>
        <w:rPr>
          <w:color w:val="000000" w:themeColor="text1"/>
          <w:sz w:val="24"/>
        </w:rPr>
        <w:t>（2）加强环保设施的管理，定期检查项目内环保设施运行情况，如排污管道、沼气工程等设施是否正常运行，防止污水溢出污染、环境。及时排除故障，保证环保设施正常运转。</w:t>
      </w:r>
    </w:p>
    <w:p>
      <w:pPr>
        <w:ind w:firstLine="480" w:firstLineChars="200"/>
        <w:rPr>
          <w:color w:val="000000" w:themeColor="text1"/>
          <w:sz w:val="24"/>
        </w:rPr>
      </w:pPr>
      <w:r>
        <w:rPr>
          <w:color w:val="000000" w:themeColor="text1"/>
          <w:sz w:val="24"/>
        </w:rPr>
        <w:t>（3）检查项目内环境，不允许在项目内开展有污染环境的项目，发现问题及时督促解决；</w:t>
      </w:r>
    </w:p>
    <w:p>
      <w:pPr>
        <w:tabs>
          <w:tab w:val="left" w:pos="0"/>
        </w:tabs>
        <w:ind w:firstLine="480" w:firstLineChars="200"/>
        <w:rPr>
          <w:color w:val="000000" w:themeColor="text1"/>
          <w:sz w:val="24"/>
        </w:rPr>
      </w:pPr>
      <w:r>
        <w:rPr>
          <w:color w:val="000000" w:themeColor="text1"/>
          <w:sz w:val="24"/>
        </w:rPr>
        <w:t>（4）运用经济、教育、行政、法律及其它手段，加强项目内工作人员的环保意识，加强环境保护的自觉性，不断提高环境管理水平。</w:t>
      </w:r>
    </w:p>
    <w:p>
      <w:pPr>
        <w:ind w:firstLine="480" w:firstLineChars="200"/>
        <w:rPr>
          <w:color w:val="000000" w:themeColor="text1"/>
          <w:sz w:val="24"/>
        </w:rPr>
      </w:pPr>
      <w:r>
        <w:rPr>
          <w:color w:val="000000" w:themeColor="text1"/>
          <w:sz w:val="24"/>
        </w:rPr>
        <w:t>（5）项目营运过程中，防止恶臭、污水、噪声、固废对环境造成影响。</w:t>
      </w:r>
    </w:p>
    <w:p>
      <w:pPr>
        <w:ind w:firstLine="480" w:firstLineChars="200"/>
        <w:rPr>
          <w:color w:val="000000" w:themeColor="text1"/>
          <w:sz w:val="24"/>
        </w:rPr>
      </w:pPr>
      <w:r>
        <w:rPr>
          <w:color w:val="000000" w:themeColor="text1"/>
          <w:sz w:val="24"/>
        </w:rPr>
        <w:t>（6）配合当地环保监测机构，实施环境监测计划。</w:t>
      </w:r>
    </w:p>
    <w:p>
      <w:pPr>
        <w:pStyle w:val="3"/>
        <w:adjustRightInd w:val="0"/>
        <w:snapToGrid w:val="0"/>
        <w:spacing w:before="0" w:after="0"/>
        <w:rPr>
          <w:rFonts w:ascii="Times New Roman" w:hAnsi="Times New Roman"/>
          <w:color w:val="000000" w:themeColor="text1"/>
        </w:rPr>
      </w:pPr>
      <w:bookmarkStart w:id="618" w:name="_Toc510547386"/>
      <w:bookmarkStart w:id="619" w:name="_Toc4076519"/>
      <w:r>
        <w:rPr>
          <w:rFonts w:ascii="Times New Roman" w:hAnsi="Times New Roman"/>
          <w:color w:val="000000" w:themeColor="text1"/>
        </w:rPr>
        <w:t>10.4污染物排放清单</w:t>
      </w:r>
      <w:bookmarkEnd w:id="618"/>
      <w:bookmarkEnd w:id="619"/>
    </w:p>
    <w:p>
      <w:pPr>
        <w:ind w:firstLine="480" w:firstLineChars="200"/>
        <w:rPr>
          <w:color w:val="000000" w:themeColor="text1"/>
          <w:sz w:val="24"/>
        </w:rPr>
        <w:sectPr>
          <w:pgSz w:w="11906" w:h="16838"/>
          <w:pgMar w:top="1440" w:right="1797" w:bottom="1440" w:left="1797" w:header="851" w:footer="992" w:gutter="0"/>
          <w:cols w:space="720" w:num="1"/>
          <w:docGrid w:linePitch="312" w:charSpace="0"/>
        </w:sectPr>
      </w:pPr>
      <w:r>
        <w:rPr>
          <w:color w:val="000000" w:themeColor="text1"/>
          <w:sz w:val="24"/>
        </w:rPr>
        <w:t>项目污染物排放情况见表10.4-1。</w:t>
      </w:r>
    </w:p>
    <w:p>
      <w:pPr>
        <w:pStyle w:val="158"/>
        <w:spacing w:line="240" w:lineRule="auto"/>
        <w:rPr>
          <w:color w:val="000000" w:themeColor="text1"/>
          <w:sz w:val="21"/>
          <w:szCs w:val="21"/>
        </w:rPr>
      </w:pPr>
      <w:r>
        <w:rPr>
          <w:color w:val="000000" w:themeColor="text1"/>
          <w:sz w:val="21"/>
          <w:szCs w:val="21"/>
        </w:rPr>
        <w:t>表10.4-1   污染物排放量清单</w:t>
      </w:r>
    </w:p>
    <w:tbl>
      <w:tblPr>
        <w:tblStyle w:val="42"/>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410"/>
        <w:gridCol w:w="1276"/>
        <w:gridCol w:w="1416"/>
        <w:gridCol w:w="3830"/>
        <w:gridCol w:w="2835"/>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种类</w:t>
            </w:r>
          </w:p>
        </w:tc>
        <w:tc>
          <w:tcPr>
            <w:tcW w:w="2410"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污染物名称</w:t>
            </w:r>
          </w:p>
        </w:tc>
        <w:tc>
          <w:tcPr>
            <w:tcW w:w="1276"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排放浓度</w:t>
            </w:r>
          </w:p>
        </w:tc>
        <w:tc>
          <w:tcPr>
            <w:tcW w:w="1416"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排放量（t/a）</w:t>
            </w:r>
          </w:p>
        </w:tc>
        <w:tc>
          <w:tcPr>
            <w:tcW w:w="3830"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环保措施</w:t>
            </w:r>
          </w:p>
        </w:tc>
        <w:tc>
          <w:tcPr>
            <w:tcW w:w="2835"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执行标准</w:t>
            </w:r>
          </w:p>
        </w:tc>
        <w:tc>
          <w:tcPr>
            <w:tcW w:w="1165" w:type="dxa"/>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restart"/>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综合废水</w:t>
            </w: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污水</w:t>
            </w:r>
          </w:p>
        </w:tc>
        <w:tc>
          <w:tcPr>
            <w:tcW w:w="1276" w:type="dxa"/>
            <w:vAlign w:val="center"/>
          </w:tcPr>
          <w:p>
            <w:pPr>
              <w:spacing w:line="240" w:lineRule="auto"/>
              <w:jc w:val="center"/>
              <w:rPr>
                <w:color w:val="000000" w:themeColor="text1"/>
              </w:rPr>
            </w:pPr>
            <w:r>
              <w:rPr>
                <w:color w:val="000000" w:themeColor="text1"/>
              </w:rPr>
              <w:t>/</w:t>
            </w:r>
          </w:p>
        </w:tc>
        <w:tc>
          <w:tcPr>
            <w:tcW w:w="1416" w:type="dxa"/>
            <w:vAlign w:val="center"/>
          </w:tcPr>
          <w:p>
            <w:pPr>
              <w:spacing w:line="240" w:lineRule="auto"/>
              <w:jc w:val="center"/>
              <w:rPr>
                <w:color w:val="000000" w:themeColor="text1"/>
              </w:rPr>
            </w:pPr>
            <w:r>
              <w:rPr>
                <w:rFonts w:hint="eastAsia"/>
                <w:color w:val="000000" w:themeColor="text1"/>
              </w:rPr>
              <w:t>0</w:t>
            </w:r>
          </w:p>
        </w:tc>
        <w:tc>
          <w:tcPr>
            <w:tcW w:w="3830" w:type="dxa"/>
            <w:vMerge w:val="restart"/>
            <w:vAlign w:val="center"/>
          </w:tcPr>
          <w:p>
            <w:pPr>
              <w:spacing w:line="240" w:lineRule="auto"/>
              <w:jc w:val="center"/>
              <w:rPr>
                <w:color w:val="000000" w:themeColor="text1"/>
              </w:rPr>
            </w:pPr>
            <w:r>
              <w:rPr>
                <w:rFonts w:hint="eastAsia"/>
                <w:color w:val="000000" w:themeColor="text1"/>
                <w:szCs w:val="21"/>
              </w:rPr>
              <w:t>沼气利用工程1套，</w:t>
            </w:r>
            <w:r>
              <w:rPr>
                <w:color w:val="000000" w:themeColor="text1"/>
                <w:szCs w:val="21"/>
              </w:rPr>
              <w:t>设计处理规模不小于</w:t>
            </w:r>
            <w:r>
              <w:rPr>
                <w:rFonts w:hint="eastAsia"/>
                <w:color w:val="000000" w:themeColor="text1"/>
                <w:szCs w:val="21"/>
              </w:rPr>
              <w:t>70</w:t>
            </w:r>
            <w:r>
              <w:rPr>
                <w:color w:val="000000" w:themeColor="text1"/>
                <w:szCs w:val="21"/>
              </w:rPr>
              <w:t>m</w:t>
            </w:r>
            <w:r>
              <w:rPr>
                <w:color w:val="000000" w:themeColor="text1"/>
                <w:szCs w:val="21"/>
                <w:vertAlign w:val="superscript"/>
              </w:rPr>
              <w:t>3</w:t>
            </w:r>
            <w:r>
              <w:rPr>
                <w:color w:val="000000" w:themeColor="text1"/>
                <w:szCs w:val="21"/>
              </w:rPr>
              <w:t>/d</w:t>
            </w:r>
            <w:r>
              <w:rPr>
                <w:rFonts w:hint="eastAsia"/>
                <w:color w:val="000000" w:themeColor="text1"/>
                <w:szCs w:val="21"/>
              </w:rPr>
              <w:t>，</w:t>
            </w:r>
            <w:r>
              <w:rPr>
                <w:color w:val="000000" w:themeColor="text1"/>
                <w:szCs w:val="21"/>
              </w:rPr>
              <w:t>主要用于处理猪尿、猪舍冲洗水及办公人员生活污水</w:t>
            </w:r>
            <w:r>
              <w:rPr>
                <w:rFonts w:hint="eastAsia"/>
                <w:color w:val="000000" w:themeColor="text1"/>
                <w:szCs w:val="21"/>
              </w:rPr>
              <w:t>，采用“预处理+中温厌氧消化”，沼液一部分用于种植区施肥，剩余部分进入异位发酵车间发酵处理，粪污水发酵生产有机肥</w:t>
            </w:r>
            <w:r>
              <w:rPr>
                <w:color w:val="000000" w:themeColor="text1"/>
              </w:rPr>
              <w:t>。</w:t>
            </w:r>
          </w:p>
        </w:tc>
        <w:tc>
          <w:tcPr>
            <w:tcW w:w="2835" w:type="dxa"/>
            <w:vMerge w:val="restart"/>
            <w:vAlign w:val="center"/>
          </w:tcPr>
          <w:p>
            <w:pPr>
              <w:spacing w:line="240" w:lineRule="auto"/>
              <w:jc w:val="center"/>
              <w:rPr>
                <w:color w:val="000000" w:themeColor="text1"/>
              </w:rPr>
            </w:pPr>
            <w:r>
              <w:rPr>
                <w:rFonts w:hint="eastAsia"/>
                <w:color w:val="000000" w:themeColor="text1"/>
              </w:rPr>
              <w:t>/</w:t>
            </w:r>
          </w:p>
        </w:tc>
        <w:tc>
          <w:tcPr>
            <w:tcW w:w="1165" w:type="dxa"/>
            <w:vMerge w:val="restart"/>
            <w:vAlign w:val="center"/>
          </w:tcPr>
          <w:p>
            <w:pPr>
              <w:spacing w:line="240" w:lineRule="auto"/>
              <w:jc w:val="center"/>
              <w:rPr>
                <w:color w:val="000000" w:themeColor="text1"/>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b/>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COD</w:t>
            </w:r>
          </w:p>
        </w:tc>
        <w:tc>
          <w:tcPr>
            <w:tcW w:w="1276" w:type="dxa"/>
            <w:vAlign w:val="center"/>
          </w:tcPr>
          <w:p>
            <w:pPr>
              <w:spacing w:line="240" w:lineRule="auto"/>
              <w:jc w:val="center"/>
              <w:rPr>
                <w:color w:val="000000" w:themeColor="text1"/>
              </w:rPr>
            </w:pPr>
            <w:r>
              <w:rPr>
                <w:color w:val="000000" w:themeColor="text1"/>
              </w:rPr>
              <w:t>/</w:t>
            </w:r>
          </w:p>
        </w:tc>
        <w:tc>
          <w:tcPr>
            <w:tcW w:w="1416" w:type="dxa"/>
            <w:vAlign w:val="center"/>
          </w:tcPr>
          <w:p>
            <w:pPr>
              <w:spacing w:line="240" w:lineRule="auto"/>
              <w:jc w:val="center"/>
              <w:rPr>
                <w:color w:val="000000" w:themeColor="text1"/>
              </w:rPr>
            </w:pPr>
            <w:r>
              <w:rPr>
                <w:rFonts w:hint="eastAsia"/>
                <w:color w:val="000000" w:themeColor="text1"/>
              </w:rPr>
              <w:t>0</w:t>
            </w:r>
          </w:p>
        </w:tc>
        <w:tc>
          <w:tcPr>
            <w:tcW w:w="3830" w:type="dxa"/>
            <w:vMerge w:val="continue"/>
            <w:vAlign w:val="center"/>
          </w:tcPr>
          <w:p>
            <w:pPr>
              <w:spacing w:line="240" w:lineRule="auto"/>
              <w:jc w:val="center"/>
              <w:rPr>
                <w:color w:val="000000" w:themeColor="text1"/>
              </w:rPr>
            </w:pPr>
          </w:p>
        </w:tc>
        <w:tc>
          <w:tcPr>
            <w:tcW w:w="2835" w:type="dxa"/>
            <w:vMerge w:val="continue"/>
            <w:vAlign w:val="center"/>
          </w:tcPr>
          <w:p>
            <w:pPr>
              <w:spacing w:line="240" w:lineRule="auto"/>
              <w:jc w:val="center"/>
              <w:rPr>
                <w:color w:val="000000" w:themeColor="text1"/>
              </w:rPr>
            </w:pPr>
          </w:p>
        </w:tc>
        <w:tc>
          <w:tcPr>
            <w:tcW w:w="1165" w:type="dxa"/>
            <w:vMerge w:val="continue"/>
            <w:vAlign w:val="center"/>
          </w:tcPr>
          <w:p>
            <w:pPr>
              <w:spacing w:line="240" w:lineRule="auto"/>
              <w:jc w:val="cente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b/>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BOD</w:t>
            </w:r>
            <w:r>
              <w:rPr>
                <w:rFonts w:ascii="Times New Roman" w:hAnsi="Times New Roman" w:cs="Times New Roman"/>
                <w:color w:val="000000" w:themeColor="text1"/>
                <w:szCs w:val="21"/>
                <w:vertAlign w:val="subscript"/>
              </w:rPr>
              <w:t>5</w:t>
            </w:r>
          </w:p>
        </w:tc>
        <w:tc>
          <w:tcPr>
            <w:tcW w:w="1276" w:type="dxa"/>
            <w:vAlign w:val="center"/>
          </w:tcPr>
          <w:p>
            <w:pPr>
              <w:spacing w:line="240" w:lineRule="auto"/>
              <w:jc w:val="center"/>
              <w:rPr>
                <w:color w:val="000000" w:themeColor="text1"/>
              </w:rPr>
            </w:pPr>
            <w:r>
              <w:rPr>
                <w:color w:val="000000" w:themeColor="text1"/>
              </w:rPr>
              <w:t>/</w:t>
            </w:r>
          </w:p>
        </w:tc>
        <w:tc>
          <w:tcPr>
            <w:tcW w:w="1416" w:type="dxa"/>
            <w:vAlign w:val="center"/>
          </w:tcPr>
          <w:p>
            <w:pPr>
              <w:spacing w:line="240" w:lineRule="auto"/>
              <w:jc w:val="center"/>
              <w:rPr>
                <w:color w:val="000000" w:themeColor="text1"/>
              </w:rPr>
            </w:pPr>
            <w:r>
              <w:rPr>
                <w:rFonts w:hint="eastAsia"/>
                <w:color w:val="000000" w:themeColor="text1"/>
              </w:rPr>
              <w:t>0</w:t>
            </w:r>
          </w:p>
        </w:tc>
        <w:tc>
          <w:tcPr>
            <w:tcW w:w="3830" w:type="dxa"/>
            <w:vMerge w:val="continue"/>
            <w:vAlign w:val="center"/>
          </w:tcPr>
          <w:p>
            <w:pPr>
              <w:spacing w:line="240" w:lineRule="auto"/>
              <w:jc w:val="center"/>
              <w:rPr>
                <w:color w:val="000000" w:themeColor="text1"/>
              </w:rPr>
            </w:pPr>
          </w:p>
        </w:tc>
        <w:tc>
          <w:tcPr>
            <w:tcW w:w="2835" w:type="dxa"/>
            <w:vMerge w:val="continue"/>
            <w:vAlign w:val="center"/>
          </w:tcPr>
          <w:p>
            <w:pPr>
              <w:spacing w:line="240" w:lineRule="auto"/>
              <w:jc w:val="center"/>
              <w:rPr>
                <w:color w:val="000000" w:themeColor="text1"/>
              </w:rPr>
            </w:pPr>
          </w:p>
        </w:tc>
        <w:tc>
          <w:tcPr>
            <w:tcW w:w="1165" w:type="dxa"/>
            <w:vMerge w:val="continue"/>
            <w:vAlign w:val="center"/>
          </w:tcPr>
          <w:p>
            <w:pPr>
              <w:spacing w:line="240" w:lineRule="auto"/>
              <w:jc w:val="cente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b/>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NH</w:t>
            </w:r>
            <w:r>
              <w:rPr>
                <w:rFonts w:ascii="Times New Roman" w:hAnsi="Times New Roman" w:cs="Times New Roman"/>
                <w:color w:val="000000" w:themeColor="text1"/>
                <w:szCs w:val="21"/>
                <w:vertAlign w:val="subscript"/>
              </w:rPr>
              <w:t>3</w:t>
            </w:r>
            <w:r>
              <w:rPr>
                <w:rFonts w:ascii="Times New Roman" w:hAnsi="Times New Roman" w:cs="Times New Roman"/>
                <w:color w:val="000000" w:themeColor="text1"/>
                <w:szCs w:val="21"/>
              </w:rPr>
              <w:t>-N</w:t>
            </w:r>
          </w:p>
        </w:tc>
        <w:tc>
          <w:tcPr>
            <w:tcW w:w="1276" w:type="dxa"/>
            <w:vAlign w:val="center"/>
          </w:tcPr>
          <w:p>
            <w:pPr>
              <w:spacing w:line="240" w:lineRule="auto"/>
              <w:jc w:val="center"/>
              <w:rPr>
                <w:color w:val="000000" w:themeColor="text1"/>
              </w:rPr>
            </w:pPr>
            <w:r>
              <w:rPr>
                <w:color w:val="000000" w:themeColor="text1"/>
              </w:rPr>
              <w:t>/</w:t>
            </w:r>
          </w:p>
        </w:tc>
        <w:tc>
          <w:tcPr>
            <w:tcW w:w="1416" w:type="dxa"/>
            <w:vAlign w:val="center"/>
          </w:tcPr>
          <w:p>
            <w:pPr>
              <w:spacing w:line="240" w:lineRule="auto"/>
              <w:jc w:val="center"/>
              <w:rPr>
                <w:color w:val="000000" w:themeColor="text1"/>
              </w:rPr>
            </w:pPr>
            <w:r>
              <w:rPr>
                <w:rFonts w:hint="eastAsia"/>
                <w:color w:val="000000" w:themeColor="text1"/>
              </w:rPr>
              <w:t>0</w:t>
            </w:r>
          </w:p>
        </w:tc>
        <w:tc>
          <w:tcPr>
            <w:tcW w:w="3830" w:type="dxa"/>
            <w:vMerge w:val="continue"/>
            <w:vAlign w:val="center"/>
          </w:tcPr>
          <w:p>
            <w:pPr>
              <w:spacing w:line="240" w:lineRule="auto"/>
              <w:jc w:val="center"/>
              <w:rPr>
                <w:color w:val="000000" w:themeColor="text1"/>
              </w:rPr>
            </w:pPr>
          </w:p>
        </w:tc>
        <w:tc>
          <w:tcPr>
            <w:tcW w:w="2835" w:type="dxa"/>
            <w:vMerge w:val="continue"/>
            <w:vAlign w:val="center"/>
          </w:tcPr>
          <w:p>
            <w:pPr>
              <w:spacing w:line="240" w:lineRule="auto"/>
              <w:jc w:val="center"/>
              <w:rPr>
                <w:color w:val="000000" w:themeColor="text1"/>
              </w:rPr>
            </w:pPr>
          </w:p>
        </w:tc>
        <w:tc>
          <w:tcPr>
            <w:tcW w:w="1165" w:type="dxa"/>
            <w:vMerge w:val="continue"/>
            <w:vAlign w:val="center"/>
          </w:tcPr>
          <w:p>
            <w:pPr>
              <w:spacing w:line="240" w:lineRule="auto"/>
              <w:jc w:val="cente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b/>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T-P</w:t>
            </w:r>
          </w:p>
        </w:tc>
        <w:tc>
          <w:tcPr>
            <w:tcW w:w="1276" w:type="dxa"/>
            <w:vAlign w:val="center"/>
          </w:tcPr>
          <w:p>
            <w:pPr>
              <w:spacing w:line="240" w:lineRule="auto"/>
              <w:jc w:val="center"/>
              <w:rPr>
                <w:color w:val="000000" w:themeColor="text1"/>
              </w:rPr>
            </w:pPr>
            <w:r>
              <w:rPr>
                <w:color w:val="000000" w:themeColor="text1"/>
              </w:rPr>
              <w:t>/</w:t>
            </w:r>
          </w:p>
        </w:tc>
        <w:tc>
          <w:tcPr>
            <w:tcW w:w="1416" w:type="dxa"/>
            <w:vAlign w:val="center"/>
          </w:tcPr>
          <w:p>
            <w:pPr>
              <w:spacing w:line="240" w:lineRule="auto"/>
              <w:jc w:val="center"/>
              <w:rPr>
                <w:color w:val="000000" w:themeColor="text1"/>
              </w:rPr>
            </w:pPr>
            <w:r>
              <w:rPr>
                <w:rFonts w:hint="eastAsia"/>
                <w:color w:val="000000" w:themeColor="text1"/>
              </w:rPr>
              <w:t>0</w:t>
            </w:r>
          </w:p>
        </w:tc>
        <w:tc>
          <w:tcPr>
            <w:tcW w:w="3830" w:type="dxa"/>
            <w:vMerge w:val="continue"/>
            <w:vAlign w:val="center"/>
          </w:tcPr>
          <w:p>
            <w:pPr>
              <w:spacing w:line="240" w:lineRule="auto"/>
              <w:jc w:val="center"/>
              <w:rPr>
                <w:color w:val="000000" w:themeColor="text1"/>
              </w:rPr>
            </w:pPr>
          </w:p>
        </w:tc>
        <w:tc>
          <w:tcPr>
            <w:tcW w:w="2835" w:type="dxa"/>
            <w:vMerge w:val="continue"/>
            <w:vAlign w:val="center"/>
          </w:tcPr>
          <w:p>
            <w:pPr>
              <w:spacing w:line="240" w:lineRule="auto"/>
              <w:jc w:val="center"/>
              <w:rPr>
                <w:color w:val="000000" w:themeColor="text1"/>
              </w:rPr>
            </w:pPr>
          </w:p>
        </w:tc>
        <w:tc>
          <w:tcPr>
            <w:tcW w:w="1165" w:type="dxa"/>
            <w:vMerge w:val="continue"/>
            <w:vAlign w:val="center"/>
          </w:tcPr>
          <w:p>
            <w:pPr>
              <w:spacing w:line="240" w:lineRule="auto"/>
              <w:jc w:val="cente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restart"/>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废气</w:t>
            </w:r>
          </w:p>
        </w:tc>
        <w:tc>
          <w:tcPr>
            <w:tcW w:w="2410" w:type="dxa"/>
            <w:vAlign w:val="center"/>
          </w:tcPr>
          <w:p>
            <w:pPr>
              <w:adjustRightInd w:val="0"/>
              <w:snapToGrid w:val="0"/>
              <w:spacing w:line="240" w:lineRule="auto"/>
              <w:jc w:val="center"/>
              <w:rPr>
                <w:color w:val="000000" w:themeColor="text1"/>
                <w:szCs w:val="21"/>
              </w:rPr>
            </w:pPr>
            <w:r>
              <w:rPr>
                <w:color w:val="000000" w:themeColor="text1"/>
                <w:szCs w:val="21"/>
              </w:rPr>
              <w:t>NH</w:t>
            </w:r>
            <w:r>
              <w:rPr>
                <w:color w:val="000000" w:themeColor="text1"/>
                <w:szCs w:val="21"/>
                <w:vertAlign w:val="subscript"/>
              </w:rPr>
              <w:t>3</w:t>
            </w: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1416" w:type="dxa"/>
            <w:vAlign w:val="center"/>
          </w:tcPr>
          <w:p>
            <w:pPr>
              <w:adjustRightInd w:val="0"/>
              <w:snapToGrid w:val="0"/>
              <w:spacing w:line="240" w:lineRule="auto"/>
              <w:jc w:val="center"/>
              <w:rPr>
                <w:color w:val="000000" w:themeColor="text1"/>
                <w:szCs w:val="21"/>
              </w:rPr>
            </w:pPr>
            <w:r>
              <w:rPr>
                <w:rFonts w:hint="eastAsia"/>
                <w:color w:val="000000" w:themeColor="text1"/>
                <w:szCs w:val="21"/>
              </w:rPr>
              <w:t>0.38</w:t>
            </w:r>
          </w:p>
        </w:tc>
        <w:tc>
          <w:tcPr>
            <w:tcW w:w="3830" w:type="dxa"/>
            <w:vMerge w:val="restart"/>
            <w:vAlign w:val="center"/>
          </w:tcPr>
          <w:p>
            <w:pPr>
              <w:adjustRightInd w:val="0"/>
              <w:snapToGrid w:val="0"/>
              <w:spacing w:line="240" w:lineRule="auto"/>
              <w:jc w:val="center"/>
              <w:rPr>
                <w:color w:val="000000" w:themeColor="text1"/>
                <w:szCs w:val="21"/>
              </w:rPr>
            </w:pPr>
            <w:r>
              <w:rPr>
                <w:color w:val="000000" w:themeColor="text1"/>
                <w:szCs w:val="21"/>
              </w:rPr>
              <w:t xml:space="preserve">喷洒除臭剂、饲料添加活菌剂 </w:t>
            </w:r>
          </w:p>
        </w:tc>
        <w:tc>
          <w:tcPr>
            <w:tcW w:w="2835" w:type="dxa"/>
            <w:vMerge w:val="restart"/>
            <w:vAlign w:val="center"/>
          </w:tcPr>
          <w:p>
            <w:pPr>
              <w:adjustRightInd w:val="0"/>
              <w:snapToGrid w:val="0"/>
              <w:spacing w:line="240" w:lineRule="auto"/>
              <w:jc w:val="center"/>
              <w:rPr>
                <w:color w:val="000000" w:themeColor="text1"/>
                <w:szCs w:val="21"/>
              </w:rPr>
            </w:pPr>
            <w:r>
              <w:rPr>
                <w:color w:val="000000" w:themeColor="text1"/>
                <w:szCs w:val="21"/>
              </w:rPr>
              <w:t>《恶臭污染物排放标准》（GB14554-93）二级</w:t>
            </w:r>
            <w:r>
              <w:rPr>
                <w:rFonts w:hint="eastAsia"/>
                <w:color w:val="000000" w:themeColor="text1"/>
                <w:szCs w:val="21"/>
              </w:rPr>
              <w:t>、</w:t>
            </w:r>
            <w:r>
              <w:rPr>
                <w:rFonts w:hint="eastAsia"/>
                <w:color w:val="000000" w:themeColor="text1"/>
                <w:kern w:val="0"/>
                <w:szCs w:val="21"/>
              </w:rPr>
              <w:t>《畜禽养殖业污染物排放标准》（GB18596-2001）表7标准</w:t>
            </w:r>
          </w:p>
        </w:tc>
        <w:tc>
          <w:tcPr>
            <w:tcW w:w="1165" w:type="dxa"/>
            <w:vMerge w:val="restart"/>
            <w:vAlign w:val="center"/>
          </w:tcPr>
          <w:p>
            <w:pPr>
              <w:adjustRightInd w:val="0"/>
              <w:snapToGrid w:val="0"/>
              <w:spacing w:line="240" w:lineRule="auto"/>
              <w:jc w:val="center"/>
              <w:rPr>
                <w:color w:val="000000" w:themeColor="text1"/>
                <w:szCs w:val="21"/>
              </w:rPr>
            </w:pPr>
            <w:r>
              <w:rPr>
                <w:color w:val="000000" w:themeColor="text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b/>
                <w:color w:val="000000" w:themeColor="text1"/>
                <w:szCs w:val="21"/>
              </w:rPr>
            </w:pPr>
          </w:p>
        </w:tc>
        <w:tc>
          <w:tcPr>
            <w:tcW w:w="2410" w:type="dxa"/>
            <w:vAlign w:val="center"/>
          </w:tcPr>
          <w:p>
            <w:pPr>
              <w:adjustRightInd w:val="0"/>
              <w:snapToGrid w:val="0"/>
              <w:spacing w:line="240" w:lineRule="auto"/>
              <w:jc w:val="center"/>
              <w:rPr>
                <w:color w:val="000000" w:themeColor="text1"/>
                <w:szCs w:val="21"/>
              </w:rPr>
            </w:pPr>
            <w:r>
              <w:rPr>
                <w:color w:val="000000" w:themeColor="text1"/>
                <w:spacing w:val="20"/>
                <w:szCs w:val="21"/>
              </w:rPr>
              <w:t>H</w:t>
            </w:r>
            <w:r>
              <w:rPr>
                <w:color w:val="000000" w:themeColor="text1"/>
                <w:spacing w:val="20"/>
                <w:szCs w:val="21"/>
                <w:vertAlign w:val="subscript"/>
              </w:rPr>
              <w:t>2</w:t>
            </w:r>
            <w:r>
              <w:rPr>
                <w:color w:val="000000" w:themeColor="text1"/>
                <w:spacing w:val="20"/>
                <w:szCs w:val="21"/>
              </w:rPr>
              <w:t>S</w:t>
            </w: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1416"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0.09</w:t>
            </w:r>
          </w:p>
        </w:tc>
        <w:tc>
          <w:tcPr>
            <w:tcW w:w="3830" w:type="dxa"/>
            <w:vMerge w:val="continue"/>
            <w:vAlign w:val="center"/>
          </w:tcPr>
          <w:p>
            <w:pPr>
              <w:adjustRightInd w:val="0"/>
              <w:snapToGrid w:val="0"/>
              <w:spacing w:line="240" w:lineRule="auto"/>
              <w:jc w:val="center"/>
              <w:rPr>
                <w:color w:val="000000" w:themeColor="text1"/>
                <w:szCs w:val="21"/>
              </w:rPr>
            </w:pPr>
          </w:p>
        </w:tc>
        <w:tc>
          <w:tcPr>
            <w:tcW w:w="2835" w:type="dxa"/>
            <w:vMerge w:val="continue"/>
            <w:vAlign w:val="center"/>
          </w:tcPr>
          <w:p>
            <w:pPr>
              <w:adjustRightInd w:val="0"/>
              <w:snapToGrid w:val="0"/>
              <w:spacing w:line="240" w:lineRule="auto"/>
              <w:jc w:val="center"/>
              <w:rPr>
                <w:color w:val="000000" w:themeColor="text1"/>
                <w:szCs w:val="21"/>
              </w:rPr>
            </w:pPr>
          </w:p>
        </w:tc>
        <w:tc>
          <w:tcPr>
            <w:tcW w:w="1165" w:type="dxa"/>
            <w:vMerge w:val="continue"/>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b/>
                <w:color w:val="000000" w:themeColor="text1"/>
                <w:szCs w:val="21"/>
              </w:rPr>
            </w:pPr>
          </w:p>
        </w:tc>
        <w:tc>
          <w:tcPr>
            <w:tcW w:w="2410" w:type="dxa"/>
            <w:vAlign w:val="center"/>
          </w:tcPr>
          <w:p>
            <w:pPr>
              <w:adjustRightInd w:val="0"/>
              <w:snapToGrid w:val="0"/>
              <w:spacing w:line="240" w:lineRule="auto"/>
              <w:jc w:val="center"/>
              <w:rPr>
                <w:color w:val="000000" w:themeColor="text1"/>
                <w:spacing w:val="20"/>
                <w:szCs w:val="21"/>
              </w:rPr>
            </w:pPr>
            <w:r>
              <w:rPr>
                <w:color w:val="000000" w:themeColor="text1"/>
              </w:rPr>
              <w:t>SO</w:t>
            </w:r>
            <w:r>
              <w:rPr>
                <w:color w:val="000000" w:themeColor="text1"/>
                <w:vertAlign w:val="subscript"/>
              </w:rPr>
              <w:t>2</w:t>
            </w:r>
          </w:p>
        </w:tc>
        <w:tc>
          <w:tcPr>
            <w:tcW w:w="1276" w:type="dxa"/>
            <w:vAlign w:val="center"/>
          </w:tcPr>
          <w:p>
            <w:pPr>
              <w:adjustRightInd w:val="0"/>
              <w:snapToGrid w:val="0"/>
              <w:spacing w:line="240" w:lineRule="auto"/>
              <w:jc w:val="center"/>
              <w:rPr>
                <w:color w:val="000000" w:themeColor="text1"/>
                <w:szCs w:val="21"/>
              </w:rPr>
            </w:pPr>
            <w:r>
              <w:rPr>
                <w:rFonts w:hint="eastAsia"/>
                <w:color w:val="000000" w:themeColor="text1"/>
                <w:szCs w:val="21"/>
              </w:rPr>
              <w:t>/</w:t>
            </w:r>
          </w:p>
        </w:tc>
        <w:tc>
          <w:tcPr>
            <w:tcW w:w="1416"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0.003</w:t>
            </w:r>
          </w:p>
        </w:tc>
        <w:tc>
          <w:tcPr>
            <w:tcW w:w="3830"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经1根15m排气筒排放</w:t>
            </w:r>
          </w:p>
        </w:tc>
        <w:tc>
          <w:tcPr>
            <w:tcW w:w="2835"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《火电厂大气污染物排放标准》（GB13223-2011）表1相关标准</w:t>
            </w:r>
          </w:p>
        </w:tc>
        <w:tc>
          <w:tcPr>
            <w:tcW w:w="1165" w:type="dxa"/>
            <w:vMerge w:val="restart"/>
            <w:vAlign w:val="center"/>
          </w:tcPr>
          <w:p>
            <w:pPr>
              <w:adjustRightInd w:val="0"/>
              <w:snapToGrid w:val="0"/>
              <w:spacing w:line="240" w:lineRule="auto"/>
              <w:jc w:val="center"/>
              <w:rPr>
                <w:color w:val="000000" w:themeColor="text1"/>
                <w:szCs w:val="21"/>
              </w:rPr>
            </w:pPr>
            <w:r>
              <w:rPr>
                <w:rFonts w:hint="eastAsia"/>
                <w:color w:val="000000" w:themeColor="text1"/>
                <w:szCs w:val="21"/>
              </w:rPr>
              <w:t>1个排放口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b/>
                <w:color w:val="000000" w:themeColor="text1"/>
                <w:szCs w:val="21"/>
              </w:rPr>
            </w:pPr>
          </w:p>
        </w:tc>
        <w:tc>
          <w:tcPr>
            <w:tcW w:w="2410" w:type="dxa"/>
            <w:vAlign w:val="center"/>
          </w:tcPr>
          <w:p>
            <w:pPr>
              <w:adjustRightInd w:val="0"/>
              <w:snapToGrid w:val="0"/>
              <w:spacing w:line="240" w:lineRule="auto"/>
              <w:jc w:val="center"/>
              <w:rPr>
                <w:color w:val="000000" w:themeColor="text1"/>
                <w:spacing w:val="20"/>
                <w:szCs w:val="21"/>
              </w:rPr>
            </w:pPr>
            <w:r>
              <w:rPr>
                <w:color w:val="000000" w:themeColor="text1"/>
              </w:rPr>
              <w:t>NOx</w:t>
            </w:r>
          </w:p>
        </w:tc>
        <w:tc>
          <w:tcPr>
            <w:tcW w:w="1276" w:type="dxa"/>
            <w:vAlign w:val="center"/>
          </w:tcPr>
          <w:p>
            <w:pPr>
              <w:adjustRightInd w:val="0"/>
              <w:snapToGrid w:val="0"/>
              <w:spacing w:line="240" w:lineRule="auto"/>
              <w:jc w:val="center"/>
              <w:rPr>
                <w:color w:val="000000" w:themeColor="text1"/>
                <w:szCs w:val="21"/>
              </w:rPr>
            </w:pPr>
            <w:r>
              <w:rPr>
                <w:rFonts w:hint="eastAsia"/>
                <w:color w:val="000000" w:themeColor="text1"/>
                <w:szCs w:val="21"/>
              </w:rPr>
              <w:t>/</w:t>
            </w:r>
          </w:p>
        </w:tc>
        <w:tc>
          <w:tcPr>
            <w:tcW w:w="1416" w:type="dxa"/>
            <w:vAlign w:val="center"/>
          </w:tcPr>
          <w:p>
            <w:pPr>
              <w:adjustRightInd w:val="0"/>
              <w:snapToGrid w:val="0"/>
              <w:spacing w:line="240" w:lineRule="auto"/>
              <w:jc w:val="center"/>
              <w:rPr>
                <w:color w:val="000000" w:themeColor="text1"/>
                <w:szCs w:val="21"/>
              </w:rPr>
            </w:pPr>
            <w:r>
              <w:rPr>
                <w:rFonts w:hint="eastAsia"/>
                <w:color w:val="000000" w:themeColor="text1"/>
                <w:szCs w:val="21"/>
              </w:rPr>
              <w:t>0.008</w:t>
            </w:r>
          </w:p>
        </w:tc>
        <w:tc>
          <w:tcPr>
            <w:tcW w:w="3830" w:type="dxa"/>
            <w:vMerge w:val="continue"/>
            <w:vAlign w:val="center"/>
          </w:tcPr>
          <w:p>
            <w:pPr>
              <w:adjustRightInd w:val="0"/>
              <w:snapToGrid w:val="0"/>
              <w:spacing w:line="240" w:lineRule="auto"/>
              <w:jc w:val="center"/>
              <w:rPr>
                <w:color w:val="000000" w:themeColor="text1"/>
                <w:szCs w:val="21"/>
              </w:rPr>
            </w:pPr>
          </w:p>
        </w:tc>
        <w:tc>
          <w:tcPr>
            <w:tcW w:w="2835" w:type="dxa"/>
            <w:vMerge w:val="continue"/>
            <w:vAlign w:val="center"/>
          </w:tcPr>
          <w:p>
            <w:pPr>
              <w:adjustRightInd w:val="0"/>
              <w:snapToGrid w:val="0"/>
              <w:spacing w:line="240" w:lineRule="auto"/>
              <w:jc w:val="center"/>
              <w:rPr>
                <w:color w:val="000000" w:themeColor="text1"/>
                <w:szCs w:val="21"/>
              </w:rPr>
            </w:pPr>
          </w:p>
        </w:tc>
        <w:tc>
          <w:tcPr>
            <w:tcW w:w="1165" w:type="dxa"/>
            <w:vMerge w:val="continue"/>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restart"/>
            <w:vAlign w:val="center"/>
          </w:tcPr>
          <w:p>
            <w:pPr>
              <w:pStyle w:val="100"/>
              <w:spacing w:line="24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固废</w:t>
            </w: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猪粪</w:t>
            </w: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3830" w:type="dxa"/>
            <w:vMerge w:val="restart"/>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异位发酵处理后袋装外售</w:t>
            </w:r>
          </w:p>
        </w:tc>
        <w:tc>
          <w:tcPr>
            <w:tcW w:w="2835" w:type="dxa"/>
            <w:vMerge w:val="restart"/>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处置率100%</w:t>
            </w:r>
          </w:p>
        </w:tc>
        <w:tc>
          <w:tcPr>
            <w:tcW w:w="1165" w:type="dxa"/>
            <w:vMerge w:val="restart"/>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饲料渣</w:t>
            </w: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3830" w:type="dxa"/>
            <w:vMerge w:val="continue"/>
            <w:vAlign w:val="center"/>
          </w:tcPr>
          <w:p>
            <w:pPr>
              <w:pStyle w:val="100"/>
              <w:spacing w:line="240" w:lineRule="auto"/>
              <w:rPr>
                <w:rFonts w:ascii="Times New Roman" w:hAnsi="Times New Roman" w:cs="Times New Roman"/>
                <w:color w:val="000000" w:themeColor="text1"/>
                <w:szCs w:val="21"/>
              </w:rPr>
            </w:pPr>
          </w:p>
        </w:tc>
        <w:tc>
          <w:tcPr>
            <w:tcW w:w="2835" w:type="dxa"/>
            <w:vMerge w:val="continue"/>
            <w:vAlign w:val="center"/>
          </w:tcPr>
          <w:p>
            <w:pPr>
              <w:pStyle w:val="100"/>
              <w:spacing w:line="240" w:lineRule="auto"/>
              <w:rPr>
                <w:rFonts w:ascii="Times New Roman" w:hAnsi="Times New Roman" w:cs="Times New Roman"/>
                <w:color w:val="000000" w:themeColor="text1"/>
                <w:szCs w:val="21"/>
              </w:rPr>
            </w:pPr>
          </w:p>
        </w:tc>
        <w:tc>
          <w:tcPr>
            <w:tcW w:w="1165"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病死猪</w:t>
            </w:r>
          </w:p>
        </w:tc>
        <w:tc>
          <w:tcPr>
            <w:tcW w:w="1276" w:type="dxa"/>
            <w:vAlign w:val="center"/>
          </w:tcPr>
          <w:p>
            <w:pPr>
              <w:adjustRightInd w:val="0"/>
              <w:snapToGrid w:val="0"/>
              <w:spacing w:line="240" w:lineRule="auto"/>
              <w:jc w:val="center"/>
              <w:rPr>
                <w:color w:val="000000" w:themeColor="text1"/>
                <w:szCs w:val="21"/>
              </w:rPr>
            </w:pPr>
            <w:r>
              <w:rPr>
                <w:color w:val="000000" w:themeColor="text1"/>
                <w:szCs w:val="21"/>
              </w:rPr>
              <w:t>/</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3830" w:type="dxa"/>
            <w:vMerge w:val="continue"/>
            <w:vAlign w:val="center"/>
          </w:tcPr>
          <w:p>
            <w:pPr>
              <w:pStyle w:val="100"/>
              <w:spacing w:line="240" w:lineRule="auto"/>
              <w:rPr>
                <w:rFonts w:ascii="Times New Roman" w:hAnsi="Times New Roman" w:cs="Times New Roman"/>
                <w:color w:val="000000" w:themeColor="text1"/>
                <w:szCs w:val="21"/>
              </w:rPr>
            </w:pPr>
          </w:p>
        </w:tc>
        <w:tc>
          <w:tcPr>
            <w:tcW w:w="2835" w:type="dxa"/>
            <w:vMerge w:val="continue"/>
            <w:vAlign w:val="center"/>
          </w:tcPr>
          <w:p>
            <w:pPr>
              <w:pStyle w:val="100"/>
              <w:spacing w:line="240" w:lineRule="auto"/>
              <w:rPr>
                <w:rFonts w:ascii="Times New Roman" w:hAnsi="Times New Roman" w:cs="Times New Roman"/>
                <w:color w:val="000000" w:themeColor="text1"/>
                <w:szCs w:val="21"/>
              </w:rPr>
            </w:pPr>
          </w:p>
        </w:tc>
        <w:tc>
          <w:tcPr>
            <w:tcW w:w="1165"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沼渣</w:t>
            </w:r>
          </w:p>
        </w:tc>
        <w:tc>
          <w:tcPr>
            <w:tcW w:w="127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3830" w:type="dxa"/>
            <w:vMerge w:val="continue"/>
            <w:vAlign w:val="center"/>
          </w:tcPr>
          <w:p>
            <w:pPr>
              <w:pStyle w:val="100"/>
              <w:spacing w:line="240" w:lineRule="auto"/>
              <w:rPr>
                <w:rFonts w:ascii="Times New Roman" w:hAnsi="Times New Roman" w:cs="Times New Roman"/>
                <w:color w:val="000000" w:themeColor="text1"/>
                <w:szCs w:val="21"/>
              </w:rPr>
            </w:pPr>
          </w:p>
        </w:tc>
        <w:tc>
          <w:tcPr>
            <w:tcW w:w="2835" w:type="dxa"/>
            <w:vMerge w:val="continue"/>
            <w:vAlign w:val="center"/>
          </w:tcPr>
          <w:p>
            <w:pPr>
              <w:pStyle w:val="100"/>
              <w:spacing w:line="240" w:lineRule="auto"/>
              <w:rPr>
                <w:rFonts w:ascii="Times New Roman" w:hAnsi="Times New Roman" w:cs="Times New Roman"/>
                <w:color w:val="000000" w:themeColor="text1"/>
                <w:szCs w:val="21"/>
              </w:rPr>
            </w:pPr>
          </w:p>
        </w:tc>
        <w:tc>
          <w:tcPr>
            <w:tcW w:w="1165"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Merge w:val="continue"/>
            <w:vAlign w:val="center"/>
          </w:tcPr>
          <w:p>
            <w:pPr>
              <w:pStyle w:val="100"/>
              <w:spacing w:line="240" w:lineRule="auto"/>
              <w:rPr>
                <w:rFonts w:ascii="Times New Roman" w:hAnsi="Times New Roman" w:cs="Times New Roman"/>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化尸骨头</w:t>
            </w:r>
          </w:p>
        </w:tc>
        <w:tc>
          <w:tcPr>
            <w:tcW w:w="127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383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安全填埋井填埋</w:t>
            </w:r>
          </w:p>
        </w:tc>
        <w:tc>
          <w:tcPr>
            <w:tcW w:w="2835" w:type="dxa"/>
            <w:vMerge w:val="continue"/>
            <w:vAlign w:val="center"/>
          </w:tcPr>
          <w:p>
            <w:pPr>
              <w:pStyle w:val="100"/>
              <w:spacing w:line="240" w:lineRule="auto"/>
              <w:rPr>
                <w:rFonts w:ascii="Times New Roman" w:hAnsi="Times New Roman" w:cs="Times New Roman"/>
                <w:color w:val="000000" w:themeColor="text1"/>
                <w:szCs w:val="21"/>
              </w:rPr>
            </w:pPr>
          </w:p>
        </w:tc>
        <w:tc>
          <w:tcPr>
            <w:tcW w:w="1165"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42" w:type="dxa"/>
            <w:vMerge w:val="continue"/>
            <w:vAlign w:val="center"/>
          </w:tcPr>
          <w:p>
            <w:pPr>
              <w:pStyle w:val="100"/>
              <w:spacing w:line="240" w:lineRule="auto"/>
              <w:rPr>
                <w:rFonts w:ascii="Times New Roman" w:hAnsi="Times New Roman" w:cs="Times New Roman"/>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医疗废物</w:t>
            </w:r>
          </w:p>
        </w:tc>
        <w:tc>
          <w:tcPr>
            <w:tcW w:w="127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383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设置医疗废物暂存于医疗废物暂存间，定期委托有资质的单位处置</w:t>
            </w:r>
          </w:p>
        </w:tc>
        <w:tc>
          <w:tcPr>
            <w:tcW w:w="2835" w:type="dxa"/>
            <w:vMerge w:val="continue"/>
            <w:vAlign w:val="center"/>
          </w:tcPr>
          <w:p>
            <w:pPr>
              <w:pStyle w:val="100"/>
              <w:spacing w:line="240" w:lineRule="auto"/>
              <w:rPr>
                <w:rFonts w:ascii="Times New Roman" w:hAnsi="Times New Roman" w:cs="Times New Roman"/>
                <w:color w:val="000000" w:themeColor="text1"/>
                <w:szCs w:val="21"/>
              </w:rPr>
            </w:pPr>
          </w:p>
        </w:tc>
        <w:tc>
          <w:tcPr>
            <w:tcW w:w="1165"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42" w:type="dxa"/>
            <w:vMerge w:val="continue"/>
            <w:vAlign w:val="center"/>
          </w:tcPr>
          <w:p>
            <w:pPr>
              <w:pStyle w:val="100"/>
              <w:spacing w:line="240" w:lineRule="auto"/>
              <w:rPr>
                <w:rFonts w:ascii="Times New Roman" w:hAnsi="Times New Roman" w:cs="Times New Roman"/>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生活垃圾</w:t>
            </w:r>
          </w:p>
        </w:tc>
        <w:tc>
          <w:tcPr>
            <w:tcW w:w="127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383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厂区设置生活垃圾房，</w:t>
            </w:r>
            <w:r>
              <w:rPr>
                <w:rFonts w:hint="eastAsia" w:ascii="Times New Roman" w:hAnsi="Times New Roman" w:cs="Times New Roman"/>
                <w:color w:val="000000" w:themeColor="text1"/>
                <w:szCs w:val="21"/>
              </w:rPr>
              <w:t>统一收集后依托当地村镇垃圾收集系统处置</w:t>
            </w:r>
          </w:p>
        </w:tc>
        <w:tc>
          <w:tcPr>
            <w:tcW w:w="2835" w:type="dxa"/>
            <w:vMerge w:val="continue"/>
            <w:vAlign w:val="center"/>
          </w:tcPr>
          <w:p>
            <w:pPr>
              <w:pStyle w:val="100"/>
              <w:spacing w:line="240" w:lineRule="auto"/>
              <w:rPr>
                <w:rFonts w:ascii="Times New Roman" w:hAnsi="Times New Roman" w:cs="Times New Roman"/>
                <w:color w:val="000000" w:themeColor="text1"/>
                <w:szCs w:val="21"/>
              </w:rPr>
            </w:pPr>
          </w:p>
        </w:tc>
        <w:tc>
          <w:tcPr>
            <w:tcW w:w="1165"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42" w:type="dxa"/>
            <w:vMerge w:val="continue"/>
            <w:vAlign w:val="center"/>
          </w:tcPr>
          <w:p>
            <w:pPr>
              <w:pStyle w:val="100"/>
              <w:spacing w:line="240" w:lineRule="auto"/>
              <w:rPr>
                <w:rFonts w:ascii="Times New Roman" w:hAnsi="Times New Roman" w:cs="Times New Roman"/>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废弃包装材料</w:t>
            </w:r>
          </w:p>
        </w:tc>
        <w:tc>
          <w:tcPr>
            <w:tcW w:w="127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383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外售</w:t>
            </w:r>
          </w:p>
        </w:tc>
        <w:tc>
          <w:tcPr>
            <w:tcW w:w="2835" w:type="dxa"/>
            <w:vMerge w:val="continue"/>
            <w:vAlign w:val="center"/>
          </w:tcPr>
          <w:p>
            <w:pPr>
              <w:pStyle w:val="100"/>
              <w:spacing w:line="240" w:lineRule="auto"/>
              <w:rPr>
                <w:rFonts w:ascii="Times New Roman" w:hAnsi="Times New Roman" w:cs="Times New Roman"/>
                <w:color w:val="000000" w:themeColor="text1"/>
                <w:szCs w:val="21"/>
              </w:rPr>
            </w:pPr>
          </w:p>
        </w:tc>
        <w:tc>
          <w:tcPr>
            <w:tcW w:w="1165"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42" w:type="dxa"/>
            <w:vMerge w:val="continue"/>
            <w:vAlign w:val="center"/>
          </w:tcPr>
          <w:p>
            <w:pPr>
              <w:pStyle w:val="100"/>
              <w:spacing w:line="240" w:lineRule="auto"/>
              <w:rPr>
                <w:rFonts w:ascii="Times New Roman" w:hAnsi="Times New Roman" w:cs="Times New Roman"/>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脱硫剂</w:t>
            </w:r>
          </w:p>
        </w:tc>
        <w:tc>
          <w:tcPr>
            <w:tcW w:w="127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383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厂家回收</w:t>
            </w:r>
          </w:p>
        </w:tc>
        <w:tc>
          <w:tcPr>
            <w:tcW w:w="2835" w:type="dxa"/>
            <w:vMerge w:val="continue"/>
            <w:vAlign w:val="center"/>
          </w:tcPr>
          <w:p>
            <w:pPr>
              <w:pStyle w:val="100"/>
              <w:spacing w:line="240" w:lineRule="auto"/>
              <w:rPr>
                <w:rFonts w:ascii="Times New Roman" w:hAnsi="Times New Roman" w:cs="Times New Roman"/>
                <w:color w:val="000000" w:themeColor="text1"/>
                <w:szCs w:val="21"/>
              </w:rPr>
            </w:pPr>
          </w:p>
        </w:tc>
        <w:tc>
          <w:tcPr>
            <w:tcW w:w="1165"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42" w:type="dxa"/>
            <w:vMerge w:val="continue"/>
            <w:vAlign w:val="center"/>
          </w:tcPr>
          <w:p>
            <w:pPr>
              <w:pStyle w:val="100"/>
              <w:spacing w:line="240" w:lineRule="auto"/>
              <w:rPr>
                <w:rFonts w:ascii="Times New Roman" w:hAnsi="Times New Roman" w:cs="Times New Roman"/>
                <w:color w:val="000000" w:themeColor="text1"/>
                <w:szCs w:val="21"/>
              </w:rPr>
            </w:pPr>
          </w:p>
        </w:tc>
        <w:tc>
          <w:tcPr>
            <w:tcW w:w="241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烂水果及废枝条</w:t>
            </w:r>
          </w:p>
        </w:tc>
        <w:tc>
          <w:tcPr>
            <w:tcW w:w="1276" w:type="dxa"/>
            <w:vAlign w:val="center"/>
          </w:tcPr>
          <w:p>
            <w:pPr>
              <w:pStyle w:val="100"/>
              <w:spacing w:line="240" w:lineRule="auto"/>
              <w:rPr>
                <w:rFonts w:ascii="Times New Roman" w:hAnsi="Times New Roman" w:cs="Times New Roman"/>
                <w:color w:val="000000" w:themeColor="text1"/>
                <w:szCs w:val="21"/>
              </w:rPr>
            </w:pPr>
          </w:p>
        </w:tc>
        <w:tc>
          <w:tcPr>
            <w:tcW w:w="1416"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w:t>
            </w:r>
          </w:p>
        </w:tc>
        <w:tc>
          <w:tcPr>
            <w:tcW w:w="3830" w:type="dxa"/>
            <w:vAlign w:val="center"/>
          </w:tcPr>
          <w:p>
            <w:pPr>
              <w:pStyle w:val="100"/>
              <w:spacing w:line="24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废枝条可委托相关厂家加工成异位发酵车间垫料，烂水果可作为异位发酵车间原料</w:t>
            </w:r>
          </w:p>
        </w:tc>
        <w:tc>
          <w:tcPr>
            <w:tcW w:w="2835" w:type="dxa"/>
            <w:vMerge w:val="continue"/>
            <w:vAlign w:val="center"/>
          </w:tcPr>
          <w:p>
            <w:pPr>
              <w:pStyle w:val="100"/>
              <w:spacing w:line="240" w:lineRule="auto"/>
              <w:rPr>
                <w:rFonts w:ascii="Times New Roman" w:hAnsi="Times New Roman" w:cs="Times New Roman"/>
                <w:color w:val="000000" w:themeColor="text1"/>
                <w:szCs w:val="21"/>
              </w:rPr>
            </w:pPr>
          </w:p>
        </w:tc>
        <w:tc>
          <w:tcPr>
            <w:tcW w:w="1165" w:type="dxa"/>
            <w:vMerge w:val="continue"/>
            <w:vAlign w:val="center"/>
          </w:tcPr>
          <w:p>
            <w:pPr>
              <w:pStyle w:val="100"/>
              <w:spacing w:line="240" w:lineRule="auto"/>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42"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噪声</w:t>
            </w:r>
          </w:p>
        </w:tc>
        <w:tc>
          <w:tcPr>
            <w:tcW w:w="241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设备噪声</w:t>
            </w:r>
          </w:p>
        </w:tc>
        <w:tc>
          <w:tcPr>
            <w:tcW w:w="127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70~100</w:t>
            </w:r>
            <w:r>
              <w:rPr>
                <w:rFonts w:ascii="Times New Roman" w:hAnsi="Times New Roman" w:cs="Times New Roman"/>
                <w:color w:val="000000" w:themeColor="text1"/>
              </w:rPr>
              <w:t>dB(A)</w:t>
            </w:r>
          </w:p>
        </w:tc>
        <w:tc>
          <w:tcPr>
            <w:tcW w:w="1416"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3830"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采用低噪声设备，猪舍四周加强绿化</w:t>
            </w:r>
          </w:p>
        </w:tc>
        <w:tc>
          <w:tcPr>
            <w:tcW w:w="2835" w:type="dxa"/>
            <w:vAlign w:val="center"/>
          </w:tcPr>
          <w:p>
            <w:pPr>
              <w:widowControl/>
              <w:spacing w:line="240" w:lineRule="auto"/>
              <w:jc w:val="left"/>
              <w:rPr>
                <w:color w:val="000000" w:themeColor="text1"/>
                <w:szCs w:val="21"/>
              </w:rPr>
            </w:pPr>
            <w:r>
              <w:rPr>
                <w:color w:val="000000" w:themeColor="text1"/>
                <w:szCs w:val="21"/>
              </w:rPr>
              <w:t>《工业企业厂界环境噪声排放标准》（GB12348-2008）</w:t>
            </w:r>
            <w:r>
              <w:rPr>
                <w:rFonts w:hint="eastAsia"/>
                <w:color w:val="000000" w:themeColor="text1"/>
                <w:szCs w:val="21"/>
              </w:rPr>
              <w:t>1</w:t>
            </w:r>
            <w:r>
              <w:rPr>
                <w:color w:val="000000" w:themeColor="text1"/>
                <w:szCs w:val="21"/>
              </w:rPr>
              <w:t>类标准</w:t>
            </w:r>
          </w:p>
        </w:tc>
        <w:tc>
          <w:tcPr>
            <w:tcW w:w="1165" w:type="dxa"/>
            <w:vAlign w:val="center"/>
          </w:tcPr>
          <w:p>
            <w:pPr>
              <w:pStyle w:val="100"/>
              <w:spacing w:line="24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r>
    </w:tbl>
    <w:p>
      <w:pPr>
        <w:ind w:firstLine="480" w:firstLineChars="200"/>
        <w:rPr>
          <w:color w:val="000000" w:themeColor="text1"/>
          <w:sz w:val="24"/>
        </w:rPr>
        <w:sectPr>
          <w:pgSz w:w="16838" w:h="11906" w:orient="landscape"/>
          <w:pgMar w:top="1797" w:right="1440" w:bottom="1797" w:left="1440" w:header="851" w:footer="992" w:gutter="0"/>
          <w:cols w:space="720" w:num="1"/>
          <w:docGrid w:linePitch="312" w:charSpace="0"/>
        </w:sectPr>
      </w:pPr>
    </w:p>
    <w:p>
      <w:pPr>
        <w:pStyle w:val="3"/>
        <w:adjustRightInd w:val="0"/>
        <w:snapToGrid w:val="0"/>
        <w:spacing w:before="0" w:after="0"/>
        <w:rPr>
          <w:rFonts w:ascii="Times New Roman" w:hAnsi="Times New Roman"/>
          <w:color w:val="000000" w:themeColor="text1"/>
        </w:rPr>
      </w:pPr>
      <w:bookmarkStart w:id="620" w:name="_Toc4076520"/>
      <w:bookmarkStart w:id="621" w:name="_Toc510547387"/>
      <w:r>
        <w:rPr>
          <w:rFonts w:ascii="Times New Roman" w:hAnsi="Times New Roman"/>
          <w:color w:val="000000" w:themeColor="text1"/>
        </w:rPr>
        <w:t>10.5环境监测计划</w:t>
      </w:r>
      <w:bookmarkEnd w:id="620"/>
      <w:bookmarkEnd w:id="621"/>
    </w:p>
    <w:bookmarkEnd w:id="609"/>
    <w:bookmarkEnd w:id="610"/>
    <w:bookmarkEnd w:id="611"/>
    <w:bookmarkEnd w:id="612"/>
    <w:bookmarkEnd w:id="613"/>
    <w:bookmarkEnd w:id="614"/>
    <w:bookmarkEnd w:id="615"/>
    <w:bookmarkEnd w:id="616"/>
    <w:bookmarkEnd w:id="617"/>
    <w:p>
      <w:pPr>
        <w:ind w:firstLine="480" w:firstLineChars="200"/>
        <w:rPr>
          <w:color w:val="000000" w:themeColor="text1"/>
          <w:sz w:val="24"/>
        </w:rPr>
      </w:pPr>
      <w:r>
        <w:rPr>
          <w:color w:val="000000" w:themeColor="text1"/>
          <w:sz w:val="24"/>
        </w:rPr>
        <w:t>根据拟建项目的污染及排放特征，提出的污染物监测计划如下：</w:t>
      </w:r>
    </w:p>
    <w:p>
      <w:pPr>
        <w:adjustRightInd w:val="0"/>
        <w:snapToGrid w:val="0"/>
        <w:spacing w:line="240" w:lineRule="auto"/>
        <w:ind w:firstLine="422" w:firstLineChars="200"/>
        <w:jc w:val="center"/>
        <w:rPr>
          <w:b/>
          <w:color w:val="000000" w:themeColor="text1"/>
          <w:szCs w:val="21"/>
        </w:rPr>
      </w:pPr>
      <w:r>
        <w:rPr>
          <w:b/>
          <w:color w:val="000000" w:themeColor="text1"/>
          <w:szCs w:val="21"/>
        </w:rPr>
        <w:t>表10.5-1  营运期环境监测计划表</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126"/>
        <w:gridCol w:w="2551"/>
        <w:gridCol w:w="1375"/>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1101" w:type="dxa"/>
            <w:vAlign w:val="center"/>
          </w:tcPr>
          <w:p>
            <w:pPr>
              <w:adjustRightInd w:val="0"/>
              <w:snapToGrid w:val="0"/>
              <w:spacing w:line="240" w:lineRule="auto"/>
              <w:jc w:val="center"/>
              <w:rPr>
                <w:b/>
                <w:color w:val="000000" w:themeColor="text1"/>
              </w:rPr>
            </w:pPr>
            <w:r>
              <w:rPr>
                <w:b/>
                <w:color w:val="000000" w:themeColor="text1"/>
              </w:rPr>
              <w:t>污染因素</w:t>
            </w:r>
          </w:p>
        </w:tc>
        <w:tc>
          <w:tcPr>
            <w:tcW w:w="2126" w:type="dxa"/>
            <w:vAlign w:val="center"/>
          </w:tcPr>
          <w:p>
            <w:pPr>
              <w:adjustRightInd w:val="0"/>
              <w:snapToGrid w:val="0"/>
              <w:spacing w:line="240" w:lineRule="auto"/>
              <w:jc w:val="center"/>
              <w:rPr>
                <w:b/>
                <w:color w:val="000000" w:themeColor="text1"/>
              </w:rPr>
            </w:pPr>
            <w:r>
              <w:rPr>
                <w:b/>
                <w:color w:val="000000" w:themeColor="text1"/>
              </w:rPr>
              <w:t>监测点位</w:t>
            </w:r>
          </w:p>
        </w:tc>
        <w:tc>
          <w:tcPr>
            <w:tcW w:w="2551" w:type="dxa"/>
            <w:vAlign w:val="center"/>
          </w:tcPr>
          <w:p>
            <w:pPr>
              <w:adjustRightInd w:val="0"/>
              <w:snapToGrid w:val="0"/>
              <w:spacing w:line="240" w:lineRule="auto"/>
              <w:jc w:val="center"/>
              <w:rPr>
                <w:b/>
                <w:color w:val="000000" w:themeColor="text1"/>
              </w:rPr>
            </w:pPr>
            <w:r>
              <w:rPr>
                <w:b/>
                <w:color w:val="000000" w:themeColor="text1"/>
              </w:rPr>
              <w:t>监测项目</w:t>
            </w:r>
          </w:p>
        </w:tc>
        <w:tc>
          <w:tcPr>
            <w:tcW w:w="1375" w:type="dxa"/>
            <w:vAlign w:val="center"/>
          </w:tcPr>
          <w:p>
            <w:pPr>
              <w:adjustRightInd w:val="0"/>
              <w:snapToGrid w:val="0"/>
              <w:spacing w:line="240" w:lineRule="auto"/>
              <w:jc w:val="center"/>
              <w:rPr>
                <w:b/>
                <w:color w:val="000000" w:themeColor="text1"/>
              </w:rPr>
            </w:pPr>
            <w:r>
              <w:rPr>
                <w:b/>
                <w:color w:val="000000" w:themeColor="text1"/>
              </w:rPr>
              <w:t>监测要求</w:t>
            </w:r>
          </w:p>
        </w:tc>
        <w:tc>
          <w:tcPr>
            <w:tcW w:w="1375" w:type="dxa"/>
            <w:vAlign w:val="center"/>
          </w:tcPr>
          <w:p>
            <w:pPr>
              <w:adjustRightInd w:val="0"/>
              <w:snapToGrid w:val="0"/>
              <w:spacing w:line="240" w:lineRule="auto"/>
              <w:jc w:val="center"/>
              <w:rPr>
                <w:b/>
                <w:color w:val="000000" w:themeColor="text1"/>
              </w:rPr>
            </w:pPr>
            <w:r>
              <w:rPr>
                <w:b/>
                <w:color w:val="000000" w:themeColor="text1"/>
              </w:rPr>
              <w:t>监测机构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01" w:type="dxa"/>
            <w:vMerge w:val="restart"/>
            <w:vAlign w:val="center"/>
          </w:tcPr>
          <w:p>
            <w:pPr>
              <w:adjustRightInd w:val="0"/>
              <w:snapToGrid w:val="0"/>
              <w:spacing w:line="240" w:lineRule="auto"/>
              <w:jc w:val="center"/>
              <w:rPr>
                <w:color w:val="000000" w:themeColor="text1"/>
              </w:rPr>
            </w:pPr>
            <w:r>
              <w:rPr>
                <w:color w:val="000000" w:themeColor="text1"/>
              </w:rPr>
              <w:t>废气</w:t>
            </w:r>
          </w:p>
        </w:tc>
        <w:tc>
          <w:tcPr>
            <w:tcW w:w="2126" w:type="dxa"/>
            <w:vAlign w:val="center"/>
          </w:tcPr>
          <w:p>
            <w:pPr>
              <w:adjustRightInd w:val="0"/>
              <w:snapToGrid w:val="0"/>
              <w:spacing w:line="240" w:lineRule="auto"/>
              <w:jc w:val="center"/>
              <w:rPr>
                <w:color w:val="000000" w:themeColor="text1"/>
              </w:rPr>
            </w:pPr>
            <w:r>
              <w:rPr>
                <w:color w:val="000000" w:themeColor="text1"/>
              </w:rPr>
              <w:t>厂界上风向1个、下风向1个，周界外10m范围内</w:t>
            </w:r>
          </w:p>
        </w:tc>
        <w:tc>
          <w:tcPr>
            <w:tcW w:w="2551" w:type="dxa"/>
            <w:vAlign w:val="center"/>
          </w:tcPr>
          <w:p>
            <w:pPr>
              <w:adjustRightInd w:val="0"/>
              <w:snapToGrid w:val="0"/>
              <w:spacing w:line="240" w:lineRule="auto"/>
              <w:jc w:val="center"/>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、H</w:t>
            </w:r>
            <w:r>
              <w:rPr>
                <w:color w:val="000000" w:themeColor="text1"/>
                <w:szCs w:val="21"/>
                <w:vertAlign w:val="subscript"/>
              </w:rPr>
              <w:t>2</w:t>
            </w:r>
            <w:r>
              <w:rPr>
                <w:color w:val="000000" w:themeColor="text1"/>
                <w:szCs w:val="21"/>
              </w:rPr>
              <w:t>S、臭气浓度</w:t>
            </w:r>
          </w:p>
        </w:tc>
        <w:tc>
          <w:tcPr>
            <w:tcW w:w="1375" w:type="dxa"/>
            <w:vMerge w:val="restart"/>
            <w:vAlign w:val="center"/>
          </w:tcPr>
          <w:p>
            <w:pPr>
              <w:adjustRightInd w:val="0"/>
              <w:snapToGrid w:val="0"/>
              <w:spacing w:line="240" w:lineRule="auto"/>
              <w:jc w:val="center"/>
              <w:rPr>
                <w:color w:val="000000" w:themeColor="text1"/>
                <w:szCs w:val="21"/>
              </w:rPr>
            </w:pPr>
            <w:r>
              <w:rPr>
                <w:rFonts w:hint="eastAsia"/>
                <w:color w:val="000000" w:themeColor="text1"/>
                <w:kern w:val="24"/>
                <w:szCs w:val="21"/>
              </w:rPr>
              <w:t>按相关技术规范执行</w:t>
            </w:r>
          </w:p>
        </w:tc>
        <w:tc>
          <w:tcPr>
            <w:tcW w:w="1375" w:type="dxa"/>
            <w:vMerge w:val="restart"/>
            <w:vAlign w:val="center"/>
          </w:tcPr>
          <w:p>
            <w:pPr>
              <w:adjustRightInd w:val="0"/>
              <w:snapToGrid w:val="0"/>
              <w:spacing w:line="240" w:lineRule="auto"/>
              <w:jc w:val="center"/>
              <w:rPr>
                <w:color w:val="000000" w:themeColor="text1"/>
                <w:szCs w:val="21"/>
              </w:rPr>
            </w:pPr>
            <w:r>
              <w:rPr>
                <w:color w:val="000000" w:themeColor="text1"/>
                <w:szCs w:val="21"/>
              </w:rPr>
              <w:t>有资质单位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01" w:type="dxa"/>
            <w:vMerge w:val="continue"/>
            <w:vAlign w:val="center"/>
          </w:tcPr>
          <w:p>
            <w:pPr>
              <w:adjustRightInd w:val="0"/>
              <w:snapToGrid w:val="0"/>
              <w:spacing w:line="240" w:lineRule="auto"/>
              <w:jc w:val="center"/>
              <w:rPr>
                <w:color w:val="000000" w:themeColor="text1"/>
              </w:rPr>
            </w:pPr>
          </w:p>
        </w:tc>
        <w:tc>
          <w:tcPr>
            <w:tcW w:w="2126" w:type="dxa"/>
            <w:vAlign w:val="center"/>
          </w:tcPr>
          <w:p>
            <w:pPr>
              <w:adjustRightInd w:val="0"/>
              <w:snapToGrid w:val="0"/>
              <w:spacing w:line="240" w:lineRule="auto"/>
              <w:jc w:val="center"/>
              <w:rPr>
                <w:color w:val="000000" w:themeColor="text1"/>
              </w:rPr>
            </w:pPr>
            <w:r>
              <w:rPr>
                <w:rFonts w:hint="eastAsia"/>
                <w:color w:val="000000" w:themeColor="text1"/>
              </w:rPr>
              <w:t>沼气发电机排气口</w:t>
            </w:r>
          </w:p>
        </w:tc>
        <w:tc>
          <w:tcPr>
            <w:tcW w:w="2551" w:type="dxa"/>
            <w:vAlign w:val="center"/>
          </w:tcPr>
          <w:p>
            <w:pPr>
              <w:adjustRightInd w:val="0"/>
              <w:snapToGrid w:val="0"/>
              <w:spacing w:line="240" w:lineRule="auto"/>
              <w:jc w:val="center"/>
              <w:rPr>
                <w:color w:val="000000" w:themeColor="text1"/>
                <w:szCs w:val="21"/>
              </w:rPr>
            </w:pPr>
            <w:r>
              <w:rPr>
                <w:rFonts w:hint="eastAsia"/>
                <w:color w:val="000000" w:themeColor="text1"/>
                <w:szCs w:val="21"/>
              </w:rPr>
              <w:t>SO</w:t>
            </w:r>
            <w:r>
              <w:rPr>
                <w:rFonts w:hint="eastAsia"/>
                <w:color w:val="000000" w:themeColor="text1"/>
                <w:szCs w:val="21"/>
                <w:vertAlign w:val="subscript"/>
              </w:rPr>
              <w:t>2</w:t>
            </w:r>
            <w:r>
              <w:rPr>
                <w:color w:val="000000" w:themeColor="text1"/>
                <w:szCs w:val="21"/>
              </w:rPr>
              <w:t>、</w:t>
            </w:r>
            <w:r>
              <w:rPr>
                <w:rFonts w:hint="eastAsia"/>
                <w:color w:val="000000" w:themeColor="text1"/>
                <w:szCs w:val="21"/>
              </w:rPr>
              <w:t>NO</w:t>
            </w:r>
            <w:r>
              <w:rPr>
                <w:rFonts w:hint="eastAsia"/>
                <w:color w:val="000000" w:themeColor="text1"/>
                <w:szCs w:val="21"/>
                <w:vertAlign w:val="subscript"/>
              </w:rPr>
              <w:t>X</w:t>
            </w:r>
          </w:p>
        </w:tc>
        <w:tc>
          <w:tcPr>
            <w:tcW w:w="1375" w:type="dxa"/>
            <w:vMerge w:val="continue"/>
            <w:vAlign w:val="center"/>
          </w:tcPr>
          <w:p>
            <w:pPr>
              <w:adjustRightInd w:val="0"/>
              <w:snapToGrid w:val="0"/>
              <w:spacing w:line="240" w:lineRule="auto"/>
              <w:jc w:val="center"/>
              <w:rPr>
                <w:color w:val="000000" w:themeColor="text1"/>
                <w:kern w:val="24"/>
                <w:szCs w:val="21"/>
              </w:rPr>
            </w:pPr>
          </w:p>
        </w:tc>
        <w:tc>
          <w:tcPr>
            <w:tcW w:w="1375" w:type="dxa"/>
            <w:vMerge w:val="continue"/>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1" w:type="dxa"/>
            <w:vAlign w:val="center"/>
          </w:tcPr>
          <w:p>
            <w:pPr>
              <w:adjustRightInd w:val="0"/>
              <w:snapToGrid w:val="0"/>
              <w:spacing w:line="240" w:lineRule="auto"/>
              <w:jc w:val="center"/>
              <w:rPr>
                <w:color w:val="000000" w:themeColor="text1"/>
              </w:rPr>
            </w:pPr>
            <w:r>
              <w:rPr>
                <w:color w:val="000000" w:themeColor="text1"/>
              </w:rPr>
              <w:t>噪声</w:t>
            </w:r>
          </w:p>
        </w:tc>
        <w:tc>
          <w:tcPr>
            <w:tcW w:w="2126" w:type="dxa"/>
            <w:vAlign w:val="center"/>
          </w:tcPr>
          <w:p>
            <w:pPr>
              <w:adjustRightInd w:val="0"/>
              <w:snapToGrid w:val="0"/>
              <w:spacing w:line="240" w:lineRule="auto"/>
              <w:jc w:val="center"/>
              <w:rPr>
                <w:color w:val="000000" w:themeColor="text1"/>
              </w:rPr>
            </w:pPr>
            <w:r>
              <w:rPr>
                <w:color w:val="000000" w:themeColor="text1"/>
              </w:rPr>
              <w:t>场界外1m</w:t>
            </w:r>
          </w:p>
        </w:tc>
        <w:tc>
          <w:tcPr>
            <w:tcW w:w="2551" w:type="dxa"/>
            <w:vAlign w:val="center"/>
          </w:tcPr>
          <w:p>
            <w:pPr>
              <w:adjustRightInd w:val="0"/>
              <w:snapToGrid w:val="0"/>
              <w:spacing w:line="240" w:lineRule="auto"/>
              <w:jc w:val="center"/>
              <w:rPr>
                <w:color w:val="000000" w:themeColor="text1"/>
              </w:rPr>
            </w:pPr>
            <w:r>
              <w:rPr>
                <w:color w:val="000000" w:themeColor="text1"/>
              </w:rPr>
              <w:t>Leq[dB(A)]</w:t>
            </w:r>
          </w:p>
        </w:tc>
        <w:tc>
          <w:tcPr>
            <w:tcW w:w="1375" w:type="dxa"/>
            <w:vMerge w:val="continue"/>
            <w:vAlign w:val="center"/>
          </w:tcPr>
          <w:p>
            <w:pPr>
              <w:adjustRightInd w:val="0"/>
              <w:snapToGrid w:val="0"/>
              <w:spacing w:line="240" w:lineRule="auto"/>
              <w:jc w:val="center"/>
              <w:rPr>
                <w:color w:val="000000" w:themeColor="text1"/>
              </w:rPr>
            </w:pPr>
          </w:p>
        </w:tc>
        <w:tc>
          <w:tcPr>
            <w:tcW w:w="1375" w:type="dxa"/>
            <w:vMerge w:val="continue"/>
            <w:vAlign w:val="center"/>
          </w:tcPr>
          <w:p>
            <w:pPr>
              <w:adjustRightInd w:val="0"/>
              <w:snapToGrid w:val="0"/>
              <w:spacing w:line="240" w:lineRule="auto"/>
              <w:jc w:val="cente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1" w:type="dxa"/>
            <w:vAlign w:val="center"/>
          </w:tcPr>
          <w:p>
            <w:pPr>
              <w:adjustRightInd w:val="0"/>
              <w:snapToGrid w:val="0"/>
              <w:spacing w:line="240" w:lineRule="auto"/>
              <w:jc w:val="center"/>
              <w:rPr>
                <w:color w:val="000000" w:themeColor="text1"/>
              </w:rPr>
            </w:pPr>
            <w:r>
              <w:rPr>
                <w:rFonts w:hint="eastAsia"/>
                <w:color w:val="000000" w:themeColor="text1"/>
              </w:rPr>
              <w:t>地下水</w:t>
            </w:r>
          </w:p>
        </w:tc>
        <w:tc>
          <w:tcPr>
            <w:tcW w:w="2126" w:type="dxa"/>
            <w:vAlign w:val="center"/>
          </w:tcPr>
          <w:p>
            <w:pPr>
              <w:adjustRightInd w:val="0"/>
              <w:snapToGrid w:val="0"/>
              <w:spacing w:line="240" w:lineRule="auto"/>
              <w:jc w:val="center"/>
              <w:rPr>
                <w:color w:val="000000" w:themeColor="text1"/>
              </w:rPr>
            </w:pPr>
            <w:r>
              <w:rPr>
                <w:rFonts w:hint="eastAsia"/>
                <w:color w:val="000000" w:themeColor="text1"/>
              </w:rPr>
              <w:t>场地南侧、东侧监测井</w:t>
            </w:r>
          </w:p>
        </w:tc>
        <w:tc>
          <w:tcPr>
            <w:tcW w:w="2551" w:type="dxa"/>
            <w:vAlign w:val="center"/>
          </w:tcPr>
          <w:p>
            <w:pPr>
              <w:adjustRightInd w:val="0"/>
              <w:snapToGrid w:val="0"/>
              <w:spacing w:line="240" w:lineRule="auto"/>
              <w:jc w:val="center"/>
              <w:rPr>
                <w:color w:val="000000" w:themeColor="text1"/>
              </w:rPr>
            </w:pPr>
            <w:r>
              <w:rPr>
                <w:rFonts w:hint="eastAsia"/>
                <w:color w:val="000000" w:themeColor="text1"/>
              </w:rPr>
              <w:t>pH、氨氮、硝酸盐、亚硝酸盐、溶解性总固体、高锰酸盐指数、硫酸盐、氯化物、总大肠菌群、菌落总数</w:t>
            </w:r>
          </w:p>
        </w:tc>
        <w:tc>
          <w:tcPr>
            <w:tcW w:w="1375" w:type="dxa"/>
            <w:vMerge w:val="continue"/>
            <w:vAlign w:val="center"/>
          </w:tcPr>
          <w:p>
            <w:pPr>
              <w:adjustRightInd w:val="0"/>
              <w:snapToGrid w:val="0"/>
              <w:spacing w:line="240" w:lineRule="auto"/>
              <w:jc w:val="center"/>
              <w:rPr>
                <w:color w:val="000000" w:themeColor="text1"/>
                <w:kern w:val="24"/>
                <w:szCs w:val="21"/>
              </w:rPr>
            </w:pPr>
          </w:p>
        </w:tc>
        <w:tc>
          <w:tcPr>
            <w:tcW w:w="1375" w:type="dxa"/>
            <w:vMerge w:val="continue"/>
            <w:vAlign w:val="center"/>
          </w:tcPr>
          <w:p>
            <w:pPr>
              <w:adjustRightInd w:val="0"/>
              <w:snapToGrid w:val="0"/>
              <w:spacing w:line="240" w:lineRule="auto"/>
              <w:jc w:val="center"/>
              <w:rPr>
                <w:color w:val="000000" w:themeColor="text1"/>
              </w:rPr>
            </w:pPr>
          </w:p>
        </w:tc>
      </w:tr>
    </w:tbl>
    <w:p>
      <w:pPr>
        <w:pStyle w:val="3"/>
        <w:adjustRightInd w:val="0"/>
        <w:snapToGrid w:val="0"/>
        <w:spacing w:before="0" w:after="0"/>
        <w:rPr>
          <w:rFonts w:ascii="Times New Roman" w:hAnsi="Times New Roman"/>
          <w:color w:val="000000" w:themeColor="text1"/>
        </w:rPr>
      </w:pPr>
      <w:bookmarkStart w:id="622" w:name="_Toc510547388"/>
      <w:bookmarkStart w:id="623" w:name="_Toc4076521"/>
      <w:r>
        <w:rPr>
          <w:rFonts w:ascii="Times New Roman" w:hAnsi="Times New Roman"/>
          <w:color w:val="000000" w:themeColor="text1"/>
        </w:rPr>
        <w:t>10.6环境监理计划</w:t>
      </w:r>
      <w:bookmarkEnd w:id="622"/>
      <w:bookmarkEnd w:id="623"/>
    </w:p>
    <w:p>
      <w:pPr>
        <w:pStyle w:val="132"/>
        <w:ind w:firstLine="480"/>
        <w:rPr>
          <w:rFonts w:ascii="Times New Roman" w:hAnsi="Times New Roman" w:cs="Times New Roman"/>
          <w:snapToGrid w:val="0"/>
          <w:color w:val="000000" w:themeColor="text1"/>
        </w:rPr>
      </w:pPr>
      <w:r>
        <w:rPr>
          <w:rFonts w:ascii="Times New Roman" w:hAnsi="Times New Roman" w:cs="Times New Roman"/>
          <w:snapToGrid w:val="0"/>
          <w:color w:val="000000" w:themeColor="text1"/>
        </w:rPr>
        <w:t>（1）环境监理的目的</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①</w:t>
      </w:r>
      <w:r>
        <w:rPr>
          <w:rFonts w:ascii="Times New Roman" w:hAnsi="Times New Roman" w:cs="Times New Roman"/>
          <w:color w:val="000000" w:themeColor="text1"/>
        </w:rPr>
        <w:t>在施工期根据环境保护设计要求，开展施工期环境监理，全面监督和检查施工单位环境保护措施的实施和效果，使工程的环保措施</w:t>
      </w:r>
      <w:bookmarkStart w:id="670" w:name="_GoBack"/>
      <w:r>
        <w:rPr>
          <w:rFonts w:hint="eastAsia" w:ascii="Times New Roman" w:hAnsi="Times New Roman" w:cs="Times New Roman"/>
          <w:color w:val="000000" w:themeColor="text1"/>
          <w:shd w:val="clear" w:fill="FFFF00"/>
        </w:rPr>
        <w:t>落到实处</w:t>
      </w:r>
      <w:bookmarkEnd w:id="670"/>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②</w:t>
      </w:r>
      <w:r>
        <w:rPr>
          <w:rFonts w:ascii="Times New Roman" w:hAnsi="Times New Roman" w:cs="Times New Roman"/>
          <w:color w:val="000000" w:themeColor="text1"/>
        </w:rPr>
        <w:t>对施工过程中主要的环境问题进行全面监控，使工程可能引起的水土流失、地表破坏等不利影响减小到最小程度。</w:t>
      </w:r>
    </w:p>
    <w:p>
      <w:pPr>
        <w:pStyle w:val="132"/>
        <w:ind w:firstLine="480"/>
        <w:rPr>
          <w:rFonts w:ascii="Times New Roman" w:hAnsi="Times New Roman" w:cs="Times New Roman"/>
          <w:snapToGrid w:val="0"/>
          <w:color w:val="000000" w:themeColor="text1"/>
        </w:rPr>
      </w:pPr>
      <w:r>
        <w:rPr>
          <w:rFonts w:hint="eastAsia" w:ascii="宋体" w:hAnsi="宋体" w:cs="宋体"/>
          <w:color w:val="000000" w:themeColor="text1"/>
        </w:rPr>
        <w:t>③</w:t>
      </w:r>
      <w:r>
        <w:rPr>
          <w:rFonts w:ascii="Times New Roman" w:hAnsi="Times New Roman" w:cs="Times New Roman"/>
          <w:color w:val="000000" w:themeColor="text1"/>
        </w:rPr>
        <w:t>对施工过程中可能发生的水质污染、噪声扰民、扬尘污染等因素进行监控，及时处理和解决临时出现的环境污染事件。</w:t>
      </w:r>
    </w:p>
    <w:p>
      <w:pPr>
        <w:pStyle w:val="132"/>
        <w:ind w:firstLine="480"/>
        <w:rPr>
          <w:rFonts w:ascii="Times New Roman" w:hAnsi="Times New Roman" w:cs="Times New Roman"/>
          <w:snapToGrid w:val="0"/>
          <w:color w:val="000000" w:themeColor="text1"/>
        </w:rPr>
      </w:pPr>
      <w:r>
        <w:rPr>
          <w:rFonts w:ascii="Times New Roman" w:hAnsi="Times New Roman" w:cs="Times New Roman"/>
          <w:snapToGrid w:val="0"/>
          <w:color w:val="000000" w:themeColor="text1"/>
        </w:rPr>
        <w:t>（2）环境监理范围</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环境监理范围：工程所在区域和工程影响区域。</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环境监理工作范围：施工现场、施工道路、附属设施等范围内生产施工对周边造成环境污染和生态破坏的区域；项目运行造成环境影响所采取环保措施的区域。</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环境监理工作间段：施工准备阶段环境监理、施工阶段环境监理、工程保修阶段（交工及责任缺陷期）环境监理。</w:t>
      </w:r>
    </w:p>
    <w:p>
      <w:pPr>
        <w:pStyle w:val="132"/>
        <w:ind w:firstLine="480"/>
        <w:rPr>
          <w:rFonts w:ascii="Times New Roman" w:hAnsi="Times New Roman" w:cs="Times New Roman"/>
          <w:snapToGrid w:val="0"/>
          <w:color w:val="000000" w:themeColor="text1"/>
        </w:rPr>
      </w:pPr>
      <w:r>
        <w:rPr>
          <w:rFonts w:ascii="Times New Roman" w:hAnsi="Times New Roman" w:cs="Times New Roman"/>
          <w:snapToGrid w:val="0"/>
          <w:color w:val="000000" w:themeColor="text1"/>
        </w:rPr>
        <w:t>（3）环境监理内容</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工程环境监理应遵循国家及地方有关环境保护的政策和法律法规的要求，在施工期对所有实施环境保护项目的专业部门及项目承包人的环境保护工作进行监督检查，确保工程环境影响报告书中所提出的环境保护措施得到落实，主要工作任务包括：</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①</w:t>
      </w:r>
      <w:r>
        <w:rPr>
          <w:rFonts w:ascii="Times New Roman" w:hAnsi="Times New Roman" w:cs="Times New Roman"/>
          <w:color w:val="000000" w:themeColor="text1"/>
        </w:rPr>
        <w:t>编制环境监理计划，拟定环境监理项目和内容。</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②</w:t>
      </w:r>
      <w:r>
        <w:rPr>
          <w:rFonts w:ascii="Times New Roman" w:hAnsi="Times New Roman" w:cs="Times New Roman"/>
          <w:color w:val="000000" w:themeColor="text1"/>
        </w:rPr>
        <w:t>对工程进行监督检查，采取检查、指令文件等监理方式。</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③</w:t>
      </w:r>
      <w:r>
        <w:rPr>
          <w:rFonts w:ascii="Times New Roman" w:hAnsi="Times New Roman" w:cs="Times New Roman"/>
          <w:color w:val="000000" w:themeColor="text1"/>
        </w:rPr>
        <w:t>根据有关法律法规及环境保护项目合同，对实施环境保护项目的专业部门和项目承包人的工作进行抽查、监督，提出有关环境保护工作的要求。</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④</w:t>
      </w:r>
      <w:r>
        <w:rPr>
          <w:rFonts w:ascii="Times New Roman" w:hAnsi="Times New Roman" w:cs="Times New Roman"/>
          <w:color w:val="000000" w:themeColor="text1"/>
        </w:rPr>
        <w:t>对施工期各项环保措施进行监理，监督和检查各施工单位环保措施实施情况及实际效果。</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⑤</w:t>
      </w:r>
      <w:r>
        <w:rPr>
          <w:rFonts w:ascii="Times New Roman" w:hAnsi="Times New Roman" w:cs="Times New Roman"/>
          <w:color w:val="000000" w:themeColor="text1"/>
        </w:rPr>
        <w:t>对工程承包人的环境季报、年报进行审查，提出审查、修改意见。</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⑥</w:t>
      </w:r>
      <w:r>
        <w:rPr>
          <w:rFonts w:ascii="Times New Roman" w:hAnsi="Times New Roman" w:cs="Times New Roman"/>
          <w:color w:val="000000" w:themeColor="text1"/>
        </w:rPr>
        <w:t>根据有关法律法规及项目合同，协助项目环境管理机构和环保主管部门处理工程各种环境事故和环境纠纷。</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⑦</w:t>
      </w:r>
      <w:r>
        <w:rPr>
          <w:rFonts w:ascii="Times New Roman" w:hAnsi="Times New Roman" w:cs="Times New Roman"/>
          <w:color w:val="000000" w:themeColor="text1"/>
        </w:rPr>
        <w:t>负责落实环境监测的实施，审核有关环境监测报表，根据水质、大气、噪声等监测结果，对工程及管理提出相应的要求，减少工程施工给环境带来的不利影响。</w:t>
      </w:r>
    </w:p>
    <w:p>
      <w:pPr>
        <w:pStyle w:val="132"/>
        <w:ind w:firstLine="480"/>
        <w:rPr>
          <w:rFonts w:ascii="Times New Roman" w:hAnsi="Times New Roman" w:cs="Times New Roman"/>
          <w:color w:val="000000" w:themeColor="text1"/>
        </w:rPr>
      </w:pPr>
      <w:r>
        <w:rPr>
          <w:rFonts w:hint="eastAsia" w:ascii="宋体" w:hAnsi="宋体" w:cs="宋体"/>
          <w:color w:val="000000" w:themeColor="text1"/>
        </w:rPr>
        <w:t>⑧</w:t>
      </w:r>
      <w:r>
        <w:rPr>
          <w:rFonts w:ascii="Times New Roman" w:hAnsi="Times New Roman" w:cs="Times New Roman"/>
          <w:color w:val="000000" w:themeColor="text1"/>
        </w:rPr>
        <w:t>编制环境监理工作季报和年报报送环境管理机构，对环境监理工作进行总结，提出工程存在的主要环境问题和解决问题的建议。</w:t>
      </w:r>
    </w:p>
    <w:p>
      <w:pPr>
        <w:pStyle w:val="132"/>
        <w:ind w:firstLine="480"/>
        <w:rPr>
          <w:rFonts w:ascii="Times New Roman" w:hAnsi="Times New Roman" w:cs="Times New Roman"/>
          <w:snapToGrid w:val="0"/>
          <w:color w:val="000000" w:themeColor="text1"/>
        </w:rPr>
      </w:pPr>
      <w:r>
        <w:rPr>
          <w:rFonts w:ascii="Times New Roman" w:hAnsi="Times New Roman" w:cs="Times New Roman"/>
          <w:snapToGrid w:val="0"/>
          <w:color w:val="000000" w:themeColor="text1"/>
        </w:rPr>
        <w:t>（4）环境监理计划</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本项目环境监理计划见下表。</w:t>
      </w:r>
    </w:p>
    <w:p>
      <w:pPr>
        <w:adjustRightInd w:val="0"/>
        <w:spacing w:line="240" w:lineRule="auto"/>
        <w:jc w:val="center"/>
        <w:rPr>
          <w:b/>
          <w:color w:val="000000" w:themeColor="text1"/>
          <w:kern w:val="24"/>
          <w:szCs w:val="21"/>
        </w:rPr>
      </w:pPr>
      <w:r>
        <w:rPr>
          <w:b/>
          <w:color w:val="000000" w:themeColor="text1"/>
          <w:kern w:val="24"/>
          <w:szCs w:val="21"/>
        </w:rPr>
        <w:t>表10.6-1  环境监理计划表</w:t>
      </w:r>
    </w:p>
    <w:tbl>
      <w:tblPr>
        <w:tblStyle w:val="42"/>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122"/>
        <w:gridCol w:w="3735"/>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b/>
                <w:color w:val="000000" w:themeColor="text1"/>
                <w:szCs w:val="21"/>
              </w:rPr>
            </w:pPr>
            <w:r>
              <w:rPr>
                <w:b/>
                <w:color w:val="000000" w:themeColor="text1"/>
                <w:szCs w:val="21"/>
              </w:rPr>
              <w:t>项目</w:t>
            </w:r>
          </w:p>
        </w:tc>
        <w:tc>
          <w:tcPr>
            <w:tcW w:w="37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b/>
                <w:color w:val="000000" w:themeColor="text1"/>
                <w:szCs w:val="21"/>
              </w:rPr>
            </w:pPr>
            <w:r>
              <w:rPr>
                <w:b/>
                <w:color w:val="000000" w:themeColor="text1"/>
                <w:szCs w:val="21"/>
              </w:rPr>
              <w:t>环境监理工作重点</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b/>
                <w:color w:val="000000" w:themeColor="text1"/>
                <w:szCs w:val="21"/>
              </w:rPr>
            </w:pPr>
            <w:r>
              <w:rPr>
                <w:b/>
                <w:color w:val="000000" w:themeColor="text1"/>
                <w:szCs w:val="21"/>
              </w:rPr>
              <w:t>执行单位</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b/>
                <w:color w:val="000000" w:themeColor="text1"/>
                <w:szCs w:val="21"/>
              </w:rPr>
            </w:pPr>
            <w:r>
              <w:rPr>
                <w:b/>
                <w:color w:val="000000" w:themeColor="text1"/>
                <w:szCs w:val="21"/>
              </w:rPr>
              <w:t>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建设期</w:t>
            </w:r>
          </w:p>
        </w:tc>
        <w:tc>
          <w:tcPr>
            <w:tcW w:w="11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环境空气</w:t>
            </w:r>
          </w:p>
        </w:tc>
        <w:tc>
          <w:tcPr>
            <w:tcW w:w="37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rPr>
                <w:color w:val="000000" w:themeColor="text1"/>
                <w:szCs w:val="21"/>
              </w:rPr>
            </w:pPr>
            <w:r>
              <w:rPr>
                <w:rFonts w:hint="eastAsia" w:ascii="宋体" w:hAnsi="宋体" w:cs="宋体"/>
                <w:color w:val="000000" w:themeColor="text1"/>
                <w:szCs w:val="21"/>
              </w:rPr>
              <w:t>①</w:t>
            </w:r>
            <w:r>
              <w:rPr>
                <w:color w:val="000000" w:themeColor="text1"/>
                <w:szCs w:val="21"/>
              </w:rPr>
              <w:t>施工期是否洒水降尘；</w:t>
            </w:r>
          </w:p>
          <w:p>
            <w:pPr>
              <w:adjustRightInd w:val="0"/>
              <w:snapToGrid w:val="0"/>
              <w:spacing w:line="240" w:lineRule="auto"/>
              <w:rPr>
                <w:color w:val="000000" w:themeColor="text1"/>
                <w:szCs w:val="21"/>
              </w:rPr>
            </w:pPr>
            <w:r>
              <w:rPr>
                <w:rFonts w:hint="eastAsia" w:ascii="宋体" w:hAnsi="宋体" w:cs="宋体"/>
                <w:color w:val="000000" w:themeColor="text1"/>
                <w:szCs w:val="21"/>
              </w:rPr>
              <w:t>②</w:t>
            </w:r>
            <w:r>
              <w:rPr>
                <w:color w:val="000000" w:themeColor="text1"/>
                <w:szCs w:val="21"/>
              </w:rPr>
              <w:t>运输车辆是否用篷布遮盖；</w:t>
            </w:r>
          </w:p>
          <w:p>
            <w:pPr>
              <w:adjustRightInd w:val="0"/>
              <w:snapToGrid w:val="0"/>
              <w:spacing w:line="240" w:lineRule="auto"/>
              <w:rPr>
                <w:color w:val="000000" w:themeColor="text1"/>
                <w:szCs w:val="21"/>
              </w:rPr>
            </w:pPr>
            <w:r>
              <w:rPr>
                <w:rFonts w:hint="eastAsia" w:ascii="宋体" w:hAnsi="宋体" w:cs="宋体"/>
                <w:color w:val="000000" w:themeColor="text1"/>
                <w:szCs w:val="21"/>
              </w:rPr>
              <w:t>③</w:t>
            </w:r>
            <w:r>
              <w:rPr>
                <w:color w:val="000000" w:themeColor="text1"/>
                <w:szCs w:val="21"/>
              </w:rPr>
              <w:t>易产尘建筑材料是否遮盖。</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施工单位</w:t>
            </w:r>
          </w:p>
        </w:tc>
        <w:tc>
          <w:tcPr>
            <w:tcW w:w="1559"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玉溪市生态环境局新平分局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Merge w:val="continue"/>
            <w:tcBorders>
              <w:left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c>
          <w:tcPr>
            <w:tcW w:w="11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水环境</w:t>
            </w:r>
          </w:p>
        </w:tc>
        <w:tc>
          <w:tcPr>
            <w:tcW w:w="37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rPr>
                <w:color w:val="000000" w:themeColor="text1"/>
                <w:szCs w:val="21"/>
              </w:rPr>
            </w:pPr>
            <w:r>
              <w:rPr>
                <w:rFonts w:hint="eastAsia" w:ascii="宋体" w:hAnsi="宋体" w:cs="宋体"/>
                <w:color w:val="000000" w:themeColor="text1"/>
                <w:szCs w:val="21"/>
              </w:rPr>
              <w:t>①</w:t>
            </w:r>
            <w:r>
              <w:rPr>
                <w:color w:val="000000" w:themeColor="text1"/>
                <w:szCs w:val="21"/>
              </w:rPr>
              <w:t>是否建设车辆清洗池；</w:t>
            </w:r>
          </w:p>
          <w:p>
            <w:pPr>
              <w:adjustRightInd w:val="0"/>
              <w:snapToGrid w:val="0"/>
              <w:spacing w:line="240" w:lineRule="auto"/>
              <w:rPr>
                <w:color w:val="000000" w:themeColor="text1"/>
                <w:szCs w:val="21"/>
              </w:rPr>
            </w:pPr>
            <w:r>
              <w:rPr>
                <w:rFonts w:hint="eastAsia" w:ascii="宋体" w:hAnsi="宋体" w:cs="宋体"/>
                <w:color w:val="000000" w:themeColor="text1"/>
                <w:szCs w:val="21"/>
              </w:rPr>
              <w:t>②</w:t>
            </w:r>
            <w:r>
              <w:rPr>
                <w:color w:val="000000" w:themeColor="text1"/>
                <w:szCs w:val="21"/>
              </w:rPr>
              <w:t>机械清洗废水是否沉淀后回用；</w:t>
            </w:r>
          </w:p>
          <w:p>
            <w:pPr>
              <w:adjustRightInd w:val="0"/>
              <w:snapToGrid w:val="0"/>
              <w:spacing w:line="240" w:lineRule="auto"/>
              <w:rPr>
                <w:color w:val="000000" w:themeColor="text1"/>
                <w:szCs w:val="21"/>
              </w:rPr>
            </w:pPr>
            <w:r>
              <w:rPr>
                <w:rFonts w:hint="eastAsia" w:ascii="宋体" w:hAnsi="宋体" w:cs="宋体"/>
                <w:color w:val="000000" w:themeColor="text1"/>
                <w:szCs w:val="21"/>
              </w:rPr>
              <w:t>③</w:t>
            </w:r>
            <w:r>
              <w:rPr>
                <w:color w:val="000000" w:themeColor="text1"/>
                <w:szCs w:val="21"/>
              </w:rPr>
              <w:t>是否建设临时排水沟和沉淀池。</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施工单位</w:t>
            </w:r>
          </w:p>
          <w:p>
            <w:pPr>
              <w:adjustRightInd w:val="0"/>
              <w:snapToGrid w:val="0"/>
              <w:spacing w:line="240" w:lineRule="auto"/>
              <w:jc w:val="center"/>
              <w:rPr>
                <w:color w:val="000000" w:themeColor="text1"/>
                <w:szCs w:val="21"/>
              </w:rPr>
            </w:pPr>
            <w:r>
              <w:rPr>
                <w:color w:val="000000" w:themeColor="text1"/>
                <w:szCs w:val="21"/>
              </w:rPr>
              <w:t>建设单位</w:t>
            </w:r>
          </w:p>
        </w:tc>
        <w:tc>
          <w:tcPr>
            <w:tcW w:w="1559" w:type="dxa"/>
            <w:vMerge w:val="continue"/>
            <w:tcBorders>
              <w:left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Merge w:val="continue"/>
            <w:tcBorders>
              <w:left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c>
          <w:tcPr>
            <w:tcW w:w="11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声环境</w:t>
            </w:r>
          </w:p>
        </w:tc>
        <w:tc>
          <w:tcPr>
            <w:tcW w:w="3735" w:type="dxa"/>
            <w:tcBorders>
              <w:top w:val="single" w:color="auto" w:sz="4" w:space="0"/>
              <w:left w:val="single" w:color="auto" w:sz="4" w:space="0"/>
              <w:bottom w:val="single" w:color="auto" w:sz="4" w:space="0"/>
              <w:right w:val="single" w:color="auto" w:sz="4" w:space="0"/>
            </w:tcBorders>
            <w:vAlign w:val="center"/>
          </w:tcPr>
          <w:p>
            <w:pPr>
              <w:pStyle w:val="132"/>
              <w:adjustRightInd w:val="0"/>
              <w:snapToGrid w:val="0"/>
              <w:spacing w:line="240" w:lineRule="auto"/>
              <w:ind w:firstLine="0" w:firstLineChars="0"/>
              <w:jc w:val="center"/>
              <w:rPr>
                <w:rFonts w:ascii="Times New Roman" w:hAnsi="Times New Roman" w:cs="Times New Roman"/>
                <w:color w:val="000000" w:themeColor="text1"/>
                <w:szCs w:val="21"/>
              </w:rPr>
            </w:pPr>
            <w:r>
              <w:rPr>
                <w:rFonts w:ascii="Times New Roman" w:hAnsi="Times New Roman" w:cs="Times New Roman"/>
                <w:color w:val="000000" w:themeColor="text1"/>
                <w:sz w:val="21"/>
                <w:szCs w:val="21"/>
              </w:rPr>
              <w:t>车辆出入现场低速、禁鸣</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施工单位</w:t>
            </w:r>
          </w:p>
          <w:p>
            <w:pPr>
              <w:adjustRightInd w:val="0"/>
              <w:snapToGrid w:val="0"/>
              <w:spacing w:line="240" w:lineRule="auto"/>
              <w:jc w:val="center"/>
              <w:rPr>
                <w:color w:val="000000" w:themeColor="text1"/>
                <w:szCs w:val="21"/>
              </w:rPr>
            </w:pPr>
            <w:r>
              <w:rPr>
                <w:color w:val="000000" w:themeColor="text1"/>
                <w:szCs w:val="21"/>
              </w:rPr>
              <w:t>建设单位</w:t>
            </w:r>
          </w:p>
        </w:tc>
        <w:tc>
          <w:tcPr>
            <w:tcW w:w="1559" w:type="dxa"/>
            <w:vMerge w:val="continue"/>
            <w:tcBorders>
              <w:left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Merge w:val="continue"/>
            <w:tcBorders>
              <w:left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c>
          <w:tcPr>
            <w:tcW w:w="11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固体废物</w:t>
            </w:r>
          </w:p>
        </w:tc>
        <w:tc>
          <w:tcPr>
            <w:tcW w:w="37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rPr>
                <w:color w:val="000000" w:themeColor="text1"/>
                <w:szCs w:val="21"/>
              </w:rPr>
            </w:pPr>
            <w:r>
              <w:rPr>
                <w:rFonts w:hint="eastAsia" w:ascii="宋体" w:hAnsi="宋体" w:cs="宋体"/>
                <w:color w:val="000000" w:themeColor="text1"/>
                <w:szCs w:val="21"/>
              </w:rPr>
              <w:t>①</w:t>
            </w:r>
            <w:r>
              <w:rPr>
                <w:color w:val="000000" w:themeColor="text1"/>
                <w:szCs w:val="21"/>
              </w:rPr>
              <w:t>土石方及建筑垃圾不得随意处置和堆放；</w:t>
            </w:r>
          </w:p>
          <w:p>
            <w:pPr>
              <w:adjustRightInd w:val="0"/>
              <w:snapToGrid w:val="0"/>
              <w:spacing w:line="240" w:lineRule="auto"/>
              <w:rPr>
                <w:color w:val="000000" w:themeColor="text1"/>
                <w:szCs w:val="21"/>
              </w:rPr>
            </w:pPr>
            <w:r>
              <w:rPr>
                <w:rFonts w:hint="eastAsia" w:ascii="宋体" w:hAnsi="宋体" w:cs="宋体"/>
                <w:color w:val="000000" w:themeColor="text1"/>
                <w:szCs w:val="21"/>
              </w:rPr>
              <w:t>②</w:t>
            </w:r>
            <w:r>
              <w:rPr>
                <w:color w:val="000000" w:themeColor="text1"/>
                <w:szCs w:val="21"/>
              </w:rPr>
              <w:t>表土堆场是否采取拦挡、遮盖及排水措施；</w:t>
            </w:r>
          </w:p>
          <w:p>
            <w:pPr>
              <w:adjustRightInd w:val="0"/>
              <w:snapToGrid w:val="0"/>
              <w:spacing w:line="240" w:lineRule="auto"/>
              <w:rPr>
                <w:color w:val="000000" w:themeColor="text1"/>
                <w:szCs w:val="21"/>
              </w:rPr>
            </w:pPr>
            <w:r>
              <w:rPr>
                <w:rFonts w:hint="eastAsia" w:ascii="宋体" w:hAnsi="宋体" w:cs="宋体"/>
                <w:color w:val="000000" w:themeColor="text1"/>
                <w:szCs w:val="21"/>
              </w:rPr>
              <w:t>③</w:t>
            </w:r>
            <w:r>
              <w:rPr>
                <w:color w:val="000000" w:themeColor="text1"/>
                <w:szCs w:val="21"/>
              </w:rPr>
              <w:t>生活垃圾是否按规定集中收集。</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施工单位</w:t>
            </w:r>
          </w:p>
          <w:p>
            <w:pPr>
              <w:adjustRightInd w:val="0"/>
              <w:snapToGrid w:val="0"/>
              <w:spacing w:line="240" w:lineRule="auto"/>
              <w:jc w:val="center"/>
              <w:rPr>
                <w:color w:val="000000" w:themeColor="text1"/>
                <w:szCs w:val="21"/>
              </w:rPr>
            </w:pPr>
            <w:r>
              <w:rPr>
                <w:color w:val="000000" w:themeColor="text1"/>
                <w:szCs w:val="21"/>
              </w:rPr>
              <w:t>建设单位</w:t>
            </w:r>
          </w:p>
        </w:tc>
        <w:tc>
          <w:tcPr>
            <w:tcW w:w="1559" w:type="dxa"/>
            <w:vMerge w:val="continue"/>
            <w:tcBorders>
              <w:left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Merge w:val="continue"/>
            <w:tcBorders>
              <w:left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c>
          <w:tcPr>
            <w:tcW w:w="1122"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防渗工程</w:t>
            </w:r>
          </w:p>
        </w:tc>
        <w:tc>
          <w:tcPr>
            <w:tcW w:w="3735"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rPr>
                <w:color w:val="000000" w:themeColor="text1"/>
                <w:szCs w:val="21"/>
              </w:rPr>
            </w:pPr>
            <w:r>
              <w:rPr>
                <w:rFonts w:hint="eastAsia" w:ascii="宋体" w:hAnsi="宋体" w:cs="宋体"/>
                <w:color w:val="000000" w:themeColor="text1"/>
                <w:szCs w:val="21"/>
              </w:rPr>
              <w:t>①</w:t>
            </w:r>
            <w:r>
              <w:rPr>
                <w:color w:val="000000" w:themeColor="text1"/>
                <w:szCs w:val="21"/>
              </w:rPr>
              <w:t>施工期对防渗系统等隐蔽工程的监理必须到现场；</w:t>
            </w:r>
          </w:p>
          <w:p>
            <w:pPr>
              <w:adjustRightInd w:val="0"/>
              <w:snapToGrid w:val="0"/>
              <w:spacing w:line="240" w:lineRule="auto"/>
              <w:jc w:val="left"/>
              <w:rPr>
                <w:color w:val="000000" w:themeColor="text1"/>
                <w:szCs w:val="21"/>
              </w:rPr>
            </w:pPr>
            <w:r>
              <w:rPr>
                <w:rFonts w:hint="eastAsia" w:ascii="宋体" w:hAnsi="宋体" w:cs="宋体"/>
                <w:color w:val="000000" w:themeColor="text1"/>
                <w:szCs w:val="21"/>
              </w:rPr>
              <w:t>②</w:t>
            </w:r>
            <w:r>
              <w:rPr>
                <w:color w:val="000000" w:themeColor="text1"/>
                <w:szCs w:val="21"/>
              </w:rPr>
              <w:t>防渗工程施工必须有文字记录、图片及影像；</w:t>
            </w:r>
          </w:p>
          <w:p>
            <w:pPr>
              <w:adjustRightInd w:val="0"/>
              <w:snapToGrid w:val="0"/>
              <w:spacing w:line="240" w:lineRule="auto"/>
              <w:rPr>
                <w:color w:val="000000" w:themeColor="text1"/>
                <w:szCs w:val="21"/>
              </w:rPr>
            </w:pPr>
            <w:r>
              <w:rPr>
                <w:rFonts w:hint="eastAsia" w:ascii="宋体" w:hAnsi="宋体" w:cs="宋体"/>
                <w:color w:val="000000" w:themeColor="text1"/>
                <w:szCs w:val="21"/>
              </w:rPr>
              <w:t>③</w:t>
            </w:r>
            <w:r>
              <w:rPr>
                <w:color w:val="000000" w:themeColor="text1"/>
                <w:szCs w:val="21"/>
              </w:rPr>
              <w:t>隐蔽工程分阶段验收，每一工序合格后方能进行下一施工程序。</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施工单位</w:t>
            </w:r>
          </w:p>
          <w:p>
            <w:pPr>
              <w:adjustRightInd w:val="0"/>
              <w:snapToGrid w:val="0"/>
              <w:spacing w:line="240" w:lineRule="auto"/>
              <w:jc w:val="center"/>
              <w:rPr>
                <w:color w:val="000000" w:themeColor="text1"/>
                <w:szCs w:val="21"/>
              </w:rPr>
            </w:pPr>
            <w:r>
              <w:rPr>
                <w:color w:val="000000" w:themeColor="text1"/>
                <w:szCs w:val="21"/>
              </w:rPr>
              <w:t>建设单位</w:t>
            </w:r>
          </w:p>
        </w:tc>
        <w:tc>
          <w:tcPr>
            <w:tcW w:w="1559" w:type="dxa"/>
            <w:vMerge w:val="continue"/>
            <w:tcBorders>
              <w:left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Merge w:val="continue"/>
            <w:tcBorders>
              <w:left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c>
          <w:tcPr>
            <w:tcW w:w="1122"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c>
          <w:tcPr>
            <w:tcW w:w="3735"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施工单位</w:t>
            </w:r>
          </w:p>
          <w:p>
            <w:pPr>
              <w:adjustRightInd w:val="0"/>
              <w:snapToGrid w:val="0"/>
              <w:spacing w:line="240" w:lineRule="auto"/>
              <w:jc w:val="center"/>
              <w:rPr>
                <w:color w:val="000000" w:themeColor="text1"/>
                <w:szCs w:val="21"/>
              </w:rPr>
            </w:pPr>
            <w:r>
              <w:rPr>
                <w:color w:val="000000" w:themeColor="text1"/>
                <w:szCs w:val="21"/>
              </w:rPr>
              <w:t>建设单位</w:t>
            </w:r>
          </w:p>
        </w:tc>
        <w:tc>
          <w:tcPr>
            <w:tcW w:w="1559"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rPr>
            </w:pPr>
          </w:p>
        </w:tc>
      </w:tr>
    </w:tbl>
    <w:p>
      <w:pPr>
        <w:pStyle w:val="3"/>
        <w:adjustRightInd w:val="0"/>
        <w:snapToGrid w:val="0"/>
        <w:spacing w:before="0" w:after="0"/>
        <w:rPr>
          <w:rFonts w:ascii="Times New Roman" w:hAnsi="Times New Roman"/>
          <w:color w:val="000000" w:themeColor="text1"/>
        </w:rPr>
      </w:pPr>
      <w:bookmarkStart w:id="624" w:name="_Toc402186425"/>
      <w:bookmarkStart w:id="625" w:name="_Toc510547389"/>
      <w:bookmarkStart w:id="626" w:name="_Toc4076522"/>
      <w:r>
        <w:rPr>
          <w:rFonts w:ascii="Times New Roman" w:hAnsi="Times New Roman"/>
          <w:color w:val="000000" w:themeColor="text1"/>
        </w:rPr>
        <w:t>10.7环境保护竣工验收</w:t>
      </w:r>
      <w:bookmarkEnd w:id="624"/>
      <w:bookmarkEnd w:id="625"/>
      <w:bookmarkEnd w:id="626"/>
    </w:p>
    <w:p>
      <w:pPr>
        <w:adjustRightInd w:val="0"/>
        <w:snapToGrid w:val="0"/>
        <w:ind w:firstLine="480" w:firstLineChars="200"/>
        <w:rPr>
          <w:color w:val="000000" w:themeColor="text1"/>
          <w:sz w:val="24"/>
        </w:rPr>
      </w:pPr>
      <w:r>
        <w:rPr>
          <w:color w:val="000000" w:themeColor="text1"/>
          <w:sz w:val="24"/>
        </w:rPr>
        <w:t>根据《建设项目竣工环境保护验收暂行办法》，项目配套建设的噪声、固体废物污染防治设施，在《中华人民共和国固体废物污染环境防治法》、《中华人民共和国环境噪声污染防治法》修改完成前，应依法由环境保护部门对建设项目噪声、固体废物污染防治设施进行验收。</w:t>
      </w:r>
    </w:p>
    <w:p>
      <w:pPr>
        <w:adjustRightInd w:val="0"/>
        <w:snapToGrid w:val="0"/>
        <w:ind w:firstLine="480" w:firstLineChars="200"/>
        <w:rPr>
          <w:color w:val="000000" w:themeColor="text1"/>
          <w:sz w:val="24"/>
        </w:rPr>
      </w:pPr>
      <w:r>
        <w:rPr>
          <w:color w:val="000000" w:themeColor="text1"/>
          <w:sz w:val="24"/>
        </w:rPr>
        <w:t>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pPr>
        <w:adjustRightInd w:val="0"/>
        <w:snapToGrid w:val="0"/>
        <w:ind w:firstLine="480" w:firstLineChars="200"/>
        <w:rPr>
          <w:color w:val="000000" w:themeColor="text1"/>
          <w:sz w:val="24"/>
        </w:rPr>
      </w:pPr>
      <w:r>
        <w:rPr>
          <w:color w:val="000000" w:themeColor="text1"/>
          <w:sz w:val="24"/>
        </w:rPr>
        <w:t>其余验收要求应严格按照《建设项目竣工环境保护验收暂行办法》执行。</w:t>
      </w:r>
    </w:p>
    <w:p>
      <w:pPr>
        <w:adjustRightInd w:val="0"/>
        <w:snapToGrid w:val="0"/>
        <w:spacing w:line="240" w:lineRule="auto"/>
        <w:jc w:val="center"/>
        <w:rPr>
          <w:color w:val="000000" w:themeColor="text1"/>
          <w:szCs w:val="21"/>
        </w:rPr>
      </w:pPr>
      <w:r>
        <w:rPr>
          <w:b/>
          <w:color w:val="000000" w:themeColor="text1"/>
          <w:szCs w:val="21"/>
        </w:rPr>
        <w:t>表10.7-1   项目环境保护竣工验收一览表</w:t>
      </w:r>
    </w:p>
    <w:tbl>
      <w:tblPr>
        <w:tblStyle w:val="42"/>
        <w:tblW w:w="852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490"/>
        <w:gridCol w:w="3117"/>
        <w:gridCol w:w="31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tcBorders>
              <w:left w:val="single" w:color="auto" w:sz="4" w:space="0"/>
            </w:tcBorders>
            <w:vAlign w:val="center"/>
          </w:tcPr>
          <w:p>
            <w:pPr>
              <w:adjustRightInd w:val="0"/>
              <w:snapToGrid w:val="0"/>
              <w:spacing w:line="240" w:lineRule="auto"/>
              <w:jc w:val="center"/>
              <w:rPr>
                <w:b/>
                <w:color w:val="000000" w:themeColor="text1"/>
                <w:szCs w:val="21"/>
              </w:rPr>
            </w:pPr>
            <w:r>
              <w:rPr>
                <w:b/>
                <w:color w:val="000000" w:themeColor="text1"/>
                <w:szCs w:val="21"/>
              </w:rPr>
              <w:t>项目</w:t>
            </w:r>
          </w:p>
        </w:tc>
        <w:tc>
          <w:tcPr>
            <w:tcW w:w="1490" w:type="dxa"/>
            <w:vAlign w:val="center"/>
          </w:tcPr>
          <w:p>
            <w:pPr>
              <w:adjustRightInd w:val="0"/>
              <w:snapToGrid w:val="0"/>
              <w:spacing w:line="240" w:lineRule="auto"/>
              <w:jc w:val="center"/>
              <w:rPr>
                <w:b/>
                <w:color w:val="000000" w:themeColor="text1"/>
                <w:szCs w:val="21"/>
              </w:rPr>
            </w:pPr>
            <w:r>
              <w:rPr>
                <w:b/>
                <w:color w:val="000000" w:themeColor="text1"/>
                <w:szCs w:val="21"/>
              </w:rPr>
              <w:t>处理对象</w:t>
            </w:r>
          </w:p>
        </w:tc>
        <w:tc>
          <w:tcPr>
            <w:tcW w:w="3117" w:type="dxa"/>
            <w:tcBorders>
              <w:right w:val="single" w:color="auto" w:sz="4" w:space="0"/>
            </w:tcBorders>
            <w:vAlign w:val="center"/>
          </w:tcPr>
          <w:p>
            <w:pPr>
              <w:adjustRightInd w:val="0"/>
              <w:snapToGrid w:val="0"/>
              <w:spacing w:line="240" w:lineRule="auto"/>
              <w:jc w:val="center"/>
              <w:rPr>
                <w:b/>
                <w:color w:val="000000" w:themeColor="text1"/>
                <w:szCs w:val="21"/>
              </w:rPr>
            </w:pPr>
            <w:r>
              <w:rPr>
                <w:b/>
                <w:color w:val="000000" w:themeColor="text1"/>
                <w:szCs w:val="21"/>
              </w:rPr>
              <w:t>处理措施</w:t>
            </w:r>
          </w:p>
        </w:tc>
        <w:tc>
          <w:tcPr>
            <w:tcW w:w="3176" w:type="dxa"/>
            <w:tcBorders>
              <w:right w:val="single" w:color="auto" w:sz="4" w:space="0"/>
            </w:tcBorders>
            <w:vAlign w:val="center"/>
          </w:tcPr>
          <w:p>
            <w:pPr>
              <w:adjustRightInd w:val="0"/>
              <w:snapToGrid w:val="0"/>
              <w:spacing w:line="240" w:lineRule="auto"/>
              <w:jc w:val="center"/>
              <w:rPr>
                <w:b/>
                <w:color w:val="000000" w:themeColor="text1"/>
                <w:szCs w:val="21"/>
              </w:rPr>
            </w:pPr>
            <w:r>
              <w:rPr>
                <w:b/>
                <w:color w:val="000000" w:themeColor="text1"/>
                <w:szCs w:val="21"/>
              </w:rPr>
              <w:t>处理效果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45" w:type="dxa"/>
            <w:vMerge w:val="restart"/>
            <w:tcBorders>
              <w:lef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废气</w:t>
            </w:r>
          </w:p>
        </w:tc>
        <w:tc>
          <w:tcPr>
            <w:tcW w:w="1490" w:type="dxa"/>
            <w:vAlign w:val="center"/>
          </w:tcPr>
          <w:p>
            <w:pPr>
              <w:adjustRightInd w:val="0"/>
              <w:snapToGrid w:val="0"/>
              <w:spacing w:line="240" w:lineRule="auto"/>
              <w:jc w:val="center"/>
              <w:rPr>
                <w:color w:val="000000" w:themeColor="text1"/>
                <w:szCs w:val="21"/>
              </w:rPr>
            </w:pPr>
            <w:r>
              <w:rPr>
                <w:color w:val="000000" w:themeColor="text1"/>
                <w:szCs w:val="21"/>
              </w:rPr>
              <w:t>食堂油烟</w:t>
            </w:r>
          </w:p>
        </w:tc>
        <w:tc>
          <w:tcPr>
            <w:tcW w:w="3117"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油烟净化器1台+排气筒</w:t>
            </w:r>
          </w:p>
        </w:tc>
        <w:tc>
          <w:tcPr>
            <w:tcW w:w="3176"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《饮食业油烟排放标准》（试行）（GB18483-2001）中表2中型标准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szCs w:val="21"/>
              </w:rPr>
            </w:pPr>
            <w:r>
              <w:rPr>
                <w:color w:val="000000" w:themeColor="text1"/>
                <w:szCs w:val="21"/>
              </w:rPr>
              <w:t>臭气</w:t>
            </w:r>
          </w:p>
        </w:tc>
        <w:tc>
          <w:tcPr>
            <w:tcW w:w="3117"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 xml:space="preserve">饲料中添加活菌剂；喷洒生物除臭剂 </w:t>
            </w:r>
          </w:p>
        </w:tc>
        <w:tc>
          <w:tcPr>
            <w:tcW w:w="3176" w:type="dxa"/>
            <w:tcBorders>
              <w:right w:val="single" w:color="auto" w:sz="4" w:space="0"/>
            </w:tcBorders>
            <w:vAlign w:val="center"/>
          </w:tcPr>
          <w:p>
            <w:pPr>
              <w:adjustRightInd w:val="0"/>
              <w:snapToGrid w:val="0"/>
              <w:spacing w:line="240" w:lineRule="auto"/>
              <w:jc w:val="center"/>
              <w:rPr>
                <w:color w:val="000000" w:themeColor="text1"/>
                <w:kern w:val="0"/>
                <w:szCs w:val="21"/>
              </w:rPr>
            </w:pPr>
            <w:r>
              <w:rPr>
                <w:color w:val="000000" w:themeColor="text1"/>
                <w:kern w:val="0"/>
                <w:szCs w:val="21"/>
              </w:rPr>
              <w:t>《恶臭污染物排放标准》（GB14555-1993）中的二类标准</w:t>
            </w:r>
            <w:r>
              <w:rPr>
                <w:rFonts w:hint="eastAsia"/>
                <w:color w:val="000000" w:themeColor="text1"/>
                <w:kern w:val="0"/>
                <w:szCs w:val="21"/>
              </w:rPr>
              <w:t>、《畜禽养殖业污染物排放标准》（GB18596-2001）表7标准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szCs w:val="21"/>
              </w:rPr>
            </w:pPr>
            <w:r>
              <w:rPr>
                <w:rFonts w:hint="eastAsia"/>
                <w:color w:val="000000" w:themeColor="text1"/>
                <w:szCs w:val="21"/>
              </w:rPr>
              <w:t>沼气发电机废气</w:t>
            </w:r>
          </w:p>
        </w:tc>
        <w:tc>
          <w:tcPr>
            <w:tcW w:w="3117" w:type="dxa"/>
            <w:tcBorders>
              <w:right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经1根15m排气筒排放</w:t>
            </w:r>
          </w:p>
        </w:tc>
        <w:tc>
          <w:tcPr>
            <w:tcW w:w="3176" w:type="dxa"/>
            <w:tcBorders>
              <w:right w:val="single" w:color="auto" w:sz="4" w:space="0"/>
            </w:tcBorders>
            <w:vAlign w:val="center"/>
          </w:tcPr>
          <w:p>
            <w:pPr>
              <w:adjustRightInd w:val="0"/>
              <w:snapToGrid w:val="0"/>
              <w:spacing w:line="240" w:lineRule="auto"/>
              <w:jc w:val="center"/>
              <w:rPr>
                <w:color w:val="000000" w:themeColor="text1"/>
                <w:kern w:val="0"/>
                <w:szCs w:val="21"/>
              </w:rPr>
            </w:pPr>
            <w:r>
              <w:rPr>
                <w:rFonts w:hint="eastAsia"/>
                <w:color w:val="000000" w:themeColor="text1"/>
                <w:szCs w:val="21"/>
              </w:rPr>
              <w:t>《火电厂大气污染物排放标准》（GB13223-2011）表1相关标准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szCs w:val="21"/>
              </w:rPr>
            </w:pPr>
            <w:r>
              <w:rPr>
                <w:color w:val="000000" w:themeColor="text1"/>
                <w:szCs w:val="21"/>
              </w:rPr>
              <w:t>沼气</w:t>
            </w:r>
          </w:p>
        </w:tc>
        <w:tc>
          <w:tcPr>
            <w:tcW w:w="3117"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干法脱硫</w:t>
            </w:r>
          </w:p>
        </w:tc>
        <w:tc>
          <w:tcPr>
            <w:tcW w:w="3176" w:type="dxa"/>
            <w:tcBorders>
              <w:right w:val="single" w:color="auto" w:sz="4" w:space="0"/>
            </w:tcBorders>
            <w:vAlign w:val="center"/>
          </w:tcPr>
          <w:p>
            <w:pPr>
              <w:adjustRightInd w:val="0"/>
              <w:snapToGrid w:val="0"/>
              <w:spacing w:line="240" w:lineRule="auto"/>
              <w:jc w:val="center"/>
              <w:rPr>
                <w:color w:val="000000" w:themeColor="text1"/>
                <w:kern w:val="0"/>
                <w:szCs w:val="21"/>
              </w:rPr>
            </w:pPr>
            <w:r>
              <w:rPr>
                <w:color w:val="000000" w:themeColor="text1"/>
                <w:kern w:val="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restart"/>
            <w:tcBorders>
              <w:lef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废水</w:t>
            </w:r>
          </w:p>
        </w:tc>
        <w:tc>
          <w:tcPr>
            <w:tcW w:w="1490" w:type="dxa"/>
            <w:vAlign w:val="center"/>
          </w:tcPr>
          <w:p>
            <w:pPr>
              <w:adjustRightInd w:val="0"/>
              <w:snapToGrid w:val="0"/>
              <w:spacing w:line="240" w:lineRule="auto"/>
              <w:jc w:val="center"/>
              <w:rPr>
                <w:color w:val="000000" w:themeColor="text1"/>
                <w:szCs w:val="21"/>
              </w:rPr>
            </w:pPr>
            <w:r>
              <w:rPr>
                <w:color w:val="000000" w:themeColor="text1"/>
                <w:szCs w:val="21"/>
              </w:rPr>
              <w:t>食堂废水</w:t>
            </w:r>
          </w:p>
        </w:tc>
        <w:tc>
          <w:tcPr>
            <w:tcW w:w="3117" w:type="dxa"/>
            <w:tcBorders>
              <w:right w:val="single" w:color="auto" w:sz="4" w:space="0"/>
            </w:tcBorders>
            <w:vAlign w:val="center"/>
          </w:tcPr>
          <w:p>
            <w:pPr>
              <w:adjustRightInd w:val="0"/>
              <w:snapToGrid w:val="0"/>
              <w:spacing w:line="240" w:lineRule="auto"/>
              <w:jc w:val="center"/>
              <w:rPr>
                <w:color w:val="000000" w:themeColor="text1"/>
                <w:spacing w:val="-2"/>
                <w:szCs w:val="21"/>
              </w:rPr>
            </w:pPr>
            <w:r>
              <w:rPr>
                <w:rFonts w:hint="eastAsia"/>
                <w:color w:val="000000" w:themeColor="text1"/>
                <w:kern w:val="0"/>
              </w:rPr>
              <w:t>1</w:t>
            </w:r>
            <w:r>
              <w:rPr>
                <w:color w:val="000000" w:themeColor="text1"/>
                <w:kern w:val="0"/>
              </w:rPr>
              <w:t>m</w:t>
            </w:r>
            <w:r>
              <w:rPr>
                <w:color w:val="000000" w:themeColor="text1"/>
                <w:kern w:val="0"/>
                <w:vertAlign w:val="superscript"/>
              </w:rPr>
              <w:t>3</w:t>
            </w:r>
            <w:r>
              <w:rPr>
                <w:color w:val="000000" w:themeColor="text1"/>
                <w:kern w:val="0"/>
              </w:rPr>
              <w:t>隔油池1个</w:t>
            </w:r>
          </w:p>
        </w:tc>
        <w:tc>
          <w:tcPr>
            <w:tcW w:w="3176" w:type="dxa"/>
            <w:vMerge w:val="restart"/>
            <w:tcBorders>
              <w:right w:val="single" w:color="auto" w:sz="4" w:space="0"/>
            </w:tcBorders>
            <w:vAlign w:val="center"/>
          </w:tcPr>
          <w:p>
            <w:pPr>
              <w:adjustRightInd w:val="0"/>
              <w:snapToGrid w:val="0"/>
              <w:spacing w:line="240" w:lineRule="auto"/>
              <w:jc w:val="center"/>
              <w:rPr>
                <w:color w:val="000000" w:themeColor="text1"/>
                <w:szCs w:val="21"/>
              </w:rPr>
            </w:pPr>
            <w:r>
              <w:rPr>
                <w:rFonts w:hint="eastAsia"/>
                <w:color w:val="000000" w:themeColor="text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szCs w:val="21"/>
              </w:rPr>
            </w:pPr>
            <w:r>
              <w:rPr>
                <w:color w:val="000000" w:themeColor="text1"/>
                <w:kern w:val="0"/>
              </w:rPr>
              <w:t>生活污水、生产废水</w:t>
            </w:r>
          </w:p>
        </w:tc>
        <w:tc>
          <w:tcPr>
            <w:tcW w:w="3117" w:type="dxa"/>
            <w:tcBorders>
              <w:right w:val="single" w:color="auto" w:sz="4" w:space="0"/>
            </w:tcBorders>
            <w:vAlign w:val="center"/>
          </w:tcPr>
          <w:p>
            <w:pPr>
              <w:adjustRightInd w:val="0"/>
              <w:snapToGrid w:val="0"/>
              <w:spacing w:line="240" w:lineRule="auto"/>
              <w:jc w:val="center"/>
              <w:rPr>
                <w:color w:val="000000" w:themeColor="text1"/>
                <w:spacing w:val="-2"/>
                <w:szCs w:val="21"/>
              </w:rPr>
            </w:pPr>
            <w:r>
              <w:rPr>
                <w:rFonts w:hint="eastAsia"/>
                <w:color w:val="000000" w:themeColor="text1"/>
                <w:szCs w:val="21"/>
              </w:rPr>
              <w:t>沼气工程1套，处理规模70m</w:t>
            </w:r>
            <w:r>
              <w:rPr>
                <w:rFonts w:hint="eastAsia"/>
                <w:color w:val="000000" w:themeColor="text1"/>
                <w:szCs w:val="21"/>
                <w:vertAlign w:val="superscript"/>
              </w:rPr>
              <w:t>3</w:t>
            </w:r>
            <w:r>
              <w:rPr>
                <w:rFonts w:hint="eastAsia"/>
                <w:color w:val="000000" w:themeColor="text1"/>
                <w:szCs w:val="21"/>
              </w:rPr>
              <w:t>/d，包括预处理设施及中温厌氧消化罐</w:t>
            </w:r>
          </w:p>
        </w:tc>
        <w:tc>
          <w:tcPr>
            <w:tcW w:w="3176" w:type="dxa"/>
            <w:vMerge w:val="continue"/>
            <w:tcBorders>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kern w:val="0"/>
              </w:rPr>
            </w:pPr>
            <w:r>
              <w:rPr>
                <w:rFonts w:hint="eastAsia"/>
                <w:color w:val="000000" w:themeColor="text1"/>
                <w:kern w:val="0"/>
              </w:rPr>
              <w:t>沼液储存池</w:t>
            </w:r>
          </w:p>
        </w:tc>
        <w:tc>
          <w:tcPr>
            <w:tcW w:w="3117"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1个，容积为</w:t>
            </w:r>
            <w:r>
              <w:rPr>
                <w:rFonts w:hint="eastAsia"/>
                <w:color w:val="000000" w:themeColor="text1"/>
                <w:szCs w:val="21"/>
              </w:rPr>
              <w:t>800</w:t>
            </w:r>
            <w:r>
              <w:rPr>
                <w:color w:val="000000" w:themeColor="text1"/>
                <w:szCs w:val="21"/>
              </w:rPr>
              <w:t>m</w:t>
            </w:r>
            <w:r>
              <w:rPr>
                <w:color w:val="000000" w:themeColor="text1"/>
                <w:szCs w:val="21"/>
                <w:vertAlign w:val="superscript"/>
              </w:rPr>
              <w:t>3</w:t>
            </w:r>
          </w:p>
        </w:tc>
        <w:tc>
          <w:tcPr>
            <w:tcW w:w="3176" w:type="dxa"/>
            <w:vMerge w:val="continue"/>
            <w:tcBorders>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kern w:val="0"/>
              </w:rPr>
            </w:pPr>
            <w:r>
              <w:rPr>
                <w:color w:val="000000" w:themeColor="text1"/>
                <w:szCs w:val="21"/>
              </w:rPr>
              <w:t>消毒废水</w:t>
            </w:r>
          </w:p>
        </w:tc>
        <w:tc>
          <w:tcPr>
            <w:tcW w:w="3117"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1m</w:t>
            </w:r>
            <w:r>
              <w:rPr>
                <w:color w:val="000000" w:themeColor="text1"/>
                <w:szCs w:val="21"/>
                <w:vertAlign w:val="superscript"/>
              </w:rPr>
              <w:t>3</w:t>
            </w:r>
            <w:r>
              <w:rPr>
                <w:color w:val="000000" w:themeColor="text1"/>
                <w:szCs w:val="21"/>
              </w:rPr>
              <w:t>中和池1个</w:t>
            </w:r>
          </w:p>
        </w:tc>
        <w:tc>
          <w:tcPr>
            <w:tcW w:w="3176" w:type="dxa"/>
            <w:vMerge w:val="continue"/>
            <w:tcBorders>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szCs w:val="21"/>
              </w:rPr>
            </w:pPr>
            <w:r>
              <w:rPr>
                <w:color w:val="000000" w:themeColor="text1"/>
                <w:szCs w:val="21"/>
              </w:rPr>
              <w:t>雨水</w:t>
            </w:r>
          </w:p>
        </w:tc>
        <w:tc>
          <w:tcPr>
            <w:tcW w:w="3117"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1个收集池，容积800m</w:t>
            </w:r>
            <w:r>
              <w:rPr>
                <w:color w:val="000000" w:themeColor="text1"/>
                <w:szCs w:val="21"/>
                <w:vertAlign w:val="superscript"/>
              </w:rPr>
              <w:t>3</w:t>
            </w:r>
          </w:p>
        </w:tc>
        <w:tc>
          <w:tcPr>
            <w:tcW w:w="3176" w:type="dxa"/>
            <w:vMerge w:val="continue"/>
            <w:tcBorders>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kern w:val="0"/>
              </w:rPr>
            </w:pPr>
            <w:r>
              <w:rPr>
                <w:color w:val="000000" w:themeColor="text1"/>
                <w:kern w:val="0"/>
              </w:rPr>
              <w:t>雨污管网、</w:t>
            </w:r>
            <w:r>
              <w:rPr>
                <w:rFonts w:hint="eastAsia"/>
                <w:color w:val="000000" w:themeColor="text1"/>
                <w:kern w:val="0"/>
              </w:rPr>
              <w:t>沼液输送管道</w:t>
            </w:r>
          </w:p>
        </w:tc>
        <w:tc>
          <w:tcPr>
            <w:tcW w:w="3117" w:type="dxa"/>
            <w:tcBorders>
              <w:right w:val="single" w:color="auto" w:sz="4" w:space="0"/>
            </w:tcBorders>
            <w:vAlign w:val="center"/>
          </w:tcPr>
          <w:p>
            <w:pPr>
              <w:adjustRightInd w:val="0"/>
              <w:snapToGrid w:val="0"/>
              <w:spacing w:line="240" w:lineRule="auto"/>
              <w:jc w:val="center"/>
              <w:rPr>
                <w:color w:val="000000" w:themeColor="text1"/>
                <w:kern w:val="0"/>
              </w:rPr>
            </w:pPr>
            <w:r>
              <w:rPr>
                <w:color w:val="000000" w:themeColor="text1"/>
                <w:kern w:val="0"/>
              </w:rPr>
              <w:t>/</w:t>
            </w:r>
          </w:p>
        </w:tc>
        <w:tc>
          <w:tcPr>
            <w:tcW w:w="3176" w:type="dxa"/>
            <w:vMerge w:val="continue"/>
            <w:tcBorders>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kern w:val="0"/>
              </w:rPr>
            </w:pPr>
            <w:r>
              <w:rPr>
                <w:rFonts w:hint="eastAsia"/>
                <w:color w:val="000000" w:themeColor="text1"/>
                <w:kern w:val="0"/>
              </w:rPr>
              <w:t>粪污水</w:t>
            </w:r>
          </w:p>
        </w:tc>
        <w:tc>
          <w:tcPr>
            <w:tcW w:w="3117" w:type="dxa"/>
            <w:tcBorders>
              <w:right w:val="single" w:color="auto" w:sz="4" w:space="0"/>
            </w:tcBorders>
            <w:vAlign w:val="center"/>
          </w:tcPr>
          <w:p>
            <w:pPr>
              <w:adjustRightInd w:val="0"/>
              <w:snapToGrid w:val="0"/>
              <w:spacing w:line="240" w:lineRule="auto"/>
              <w:jc w:val="center"/>
              <w:rPr>
                <w:color w:val="000000" w:themeColor="text1"/>
                <w:kern w:val="0"/>
              </w:rPr>
            </w:pPr>
            <w:r>
              <w:rPr>
                <w:rFonts w:hint="eastAsia"/>
                <w:color w:val="000000" w:themeColor="text1"/>
                <w:kern w:val="0"/>
              </w:rPr>
              <w:t>1间异位发酵车间</w:t>
            </w:r>
          </w:p>
        </w:tc>
        <w:tc>
          <w:tcPr>
            <w:tcW w:w="3176" w:type="dxa"/>
            <w:vMerge w:val="continue"/>
            <w:tcBorders>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restart"/>
            <w:tcBorders>
              <w:lef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固废</w:t>
            </w:r>
          </w:p>
        </w:tc>
        <w:tc>
          <w:tcPr>
            <w:tcW w:w="1490" w:type="dxa"/>
            <w:vAlign w:val="center"/>
          </w:tcPr>
          <w:p>
            <w:pPr>
              <w:adjustRightInd w:val="0"/>
              <w:snapToGrid w:val="0"/>
              <w:spacing w:line="240" w:lineRule="auto"/>
              <w:jc w:val="center"/>
              <w:rPr>
                <w:color w:val="000000" w:themeColor="text1"/>
                <w:kern w:val="0"/>
              </w:rPr>
            </w:pPr>
            <w:r>
              <w:rPr>
                <w:color w:val="000000" w:themeColor="text1"/>
                <w:kern w:val="0"/>
              </w:rPr>
              <w:t>生活垃圾</w:t>
            </w:r>
          </w:p>
        </w:tc>
        <w:tc>
          <w:tcPr>
            <w:tcW w:w="3117" w:type="dxa"/>
            <w:tcBorders>
              <w:right w:val="single" w:color="auto" w:sz="4" w:space="0"/>
            </w:tcBorders>
            <w:vAlign w:val="center"/>
          </w:tcPr>
          <w:p>
            <w:pPr>
              <w:adjustRightInd w:val="0"/>
              <w:snapToGrid w:val="0"/>
              <w:spacing w:line="240" w:lineRule="auto"/>
              <w:jc w:val="center"/>
              <w:rPr>
                <w:color w:val="000000" w:themeColor="text1"/>
                <w:kern w:val="0"/>
              </w:rPr>
            </w:pPr>
            <w:r>
              <w:rPr>
                <w:color w:val="000000" w:themeColor="text1"/>
                <w:kern w:val="0"/>
              </w:rPr>
              <w:t>垃圾桶、垃圾房1间</w:t>
            </w:r>
          </w:p>
        </w:tc>
        <w:tc>
          <w:tcPr>
            <w:tcW w:w="3176" w:type="dxa"/>
            <w:vMerge w:val="restart"/>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处置率100%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kern w:val="0"/>
              </w:rPr>
            </w:pPr>
            <w:r>
              <w:rPr>
                <w:color w:val="000000" w:themeColor="text1"/>
                <w:kern w:val="0"/>
              </w:rPr>
              <w:t>病死猪</w:t>
            </w:r>
          </w:p>
        </w:tc>
        <w:tc>
          <w:tcPr>
            <w:tcW w:w="3117" w:type="dxa"/>
            <w:tcBorders>
              <w:right w:val="single" w:color="auto" w:sz="4" w:space="0"/>
            </w:tcBorders>
            <w:vAlign w:val="center"/>
          </w:tcPr>
          <w:p>
            <w:pPr>
              <w:adjustRightInd w:val="0"/>
              <w:snapToGrid w:val="0"/>
              <w:spacing w:line="240" w:lineRule="auto"/>
              <w:jc w:val="center"/>
              <w:rPr>
                <w:color w:val="000000" w:themeColor="text1"/>
                <w:kern w:val="0"/>
              </w:rPr>
            </w:pPr>
            <w:r>
              <w:rPr>
                <w:rFonts w:hint="eastAsia"/>
                <w:color w:val="000000" w:themeColor="text1"/>
                <w:szCs w:val="21"/>
              </w:rPr>
              <w:t>2间堆肥间，</w:t>
            </w:r>
            <w:r>
              <w:rPr>
                <w:color w:val="000000" w:themeColor="text1"/>
                <w:szCs w:val="21"/>
              </w:rPr>
              <w:t>布置2口安全填埋井，直径4m，入口直径1m，深度5m</w:t>
            </w:r>
          </w:p>
        </w:tc>
        <w:tc>
          <w:tcPr>
            <w:tcW w:w="3176" w:type="dxa"/>
            <w:vMerge w:val="continue"/>
            <w:tcBorders>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kern w:val="0"/>
              </w:rPr>
            </w:pPr>
            <w:r>
              <w:rPr>
                <w:rFonts w:hint="eastAsia"/>
                <w:color w:val="000000" w:themeColor="text1"/>
                <w:szCs w:val="21"/>
              </w:rPr>
              <w:t>医疗废物暂存间</w:t>
            </w:r>
          </w:p>
        </w:tc>
        <w:tc>
          <w:tcPr>
            <w:tcW w:w="3117" w:type="dxa"/>
            <w:tcBorders>
              <w:right w:val="single" w:color="auto" w:sz="4" w:space="0"/>
            </w:tcBorders>
            <w:vAlign w:val="center"/>
          </w:tcPr>
          <w:p>
            <w:pPr>
              <w:adjustRightInd w:val="0"/>
              <w:snapToGrid w:val="0"/>
              <w:spacing w:line="240" w:lineRule="auto"/>
              <w:jc w:val="center"/>
              <w:rPr>
                <w:color w:val="000000" w:themeColor="text1"/>
                <w:kern w:val="0"/>
              </w:rPr>
            </w:pPr>
            <w:r>
              <w:rPr>
                <w:rFonts w:hint="eastAsia"/>
                <w:color w:val="000000" w:themeColor="text1"/>
                <w:szCs w:val="21"/>
              </w:rPr>
              <w:t>1间，面积10m</w:t>
            </w:r>
            <w:r>
              <w:rPr>
                <w:rFonts w:hint="eastAsia"/>
                <w:color w:val="000000" w:themeColor="text1"/>
                <w:szCs w:val="21"/>
                <w:vertAlign w:val="superscript"/>
              </w:rPr>
              <w:t>2</w:t>
            </w:r>
          </w:p>
        </w:tc>
        <w:tc>
          <w:tcPr>
            <w:tcW w:w="3176" w:type="dxa"/>
            <w:vMerge w:val="continue"/>
            <w:tcBorders>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45" w:type="dxa"/>
            <w:tcBorders>
              <w:lef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噪声</w:t>
            </w:r>
          </w:p>
        </w:tc>
        <w:tc>
          <w:tcPr>
            <w:tcW w:w="1490" w:type="dxa"/>
            <w:vAlign w:val="center"/>
          </w:tcPr>
          <w:p>
            <w:pPr>
              <w:adjustRightInd w:val="0"/>
              <w:snapToGrid w:val="0"/>
              <w:spacing w:line="240" w:lineRule="auto"/>
              <w:jc w:val="center"/>
              <w:rPr>
                <w:color w:val="000000" w:themeColor="text1"/>
                <w:szCs w:val="21"/>
              </w:rPr>
            </w:pPr>
            <w:r>
              <w:rPr>
                <w:color w:val="000000" w:themeColor="text1"/>
                <w:szCs w:val="21"/>
              </w:rPr>
              <w:t>设备噪声</w:t>
            </w:r>
          </w:p>
        </w:tc>
        <w:tc>
          <w:tcPr>
            <w:tcW w:w="3117"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采用低噪声设备，猪舍四周加强绿化</w:t>
            </w:r>
          </w:p>
        </w:tc>
        <w:tc>
          <w:tcPr>
            <w:tcW w:w="3176"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达《工业企业厂界噪声排放标准》（GB12348-2008）</w:t>
            </w:r>
            <w:r>
              <w:rPr>
                <w:rFonts w:hint="eastAsia"/>
                <w:color w:val="000000" w:themeColor="text1"/>
                <w:szCs w:val="21"/>
              </w:rPr>
              <w:t>1</w:t>
            </w:r>
            <w:r>
              <w:rPr>
                <w:color w:val="000000" w:themeColor="text1"/>
                <w:szCs w:val="21"/>
              </w:rPr>
              <w:t>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45" w:type="dxa"/>
            <w:vMerge w:val="restart"/>
            <w:tcBorders>
              <w:lef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风险</w:t>
            </w:r>
          </w:p>
        </w:tc>
        <w:tc>
          <w:tcPr>
            <w:tcW w:w="1490" w:type="dxa"/>
            <w:vAlign w:val="center"/>
          </w:tcPr>
          <w:p>
            <w:pPr>
              <w:adjustRightInd w:val="0"/>
              <w:snapToGrid w:val="0"/>
              <w:spacing w:line="240" w:lineRule="auto"/>
              <w:jc w:val="center"/>
              <w:rPr>
                <w:color w:val="000000" w:themeColor="text1"/>
                <w:szCs w:val="21"/>
              </w:rPr>
            </w:pPr>
            <w:r>
              <w:rPr>
                <w:color w:val="000000" w:themeColor="text1"/>
                <w:szCs w:val="21"/>
              </w:rPr>
              <w:t>污水</w:t>
            </w:r>
          </w:p>
        </w:tc>
        <w:tc>
          <w:tcPr>
            <w:tcW w:w="3117" w:type="dxa"/>
            <w:tcBorders>
              <w:right w:val="single" w:color="auto" w:sz="4" w:space="0"/>
            </w:tcBorders>
            <w:vAlign w:val="center"/>
          </w:tcPr>
          <w:p>
            <w:pPr>
              <w:adjustRightInd w:val="0"/>
              <w:snapToGrid w:val="0"/>
              <w:spacing w:line="240" w:lineRule="auto"/>
              <w:jc w:val="center"/>
              <w:rPr>
                <w:color w:val="000000" w:themeColor="text1"/>
                <w:szCs w:val="21"/>
              </w:rPr>
            </w:pPr>
            <w:r>
              <w:rPr>
                <w:color w:val="000000" w:themeColor="text1"/>
                <w:szCs w:val="21"/>
              </w:rPr>
              <w:t>容积为</w:t>
            </w:r>
            <w:r>
              <w:rPr>
                <w:rFonts w:hint="eastAsia"/>
                <w:color w:val="000000" w:themeColor="text1"/>
                <w:szCs w:val="21"/>
              </w:rPr>
              <w:t>50</w:t>
            </w:r>
            <w:r>
              <w:rPr>
                <w:color w:val="000000" w:themeColor="text1"/>
                <w:szCs w:val="21"/>
              </w:rPr>
              <w:t>0m</w:t>
            </w:r>
            <w:r>
              <w:rPr>
                <w:color w:val="000000" w:themeColor="text1"/>
                <w:szCs w:val="21"/>
                <w:vertAlign w:val="superscript"/>
              </w:rPr>
              <w:t>3</w:t>
            </w:r>
            <w:r>
              <w:rPr>
                <w:color w:val="000000" w:themeColor="text1"/>
                <w:szCs w:val="21"/>
              </w:rPr>
              <w:t>事故应急池1个</w:t>
            </w:r>
          </w:p>
        </w:tc>
        <w:tc>
          <w:tcPr>
            <w:tcW w:w="3176" w:type="dxa"/>
            <w:tcBorders>
              <w:right w:val="single" w:color="auto" w:sz="4" w:space="0"/>
            </w:tcBorders>
            <w:vAlign w:val="center"/>
          </w:tcPr>
          <w:p>
            <w:pPr>
              <w:adjustRightInd w:val="0"/>
              <w:snapToGrid w:val="0"/>
              <w:spacing w:line="240" w:lineRule="auto"/>
              <w:jc w:val="center"/>
              <w:rPr>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45" w:type="dxa"/>
            <w:vMerge w:val="continue"/>
            <w:tcBorders>
              <w:left w:val="single" w:color="auto" w:sz="4" w:space="0"/>
            </w:tcBorders>
            <w:vAlign w:val="center"/>
          </w:tcPr>
          <w:p>
            <w:pPr>
              <w:adjustRightInd w:val="0"/>
              <w:snapToGrid w:val="0"/>
              <w:spacing w:line="240" w:lineRule="auto"/>
              <w:jc w:val="center"/>
              <w:rPr>
                <w:color w:val="000000" w:themeColor="text1"/>
                <w:szCs w:val="21"/>
              </w:rPr>
            </w:pPr>
          </w:p>
        </w:tc>
        <w:tc>
          <w:tcPr>
            <w:tcW w:w="1490" w:type="dxa"/>
            <w:vAlign w:val="center"/>
          </w:tcPr>
          <w:p>
            <w:pPr>
              <w:adjustRightInd w:val="0"/>
              <w:snapToGrid w:val="0"/>
              <w:spacing w:line="240" w:lineRule="auto"/>
              <w:jc w:val="center"/>
              <w:rPr>
                <w:color w:val="000000" w:themeColor="text1"/>
                <w:kern w:val="0"/>
              </w:rPr>
            </w:pPr>
            <w:r>
              <w:rPr>
                <w:color w:val="000000" w:themeColor="text1"/>
                <w:kern w:val="0"/>
              </w:rPr>
              <w:t>粪污</w:t>
            </w:r>
          </w:p>
        </w:tc>
        <w:tc>
          <w:tcPr>
            <w:tcW w:w="3117" w:type="dxa"/>
            <w:tcBorders>
              <w:right w:val="single" w:color="auto" w:sz="4" w:space="0"/>
            </w:tcBorders>
            <w:vAlign w:val="center"/>
          </w:tcPr>
          <w:p>
            <w:pPr>
              <w:adjustRightInd w:val="0"/>
              <w:snapToGrid w:val="0"/>
              <w:spacing w:line="240" w:lineRule="auto"/>
              <w:jc w:val="center"/>
              <w:rPr>
                <w:color w:val="000000" w:themeColor="text1"/>
                <w:kern w:val="0"/>
              </w:rPr>
            </w:pPr>
            <w:r>
              <w:rPr>
                <w:rFonts w:hint="eastAsia"/>
                <w:bCs/>
                <w:color w:val="000000" w:themeColor="text1"/>
                <w:szCs w:val="21"/>
              </w:rPr>
              <w:t>沼气设施</w:t>
            </w:r>
            <w:r>
              <w:rPr>
                <w:bCs/>
                <w:color w:val="000000" w:themeColor="text1"/>
                <w:szCs w:val="21"/>
              </w:rPr>
              <w:t>、事故应急池、安全填埋井、</w:t>
            </w:r>
            <w:r>
              <w:rPr>
                <w:rFonts w:hint="eastAsia"/>
                <w:bCs/>
                <w:color w:val="000000" w:themeColor="text1"/>
                <w:szCs w:val="21"/>
              </w:rPr>
              <w:t>沼液储存池</w:t>
            </w:r>
            <w:r>
              <w:rPr>
                <w:bCs/>
                <w:color w:val="000000" w:themeColor="text1"/>
                <w:szCs w:val="21"/>
              </w:rPr>
              <w:t>、发酵间</w:t>
            </w:r>
            <w:r>
              <w:rPr>
                <w:rFonts w:hint="eastAsia"/>
                <w:bCs/>
                <w:color w:val="000000" w:themeColor="text1"/>
                <w:szCs w:val="21"/>
              </w:rPr>
              <w:t>、医疗废物暂存间</w:t>
            </w:r>
            <w:r>
              <w:rPr>
                <w:bCs/>
                <w:color w:val="000000" w:themeColor="text1"/>
                <w:szCs w:val="21"/>
              </w:rPr>
              <w:t>重点防渗；猪舍一般防渗</w:t>
            </w:r>
          </w:p>
        </w:tc>
        <w:tc>
          <w:tcPr>
            <w:tcW w:w="3176" w:type="dxa"/>
            <w:tcBorders>
              <w:right w:val="single" w:color="auto" w:sz="4" w:space="0"/>
            </w:tcBorders>
            <w:vAlign w:val="center"/>
          </w:tcPr>
          <w:p>
            <w:pPr>
              <w:snapToGrid w:val="0"/>
              <w:spacing w:line="240" w:lineRule="auto"/>
              <w:jc w:val="center"/>
              <w:rPr>
                <w:bCs/>
                <w:color w:val="000000" w:themeColor="text1"/>
                <w:szCs w:val="21"/>
              </w:rPr>
            </w:pPr>
            <w:r>
              <w:rPr>
                <w:bCs/>
                <w:color w:val="000000" w:themeColor="text1"/>
                <w:szCs w:val="21"/>
              </w:rPr>
              <w:t>重点防渗等效黏土防渗层</w:t>
            </w:r>
          </w:p>
          <w:p>
            <w:pPr>
              <w:snapToGrid w:val="0"/>
              <w:spacing w:line="240" w:lineRule="auto"/>
              <w:jc w:val="center"/>
              <w:rPr>
                <w:bCs/>
                <w:color w:val="000000" w:themeColor="text1"/>
                <w:szCs w:val="21"/>
              </w:rPr>
            </w:pPr>
            <w:r>
              <w:rPr>
                <w:bCs/>
                <w:color w:val="000000" w:themeColor="text1"/>
                <w:szCs w:val="21"/>
              </w:rPr>
              <w:t>Mb≥6m，K≤1×10</w:t>
            </w:r>
            <w:r>
              <w:rPr>
                <w:bCs/>
                <w:color w:val="000000" w:themeColor="text1"/>
                <w:szCs w:val="21"/>
                <w:vertAlign w:val="superscript"/>
              </w:rPr>
              <w:t>-7</w:t>
            </w:r>
            <w:r>
              <w:rPr>
                <w:bCs/>
                <w:color w:val="000000" w:themeColor="text1"/>
                <w:szCs w:val="21"/>
              </w:rPr>
              <w:t>cm/s；一般防渗区等效黏土防渗层</w:t>
            </w:r>
          </w:p>
          <w:p>
            <w:pPr>
              <w:adjustRightInd w:val="0"/>
              <w:snapToGrid w:val="0"/>
              <w:spacing w:line="240" w:lineRule="auto"/>
              <w:jc w:val="center"/>
              <w:rPr>
                <w:color w:val="000000" w:themeColor="text1"/>
                <w:szCs w:val="21"/>
              </w:rPr>
            </w:pPr>
            <w:r>
              <w:rPr>
                <w:bCs/>
                <w:color w:val="000000" w:themeColor="text1"/>
                <w:szCs w:val="21"/>
              </w:rPr>
              <w:t>Mb≥1.5m，K≤1×10</w:t>
            </w:r>
            <w:r>
              <w:rPr>
                <w:bCs/>
                <w:color w:val="000000" w:themeColor="text1"/>
                <w:szCs w:val="21"/>
                <w:vertAlign w:val="superscript"/>
              </w:rPr>
              <w:t>-7</w:t>
            </w:r>
            <w:r>
              <w:rPr>
                <w:bCs/>
                <w:color w:val="000000" w:themeColor="text1"/>
                <w:szCs w:val="21"/>
              </w:rPr>
              <w:t>cm/s</w:t>
            </w:r>
          </w:p>
        </w:tc>
      </w:tr>
    </w:tbl>
    <w:p>
      <w:pPr>
        <w:pStyle w:val="3"/>
        <w:adjustRightInd w:val="0"/>
        <w:snapToGrid w:val="0"/>
        <w:spacing w:before="0" w:after="0"/>
        <w:rPr>
          <w:rFonts w:ascii="Times New Roman" w:hAnsi="Times New Roman"/>
          <w:color w:val="000000" w:themeColor="text1"/>
        </w:rPr>
      </w:pPr>
      <w:bookmarkStart w:id="627" w:name="_Toc4076523"/>
      <w:bookmarkStart w:id="628" w:name="_Toc510547390"/>
      <w:r>
        <w:rPr>
          <w:rFonts w:ascii="Times New Roman" w:hAnsi="Times New Roman"/>
          <w:color w:val="000000" w:themeColor="text1"/>
        </w:rPr>
        <w:t>10.8企业信息公开</w:t>
      </w:r>
      <w:bookmarkEnd w:id="627"/>
      <w:bookmarkEnd w:id="628"/>
    </w:p>
    <w:p>
      <w:pPr>
        <w:adjustRightInd w:val="0"/>
        <w:snapToGrid w:val="0"/>
        <w:ind w:firstLine="480" w:firstLineChars="200"/>
        <w:jc w:val="left"/>
        <w:rPr>
          <w:color w:val="000000" w:themeColor="text1"/>
          <w:sz w:val="24"/>
        </w:rPr>
      </w:pPr>
      <w:r>
        <w:rPr>
          <w:color w:val="000000" w:themeColor="text1"/>
          <w:sz w:val="24"/>
        </w:rPr>
        <w:t>根据《企业事业单位环境信息公开办法》中的相关规定，本项目建设单位应当向社会公开以下信息：</w:t>
      </w:r>
    </w:p>
    <w:p>
      <w:pPr>
        <w:adjustRightInd w:val="0"/>
        <w:snapToGrid w:val="0"/>
        <w:ind w:firstLine="480" w:firstLineChars="200"/>
        <w:jc w:val="left"/>
        <w:rPr>
          <w:color w:val="000000" w:themeColor="text1"/>
          <w:sz w:val="24"/>
        </w:rPr>
      </w:pPr>
      <w:r>
        <w:rPr>
          <w:color w:val="000000" w:themeColor="text1"/>
          <w:sz w:val="24"/>
        </w:rPr>
        <w:t>（1）基础信息：包括单位名称、组织机构代码、法定代表人、生产地址、联系方式，以及生产经营和管理服务的主要内容、产品及规模；</w:t>
      </w:r>
    </w:p>
    <w:p>
      <w:pPr>
        <w:adjustRightInd w:val="0"/>
        <w:snapToGrid w:val="0"/>
        <w:ind w:firstLine="480" w:firstLineChars="200"/>
        <w:jc w:val="left"/>
        <w:rPr>
          <w:color w:val="000000" w:themeColor="text1"/>
          <w:sz w:val="24"/>
        </w:rPr>
      </w:pPr>
      <w:r>
        <w:rPr>
          <w:color w:val="000000" w:themeColor="text1"/>
          <w:sz w:val="24"/>
        </w:rPr>
        <w:t>（2）排污信息：包括主要污染物及牲污染物的名称、排放方式、排放口数量和分布情况、和排放浓度和总量、超标情况，以及执行的污染排放标准、核定的排放总量；</w:t>
      </w:r>
    </w:p>
    <w:p>
      <w:pPr>
        <w:adjustRightInd w:val="0"/>
        <w:snapToGrid w:val="0"/>
        <w:ind w:firstLine="480" w:firstLineChars="200"/>
        <w:jc w:val="left"/>
        <w:rPr>
          <w:color w:val="000000" w:themeColor="text1"/>
          <w:sz w:val="24"/>
        </w:rPr>
      </w:pPr>
      <w:r>
        <w:rPr>
          <w:color w:val="000000" w:themeColor="text1"/>
          <w:sz w:val="24"/>
        </w:rPr>
        <w:t>（3）防治污染设施的建设和运行情况；</w:t>
      </w:r>
    </w:p>
    <w:p>
      <w:pPr>
        <w:adjustRightInd w:val="0"/>
        <w:snapToGrid w:val="0"/>
        <w:ind w:firstLine="480" w:firstLineChars="200"/>
        <w:jc w:val="left"/>
        <w:rPr>
          <w:color w:val="000000" w:themeColor="text1"/>
          <w:sz w:val="24"/>
        </w:rPr>
      </w:pPr>
      <w:r>
        <w:rPr>
          <w:color w:val="000000" w:themeColor="text1"/>
          <w:sz w:val="24"/>
        </w:rPr>
        <w:t>（4）建设项目环境影响评价及其他环境保护行政许可情况；</w:t>
      </w:r>
    </w:p>
    <w:p>
      <w:pPr>
        <w:adjustRightInd w:val="0"/>
        <w:snapToGrid w:val="0"/>
        <w:ind w:firstLine="480" w:firstLineChars="200"/>
        <w:jc w:val="left"/>
        <w:rPr>
          <w:color w:val="000000" w:themeColor="text1"/>
          <w:sz w:val="24"/>
        </w:rPr>
      </w:pPr>
      <w:r>
        <w:rPr>
          <w:color w:val="000000" w:themeColor="text1"/>
          <w:sz w:val="24"/>
        </w:rPr>
        <w:t>（5）突发环境事件应急预案。</w:t>
      </w:r>
    </w:p>
    <w:p>
      <w:pPr>
        <w:adjustRightInd w:val="0"/>
        <w:snapToGrid w:val="0"/>
        <w:ind w:firstLine="480" w:firstLineChars="200"/>
        <w:jc w:val="left"/>
        <w:rPr>
          <w:color w:val="000000" w:themeColor="text1"/>
          <w:sz w:val="24"/>
        </w:rPr>
      </w:pPr>
      <w:r>
        <w:rPr>
          <w:color w:val="000000" w:themeColor="text1"/>
          <w:sz w:val="24"/>
        </w:rPr>
        <w:t>根据《建设项目环境影响评价信息公开机制方案》中的相关规定，本项目建设单位应当向社会公开以下信息：</w:t>
      </w:r>
    </w:p>
    <w:p>
      <w:pPr>
        <w:adjustRightInd w:val="0"/>
        <w:snapToGrid w:val="0"/>
        <w:ind w:firstLine="480" w:firstLineChars="200"/>
        <w:jc w:val="left"/>
        <w:rPr>
          <w:color w:val="000000" w:themeColor="text1"/>
          <w:sz w:val="24"/>
        </w:rPr>
      </w:pPr>
      <w:r>
        <w:rPr>
          <w:color w:val="000000" w:themeColor="text1"/>
          <w:sz w:val="24"/>
        </w:rPr>
        <w:t>公开建设项目施工过程中的信息：项目建设过程中，建设单位应当在期向社会公开建设项目环境保护措施进展情况、施工期的环境保护措施落实情况、施工期环境监理情况、施工期环境监测结果等。</w:t>
      </w:r>
    </w:p>
    <w:p>
      <w:pPr>
        <w:adjustRightInd w:val="0"/>
        <w:snapToGrid w:val="0"/>
        <w:ind w:firstLine="480" w:firstLineChars="200"/>
        <w:jc w:val="left"/>
        <w:rPr>
          <w:color w:val="000000" w:themeColor="text1"/>
          <w:sz w:val="24"/>
        </w:rPr>
      </w:pPr>
      <w:r>
        <w:rPr>
          <w:color w:val="000000" w:themeColor="text1"/>
          <w:sz w:val="24"/>
        </w:rPr>
        <w:t>建设项目建成后，建设单位应当向社会公开建设项目环评提出的各项环境保护调入和措施执行情况、竣工环境保护验收监测和调查结果。对主要因排放污染物对环境产生影响的建设项目，投入生产或使用后，应当定期向社会特别是周边社区公开主要污染物排放情况。</w:t>
      </w:r>
    </w:p>
    <w:p>
      <w:pPr>
        <w:rPr>
          <w:color w:val="000000" w:themeColor="text1"/>
        </w:rPr>
        <w:sectPr>
          <w:pgSz w:w="11906" w:h="16838"/>
          <w:pgMar w:top="1440" w:right="1797" w:bottom="1440" w:left="1797" w:header="851" w:footer="992" w:gutter="0"/>
          <w:cols w:space="720" w:num="1"/>
          <w:docGrid w:linePitch="312" w:charSpace="0"/>
        </w:sectPr>
      </w:pPr>
    </w:p>
    <w:p>
      <w:pPr>
        <w:pStyle w:val="2"/>
        <w:rPr>
          <w:rFonts w:hAnsi="Times New Roman"/>
          <w:color w:val="000000" w:themeColor="text1"/>
        </w:rPr>
      </w:pPr>
      <w:bookmarkStart w:id="629" w:name="_Toc75504132"/>
      <w:bookmarkStart w:id="630" w:name="_Toc141868819"/>
      <w:bookmarkStart w:id="631" w:name="_Toc76439322"/>
      <w:bookmarkStart w:id="632" w:name="_Toc402186426"/>
      <w:bookmarkStart w:id="633" w:name="_Toc4076524"/>
      <w:bookmarkStart w:id="634" w:name="_Toc510547391"/>
      <w:bookmarkStart w:id="635" w:name="_Toc75504133"/>
      <w:bookmarkStart w:id="636" w:name="_Toc76439323"/>
      <w:r>
        <w:rPr>
          <w:rFonts w:hAnsi="Times New Roman"/>
          <w:color w:val="000000" w:themeColor="text1"/>
        </w:rPr>
        <w:t>11</w:t>
      </w:r>
      <w:bookmarkEnd w:id="629"/>
      <w:bookmarkEnd w:id="630"/>
      <w:bookmarkEnd w:id="631"/>
      <w:r>
        <w:rPr>
          <w:rFonts w:hAnsi="Times New Roman"/>
          <w:color w:val="000000" w:themeColor="text1"/>
        </w:rPr>
        <w:t>综合结论</w:t>
      </w:r>
      <w:bookmarkEnd w:id="632"/>
      <w:bookmarkEnd w:id="633"/>
      <w:bookmarkEnd w:id="634"/>
    </w:p>
    <w:p>
      <w:pPr>
        <w:pStyle w:val="3"/>
        <w:adjustRightInd w:val="0"/>
        <w:snapToGrid w:val="0"/>
        <w:spacing w:before="0" w:after="0"/>
        <w:rPr>
          <w:rFonts w:ascii="Times New Roman" w:hAnsi="Times New Roman"/>
          <w:color w:val="000000" w:themeColor="text1"/>
        </w:rPr>
      </w:pPr>
      <w:bookmarkStart w:id="637" w:name="_Toc141868820"/>
      <w:bookmarkStart w:id="638" w:name="_Toc402186427"/>
      <w:bookmarkStart w:id="639" w:name="_Toc510547392"/>
      <w:bookmarkStart w:id="640" w:name="_Toc4076525"/>
      <w:r>
        <w:rPr>
          <w:rFonts w:ascii="Times New Roman" w:hAnsi="Times New Roman"/>
          <w:color w:val="000000" w:themeColor="text1"/>
        </w:rPr>
        <w:t>11.1</w:t>
      </w:r>
      <w:bookmarkEnd w:id="637"/>
      <w:bookmarkEnd w:id="638"/>
      <w:r>
        <w:rPr>
          <w:rFonts w:ascii="Times New Roman" w:hAnsi="Times New Roman"/>
          <w:color w:val="000000" w:themeColor="text1"/>
        </w:rPr>
        <w:t>项目概况</w:t>
      </w:r>
      <w:bookmarkEnd w:id="639"/>
      <w:bookmarkEnd w:id="640"/>
    </w:p>
    <w:p>
      <w:pPr>
        <w:adjustRightInd w:val="0"/>
        <w:snapToGrid w:val="0"/>
        <w:ind w:firstLine="480" w:firstLineChars="200"/>
        <w:jc w:val="left"/>
        <w:rPr>
          <w:color w:val="000000" w:themeColor="text1"/>
          <w:sz w:val="24"/>
        </w:rPr>
      </w:pPr>
      <w:bookmarkStart w:id="641" w:name="_Toc402186428"/>
      <w:r>
        <w:rPr>
          <w:color w:val="000000" w:themeColor="text1"/>
          <w:sz w:val="24"/>
        </w:rPr>
        <w:t>项目选址位于玉溪市</w:t>
      </w:r>
      <w:r>
        <w:rPr>
          <w:rFonts w:hint="eastAsia"/>
          <w:color w:val="000000" w:themeColor="text1"/>
          <w:sz w:val="24"/>
        </w:rPr>
        <w:t>新平县白鹤村委会石头村小组</w:t>
      </w:r>
      <w:r>
        <w:rPr>
          <w:color w:val="000000" w:themeColor="text1"/>
          <w:sz w:val="24"/>
        </w:rPr>
        <w:t>，项目总占地面积</w:t>
      </w:r>
      <w:r>
        <w:rPr>
          <w:rFonts w:hint="eastAsia"/>
          <w:color w:val="000000" w:themeColor="text1"/>
          <w:sz w:val="24"/>
        </w:rPr>
        <w:t>36524</w:t>
      </w:r>
      <w:r>
        <w:rPr>
          <w:color w:val="000000" w:themeColor="text1"/>
          <w:sz w:val="24"/>
        </w:rPr>
        <w:t>m</w:t>
      </w:r>
      <w:r>
        <w:rPr>
          <w:color w:val="000000" w:themeColor="text1"/>
          <w:sz w:val="24"/>
          <w:vertAlign w:val="superscript"/>
        </w:rPr>
        <w:t>2</w:t>
      </w:r>
      <w:r>
        <w:rPr>
          <w:color w:val="000000" w:themeColor="text1"/>
          <w:sz w:val="24"/>
        </w:rPr>
        <w:t>（</w:t>
      </w:r>
      <w:r>
        <w:rPr>
          <w:rFonts w:hint="eastAsia"/>
          <w:color w:val="000000" w:themeColor="text1"/>
          <w:sz w:val="24"/>
        </w:rPr>
        <w:t>54.78</w:t>
      </w:r>
      <w:r>
        <w:rPr>
          <w:color w:val="000000" w:themeColor="text1"/>
          <w:sz w:val="24"/>
        </w:rPr>
        <w:t>亩</w:t>
      </w:r>
      <w:r>
        <w:rPr>
          <w:rFonts w:hint="eastAsia"/>
          <w:color w:val="000000" w:themeColor="text1"/>
          <w:sz w:val="24"/>
        </w:rPr>
        <w:t>，不含种植区</w:t>
      </w:r>
      <w:r>
        <w:rPr>
          <w:color w:val="000000" w:themeColor="text1"/>
          <w:sz w:val="24"/>
        </w:rPr>
        <w:t>），总建筑面积</w:t>
      </w:r>
      <w:r>
        <w:rPr>
          <w:rFonts w:hint="eastAsia"/>
          <w:color w:val="000000" w:themeColor="text1"/>
          <w:sz w:val="24"/>
        </w:rPr>
        <w:t>20000</w:t>
      </w:r>
      <w:r>
        <w:rPr>
          <w:color w:val="000000" w:themeColor="text1"/>
          <w:sz w:val="24"/>
        </w:rPr>
        <w:t>m</w:t>
      </w:r>
      <w:r>
        <w:rPr>
          <w:color w:val="000000" w:themeColor="text1"/>
          <w:sz w:val="24"/>
          <w:vertAlign w:val="superscript"/>
        </w:rPr>
        <w:t>2</w:t>
      </w:r>
      <w:r>
        <w:rPr>
          <w:color w:val="000000" w:themeColor="text1"/>
          <w:sz w:val="24"/>
        </w:rPr>
        <w:t>，绿地面积</w:t>
      </w:r>
      <w:r>
        <w:rPr>
          <w:rFonts w:hint="eastAsia"/>
          <w:color w:val="000000" w:themeColor="text1"/>
          <w:sz w:val="24"/>
        </w:rPr>
        <w:t>8600</w:t>
      </w:r>
      <w:r>
        <w:rPr>
          <w:color w:val="000000" w:themeColor="text1"/>
          <w:sz w:val="24"/>
        </w:rPr>
        <w:t>m</w:t>
      </w:r>
      <w:r>
        <w:rPr>
          <w:color w:val="000000" w:themeColor="text1"/>
          <w:sz w:val="24"/>
          <w:vertAlign w:val="superscript"/>
        </w:rPr>
        <w:t>2</w:t>
      </w:r>
      <w:r>
        <w:rPr>
          <w:color w:val="000000" w:themeColor="text1"/>
          <w:sz w:val="24"/>
        </w:rPr>
        <w:t>。</w:t>
      </w:r>
      <w:r>
        <w:rPr>
          <w:rFonts w:hint="eastAsia"/>
          <w:color w:val="000000" w:themeColor="text1"/>
          <w:sz w:val="24"/>
        </w:rPr>
        <w:t>种植区位于紧邻养殖场南侧，用地面积154000</w:t>
      </w:r>
      <w:r>
        <w:rPr>
          <w:color w:val="000000" w:themeColor="text1"/>
          <w:sz w:val="24"/>
        </w:rPr>
        <w:t>m</w:t>
      </w:r>
      <w:r>
        <w:rPr>
          <w:color w:val="000000" w:themeColor="text1"/>
          <w:sz w:val="24"/>
          <w:vertAlign w:val="superscript"/>
        </w:rPr>
        <w:t>2</w:t>
      </w:r>
      <w:r>
        <w:rPr>
          <w:color w:val="000000" w:themeColor="text1"/>
          <w:sz w:val="24"/>
        </w:rPr>
        <w:t>（</w:t>
      </w:r>
      <w:r>
        <w:rPr>
          <w:rFonts w:hint="eastAsia"/>
          <w:color w:val="000000" w:themeColor="text1"/>
          <w:sz w:val="24"/>
        </w:rPr>
        <w:t>231</w:t>
      </w:r>
      <w:r>
        <w:rPr>
          <w:color w:val="000000" w:themeColor="text1"/>
          <w:sz w:val="24"/>
        </w:rPr>
        <w:t>亩）</w:t>
      </w:r>
      <w:r>
        <w:rPr>
          <w:rFonts w:hint="eastAsia"/>
          <w:color w:val="000000" w:themeColor="text1"/>
          <w:sz w:val="24"/>
        </w:rPr>
        <w:t>。</w:t>
      </w:r>
    </w:p>
    <w:p>
      <w:pPr>
        <w:adjustRightInd w:val="0"/>
        <w:snapToGrid w:val="0"/>
        <w:ind w:firstLine="480" w:firstLineChars="200"/>
        <w:jc w:val="left"/>
        <w:rPr>
          <w:color w:val="000000" w:themeColor="text1"/>
          <w:sz w:val="24"/>
        </w:rPr>
      </w:pPr>
      <w:r>
        <w:rPr>
          <w:color w:val="000000" w:themeColor="text1"/>
          <w:sz w:val="24"/>
        </w:rPr>
        <w:t>项目</w:t>
      </w:r>
      <w:r>
        <w:rPr>
          <w:rFonts w:hint="eastAsia"/>
          <w:color w:val="000000" w:themeColor="text1"/>
          <w:sz w:val="24"/>
        </w:rPr>
        <w:t>一期</w:t>
      </w:r>
      <w:r>
        <w:rPr>
          <w:color w:val="000000" w:themeColor="text1"/>
          <w:sz w:val="24"/>
        </w:rPr>
        <w:t>主要建设内容包括：</w:t>
      </w:r>
      <w:r>
        <w:rPr>
          <w:rFonts w:hint="eastAsia"/>
          <w:color w:val="000000" w:themeColor="text1"/>
          <w:sz w:val="24"/>
        </w:rPr>
        <w:t>8</w:t>
      </w:r>
      <w:r>
        <w:rPr>
          <w:color w:val="000000" w:themeColor="text1"/>
          <w:sz w:val="24"/>
        </w:rPr>
        <w:t>栋1F</w:t>
      </w:r>
      <w:r>
        <w:rPr>
          <w:rFonts w:hint="eastAsia"/>
          <w:color w:val="000000" w:themeColor="text1"/>
          <w:sz w:val="24"/>
        </w:rPr>
        <w:t>猪舍</w:t>
      </w:r>
      <w:r>
        <w:rPr>
          <w:color w:val="000000" w:themeColor="text1"/>
          <w:sz w:val="24"/>
        </w:rPr>
        <w:t>、</w:t>
      </w:r>
      <w:r>
        <w:rPr>
          <w:rFonts w:hint="eastAsia"/>
          <w:color w:val="000000" w:themeColor="text1"/>
          <w:sz w:val="24"/>
        </w:rPr>
        <w:t>3</w:t>
      </w:r>
      <w:r>
        <w:rPr>
          <w:color w:val="000000" w:themeColor="text1"/>
          <w:sz w:val="24"/>
        </w:rPr>
        <w:t>栋 1F</w:t>
      </w:r>
      <w:r>
        <w:rPr>
          <w:rFonts w:hint="eastAsia"/>
          <w:color w:val="000000" w:themeColor="text1"/>
          <w:sz w:val="24"/>
        </w:rPr>
        <w:t>生活区</w:t>
      </w:r>
      <w:r>
        <w:rPr>
          <w:color w:val="000000" w:themeColor="text1"/>
          <w:sz w:val="24"/>
        </w:rPr>
        <w:t>、</w:t>
      </w:r>
      <w:r>
        <w:rPr>
          <w:rFonts w:hint="eastAsia"/>
          <w:color w:val="000000" w:themeColor="text1"/>
          <w:sz w:val="24"/>
        </w:rPr>
        <w:t>2</w:t>
      </w:r>
      <w:r>
        <w:rPr>
          <w:color w:val="000000" w:themeColor="text1"/>
          <w:sz w:val="24"/>
        </w:rPr>
        <w:t>栋</w:t>
      </w:r>
      <w:r>
        <w:rPr>
          <w:rFonts w:hint="eastAsia"/>
          <w:color w:val="000000" w:themeColor="text1"/>
          <w:sz w:val="24"/>
        </w:rPr>
        <w:t>1</w:t>
      </w:r>
      <w:r>
        <w:rPr>
          <w:color w:val="000000" w:themeColor="text1"/>
          <w:sz w:val="24"/>
        </w:rPr>
        <w:t>F</w:t>
      </w:r>
      <w:r>
        <w:rPr>
          <w:rFonts w:hint="eastAsia"/>
          <w:color w:val="000000" w:themeColor="text1"/>
          <w:sz w:val="24"/>
        </w:rPr>
        <w:t>生产办公区</w:t>
      </w:r>
      <w:r>
        <w:rPr>
          <w:color w:val="000000" w:themeColor="text1"/>
          <w:sz w:val="24"/>
        </w:rPr>
        <w:t>及配套污水处理站、</w:t>
      </w:r>
      <w:r>
        <w:rPr>
          <w:rFonts w:hint="eastAsia"/>
          <w:color w:val="000000" w:themeColor="text1"/>
          <w:sz w:val="24"/>
        </w:rPr>
        <w:t>沼气利用工程、病死猪堆肥间</w:t>
      </w:r>
      <w:r>
        <w:rPr>
          <w:color w:val="000000" w:themeColor="text1"/>
          <w:sz w:val="24"/>
        </w:rPr>
        <w:t>、</w:t>
      </w:r>
      <w:r>
        <w:rPr>
          <w:rFonts w:hint="eastAsia"/>
          <w:color w:val="000000" w:themeColor="text1"/>
          <w:sz w:val="24"/>
        </w:rPr>
        <w:t>配电</w:t>
      </w:r>
      <w:r>
        <w:rPr>
          <w:color w:val="000000" w:themeColor="text1"/>
          <w:sz w:val="24"/>
        </w:rPr>
        <w:t>房、雨水分流管网</w:t>
      </w:r>
      <w:r>
        <w:rPr>
          <w:rFonts w:hint="eastAsia"/>
          <w:color w:val="000000" w:themeColor="text1"/>
          <w:sz w:val="24"/>
        </w:rPr>
        <w:t>及种植区</w:t>
      </w:r>
      <w:r>
        <w:rPr>
          <w:color w:val="000000" w:themeColor="text1"/>
          <w:sz w:val="24"/>
        </w:rPr>
        <w:t>等</w:t>
      </w:r>
      <w:r>
        <w:rPr>
          <w:rFonts w:hint="eastAsia"/>
          <w:color w:val="000000" w:themeColor="text1"/>
          <w:sz w:val="24"/>
        </w:rPr>
        <w:t>。</w:t>
      </w:r>
    </w:p>
    <w:p>
      <w:pPr>
        <w:adjustRightInd w:val="0"/>
        <w:snapToGrid w:val="0"/>
        <w:ind w:firstLine="480" w:firstLineChars="200"/>
        <w:jc w:val="left"/>
        <w:rPr>
          <w:color w:val="000000" w:themeColor="text1"/>
          <w:sz w:val="24"/>
        </w:rPr>
      </w:pPr>
      <w:r>
        <w:rPr>
          <w:color w:val="000000" w:themeColor="text1"/>
          <w:sz w:val="24"/>
        </w:rPr>
        <w:t>项目建成后，年存栏</w:t>
      </w:r>
      <w:r>
        <w:rPr>
          <w:rFonts w:hint="eastAsia"/>
          <w:color w:val="000000" w:themeColor="text1"/>
          <w:sz w:val="24"/>
        </w:rPr>
        <w:t>生猪100</w:t>
      </w:r>
      <w:r>
        <w:rPr>
          <w:color w:val="000000" w:themeColor="text1"/>
          <w:sz w:val="24"/>
        </w:rPr>
        <w:t>00头，年出栏</w:t>
      </w:r>
      <w:r>
        <w:rPr>
          <w:rFonts w:hint="eastAsia"/>
          <w:color w:val="000000" w:themeColor="text1"/>
          <w:sz w:val="24"/>
        </w:rPr>
        <w:t>生猪25000</w:t>
      </w:r>
      <w:r>
        <w:rPr>
          <w:color w:val="000000" w:themeColor="text1"/>
          <w:sz w:val="24"/>
        </w:rPr>
        <w:t>万头。</w:t>
      </w:r>
    </w:p>
    <w:p>
      <w:pPr>
        <w:adjustRightInd w:val="0"/>
        <w:snapToGrid w:val="0"/>
        <w:ind w:firstLine="480" w:firstLineChars="200"/>
        <w:jc w:val="left"/>
        <w:rPr>
          <w:color w:val="000000" w:themeColor="text1"/>
          <w:sz w:val="24"/>
        </w:rPr>
      </w:pPr>
      <w:r>
        <w:rPr>
          <w:color w:val="000000" w:themeColor="text1"/>
          <w:sz w:val="24"/>
        </w:rPr>
        <w:t>项目预计201</w:t>
      </w:r>
      <w:r>
        <w:rPr>
          <w:rFonts w:hint="eastAsia"/>
          <w:color w:val="000000" w:themeColor="text1"/>
          <w:sz w:val="24"/>
        </w:rPr>
        <w:t>9</w:t>
      </w:r>
      <w:r>
        <w:rPr>
          <w:color w:val="000000" w:themeColor="text1"/>
          <w:sz w:val="24"/>
        </w:rPr>
        <w:t>年</w:t>
      </w:r>
      <w:r>
        <w:rPr>
          <w:rFonts w:hint="eastAsia"/>
          <w:color w:val="000000" w:themeColor="text1"/>
          <w:sz w:val="24"/>
        </w:rPr>
        <w:t>5</w:t>
      </w:r>
      <w:r>
        <w:rPr>
          <w:color w:val="000000" w:themeColor="text1"/>
          <w:sz w:val="24"/>
        </w:rPr>
        <w:t>月开工，预计20</w:t>
      </w:r>
      <w:r>
        <w:rPr>
          <w:rFonts w:hint="eastAsia"/>
          <w:color w:val="000000" w:themeColor="text1"/>
          <w:sz w:val="24"/>
        </w:rPr>
        <w:t>20</w:t>
      </w:r>
      <w:r>
        <w:rPr>
          <w:color w:val="000000" w:themeColor="text1"/>
          <w:sz w:val="24"/>
        </w:rPr>
        <w:t>年</w:t>
      </w:r>
      <w:r>
        <w:rPr>
          <w:rFonts w:hint="eastAsia"/>
          <w:color w:val="000000" w:themeColor="text1"/>
          <w:sz w:val="24"/>
        </w:rPr>
        <w:t>4</w:t>
      </w:r>
      <w:r>
        <w:rPr>
          <w:color w:val="000000" w:themeColor="text1"/>
          <w:sz w:val="24"/>
        </w:rPr>
        <w:t>月建成投产，工期12个月。</w:t>
      </w:r>
    </w:p>
    <w:p>
      <w:pPr>
        <w:ind w:firstLine="480" w:firstLineChars="200"/>
        <w:rPr>
          <w:color w:val="000000" w:themeColor="text1"/>
          <w:sz w:val="24"/>
        </w:rPr>
      </w:pPr>
      <w:r>
        <w:rPr>
          <w:color w:val="000000" w:themeColor="text1"/>
          <w:sz w:val="24"/>
        </w:rPr>
        <w:t>项目总投资</w:t>
      </w:r>
      <w:r>
        <w:rPr>
          <w:rFonts w:hint="eastAsia"/>
          <w:color w:val="000000" w:themeColor="text1"/>
          <w:sz w:val="24"/>
        </w:rPr>
        <w:t>50</w:t>
      </w:r>
      <w:r>
        <w:rPr>
          <w:color w:val="000000" w:themeColor="text1"/>
          <w:sz w:val="24"/>
        </w:rPr>
        <w:t>00万元，其中环保投资</w:t>
      </w:r>
      <w:r>
        <w:rPr>
          <w:rFonts w:hint="eastAsia"/>
          <w:color w:val="000000" w:themeColor="text1"/>
          <w:sz w:val="24"/>
        </w:rPr>
        <w:t>984.1</w:t>
      </w:r>
      <w:r>
        <w:rPr>
          <w:color w:val="000000" w:themeColor="text1"/>
          <w:sz w:val="24"/>
        </w:rPr>
        <w:t>万元，占总投资比例的</w:t>
      </w:r>
      <w:r>
        <w:rPr>
          <w:rFonts w:hint="eastAsia"/>
          <w:color w:val="000000" w:themeColor="text1"/>
          <w:sz w:val="24"/>
        </w:rPr>
        <w:t>19.68</w:t>
      </w:r>
      <w:r>
        <w:rPr>
          <w:color w:val="000000" w:themeColor="text1"/>
          <w:sz w:val="24"/>
        </w:rPr>
        <w:t>%。</w:t>
      </w:r>
    </w:p>
    <w:p>
      <w:pPr>
        <w:pStyle w:val="3"/>
        <w:adjustRightInd w:val="0"/>
        <w:snapToGrid w:val="0"/>
        <w:spacing w:before="0" w:after="0"/>
        <w:rPr>
          <w:rFonts w:ascii="Times New Roman" w:hAnsi="Times New Roman"/>
          <w:color w:val="000000" w:themeColor="text1"/>
        </w:rPr>
      </w:pPr>
      <w:bookmarkStart w:id="642" w:name="_Toc510547393"/>
      <w:bookmarkStart w:id="643" w:name="_Toc4076526"/>
      <w:r>
        <w:rPr>
          <w:rFonts w:ascii="Times New Roman" w:hAnsi="Times New Roman"/>
          <w:color w:val="000000" w:themeColor="text1"/>
        </w:rPr>
        <w:t>11.2环境质量现状</w:t>
      </w:r>
      <w:bookmarkEnd w:id="642"/>
      <w:bookmarkEnd w:id="643"/>
    </w:p>
    <w:p>
      <w:pPr>
        <w:adjustRightInd w:val="0"/>
        <w:snapToGrid w:val="0"/>
        <w:ind w:firstLine="480" w:firstLineChars="200"/>
        <w:rPr>
          <w:color w:val="000000" w:themeColor="text1"/>
          <w:sz w:val="24"/>
        </w:rPr>
      </w:pPr>
      <w:r>
        <w:rPr>
          <w:color w:val="000000" w:themeColor="text1"/>
          <w:sz w:val="24"/>
        </w:rPr>
        <w:t>（1）环境空气质量现状</w:t>
      </w:r>
    </w:p>
    <w:p>
      <w:pPr>
        <w:adjustRightInd w:val="0"/>
        <w:snapToGrid w:val="0"/>
        <w:ind w:firstLine="480" w:firstLineChars="200"/>
        <w:rPr>
          <w:color w:val="000000" w:themeColor="text1"/>
          <w:sz w:val="24"/>
        </w:rPr>
      </w:pPr>
      <w:r>
        <w:rPr>
          <w:color w:val="000000" w:themeColor="text1"/>
          <w:sz w:val="24"/>
        </w:rPr>
        <w:t>项目</w:t>
      </w:r>
      <w:r>
        <w:rPr>
          <w:rFonts w:hint="eastAsia"/>
          <w:color w:val="000000" w:themeColor="text1"/>
          <w:sz w:val="24"/>
        </w:rPr>
        <w:t>区</w:t>
      </w:r>
      <w:r>
        <w:rPr>
          <w:color w:val="000000" w:themeColor="text1"/>
          <w:sz w:val="24"/>
        </w:rPr>
        <w:t>TSP、PM</w:t>
      </w:r>
      <w:r>
        <w:rPr>
          <w:color w:val="000000" w:themeColor="text1"/>
          <w:sz w:val="24"/>
          <w:vertAlign w:val="subscript"/>
        </w:rPr>
        <w:t>10</w:t>
      </w:r>
      <w:r>
        <w:rPr>
          <w:color w:val="000000" w:themeColor="text1"/>
          <w:sz w:val="24"/>
        </w:rPr>
        <w:t>、SO</w:t>
      </w:r>
      <w:r>
        <w:rPr>
          <w:color w:val="000000" w:themeColor="text1"/>
          <w:sz w:val="24"/>
          <w:vertAlign w:val="subscript"/>
        </w:rPr>
        <w:t>2</w:t>
      </w:r>
      <w:r>
        <w:rPr>
          <w:color w:val="000000" w:themeColor="text1"/>
          <w:sz w:val="24"/>
        </w:rPr>
        <w:t>、NO</w:t>
      </w:r>
      <w:r>
        <w:rPr>
          <w:color w:val="000000" w:themeColor="text1"/>
          <w:sz w:val="24"/>
          <w:vertAlign w:val="subscript"/>
        </w:rPr>
        <w:t>2</w:t>
      </w:r>
      <w:r>
        <w:rPr>
          <w:color w:val="000000" w:themeColor="text1"/>
          <w:sz w:val="24"/>
        </w:rPr>
        <w:t>的日均值均能达到《环境空气质量标准》</w:t>
      </w:r>
      <w:r>
        <w:rPr>
          <w:rFonts w:hint="eastAsia"/>
          <w:color w:val="000000" w:themeColor="text1"/>
          <w:sz w:val="24"/>
        </w:rPr>
        <w:t>（</w:t>
      </w:r>
      <w:r>
        <w:rPr>
          <w:color w:val="000000" w:themeColor="text1"/>
          <w:sz w:val="24"/>
        </w:rPr>
        <w:t>GB3095-2012</w:t>
      </w:r>
      <w:r>
        <w:rPr>
          <w:rFonts w:hint="eastAsia"/>
          <w:color w:val="000000" w:themeColor="text1"/>
          <w:sz w:val="24"/>
        </w:rPr>
        <w:t>）</w:t>
      </w:r>
      <w:r>
        <w:rPr>
          <w:color w:val="000000" w:themeColor="text1"/>
          <w:sz w:val="24"/>
        </w:rPr>
        <w:t>二级标准</w:t>
      </w:r>
      <w:r>
        <w:rPr>
          <w:rFonts w:hint="eastAsia"/>
          <w:color w:val="000000" w:themeColor="text1"/>
          <w:sz w:val="24"/>
        </w:rPr>
        <w:t>，</w:t>
      </w:r>
      <w:r>
        <w:rPr>
          <w:color w:val="000000" w:themeColor="text1"/>
          <w:sz w:val="24"/>
        </w:rPr>
        <w:t>SO</w:t>
      </w:r>
      <w:r>
        <w:rPr>
          <w:color w:val="000000" w:themeColor="text1"/>
          <w:sz w:val="24"/>
          <w:vertAlign w:val="subscript"/>
        </w:rPr>
        <w:t>2</w:t>
      </w:r>
      <w:r>
        <w:rPr>
          <w:color w:val="000000" w:themeColor="text1"/>
          <w:sz w:val="24"/>
        </w:rPr>
        <w:t>、NO</w:t>
      </w:r>
      <w:r>
        <w:rPr>
          <w:color w:val="000000" w:themeColor="text1"/>
          <w:sz w:val="24"/>
          <w:vertAlign w:val="subscript"/>
        </w:rPr>
        <w:t>2</w:t>
      </w:r>
      <w:r>
        <w:rPr>
          <w:color w:val="000000" w:themeColor="text1"/>
          <w:sz w:val="24"/>
        </w:rPr>
        <w:t>的</w:t>
      </w:r>
      <w:r>
        <w:rPr>
          <w:rFonts w:hint="eastAsia"/>
          <w:color w:val="000000" w:themeColor="text1"/>
          <w:sz w:val="24"/>
        </w:rPr>
        <w:t>小时</w:t>
      </w:r>
      <w:r>
        <w:rPr>
          <w:color w:val="000000" w:themeColor="text1"/>
          <w:sz w:val="24"/>
        </w:rPr>
        <w:t>值均能达到《环境空气质量标准》</w:t>
      </w:r>
      <w:r>
        <w:rPr>
          <w:rFonts w:hint="eastAsia"/>
          <w:color w:val="000000" w:themeColor="text1"/>
          <w:sz w:val="24"/>
        </w:rPr>
        <w:t>（</w:t>
      </w:r>
      <w:r>
        <w:rPr>
          <w:color w:val="000000" w:themeColor="text1"/>
          <w:sz w:val="24"/>
        </w:rPr>
        <w:t>GB3095-2012</w:t>
      </w:r>
      <w:r>
        <w:rPr>
          <w:rFonts w:hint="eastAsia"/>
          <w:color w:val="000000" w:themeColor="text1"/>
          <w:sz w:val="24"/>
        </w:rPr>
        <w:t>）</w:t>
      </w:r>
      <w:r>
        <w:rPr>
          <w:color w:val="000000" w:themeColor="text1"/>
          <w:sz w:val="24"/>
        </w:rPr>
        <w:t>二级标准； H</w:t>
      </w:r>
      <w:r>
        <w:rPr>
          <w:color w:val="000000" w:themeColor="text1"/>
          <w:sz w:val="24"/>
          <w:vertAlign w:val="subscript"/>
        </w:rPr>
        <w:t>2</w:t>
      </w:r>
      <w:r>
        <w:rPr>
          <w:color w:val="000000" w:themeColor="text1"/>
          <w:sz w:val="24"/>
        </w:rPr>
        <w:t>S及NH</w:t>
      </w:r>
      <w:r>
        <w:rPr>
          <w:color w:val="000000" w:themeColor="text1"/>
          <w:sz w:val="24"/>
          <w:vertAlign w:val="subscript"/>
        </w:rPr>
        <w:t>3</w:t>
      </w:r>
      <w:r>
        <w:rPr>
          <w:color w:val="000000" w:themeColor="text1"/>
          <w:sz w:val="24"/>
        </w:rPr>
        <w:t>的</w:t>
      </w:r>
      <w:r>
        <w:rPr>
          <w:rFonts w:hint="eastAsia"/>
          <w:color w:val="000000" w:themeColor="text1"/>
          <w:sz w:val="24"/>
        </w:rPr>
        <w:t>一次</w:t>
      </w:r>
      <w:r>
        <w:rPr>
          <w:color w:val="000000" w:themeColor="text1"/>
          <w:sz w:val="24"/>
        </w:rPr>
        <w:t>浓度满足《工业企业设计卫生标准》</w:t>
      </w:r>
      <w:r>
        <w:rPr>
          <w:rFonts w:hint="eastAsia"/>
          <w:color w:val="000000" w:themeColor="text1"/>
          <w:sz w:val="24"/>
        </w:rPr>
        <w:t>（</w:t>
      </w:r>
      <w:r>
        <w:rPr>
          <w:color w:val="000000" w:themeColor="text1"/>
          <w:sz w:val="24"/>
        </w:rPr>
        <w:t>TJ36-79</w:t>
      </w:r>
      <w:r>
        <w:rPr>
          <w:rFonts w:hint="eastAsia"/>
          <w:color w:val="000000" w:themeColor="text1"/>
          <w:sz w:val="24"/>
        </w:rPr>
        <w:t>）</w:t>
      </w:r>
      <w:r>
        <w:rPr>
          <w:color w:val="000000" w:themeColor="text1"/>
          <w:sz w:val="24"/>
        </w:rPr>
        <w:t>中最高允许浓度限值。</w:t>
      </w:r>
    </w:p>
    <w:p>
      <w:pPr>
        <w:adjustRightInd w:val="0"/>
        <w:snapToGrid w:val="0"/>
        <w:ind w:firstLine="480" w:firstLineChars="200"/>
        <w:rPr>
          <w:color w:val="000000" w:themeColor="text1"/>
          <w:sz w:val="24"/>
        </w:rPr>
      </w:pPr>
      <w:r>
        <w:rPr>
          <w:color w:val="000000" w:themeColor="text1"/>
          <w:sz w:val="24"/>
        </w:rPr>
        <w:t>（2）地表水环境质量现状</w:t>
      </w:r>
    </w:p>
    <w:p>
      <w:pPr>
        <w:adjustRightInd w:val="0"/>
        <w:snapToGrid w:val="0"/>
        <w:ind w:firstLine="480" w:firstLineChars="200"/>
        <w:rPr>
          <w:color w:val="000000" w:themeColor="text1"/>
          <w:sz w:val="24"/>
        </w:rPr>
      </w:pPr>
      <w:r>
        <w:rPr>
          <w:color w:val="000000" w:themeColor="text1"/>
          <w:sz w:val="24"/>
        </w:rPr>
        <w:t>根据监测结果，</w:t>
      </w:r>
      <w:r>
        <w:rPr>
          <w:rFonts w:hint="eastAsia"/>
          <w:color w:val="000000" w:themeColor="text1"/>
          <w:sz w:val="24"/>
        </w:rPr>
        <w:t>康之康河支流（场址上游1500m）监测断面粪大肠菌群指标超过</w:t>
      </w:r>
      <w:r>
        <w:rPr>
          <w:color w:val="000000" w:themeColor="text1"/>
          <w:sz w:val="24"/>
        </w:rPr>
        <w:t>《地表水环境质量标准》</w:t>
      </w:r>
      <w:r>
        <w:rPr>
          <w:rFonts w:hint="eastAsia"/>
          <w:color w:val="000000" w:themeColor="text1"/>
          <w:sz w:val="24"/>
        </w:rPr>
        <w:t>（</w:t>
      </w:r>
      <w:r>
        <w:rPr>
          <w:color w:val="000000" w:themeColor="text1"/>
          <w:sz w:val="24"/>
        </w:rPr>
        <w:t>GB3838-2002</w:t>
      </w:r>
      <w:r>
        <w:rPr>
          <w:rFonts w:hint="eastAsia"/>
          <w:color w:val="000000" w:themeColor="text1"/>
          <w:sz w:val="24"/>
        </w:rPr>
        <w:t>）</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，其余各指标满足</w:t>
      </w:r>
      <w:r>
        <w:rPr>
          <w:color w:val="000000" w:themeColor="text1"/>
          <w:sz w:val="24"/>
        </w:rPr>
        <w:t>《地表水环境质量标准》</w:t>
      </w:r>
      <w:r>
        <w:rPr>
          <w:rFonts w:hint="eastAsia"/>
          <w:color w:val="000000" w:themeColor="text1"/>
          <w:sz w:val="24"/>
        </w:rPr>
        <w:t>（</w:t>
      </w:r>
      <w:r>
        <w:rPr>
          <w:color w:val="000000" w:themeColor="text1"/>
          <w:sz w:val="24"/>
        </w:rPr>
        <w:t>GB3838-2002</w:t>
      </w:r>
      <w:r>
        <w:rPr>
          <w:rFonts w:hint="eastAsia"/>
          <w:color w:val="000000" w:themeColor="text1"/>
          <w:sz w:val="24"/>
        </w:rPr>
        <w:t>）</w:t>
      </w:r>
      <w:r>
        <w:rPr>
          <w:rFonts w:hint="eastAsia" w:ascii="宋体" w:hAnsi="宋体" w:cs="宋体"/>
          <w:color w:val="000000" w:themeColor="text1"/>
          <w:sz w:val="24"/>
        </w:rPr>
        <w:t>Ⅳ</w:t>
      </w:r>
      <w:r>
        <w:rPr>
          <w:color w:val="000000" w:themeColor="text1"/>
          <w:sz w:val="24"/>
        </w:rPr>
        <w:t>类标准</w:t>
      </w:r>
      <w:r>
        <w:rPr>
          <w:rFonts w:hint="eastAsia"/>
          <w:color w:val="000000" w:themeColor="text1"/>
          <w:sz w:val="24"/>
        </w:rPr>
        <w:t>。</w:t>
      </w:r>
    </w:p>
    <w:p>
      <w:pPr>
        <w:ind w:firstLine="480" w:firstLineChars="200"/>
        <w:jc w:val="left"/>
        <w:rPr>
          <w:color w:val="000000" w:themeColor="text1"/>
          <w:sz w:val="24"/>
        </w:rPr>
      </w:pPr>
      <w:r>
        <w:rPr>
          <w:color w:val="000000" w:themeColor="text1"/>
          <w:sz w:val="24"/>
        </w:rPr>
        <w:t>（3）地下水环境质量现状</w:t>
      </w:r>
    </w:p>
    <w:p>
      <w:pPr>
        <w:adjustRightInd w:val="0"/>
        <w:snapToGrid w:val="0"/>
        <w:ind w:firstLine="480" w:firstLineChars="200"/>
        <w:rPr>
          <w:color w:val="000000" w:themeColor="text1"/>
          <w:sz w:val="24"/>
        </w:rPr>
      </w:pPr>
      <w:r>
        <w:rPr>
          <w:color w:val="000000" w:themeColor="text1"/>
          <w:sz w:val="24"/>
        </w:rPr>
        <w:t>根据监测结果，</w:t>
      </w:r>
      <w:r>
        <w:rPr>
          <w:rFonts w:hint="eastAsia"/>
          <w:color w:val="000000" w:themeColor="text1"/>
          <w:sz w:val="24"/>
        </w:rPr>
        <w:t>3个监测点位中，总大肠菌群、菌落总数2个指标出现超标，其余各项指标均可以达到《地下水质量标准》（GB/T14848-2017）Ⅲ类标准</w:t>
      </w:r>
      <w:r>
        <w:rPr>
          <w:color w:val="000000" w:themeColor="text1"/>
          <w:sz w:val="24"/>
        </w:rPr>
        <w:t>。</w:t>
      </w:r>
    </w:p>
    <w:p>
      <w:pPr>
        <w:adjustRightInd w:val="0"/>
        <w:snapToGrid w:val="0"/>
        <w:ind w:firstLine="480" w:firstLineChars="200"/>
        <w:rPr>
          <w:color w:val="000000" w:themeColor="text1"/>
          <w:sz w:val="24"/>
        </w:rPr>
      </w:pPr>
      <w:r>
        <w:rPr>
          <w:color w:val="000000" w:themeColor="text1"/>
          <w:sz w:val="24"/>
        </w:rPr>
        <w:t>（4）环境噪声现状</w:t>
      </w:r>
    </w:p>
    <w:p>
      <w:pPr>
        <w:ind w:firstLine="480" w:firstLineChars="200"/>
        <w:rPr>
          <w:color w:val="000000" w:themeColor="text1"/>
          <w:sz w:val="24"/>
        </w:rPr>
      </w:pPr>
      <w:r>
        <w:rPr>
          <w:color w:val="000000" w:themeColor="text1"/>
          <w:sz w:val="24"/>
        </w:rPr>
        <w:t>项目场界各监测点昼间及夜间测值均可达到GB3096-2008《声环境质量标准》</w:t>
      </w:r>
      <w:r>
        <w:rPr>
          <w:rFonts w:hint="eastAsia"/>
          <w:color w:val="000000" w:themeColor="text1"/>
          <w:sz w:val="24"/>
        </w:rPr>
        <w:t>1</w:t>
      </w:r>
      <w:r>
        <w:rPr>
          <w:color w:val="000000" w:themeColor="text1"/>
          <w:sz w:val="24"/>
        </w:rPr>
        <w:t>类区标准即昼间≤</w:t>
      </w:r>
      <w:r>
        <w:rPr>
          <w:rFonts w:hint="eastAsia"/>
          <w:color w:val="000000" w:themeColor="text1"/>
          <w:sz w:val="24"/>
        </w:rPr>
        <w:t>55</w:t>
      </w:r>
      <w:r>
        <w:rPr>
          <w:color w:val="000000" w:themeColor="text1"/>
          <w:sz w:val="24"/>
        </w:rPr>
        <w:t>dB（A），夜间≤</w:t>
      </w:r>
      <w:r>
        <w:rPr>
          <w:rFonts w:hint="eastAsia"/>
          <w:color w:val="000000" w:themeColor="text1"/>
          <w:sz w:val="24"/>
        </w:rPr>
        <w:t>45</w:t>
      </w:r>
      <w:r>
        <w:rPr>
          <w:color w:val="000000" w:themeColor="text1"/>
          <w:sz w:val="24"/>
        </w:rPr>
        <w:t>dB（A）。</w:t>
      </w:r>
    </w:p>
    <w:p>
      <w:pPr>
        <w:pStyle w:val="3"/>
        <w:adjustRightInd w:val="0"/>
        <w:snapToGrid w:val="0"/>
        <w:spacing w:before="0" w:after="0"/>
        <w:rPr>
          <w:rFonts w:ascii="Times New Roman" w:hAnsi="Times New Roman"/>
          <w:color w:val="000000" w:themeColor="text1"/>
        </w:rPr>
      </w:pPr>
      <w:bookmarkStart w:id="644" w:name="_Toc4076527"/>
      <w:r>
        <w:rPr>
          <w:rFonts w:ascii="Times New Roman" w:hAnsi="Times New Roman"/>
          <w:color w:val="000000" w:themeColor="text1"/>
        </w:rPr>
        <w:t>11.3污染物排放情况</w:t>
      </w:r>
      <w:bookmarkEnd w:id="644"/>
    </w:p>
    <w:p>
      <w:pPr>
        <w:adjustRightInd w:val="0"/>
        <w:snapToGrid w:val="0"/>
        <w:ind w:firstLine="480" w:firstLineChars="200"/>
        <w:rPr>
          <w:color w:val="000000" w:themeColor="text1"/>
          <w:sz w:val="24"/>
        </w:rPr>
      </w:pPr>
      <w:r>
        <w:rPr>
          <w:color w:val="000000" w:themeColor="text1"/>
          <w:sz w:val="24"/>
        </w:rPr>
        <w:t>（1）废水</w:t>
      </w:r>
    </w:p>
    <w:p>
      <w:pPr>
        <w:ind w:firstLine="480" w:firstLineChars="200"/>
        <w:rPr>
          <w:color w:val="000000" w:themeColor="text1"/>
          <w:sz w:val="24"/>
        </w:rPr>
      </w:pPr>
      <w:r>
        <w:rPr>
          <w:color w:val="000000" w:themeColor="text1"/>
          <w:sz w:val="24"/>
        </w:rPr>
        <w:t>项目污水量</w:t>
      </w:r>
      <w:r>
        <w:rPr>
          <w:rFonts w:hint="eastAsia"/>
          <w:color w:val="000000" w:themeColor="text1"/>
          <w:sz w:val="24"/>
        </w:rPr>
        <w:t>63.2</w:t>
      </w:r>
      <w:r>
        <w:rPr>
          <w:color w:val="000000" w:themeColor="text1"/>
          <w:sz w:val="24"/>
        </w:rPr>
        <w:t>m</w:t>
      </w:r>
      <w:r>
        <w:rPr>
          <w:color w:val="000000" w:themeColor="text1"/>
          <w:sz w:val="24"/>
          <w:vertAlign w:val="superscript"/>
        </w:rPr>
        <w:t>3</w:t>
      </w:r>
      <w:r>
        <w:rPr>
          <w:color w:val="000000" w:themeColor="text1"/>
          <w:sz w:val="24"/>
        </w:rPr>
        <w:t>/d（最大排放量），生活污水经项目区内隔油池处理后与猪尿、猪舍冲洗水、消毒废水一并处理，废水处理工艺拟采用预处理完全混合式厌氧反应发酵(CSTR)处理工艺，处理后用于</w:t>
      </w:r>
      <w:r>
        <w:rPr>
          <w:rFonts w:hint="eastAsia"/>
          <w:color w:val="000000" w:themeColor="text1"/>
          <w:sz w:val="24"/>
        </w:rPr>
        <w:t>沼液一部分用于种植区施肥，剩余部分进入异位发酵车间发酵处理</w:t>
      </w:r>
      <w:r>
        <w:rPr>
          <w:color w:val="000000" w:themeColor="text1"/>
          <w:sz w:val="24"/>
        </w:rPr>
        <w:t>。</w:t>
      </w:r>
    </w:p>
    <w:p>
      <w:pPr>
        <w:ind w:firstLine="480" w:firstLineChars="200"/>
        <w:rPr>
          <w:color w:val="000000" w:themeColor="text1"/>
          <w:sz w:val="24"/>
        </w:rPr>
      </w:pPr>
      <w:r>
        <w:rPr>
          <w:color w:val="000000" w:themeColor="text1"/>
          <w:sz w:val="24"/>
        </w:rPr>
        <w:t>（2）废气</w:t>
      </w:r>
    </w:p>
    <w:p>
      <w:pPr>
        <w:ind w:firstLine="480" w:firstLineChars="200"/>
        <w:rPr>
          <w:color w:val="000000" w:themeColor="text1"/>
          <w:spacing w:val="20"/>
          <w:sz w:val="24"/>
        </w:rPr>
      </w:pPr>
      <w:r>
        <w:rPr>
          <w:color w:val="000000" w:themeColor="text1"/>
          <w:sz w:val="24"/>
        </w:rPr>
        <w:t>项目主要废气为NH</w:t>
      </w:r>
      <w:r>
        <w:rPr>
          <w:color w:val="000000" w:themeColor="text1"/>
          <w:sz w:val="24"/>
          <w:vertAlign w:val="subscript"/>
        </w:rPr>
        <w:t>3</w:t>
      </w:r>
      <w:r>
        <w:rPr>
          <w:color w:val="000000" w:themeColor="text1"/>
          <w:sz w:val="24"/>
        </w:rPr>
        <w:t>、H</w:t>
      </w:r>
      <w:r>
        <w:rPr>
          <w:color w:val="000000" w:themeColor="text1"/>
          <w:sz w:val="24"/>
          <w:vertAlign w:val="subscript"/>
        </w:rPr>
        <w:t>2</w:t>
      </w:r>
      <w:r>
        <w:rPr>
          <w:color w:val="000000" w:themeColor="text1"/>
          <w:sz w:val="24"/>
        </w:rPr>
        <w:t>S，</w:t>
      </w:r>
      <w:r>
        <w:rPr>
          <w:color w:val="000000" w:themeColor="text1"/>
          <w:spacing w:val="20"/>
          <w:sz w:val="24"/>
        </w:rPr>
        <w:t>通过喷洒除臭剂、饲料添加活菌剂联合除臭措施，大大降低臭气排放量，</w:t>
      </w:r>
      <w:r>
        <w:rPr>
          <w:color w:val="000000" w:themeColor="text1"/>
          <w:sz w:val="24"/>
        </w:rPr>
        <w:t>NH</w:t>
      </w:r>
      <w:r>
        <w:rPr>
          <w:color w:val="000000" w:themeColor="text1"/>
          <w:sz w:val="24"/>
          <w:vertAlign w:val="subscript"/>
        </w:rPr>
        <w:t>3</w:t>
      </w:r>
      <w:r>
        <w:rPr>
          <w:color w:val="000000" w:themeColor="text1"/>
          <w:sz w:val="24"/>
        </w:rPr>
        <w:t>、H</w:t>
      </w:r>
      <w:r>
        <w:rPr>
          <w:color w:val="000000" w:themeColor="text1"/>
          <w:sz w:val="24"/>
          <w:vertAlign w:val="subscript"/>
        </w:rPr>
        <w:t>2</w:t>
      </w:r>
      <w:r>
        <w:rPr>
          <w:color w:val="000000" w:themeColor="text1"/>
          <w:sz w:val="24"/>
        </w:rPr>
        <w:t>S排放量分别为0</w:t>
      </w:r>
      <w:r>
        <w:rPr>
          <w:rFonts w:hint="eastAsia"/>
          <w:color w:val="000000" w:themeColor="text1"/>
          <w:sz w:val="24"/>
        </w:rPr>
        <w:t>.38</w:t>
      </w:r>
      <w:r>
        <w:rPr>
          <w:color w:val="000000" w:themeColor="text1"/>
          <w:sz w:val="24"/>
        </w:rPr>
        <w:t>t/a、0.</w:t>
      </w:r>
      <w:r>
        <w:rPr>
          <w:rFonts w:hint="eastAsia"/>
          <w:color w:val="000000" w:themeColor="text1"/>
          <w:sz w:val="24"/>
        </w:rPr>
        <w:t>09</w:t>
      </w:r>
      <w:r>
        <w:rPr>
          <w:color w:val="000000" w:themeColor="text1"/>
          <w:sz w:val="24"/>
        </w:rPr>
        <w:t>t/a</w:t>
      </w:r>
      <w:r>
        <w:rPr>
          <w:color w:val="000000" w:themeColor="text1"/>
          <w:spacing w:val="20"/>
          <w:sz w:val="24"/>
        </w:rPr>
        <w:t>。</w:t>
      </w:r>
    </w:p>
    <w:p>
      <w:pPr>
        <w:ind w:firstLine="560" w:firstLineChars="200"/>
        <w:rPr>
          <w:color w:val="000000" w:themeColor="text1"/>
          <w:spacing w:val="20"/>
          <w:sz w:val="24"/>
        </w:rPr>
      </w:pPr>
      <w:r>
        <w:rPr>
          <w:color w:val="000000" w:themeColor="text1"/>
          <w:spacing w:val="20"/>
          <w:sz w:val="24"/>
        </w:rPr>
        <w:t>（3）噪声</w:t>
      </w:r>
    </w:p>
    <w:p>
      <w:pPr>
        <w:ind w:firstLine="560" w:firstLineChars="200"/>
        <w:rPr>
          <w:color w:val="000000" w:themeColor="text1"/>
          <w:spacing w:val="20"/>
          <w:sz w:val="24"/>
        </w:rPr>
      </w:pPr>
      <w:r>
        <w:rPr>
          <w:color w:val="000000" w:themeColor="text1"/>
          <w:spacing w:val="20"/>
          <w:sz w:val="24"/>
        </w:rPr>
        <w:t>运营期厂界噪声满足《工业企业厂界环境噪声排放标准》（GB12348-2008）</w:t>
      </w:r>
      <w:r>
        <w:rPr>
          <w:rFonts w:hint="eastAsia"/>
          <w:color w:val="000000" w:themeColor="text1"/>
          <w:spacing w:val="20"/>
          <w:sz w:val="24"/>
        </w:rPr>
        <w:t>1</w:t>
      </w:r>
      <w:r>
        <w:rPr>
          <w:color w:val="000000" w:themeColor="text1"/>
          <w:spacing w:val="20"/>
          <w:sz w:val="24"/>
        </w:rPr>
        <w:t>类标准要求。</w:t>
      </w:r>
    </w:p>
    <w:p>
      <w:pPr>
        <w:ind w:firstLine="560" w:firstLineChars="200"/>
        <w:rPr>
          <w:color w:val="000000" w:themeColor="text1"/>
          <w:spacing w:val="20"/>
          <w:sz w:val="24"/>
        </w:rPr>
      </w:pPr>
      <w:r>
        <w:rPr>
          <w:color w:val="000000" w:themeColor="text1"/>
          <w:spacing w:val="20"/>
          <w:sz w:val="24"/>
        </w:rPr>
        <w:t>（4）固废</w:t>
      </w:r>
    </w:p>
    <w:p>
      <w:pPr>
        <w:ind w:firstLine="480" w:firstLineChars="200"/>
        <w:rPr>
          <w:color w:val="000000" w:themeColor="text1"/>
          <w:sz w:val="24"/>
        </w:rPr>
      </w:pPr>
      <w:r>
        <w:rPr>
          <w:color w:val="000000" w:themeColor="text1"/>
          <w:sz w:val="24"/>
        </w:rPr>
        <w:t>运营期项目固废处置率100%。</w:t>
      </w:r>
    </w:p>
    <w:bookmarkEnd w:id="641"/>
    <w:p>
      <w:pPr>
        <w:pStyle w:val="3"/>
        <w:adjustRightInd w:val="0"/>
        <w:snapToGrid w:val="0"/>
        <w:spacing w:before="0" w:after="0"/>
        <w:rPr>
          <w:rFonts w:ascii="Times New Roman" w:hAnsi="Times New Roman"/>
          <w:color w:val="000000" w:themeColor="text1"/>
        </w:rPr>
      </w:pPr>
      <w:bookmarkStart w:id="645" w:name="_Toc510547394"/>
      <w:bookmarkStart w:id="646" w:name="_Toc4076528"/>
      <w:r>
        <w:rPr>
          <w:rFonts w:ascii="Times New Roman" w:hAnsi="Times New Roman"/>
          <w:color w:val="000000" w:themeColor="text1"/>
        </w:rPr>
        <w:t>11.4</w:t>
      </w:r>
      <w:r>
        <w:rPr>
          <w:rFonts w:ascii="Times New Roman" w:hAnsi="Times New Roman"/>
          <w:color w:val="000000" w:themeColor="text1"/>
          <w:szCs w:val="28"/>
        </w:rPr>
        <w:t>主要环境影响</w:t>
      </w:r>
      <w:bookmarkEnd w:id="645"/>
      <w:bookmarkEnd w:id="646"/>
    </w:p>
    <w:p>
      <w:pPr>
        <w:pStyle w:val="4"/>
        <w:adjustRightInd w:val="0"/>
        <w:snapToGrid w:val="0"/>
        <w:spacing w:before="0" w:after="0" w:line="360" w:lineRule="auto"/>
        <w:rPr>
          <w:color w:val="000000" w:themeColor="text1"/>
        </w:rPr>
      </w:pPr>
      <w:bookmarkStart w:id="647" w:name="_Toc510547395"/>
      <w:r>
        <w:rPr>
          <w:color w:val="000000" w:themeColor="text1"/>
        </w:rPr>
        <w:t>11.4.1施工期</w:t>
      </w:r>
      <w:bookmarkEnd w:id="647"/>
    </w:p>
    <w:p>
      <w:pPr>
        <w:adjustRightInd w:val="0"/>
        <w:snapToGrid w:val="0"/>
        <w:ind w:firstLine="480" w:firstLineChars="200"/>
        <w:rPr>
          <w:color w:val="000000" w:themeColor="text1"/>
          <w:sz w:val="24"/>
        </w:rPr>
      </w:pPr>
      <w:r>
        <w:rPr>
          <w:color w:val="000000" w:themeColor="text1"/>
          <w:sz w:val="24"/>
        </w:rPr>
        <w:t>（1）环境空气</w:t>
      </w:r>
    </w:p>
    <w:p>
      <w:pPr>
        <w:tabs>
          <w:tab w:val="left" w:pos="1800"/>
        </w:tabs>
        <w:adjustRightInd w:val="0"/>
        <w:snapToGrid w:val="0"/>
        <w:ind w:firstLine="480" w:firstLineChars="200"/>
        <w:rPr>
          <w:color w:val="000000" w:themeColor="text1"/>
          <w:sz w:val="24"/>
        </w:rPr>
      </w:pPr>
      <w:r>
        <w:rPr>
          <w:color w:val="000000" w:themeColor="text1"/>
          <w:sz w:val="24"/>
        </w:rPr>
        <w:t>施工过程中的空气污染主要源自土方开挖、车辆运输中产生的地表扬尘，运输车辆、施工机械产生的尾气。</w:t>
      </w:r>
    </w:p>
    <w:p>
      <w:pPr>
        <w:tabs>
          <w:tab w:val="left" w:pos="1800"/>
        </w:tabs>
        <w:adjustRightInd w:val="0"/>
        <w:snapToGrid w:val="0"/>
        <w:ind w:firstLine="480" w:firstLineChars="200"/>
        <w:rPr>
          <w:color w:val="000000" w:themeColor="text1"/>
          <w:sz w:val="24"/>
        </w:rPr>
      </w:pPr>
      <w:r>
        <w:rPr>
          <w:color w:val="000000" w:themeColor="text1"/>
          <w:sz w:val="24"/>
        </w:rPr>
        <w:t>采取扬尘防治措施后，施工期扬尘对周围环境空气的影响将得到有效减缓，其影响将随着施工的结束而消失，影响不大，环境可接受。</w:t>
      </w:r>
    </w:p>
    <w:p>
      <w:pPr>
        <w:adjustRightInd w:val="0"/>
        <w:snapToGrid w:val="0"/>
        <w:ind w:firstLine="480" w:firstLineChars="200"/>
        <w:rPr>
          <w:color w:val="000000" w:themeColor="text1"/>
          <w:sz w:val="24"/>
        </w:rPr>
      </w:pPr>
      <w:bookmarkStart w:id="648" w:name="_Toc504403906"/>
      <w:bookmarkStart w:id="649" w:name="_Toc506218159"/>
      <w:bookmarkStart w:id="650" w:name="_Toc12266"/>
      <w:bookmarkStart w:id="651" w:name="_Toc502775773"/>
      <w:r>
        <w:rPr>
          <w:color w:val="000000" w:themeColor="text1"/>
          <w:sz w:val="24"/>
        </w:rPr>
        <w:t>（2）水环境</w:t>
      </w:r>
      <w:bookmarkEnd w:id="648"/>
      <w:bookmarkEnd w:id="649"/>
      <w:bookmarkEnd w:id="650"/>
      <w:bookmarkEnd w:id="651"/>
    </w:p>
    <w:p>
      <w:pPr>
        <w:tabs>
          <w:tab w:val="left" w:pos="1125"/>
        </w:tabs>
        <w:adjustRightInd w:val="0"/>
        <w:snapToGrid w:val="0"/>
        <w:ind w:firstLine="480" w:firstLineChars="200"/>
        <w:rPr>
          <w:color w:val="000000" w:themeColor="text1"/>
          <w:sz w:val="24"/>
        </w:rPr>
      </w:pPr>
      <w:r>
        <w:rPr>
          <w:color w:val="000000" w:themeColor="text1"/>
          <w:sz w:val="24"/>
        </w:rPr>
        <w:t>施工期的废水主要为施工废水、降雨径流和施工人员的生活污水。车辆清洗废水循环利用；机械清洗废水经收集沉淀后循环利用；施工场地生活污水用于洒水降尘；降雨径流经沉砂池沉淀处理后，优先用于洒水及施工用水，多余部分外排。</w:t>
      </w:r>
    </w:p>
    <w:p>
      <w:pPr>
        <w:tabs>
          <w:tab w:val="left" w:pos="1125"/>
        </w:tabs>
        <w:adjustRightInd w:val="0"/>
        <w:snapToGrid w:val="0"/>
        <w:ind w:firstLine="480" w:firstLineChars="200"/>
        <w:rPr>
          <w:color w:val="000000" w:themeColor="text1"/>
          <w:sz w:val="24"/>
        </w:rPr>
      </w:pPr>
      <w:r>
        <w:rPr>
          <w:color w:val="000000" w:themeColor="text1"/>
          <w:sz w:val="24"/>
        </w:rPr>
        <w:t>采取措施后，施工期对周围地表水环境影响小。</w:t>
      </w:r>
    </w:p>
    <w:p>
      <w:pPr>
        <w:adjustRightInd w:val="0"/>
        <w:snapToGrid w:val="0"/>
        <w:ind w:firstLine="480" w:firstLineChars="200"/>
        <w:rPr>
          <w:color w:val="000000" w:themeColor="text1"/>
          <w:sz w:val="24"/>
        </w:rPr>
      </w:pPr>
      <w:bookmarkStart w:id="652" w:name="_Toc504403907"/>
      <w:bookmarkStart w:id="653" w:name="_Toc502775774"/>
      <w:bookmarkStart w:id="654" w:name="_Toc15198"/>
      <w:bookmarkStart w:id="655" w:name="_Toc506218160"/>
      <w:r>
        <w:rPr>
          <w:color w:val="000000" w:themeColor="text1"/>
          <w:sz w:val="24"/>
        </w:rPr>
        <w:t>（3）声环境</w:t>
      </w:r>
      <w:bookmarkEnd w:id="652"/>
      <w:bookmarkEnd w:id="653"/>
      <w:bookmarkEnd w:id="654"/>
      <w:bookmarkEnd w:id="655"/>
    </w:p>
    <w:p>
      <w:pPr>
        <w:adjustRightInd w:val="0"/>
        <w:snapToGrid w:val="0"/>
        <w:ind w:firstLine="480" w:firstLineChars="200"/>
        <w:rPr>
          <w:color w:val="000000" w:themeColor="text1"/>
          <w:sz w:val="24"/>
        </w:rPr>
      </w:pPr>
      <w:r>
        <w:rPr>
          <w:color w:val="000000" w:themeColor="text1"/>
          <w:sz w:val="24"/>
        </w:rPr>
        <w:t>项目施工期主要以土建工程为主，噪声源主要为施工机械设备，施工中以土石方、基础建设和安装阶段噪声影响最为显著。采取环评中提出的措施后，可降低施工噪声对环境的影响。施工期结束后，相应的噪声污染即随之消失，不会对周围环境产生长期不良影响。</w:t>
      </w:r>
    </w:p>
    <w:p>
      <w:pPr>
        <w:adjustRightInd w:val="0"/>
        <w:snapToGrid w:val="0"/>
        <w:ind w:firstLine="480" w:firstLineChars="200"/>
        <w:rPr>
          <w:color w:val="000000" w:themeColor="text1"/>
          <w:sz w:val="24"/>
        </w:rPr>
      </w:pPr>
      <w:bookmarkStart w:id="656" w:name="_Toc12154"/>
      <w:bookmarkStart w:id="657" w:name="_Toc502775775"/>
      <w:bookmarkStart w:id="658" w:name="_Toc506218161"/>
      <w:bookmarkStart w:id="659" w:name="_Toc504403908"/>
      <w:r>
        <w:rPr>
          <w:color w:val="000000" w:themeColor="text1"/>
          <w:sz w:val="24"/>
        </w:rPr>
        <w:t>（4）固体废物</w:t>
      </w:r>
      <w:bookmarkEnd w:id="656"/>
      <w:bookmarkEnd w:id="657"/>
      <w:bookmarkEnd w:id="658"/>
      <w:bookmarkEnd w:id="659"/>
    </w:p>
    <w:p>
      <w:pPr>
        <w:ind w:firstLine="480" w:firstLineChars="200"/>
        <w:rPr>
          <w:bCs/>
          <w:color w:val="000000" w:themeColor="text1"/>
          <w:sz w:val="24"/>
        </w:rPr>
      </w:pPr>
      <w:r>
        <w:rPr>
          <w:bCs/>
          <w:color w:val="000000" w:themeColor="text1"/>
          <w:sz w:val="24"/>
        </w:rPr>
        <w:t>经工程分析，施工期固废按规定采取相关处置措施后，处置率100%，对环境影响小</w:t>
      </w:r>
      <w:r>
        <w:rPr>
          <w:color w:val="000000" w:themeColor="text1"/>
          <w:sz w:val="24"/>
        </w:rPr>
        <w:t>。</w:t>
      </w:r>
    </w:p>
    <w:p>
      <w:pPr>
        <w:pStyle w:val="4"/>
        <w:adjustRightInd w:val="0"/>
        <w:snapToGrid w:val="0"/>
        <w:spacing w:before="0" w:after="0" w:line="360" w:lineRule="auto"/>
        <w:rPr>
          <w:color w:val="000000" w:themeColor="text1"/>
        </w:rPr>
      </w:pPr>
      <w:bookmarkStart w:id="660" w:name="_Toc510547396"/>
      <w:r>
        <w:rPr>
          <w:color w:val="000000" w:themeColor="text1"/>
        </w:rPr>
        <w:t>11.4.2运营期</w:t>
      </w:r>
      <w:bookmarkEnd w:id="660"/>
    </w:p>
    <w:p>
      <w:pPr>
        <w:adjustRightInd w:val="0"/>
        <w:snapToGrid w:val="0"/>
        <w:ind w:firstLine="480" w:firstLineChars="200"/>
        <w:rPr>
          <w:color w:val="000000" w:themeColor="text1"/>
          <w:sz w:val="24"/>
        </w:rPr>
      </w:pPr>
      <w:r>
        <w:rPr>
          <w:color w:val="000000" w:themeColor="text1"/>
          <w:sz w:val="24"/>
        </w:rPr>
        <w:t>（1）环境空气</w:t>
      </w:r>
    </w:p>
    <w:p>
      <w:pPr>
        <w:ind w:firstLine="480" w:firstLineChars="200"/>
        <w:rPr>
          <w:rFonts w:eastAsia="新宋体"/>
          <w:color w:val="000000" w:themeColor="text1"/>
          <w:sz w:val="24"/>
        </w:rPr>
      </w:pPr>
      <w:r>
        <w:rPr>
          <w:bCs/>
          <w:color w:val="000000" w:themeColor="text1"/>
          <w:sz w:val="24"/>
        </w:rPr>
        <w:t>根据预测，采取措施后，项目产生的臭气对环境敏感点影响小，不会导致敏感点环境空气质量中</w:t>
      </w:r>
      <w:r>
        <w:rPr>
          <w:color w:val="000000" w:themeColor="text1"/>
          <w:sz w:val="24"/>
        </w:rPr>
        <w:t>NH</w:t>
      </w:r>
      <w:r>
        <w:rPr>
          <w:color w:val="000000" w:themeColor="text1"/>
          <w:sz w:val="24"/>
          <w:vertAlign w:val="subscript"/>
        </w:rPr>
        <w:t>3</w:t>
      </w:r>
      <w:r>
        <w:rPr>
          <w:bCs/>
          <w:color w:val="000000" w:themeColor="text1"/>
          <w:sz w:val="24"/>
        </w:rPr>
        <w:t>、</w:t>
      </w:r>
      <w:r>
        <w:rPr>
          <w:color w:val="000000" w:themeColor="text1"/>
          <w:sz w:val="24"/>
        </w:rPr>
        <w:t>H</w:t>
      </w:r>
      <w:r>
        <w:rPr>
          <w:color w:val="000000" w:themeColor="text1"/>
          <w:sz w:val="24"/>
          <w:vertAlign w:val="subscript"/>
        </w:rPr>
        <w:t>2</w:t>
      </w:r>
      <w:r>
        <w:rPr>
          <w:color w:val="000000" w:themeColor="text1"/>
          <w:sz w:val="24"/>
        </w:rPr>
        <w:t>S</w:t>
      </w:r>
      <w:r>
        <w:rPr>
          <w:bCs/>
          <w:color w:val="000000" w:themeColor="text1"/>
          <w:sz w:val="24"/>
        </w:rPr>
        <w:t>超过《工业企业设计卫生标准》（TJ36-1979）中的限值</w:t>
      </w:r>
      <w:r>
        <w:rPr>
          <w:color w:val="000000" w:themeColor="text1"/>
          <w:kern w:val="0"/>
          <w:sz w:val="24"/>
        </w:rPr>
        <w:t>。项目设置卫生防护距离为500m，卫生防护距离内无居民点分布</w:t>
      </w:r>
      <w:r>
        <w:rPr>
          <w:rFonts w:eastAsia="新宋体"/>
          <w:color w:val="000000" w:themeColor="text1"/>
          <w:sz w:val="24"/>
        </w:rPr>
        <w:t>。</w:t>
      </w:r>
    </w:p>
    <w:p>
      <w:pPr>
        <w:adjustRightInd w:val="0"/>
        <w:snapToGrid w:val="0"/>
        <w:ind w:firstLine="480" w:firstLineChars="200"/>
        <w:rPr>
          <w:color w:val="000000" w:themeColor="text1"/>
          <w:sz w:val="24"/>
        </w:rPr>
      </w:pPr>
      <w:r>
        <w:rPr>
          <w:color w:val="000000" w:themeColor="text1"/>
          <w:sz w:val="24"/>
        </w:rPr>
        <w:t>（2）地表水环境</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生活污水经项目区内隔油池处理后与猪尿、猪舍冲洗水、消毒废水一并处理，废水处理工艺拟采用预处理完全混合式厌氧反应发酵(CSTR)处理工艺，</w:t>
      </w:r>
      <w:r>
        <w:rPr>
          <w:rFonts w:hint="eastAsia"/>
          <w:color w:val="000000" w:themeColor="text1"/>
        </w:rPr>
        <w:t>一部分用于种植区施肥，剩余部分进入异位发酵车间发酵处理，实现粪污水零排放</w:t>
      </w:r>
      <w:r>
        <w:rPr>
          <w:rFonts w:ascii="Times New Roman" w:hAnsi="Times New Roman" w:cs="Times New Roman"/>
          <w:color w:val="000000" w:themeColor="text1"/>
        </w:rPr>
        <w:t>。</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（3）地下水环境</w:t>
      </w:r>
    </w:p>
    <w:p>
      <w:pPr>
        <w:pStyle w:val="132"/>
        <w:ind w:firstLine="480"/>
        <w:rPr>
          <w:rFonts w:ascii="Times New Roman" w:hAnsi="Times New Roman" w:cs="Times New Roman"/>
          <w:color w:val="000000" w:themeColor="text1"/>
        </w:rPr>
      </w:pPr>
      <w:r>
        <w:rPr>
          <w:rFonts w:ascii="Times New Roman" w:hAnsi="Times New Roman" w:cs="Times New Roman"/>
          <w:color w:val="000000" w:themeColor="text1"/>
        </w:rPr>
        <w:t>项目按照“源头控制、分区防控、污染监控、应急响应”的原则采取本报告提出的措施后，能有效避免污水污染区域地下水，对区域地下水影响小。</w:t>
      </w:r>
    </w:p>
    <w:p>
      <w:pPr>
        <w:adjustRightInd w:val="0"/>
        <w:snapToGrid w:val="0"/>
        <w:ind w:firstLine="480" w:firstLineChars="200"/>
        <w:rPr>
          <w:color w:val="000000" w:themeColor="text1"/>
          <w:sz w:val="24"/>
        </w:rPr>
      </w:pPr>
      <w:r>
        <w:rPr>
          <w:color w:val="000000" w:themeColor="text1"/>
          <w:sz w:val="24"/>
        </w:rPr>
        <w:t>（4）固体废物环境影响分析</w:t>
      </w:r>
    </w:p>
    <w:p>
      <w:pPr>
        <w:adjustRightInd w:val="0"/>
        <w:snapToGrid w:val="0"/>
        <w:ind w:firstLine="480" w:firstLineChars="200"/>
        <w:rPr>
          <w:color w:val="000000" w:themeColor="text1"/>
          <w:sz w:val="24"/>
        </w:rPr>
      </w:pPr>
      <w:r>
        <w:rPr>
          <w:color w:val="000000" w:themeColor="text1"/>
          <w:sz w:val="24"/>
        </w:rPr>
        <w:t>经工程分析，建设项目运营期内固废按规定采取相关处置措施后，处置率100%，对环境影响小。</w:t>
      </w:r>
    </w:p>
    <w:p>
      <w:pPr>
        <w:adjustRightInd w:val="0"/>
        <w:snapToGrid w:val="0"/>
        <w:ind w:firstLine="480" w:firstLineChars="200"/>
        <w:rPr>
          <w:color w:val="000000" w:themeColor="text1"/>
          <w:sz w:val="24"/>
        </w:rPr>
      </w:pPr>
      <w:r>
        <w:rPr>
          <w:color w:val="000000" w:themeColor="text1"/>
          <w:sz w:val="24"/>
        </w:rPr>
        <w:t>（5）噪声环境影响评价</w:t>
      </w:r>
    </w:p>
    <w:p>
      <w:pPr>
        <w:adjustRightInd w:val="0"/>
        <w:ind w:firstLine="480" w:firstLineChars="200"/>
        <w:rPr>
          <w:color w:val="000000" w:themeColor="text1"/>
          <w:sz w:val="24"/>
        </w:rPr>
      </w:pPr>
      <w:r>
        <w:rPr>
          <w:color w:val="000000" w:themeColor="text1"/>
          <w:sz w:val="24"/>
        </w:rPr>
        <w:t>预测结果表明，项目场界噪声昼间夜间噪声，均能达到《工业企业厂界环境噪声排放标准》（GB12348-2008）</w:t>
      </w:r>
      <w:r>
        <w:rPr>
          <w:rFonts w:hint="eastAsia"/>
          <w:color w:val="000000" w:themeColor="text1"/>
          <w:sz w:val="24"/>
        </w:rPr>
        <w:t>1</w:t>
      </w:r>
      <w:r>
        <w:rPr>
          <w:color w:val="000000" w:themeColor="text1"/>
          <w:sz w:val="24"/>
        </w:rPr>
        <w:t>类标准。</w:t>
      </w:r>
    </w:p>
    <w:p>
      <w:pPr>
        <w:adjustRightInd w:val="0"/>
        <w:ind w:firstLine="480" w:firstLineChars="200"/>
        <w:rPr>
          <w:color w:val="000000" w:themeColor="text1"/>
          <w:sz w:val="24"/>
        </w:rPr>
      </w:pPr>
      <w:r>
        <w:rPr>
          <w:color w:val="000000" w:themeColor="text1"/>
          <w:sz w:val="24"/>
        </w:rPr>
        <w:t>（6）环境风险</w:t>
      </w:r>
    </w:p>
    <w:p>
      <w:pPr>
        <w:adjustRightInd w:val="0"/>
        <w:ind w:firstLine="480" w:firstLineChars="200"/>
        <w:rPr>
          <w:color w:val="000000" w:themeColor="text1"/>
          <w:sz w:val="24"/>
        </w:rPr>
      </w:pPr>
      <w:r>
        <w:rPr>
          <w:color w:val="000000" w:themeColor="text1"/>
          <w:sz w:val="24"/>
        </w:rPr>
        <w:t>本项目环境风险主要表现在沼气发生泄漏引起爆炸</w:t>
      </w:r>
      <w:r>
        <w:rPr>
          <w:rFonts w:hint="eastAsia"/>
          <w:color w:val="000000" w:themeColor="text1"/>
          <w:sz w:val="24"/>
        </w:rPr>
        <w:t>、</w:t>
      </w:r>
      <w:r>
        <w:rPr>
          <w:color w:val="000000" w:themeColor="text1"/>
          <w:sz w:val="24"/>
        </w:rPr>
        <w:t>污水处理设施运行过程风险分析</w:t>
      </w:r>
      <w:r>
        <w:rPr>
          <w:rFonts w:hint="eastAsia"/>
          <w:color w:val="000000" w:themeColor="text1"/>
          <w:sz w:val="24"/>
        </w:rPr>
        <w:t>以及疫情风险</w:t>
      </w:r>
      <w:r>
        <w:rPr>
          <w:color w:val="000000" w:themeColor="text1"/>
          <w:sz w:val="24"/>
        </w:rPr>
        <w:t>。在严格落实本次环评提出的各项风险防范措施后，该项目发生风险事故的可能进一步降低，其潜在的环境风险是可以接受的。</w:t>
      </w:r>
    </w:p>
    <w:p>
      <w:pPr>
        <w:pStyle w:val="3"/>
        <w:adjustRightInd w:val="0"/>
        <w:snapToGrid w:val="0"/>
        <w:spacing w:before="0" w:after="0"/>
        <w:rPr>
          <w:rFonts w:ascii="Times New Roman" w:hAnsi="Times New Roman"/>
          <w:color w:val="000000" w:themeColor="text1"/>
        </w:rPr>
      </w:pPr>
      <w:bookmarkStart w:id="661" w:name="_Toc510547397"/>
      <w:bookmarkStart w:id="662" w:name="_Toc4076529"/>
      <w:bookmarkStart w:id="663" w:name="_Toc402186432"/>
      <w:r>
        <w:rPr>
          <w:rFonts w:ascii="Times New Roman" w:hAnsi="Times New Roman"/>
          <w:color w:val="000000" w:themeColor="text1"/>
        </w:rPr>
        <w:t>11.5</w:t>
      </w:r>
      <w:bookmarkEnd w:id="661"/>
      <w:r>
        <w:rPr>
          <w:rFonts w:ascii="Times New Roman" w:hAnsi="Times New Roman"/>
          <w:color w:val="000000" w:themeColor="text1"/>
        </w:rPr>
        <w:t>公众意见采纳情况</w:t>
      </w:r>
      <w:bookmarkEnd w:id="662"/>
    </w:p>
    <w:p>
      <w:pPr>
        <w:ind w:firstLine="480" w:firstLineChars="200"/>
        <w:rPr>
          <w:color w:val="000000" w:themeColor="text1"/>
          <w:sz w:val="24"/>
        </w:rPr>
      </w:pPr>
      <w:r>
        <w:rPr>
          <w:color w:val="000000" w:themeColor="text1"/>
          <w:sz w:val="24"/>
        </w:rPr>
        <w:t>建设单位于201</w:t>
      </w:r>
      <w:r>
        <w:rPr>
          <w:rFonts w:hint="eastAsia"/>
          <w:color w:val="000000" w:themeColor="text1"/>
          <w:sz w:val="24"/>
        </w:rPr>
        <w:t>8</w:t>
      </w:r>
      <w:r>
        <w:rPr>
          <w:color w:val="000000" w:themeColor="text1"/>
          <w:sz w:val="24"/>
        </w:rPr>
        <w:t>年</w:t>
      </w:r>
      <w:r>
        <w:rPr>
          <w:rFonts w:hint="eastAsia"/>
          <w:color w:val="000000" w:themeColor="text1"/>
          <w:sz w:val="24"/>
        </w:rPr>
        <w:t>9</w:t>
      </w:r>
      <w:r>
        <w:rPr>
          <w:color w:val="000000" w:themeColor="text1"/>
          <w:sz w:val="24"/>
        </w:rPr>
        <w:t>月</w:t>
      </w:r>
      <w:r>
        <w:rPr>
          <w:rFonts w:hint="eastAsia"/>
          <w:color w:val="000000" w:themeColor="text1"/>
          <w:sz w:val="24"/>
        </w:rPr>
        <w:t>7</w:t>
      </w:r>
      <w:r>
        <w:rPr>
          <w:color w:val="000000" w:themeColor="text1"/>
          <w:sz w:val="24"/>
        </w:rPr>
        <w:t>日~9月</w:t>
      </w:r>
      <w:r>
        <w:rPr>
          <w:rFonts w:hint="eastAsia"/>
          <w:color w:val="000000" w:themeColor="text1"/>
          <w:sz w:val="24"/>
        </w:rPr>
        <w:t>17</w:t>
      </w:r>
      <w:r>
        <w:rPr>
          <w:color w:val="000000" w:themeColor="text1"/>
          <w:sz w:val="24"/>
        </w:rPr>
        <w:t>日、201</w:t>
      </w:r>
      <w:r>
        <w:rPr>
          <w:rFonts w:hint="eastAsia"/>
          <w:color w:val="000000" w:themeColor="text1"/>
          <w:sz w:val="24"/>
        </w:rPr>
        <w:t>8</w:t>
      </w:r>
      <w:r>
        <w:rPr>
          <w:color w:val="000000" w:themeColor="text1"/>
          <w:sz w:val="24"/>
        </w:rPr>
        <w:t>年1</w:t>
      </w:r>
      <w:r>
        <w:rPr>
          <w:rFonts w:hint="eastAsia"/>
          <w:color w:val="000000" w:themeColor="text1"/>
          <w:sz w:val="24"/>
        </w:rPr>
        <w:t>0</w:t>
      </w:r>
      <w:r>
        <w:rPr>
          <w:color w:val="000000" w:themeColor="text1"/>
          <w:sz w:val="24"/>
        </w:rPr>
        <w:t>月</w:t>
      </w:r>
      <w:r>
        <w:rPr>
          <w:rFonts w:hint="eastAsia"/>
          <w:color w:val="000000" w:themeColor="text1"/>
          <w:sz w:val="24"/>
        </w:rPr>
        <w:t>16</w:t>
      </w:r>
      <w:r>
        <w:rPr>
          <w:color w:val="000000" w:themeColor="text1"/>
          <w:sz w:val="24"/>
        </w:rPr>
        <w:t>日</w:t>
      </w:r>
      <w:r>
        <w:rPr>
          <w:rFonts w:hint="eastAsia"/>
          <w:color w:val="000000" w:themeColor="text1"/>
          <w:sz w:val="24"/>
        </w:rPr>
        <w:t>~</w:t>
      </w:r>
      <w:r>
        <w:rPr>
          <w:color w:val="000000" w:themeColor="text1"/>
          <w:sz w:val="24"/>
        </w:rPr>
        <w:t>1</w:t>
      </w:r>
      <w:r>
        <w:rPr>
          <w:rFonts w:hint="eastAsia"/>
          <w:color w:val="000000" w:themeColor="text1"/>
          <w:sz w:val="24"/>
        </w:rPr>
        <w:t>0</w:t>
      </w:r>
      <w:r>
        <w:rPr>
          <w:color w:val="000000" w:themeColor="text1"/>
          <w:sz w:val="24"/>
        </w:rPr>
        <w:t>月</w:t>
      </w:r>
      <w:r>
        <w:rPr>
          <w:rFonts w:hint="eastAsia"/>
          <w:color w:val="000000" w:themeColor="text1"/>
          <w:sz w:val="24"/>
        </w:rPr>
        <w:t>26</w:t>
      </w:r>
      <w:r>
        <w:rPr>
          <w:color w:val="000000" w:themeColor="text1"/>
          <w:sz w:val="24"/>
        </w:rPr>
        <w:t>日进行两次公示，公示期间未收到反馈意见。建设单位对周边居民、团体进行公众参与调查，发放个人调查表</w:t>
      </w:r>
      <w:r>
        <w:rPr>
          <w:rFonts w:hint="eastAsia"/>
          <w:color w:val="000000" w:themeColor="text1"/>
          <w:sz w:val="24"/>
        </w:rPr>
        <w:t>4</w:t>
      </w:r>
      <w:r>
        <w:rPr>
          <w:color w:val="000000" w:themeColor="text1"/>
          <w:sz w:val="24"/>
        </w:rPr>
        <w:t>0份、团体调查表</w:t>
      </w:r>
      <w:r>
        <w:rPr>
          <w:rFonts w:hint="eastAsia"/>
          <w:color w:val="000000" w:themeColor="text1"/>
          <w:sz w:val="24"/>
        </w:rPr>
        <w:t>2</w:t>
      </w:r>
      <w:r>
        <w:rPr>
          <w:color w:val="000000" w:themeColor="text1"/>
          <w:sz w:val="24"/>
        </w:rPr>
        <w:t>份，无反对意见。</w:t>
      </w:r>
    </w:p>
    <w:p>
      <w:pPr>
        <w:pStyle w:val="3"/>
        <w:adjustRightInd w:val="0"/>
        <w:snapToGrid w:val="0"/>
        <w:spacing w:before="0" w:after="0"/>
        <w:rPr>
          <w:rFonts w:ascii="Times New Roman" w:hAnsi="Times New Roman"/>
          <w:color w:val="000000" w:themeColor="text1"/>
        </w:rPr>
      </w:pPr>
      <w:bookmarkStart w:id="664" w:name="_Toc4076530"/>
      <w:r>
        <w:rPr>
          <w:rFonts w:ascii="Times New Roman" w:hAnsi="Times New Roman"/>
          <w:color w:val="000000" w:themeColor="text1"/>
        </w:rPr>
        <w:t>11.6环境保护措施</w:t>
      </w:r>
      <w:bookmarkEnd w:id="664"/>
    </w:p>
    <w:p>
      <w:pPr>
        <w:ind w:firstLine="460" w:firstLineChars="192"/>
        <w:rPr>
          <w:bCs/>
          <w:color w:val="000000" w:themeColor="text1"/>
          <w:sz w:val="24"/>
        </w:rPr>
      </w:pPr>
      <w:r>
        <w:rPr>
          <w:color w:val="000000" w:themeColor="text1"/>
          <w:sz w:val="24"/>
        </w:rPr>
        <w:t>项目环境保护措施主要包括污水治理、废气治理、固废处置等。</w:t>
      </w:r>
      <w:r>
        <w:rPr>
          <w:bCs/>
          <w:color w:val="000000" w:themeColor="text1"/>
          <w:sz w:val="24"/>
        </w:rPr>
        <w:t>项目采取的各项污染防治措施技术成熟可靠、操作简便、经济可行，能满足污染物防治要求。</w:t>
      </w:r>
    </w:p>
    <w:p>
      <w:pPr>
        <w:pStyle w:val="3"/>
        <w:adjustRightInd w:val="0"/>
        <w:snapToGrid w:val="0"/>
        <w:spacing w:before="0" w:after="0"/>
        <w:rPr>
          <w:rFonts w:ascii="Times New Roman" w:hAnsi="Times New Roman"/>
          <w:color w:val="000000" w:themeColor="text1"/>
        </w:rPr>
      </w:pPr>
      <w:bookmarkStart w:id="665" w:name="_Toc4076531"/>
      <w:r>
        <w:rPr>
          <w:rFonts w:ascii="Times New Roman" w:hAnsi="Times New Roman"/>
          <w:color w:val="000000" w:themeColor="text1"/>
        </w:rPr>
        <w:t>11.7环境影响经济损益分析</w:t>
      </w:r>
      <w:bookmarkEnd w:id="665"/>
    </w:p>
    <w:p>
      <w:pPr>
        <w:ind w:firstLine="480" w:firstLineChars="200"/>
        <w:rPr>
          <w:color w:val="000000" w:themeColor="text1"/>
          <w:sz w:val="24"/>
        </w:rPr>
      </w:pPr>
      <w:r>
        <w:rPr>
          <w:color w:val="000000" w:themeColor="text1"/>
          <w:sz w:val="24"/>
        </w:rPr>
        <w:t>本项目总投资为</w:t>
      </w:r>
      <w:r>
        <w:rPr>
          <w:rFonts w:hint="eastAsia"/>
          <w:color w:val="000000" w:themeColor="text1"/>
          <w:sz w:val="24"/>
        </w:rPr>
        <w:t>50</w:t>
      </w:r>
      <w:r>
        <w:rPr>
          <w:color w:val="000000" w:themeColor="text1"/>
          <w:sz w:val="24"/>
        </w:rPr>
        <w:t>00万元，其中环保投资估算为</w:t>
      </w:r>
      <w:r>
        <w:rPr>
          <w:rFonts w:hint="eastAsia"/>
          <w:color w:val="000000" w:themeColor="text1"/>
          <w:sz w:val="24"/>
        </w:rPr>
        <w:t>984.1</w:t>
      </w:r>
      <w:r>
        <w:rPr>
          <w:color w:val="000000" w:themeColor="text1"/>
          <w:sz w:val="24"/>
        </w:rPr>
        <w:t>万元（环保投资已列入工程总投资预备费中，不新增总投资），环保投资占总投资的</w:t>
      </w:r>
      <w:r>
        <w:rPr>
          <w:rFonts w:hint="eastAsia"/>
          <w:color w:val="000000" w:themeColor="text1"/>
          <w:sz w:val="24"/>
        </w:rPr>
        <w:t>19.68</w:t>
      </w:r>
      <w:r>
        <w:rPr>
          <w:color w:val="000000" w:themeColor="text1"/>
          <w:sz w:val="24"/>
        </w:rPr>
        <w:t>%。</w:t>
      </w:r>
    </w:p>
    <w:p>
      <w:pPr>
        <w:ind w:firstLine="480" w:firstLineChars="200"/>
        <w:rPr>
          <w:color w:val="000000" w:themeColor="text1"/>
          <w:sz w:val="24"/>
        </w:rPr>
      </w:pPr>
      <w:r>
        <w:rPr>
          <w:color w:val="000000" w:themeColor="text1"/>
          <w:sz w:val="24"/>
        </w:rPr>
        <w:t>项目经济效益好，社会效益显著，是符合国情、省情的项目，在采取本环评提出的环境保护措施后，可以有效减小项目对环境的不利影响。最终实现社会效益、经济效益、环境效益的统一。</w:t>
      </w:r>
    </w:p>
    <w:p>
      <w:pPr>
        <w:pStyle w:val="3"/>
        <w:adjustRightInd w:val="0"/>
        <w:snapToGrid w:val="0"/>
        <w:spacing w:before="0" w:after="0"/>
        <w:rPr>
          <w:rFonts w:ascii="Times New Roman" w:hAnsi="Times New Roman"/>
          <w:color w:val="000000" w:themeColor="text1"/>
        </w:rPr>
      </w:pPr>
      <w:bookmarkStart w:id="666" w:name="_Toc4076532"/>
      <w:r>
        <w:rPr>
          <w:rFonts w:ascii="Times New Roman" w:hAnsi="Times New Roman"/>
          <w:color w:val="000000" w:themeColor="text1"/>
        </w:rPr>
        <w:t>11.8环境管理与监测计划</w:t>
      </w:r>
      <w:bookmarkEnd w:id="666"/>
    </w:p>
    <w:p>
      <w:pPr>
        <w:ind w:firstLine="480" w:firstLineChars="200"/>
        <w:rPr>
          <w:color w:val="000000" w:themeColor="text1"/>
          <w:sz w:val="24"/>
        </w:rPr>
      </w:pPr>
      <w:r>
        <w:rPr>
          <w:color w:val="000000" w:themeColor="text1"/>
          <w:sz w:val="24"/>
        </w:rPr>
        <w:t>项目施工期及运营期严格按照环境管理要求进行建设及运营，可及时发现及解决环境问题，确保各项环保措施正常运行。项目实施环境监测计划，可掌握项目运营对周围环境造成的影响程度，为环保设施的运行、改进提供依据。</w:t>
      </w:r>
    </w:p>
    <w:bookmarkEnd w:id="663"/>
    <w:p>
      <w:pPr>
        <w:pStyle w:val="3"/>
        <w:adjustRightInd w:val="0"/>
        <w:snapToGrid w:val="0"/>
        <w:spacing w:before="0" w:after="0"/>
        <w:rPr>
          <w:rFonts w:ascii="Times New Roman" w:hAnsi="Times New Roman"/>
          <w:color w:val="000000" w:themeColor="text1"/>
        </w:rPr>
      </w:pPr>
      <w:bookmarkStart w:id="667" w:name="_Toc510547398"/>
      <w:bookmarkStart w:id="668" w:name="_Toc4076533"/>
      <w:bookmarkStart w:id="669" w:name="_Toc402186436"/>
      <w:r>
        <w:rPr>
          <w:rFonts w:ascii="Times New Roman" w:hAnsi="Times New Roman"/>
          <w:color w:val="000000" w:themeColor="text1"/>
        </w:rPr>
        <w:t>11.9总结论</w:t>
      </w:r>
      <w:bookmarkEnd w:id="667"/>
      <w:bookmarkEnd w:id="668"/>
      <w:bookmarkEnd w:id="669"/>
    </w:p>
    <w:p>
      <w:pPr>
        <w:adjustRightInd w:val="0"/>
        <w:snapToGrid w:val="0"/>
        <w:ind w:firstLine="480" w:firstLineChars="200"/>
        <w:textAlignment w:val="baseline"/>
        <w:rPr>
          <w:color w:val="000000" w:themeColor="text1"/>
          <w:sz w:val="24"/>
        </w:rPr>
      </w:pPr>
      <w:r>
        <w:rPr>
          <w:color w:val="000000" w:themeColor="text1"/>
          <w:sz w:val="24"/>
        </w:rPr>
        <w:t>项目的建设符合国家产业政策，项目建设符合国家的环保政策和相关法律、法规；符合区域功能区划；符合不降低当地环境功能；符合达标排放、总量控制要求。</w:t>
      </w:r>
    </w:p>
    <w:p>
      <w:pPr>
        <w:autoSpaceDE w:val="0"/>
        <w:autoSpaceDN w:val="0"/>
        <w:adjustRightInd w:val="0"/>
        <w:ind w:firstLine="480" w:firstLineChars="200"/>
        <w:jc w:val="left"/>
        <w:rPr>
          <w:color w:val="000000" w:themeColor="text1"/>
          <w:sz w:val="24"/>
        </w:rPr>
      </w:pPr>
      <w:r>
        <w:rPr>
          <w:color w:val="000000" w:themeColor="text1"/>
          <w:sz w:val="24"/>
        </w:rPr>
        <w:t>项目在采用实施本评价所提出的所有污染治理对策措施后，从环境影响角度评价是可行的。</w:t>
      </w:r>
    </w:p>
    <w:p>
      <w:pPr>
        <w:pStyle w:val="12"/>
        <w:ind w:firstLine="480" w:firstLineChars="200"/>
        <w:jc w:val="both"/>
        <w:rPr>
          <w:color w:val="000000" w:themeColor="text1"/>
          <w:sz w:val="24"/>
        </w:rPr>
      </w:pPr>
    </w:p>
    <w:bookmarkEnd w:id="635"/>
    <w:bookmarkEnd w:id="636"/>
    <w:p>
      <w:pPr>
        <w:adjustRightInd w:val="0"/>
        <w:snapToGrid w:val="0"/>
        <w:ind w:firstLine="480" w:firstLineChars="200"/>
        <w:rPr>
          <w:color w:val="000000" w:themeColor="text1"/>
          <w:sz w:val="24"/>
        </w:rPr>
      </w:pPr>
    </w:p>
    <w:p>
      <w:pPr>
        <w:adjustRightInd w:val="0"/>
        <w:snapToGrid w:val="0"/>
        <w:rPr>
          <w:color w:val="000000" w:themeColor="text1"/>
          <w:sz w:val="24"/>
        </w:rPr>
      </w:pPr>
    </w:p>
    <w:p>
      <w:pPr>
        <w:rPr>
          <w:color w:val="000000" w:themeColor="text1"/>
        </w:rPr>
      </w:pPr>
    </w:p>
    <w:sectPr>
      <w:pgSz w:w="11906" w:h="16838"/>
      <w:pgMar w:top="1440" w:right="1797" w:bottom="1440"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roma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Adobe 黑体 Std R">
    <w:altName w:val="黑体"/>
    <w:panose1 w:val="00000000000000000000"/>
    <w:charset w:val="86"/>
    <w:family w:val="swiss"/>
    <w:pitch w:val="default"/>
    <w:sig w:usb0="00000000" w:usb1="00000000" w:usb2="00000010" w:usb3="00000000" w:csb0="00060007"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8"/>
      </w:rPr>
    </w:pPr>
    <w:r>
      <w:fldChar w:fldCharType="begin"/>
    </w:r>
    <w:r>
      <w:rPr>
        <w:rStyle w:val="48"/>
      </w:rPr>
      <w:instrText xml:space="preserve">PAGE  </w:instrText>
    </w:r>
    <w:r>
      <w:fldChar w:fldCharType="separate"/>
    </w:r>
    <w:r>
      <w:rPr>
        <w:rStyle w:val="48"/>
      </w:rPr>
      <w:t>4</w:t>
    </w:r>
    <w:r>
      <w:fldChar w:fldCharType="end"/>
    </w: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8"/>
      </w:rPr>
    </w:pPr>
    <w:r>
      <w:fldChar w:fldCharType="begin"/>
    </w:r>
    <w:r>
      <w:rPr>
        <w:rStyle w:val="48"/>
      </w:rPr>
      <w:instrText xml:space="preserve">PAGE  </w:instrText>
    </w:r>
    <w: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8"/>
      </w:rPr>
    </w:pPr>
    <w:r>
      <w:fldChar w:fldCharType="begin"/>
    </w:r>
    <w:r>
      <w:rPr>
        <w:rStyle w:val="48"/>
      </w:rPr>
      <w:instrText xml:space="preserve">PAGE  </w:instrText>
    </w:r>
    <w:r>
      <w:fldChar w:fldCharType="separate"/>
    </w:r>
    <w:r>
      <w:rPr>
        <w:rStyle w:val="48"/>
      </w:rPr>
      <w:t>67</w:t>
    </w:r>
    <w:r>
      <w:fldChar w:fldCharType="end"/>
    </w:r>
  </w:p>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8"/>
      </w:rPr>
    </w:pPr>
    <w:r>
      <w:fldChar w:fldCharType="begin"/>
    </w:r>
    <w:r>
      <w:rPr>
        <w:rStyle w:val="48"/>
      </w:rPr>
      <w:instrText xml:space="preserve">PAGE  </w:instrText>
    </w:r>
    <w:r>
      <w:fldChar w:fldCharType="end"/>
    </w:r>
  </w:p>
  <w:p>
    <w:pPr>
      <w:pStyle w:val="2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szCs w:val="21"/>
      </w:rPr>
    </w:pPr>
    <w:r>
      <w:rPr>
        <w:rFonts w:hint="eastAsia"/>
        <w:sz w:val="21"/>
        <w:szCs w:val="21"/>
      </w:rPr>
      <w:t>新平生猪及子猪标准化规模养殖小区一期建设项目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szCs w:val="21"/>
      </w:rPr>
    </w:pPr>
    <w:r>
      <w:rPr>
        <w:rFonts w:hint="eastAsia"/>
        <w:sz w:val="21"/>
        <w:szCs w:val="21"/>
      </w:rPr>
      <w:t>新平生猪及子猪标准化规模养殖小区一期建设项目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JhZTdhNWEwNzMxYjc1ODYzMmU3MTUyYmU0OWFhYmUifQ=="/>
  </w:docVars>
  <w:rsids>
    <w:rsidRoot w:val="00933D4B"/>
    <w:rsid w:val="00002D12"/>
    <w:rsid w:val="00006FA4"/>
    <w:rsid w:val="00010180"/>
    <w:rsid w:val="00010D84"/>
    <w:rsid w:val="00011D94"/>
    <w:rsid w:val="00012BF1"/>
    <w:rsid w:val="0001357F"/>
    <w:rsid w:val="00024290"/>
    <w:rsid w:val="00027E10"/>
    <w:rsid w:val="00032644"/>
    <w:rsid w:val="00032CFD"/>
    <w:rsid w:val="00041966"/>
    <w:rsid w:val="00042115"/>
    <w:rsid w:val="000465DC"/>
    <w:rsid w:val="00050F2F"/>
    <w:rsid w:val="00051762"/>
    <w:rsid w:val="000523BA"/>
    <w:rsid w:val="00053587"/>
    <w:rsid w:val="0005504B"/>
    <w:rsid w:val="00060FC6"/>
    <w:rsid w:val="000741C4"/>
    <w:rsid w:val="0008006C"/>
    <w:rsid w:val="00080A30"/>
    <w:rsid w:val="00087AAD"/>
    <w:rsid w:val="000A1D68"/>
    <w:rsid w:val="000A4D14"/>
    <w:rsid w:val="000A68CA"/>
    <w:rsid w:val="000B0127"/>
    <w:rsid w:val="000B56F7"/>
    <w:rsid w:val="000B6FAF"/>
    <w:rsid w:val="000C0A11"/>
    <w:rsid w:val="000C57DF"/>
    <w:rsid w:val="000C7817"/>
    <w:rsid w:val="000D0087"/>
    <w:rsid w:val="000D08B3"/>
    <w:rsid w:val="000D2A6B"/>
    <w:rsid w:val="000D4CE5"/>
    <w:rsid w:val="000D6C4C"/>
    <w:rsid w:val="000E65B6"/>
    <w:rsid w:val="000F293C"/>
    <w:rsid w:val="000F29D6"/>
    <w:rsid w:val="00102FEA"/>
    <w:rsid w:val="00103873"/>
    <w:rsid w:val="00106227"/>
    <w:rsid w:val="00106443"/>
    <w:rsid w:val="0010773A"/>
    <w:rsid w:val="00111EA2"/>
    <w:rsid w:val="0011469C"/>
    <w:rsid w:val="00120B11"/>
    <w:rsid w:val="00121382"/>
    <w:rsid w:val="00121A14"/>
    <w:rsid w:val="0012238E"/>
    <w:rsid w:val="001230F4"/>
    <w:rsid w:val="00135D77"/>
    <w:rsid w:val="00137C72"/>
    <w:rsid w:val="00145FCC"/>
    <w:rsid w:val="001532A0"/>
    <w:rsid w:val="001658DB"/>
    <w:rsid w:val="001738AE"/>
    <w:rsid w:val="00173CF0"/>
    <w:rsid w:val="001743CD"/>
    <w:rsid w:val="0017673E"/>
    <w:rsid w:val="00177007"/>
    <w:rsid w:val="00177DBB"/>
    <w:rsid w:val="00185E1C"/>
    <w:rsid w:val="001861E1"/>
    <w:rsid w:val="001863F4"/>
    <w:rsid w:val="00187923"/>
    <w:rsid w:val="001A0072"/>
    <w:rsid w:val="001A3A9D"/>
    <w:rsid w:val="001A3F73"/>
    <w:rsid w:val="001A66DB"/>
    <w:rsid w:val="001B43EF"/>
    <w:rsid w:val="001D6A72"/>
    <w:rsid w:val="001D7D3C"/>
    <w:rsid w:val="001E3808"/>
    <w:rsid w:val="001E3BFE"/>
    <w:rsid w:val="001F2782"/>
    <w:rsid w:val="001F3B64"/>
    <w:rsid w:val="00200152"/>
    <w:rsid w:val="00200462"/>
    <w:rsid w:val="00205936"/>
    <w:rsid w:val="002175BC"/>
    <w:rsid w:val="002257D9"/>
    <w:rsid w:val="00226BAC"/>
    <w:rsid w:val="00230302"/>
    <w:rsid w:val="00240451"/>
    <w:rsid w:val="00251F41"/>
    <w:rsid w:val="00256A2E"/>
    <w:rsid w:val="002611A2"/>
    <w:rsid w:val="002630D4"/>
    <w:rsid w:val="0026445D"/>
    <w:rsid w:val="00265B4B"/>
    <w:rsid w:val="00270D9C"/>
    <w:rsid w:val="00271879"/>
    <w:rsid w:val="00272CDA"/>
    <w:rsid w:val="00272EF1"/>
    <w:rsid w:val="00276482"/>
    <w:rsid w:val="002832EF"/>
    <w:rsid w:val="002873EB"/>
    <w:rsid w:val="002A0ACB"/>
    <w:rsid w:val="002A57B3"/>
    <w:rsid w:val="002A701A"/>
    <w:rsid w:val="002B7219"/>
    <w:rsid w:val="002C2BE7"/>
    <w:rsid w:val="002C359B"/>
    <w:rsid w:val="002C41D4"/>
    <w:rsid w:val="002C4765"/>
    <w:rsid w:val="002C57C2"/>
    <w:rsid w:val="002D13A9"/>
    <w:rsid w:val="002D6554"/>
    <w:rsid w:val="002E3037"/>
    <w:rsid w:val="002E5963"/>
    <w:rsid w:val="002E7C18"/>
    <w:rsid w:val="002F04B1"/>
    <w:rsid w:val="002F16A6"/>
    <w:rsid w:val="002F3309"/>
    <w:rsid w:val="00305E5D"/>
    <w:rsid w:val="00322140"/>
    <w:rsid w:val="00323779"/>
    <w:rsid w:val="0033089A"/>
    <w:rsid w:val="0034065C"/>
    <w:rsid w:val="003479B8"/>
    <w:rsid w:val="00351DEB"/>
    <w:rsid w:val="00355A8A"/>
    <w:rsid w:val="0037064E"/>
    <w:rsid w:val="00377A61"/>
    <w:rsid w:val="003809B0"/>
    <w:rsid w:val="003827AF"/>
    <w:rsid w:val="003849EE"/>
    <w:rsid w:val="00386071"/>
    <w:rsid w:val="003870D4"/>
    <w:rsid w:val="003911A3"/>
    <w:rsid w:val="00391716"/>
    <w:rsid w:val="00396793"/>
    <w:rsid w:val="003A40AE"/>
    <w:rsid w:val="003B3221"/>
    <w:rsid w:val="003C1226"/>
    <w:rsid w:val="003C7441"/>
    <w:rsid w:val="003D230A"/>
    <w:rsid w:val="003D34C1"/>
    <w:rsid w:val="003E3D6D"/>
    <w:rsid w:val="003E47F2"/>
    <w:rsid w:val="003F23D3"/>
    <w:rsid w:val="003F4A5E"/>
    <w:rsid w:val="003F6EC5"/>
    <w:rsid w:val="00406465"/>
    <w:rsid w:val="0040794A"/>
    <w:rsid w:val="00420073"/>
    <w:rsid w:val="00422965"/>
    <w:rsid w:val="004254E5"/>
    <w:rsid w:val="00425AEE"/>
    <w:rsid w:val="004310A7"/>
    <w:rsid w:val="00432FCB"/>
    <w:rsid w:val="00433ABF"/>
    <w:rsid w:val="00437E4C"/>
    <w:rsid w:val="00442115"/>
    <w:rsid w:val="00443408"/>
    <w:rsid w:val="00456F7A"/>
    <w:rsid w:val="00460BCF"/>
    <w:rsid w:val="0046225E"/>
    <w:rsid w:val="00477D87"/>
    <w:rsid w:val="00484FEE"/>
    <w:rsid w:val="00496AB5"/>
    <w:rsid w:val="00497E84"/>
    <w:rsid w:val="004A0A1B"/>
    <w:rsid w:val="004A4401"/>
    <w:rsid w:val="004A557F"/>
    <w:rsid w:val="004A7E33"/>
    <w:rsid w:val="004B5676"/>
    <w:rsid w:val="004B6F54"/>
    <w:rsid w:val="004C0137"/>
    <w:rsid w:val="004D0C11"/>
    <w:rsid w:val="004D2D86"/>
    <w:rsid w:val="004E4E45"/>
    <w:rsid w:val="004E722D"/>
    <w:rsid w:val="004F72CB"/>
    <w:rsid w:val="005023D8"/>
    <w:rsid w:val="00504526"/>
    <w:rsid w:val="0051394E"/>
    <w:rsid w:val="00515785"/>
    <w:rsid w:val="005205EB"/>
    <w:rsid w:val="00527281"/>
    <w:rsid w:val="005408FE"/>
    <w:rsid w:val="0054308B"/>
    <w:rsid w:val="005479BD"/>
    <w:rsid w:val="00553D78"/>
    <w:rsid w:val="00554438"/>
    <w:rsid w:val="00554D5E"/>
    <w:rsid w:val="00562141"/>
    <w:rsid w:val="00582071"/>
    <w:rsid w:val="0059017F"/>
    <w:rsid w:val="00591EB8"/>
    <w:rsid w:val="005A063E"/>
    <w:rsid w:val="005A1625"/>
    <w:rsid w:val="005A1EB7"/>
    <w:rsid w:val="005A1F2B"/>
    <w:rsid w:val="005A34AC"/>
    <w:rsid w:val="005A3842"/>
    <w:rsid w:val="005A4F1A"/>
    <w:rsid w:val="005C2492"/>
    <w:rsid w:val="005C38AD"/>
    <w:rsid w:val="005C399A"/>
    <w:rsid w:val="005C6A69"/>
    <w:rsid w:val="005D0CD6"/>
    <w:rsid w:val="005E796B"/>
    <w:rsid w:val="005F2B0D"/>
    <w:rsid w:val="005F54D7"/>
    <w:rsid w:val="005F65CC"/>
    <w:rsid w:val="0060072B"/>
    <w:rsid w:val="0060503A"/>
    <w:rsid w:val="006105CD"/>
    <w:rsid w:val="00614134"/>
    <w:rsid w:val="006215A0"/>
    <w:rsid w:val="00621D66"/>
    <w:rsid w:val="0062263F"/>
    <w:rsid w:val="0062394E"/>
    <w:rsid w:val="0062478C"/>
    <w:rsid w:val="00624B19"/>
    <w:rsid w:val="00630821"/>
    <w:rsid w:val="00634EE2"/>
    <w:rsid w:val="006418DD"/>
    <w:rsid w:val="0064314A"/>
    <w:rsid w:val="006431E6"/>
    <w:rsid w:val="00643BB3"/>
    <w:rsid w:val="00643F1A"/>
    <w:rsid w:val="00646B76"/>
    <w:rsid w:val="006602E7"/>
    <w:rsid w:val="00670DDB"/>
    <w:rsid w:val="006715A1"/>
    <w:rsid w:val="00682623"/>
    <w:rsid w:val="00684940"/>
    <w:rsid w:val="00685D74"/>
    <w:rsid w:val="006878D6"/>
    <w:rsid w:val="00694008"/>
    <w:rsid w:val="00697E24"/>
    <w:rsid w:val="006A369A"/>
    <w:rsid w:val="006A36B7"/>
    <w:rsid w:val="006A6F8B"/>
    <w:rsid w:val="006B396E"/>
    <w:rsid w:val="006C496E"/>
    <w:rsid w:val="006D1342"/>
    <w:rsid w:val="006D21B6"/>
    <w:rsid w:val="006D42F9"/>
    <w:rsid w:val="006D52C8"/>
    <w:rsid w:val="006D767D"/>
    <w:rsid w:val="006F1778"/>
    <w:rsid w:val="006F2941"/>
    <w:rsid w:val="006F602E"/>
    <w:rsid w:val="006F67B3"/>
    <w:rsid w:val="007003E1"/>
    <w:rsid w:val="00705846"/>
    <w:rsid w:val="00730930"/>
    <w:rsid w:val="00733604"/>
    <w:rsid w:val="00735A11"/>
    <w:rsid w:val="007461E1"/>
    <w:rsid w:val="00752464"/>
    <w:rsid w:val="00754D78"/>
    <w:rsid w:val="00755E19"/>
    <w:rsid w:val="007565FF"/>
    <w:rsid w:val="007613AF"/>
    <w:rsid w:val="00761A08"/>
    <w:rsid w:val="00761BFE"/>
    <w:rsid w:val="00781E13"/>
    <w:rsid w:val="007879CD"/>
    <w:rsid w:val="00790AC0"/>
    <w:rsid w:val="00790EF2"/>
    <w:rsid w:val="0079162D"/>
    <w:rsid w:val="007A0148"/>
    <w:rsid w:val="007A6DEC"/>
    <w:rsid w:val="007B39BE"/>
    <w:rsid w:val="007B42A0"/>
    <w:rsid w:val="007C09F9"/>
    <w:rsid w:val="007C2906"/>
    <w:rsid w:val="007C6178"/>
    <w:rsid w:val="007C6E9C"/>
    <w:rsid w:val="007D3F54"/>
    <w:rsid w:val="007D6BA2"/>
    <w:rsid w:val="007E67B6"/>
    <w:rsid w:val="007E6B7E"/>
    <w:rsid w:val="007F74A0"/>
    <w:rsid w:val="00802B1E"/>
    <w:rsid w:val="008110BE"/>
    <w:rsid w:val="00812120"/>
    <w:rsid w:val="00815524"/>
    <w:rsid w:val="00820403"/>
    <w:rsid w:val="008206D7"/>
    <w:rsid w:val="00830933"/>
    <w:rsid w:val="0083296C"/>
    <w:rsid w:val="00832CD6"/>
    <w:rsid w:val="00837764"/>
    <w:rsid w:val="0084041C"/>
    <w:rsid w:val="008458FD"/>
    <w:rsid w:val="00847869"/>
    <w:rsid w:val="00857527"/>
    <w:rsid w:val="00857B97"/>
    <w:rsid w:val="00864D5C"/>
    <w:rsid w:val="00866CAF"/>
    <w:rsid w:val="008735AD"/>
    <w:rsid w:val="008866CC"/>
    <w:rsid w:val="00887628"/>
    <w:rsid w:val="00890FAF"/>
    <w:rsid w:val="00892B75"/>
    <w:rsid w:val="00896FBE"/>
    <w:rsid w:val="0089757B"/>
    <w:rsid w:val="008A515A"/>
    <w:rsid w:val="008A5C2D"/>
    <w:rsid w:val="008B0263"/>
    <w:rsid w:val="008B40DB"/>
    <w:rsid w:val="008B570C"/>
    <w:rsid w:val="008C49C0"/>
    <w:rsid w:val="008C7115"/>
    <w:rsid w:val="008C7ACB"/>
    <w:rsid w:val="008D37B3"/>
    <w:rsid w:val="008E0555"/>
    <w:rsid w:val="008E48AC"/>
    <w:rsid w:val="008F0801"/>
    <w:rsid w:val="008F2000"/>
    <w:rsid w:val="008F55E7"/>
    <w:rsid w:val="008F62E7"/>
    <w:rsid w:val="00902F60"/>
    <w:rsid w:val="0090403F"/>
    <w:rsid w:val="00910FD8"/>
    <w:rsid w:val="009139BF"/>
    <w:rsid w:val="00913FFA"/>
    <w:rsid w:val="00914A78"/>
    <w:rsid w:val="009337C8"/>
    <w:rsid w:val="00933D4B"/>
    <w:rsid w:val="00946D36"/>
    <w:rsid w:val="00951F92"/>
    <w:rsid w:val="00972457"/>
    <w:rsid w:val="00974142"/>
    <w:rsid w:val="009767DB"/>
    <w:rsid w:val="00983944"/>
    <w:rsid w:val="00991DC3"/>
    <w:rsid w:val="00994137"/>
    <w:rsid w:val="009A2514"/>
    <w:rsid w:val="009A500C"/>
    <w:rsid w:val="009B3EA8"/>
    <w:rsid w:val="009C2174"/>
    <w:rsid w:val="009C25D6"/>
    <w:rsid w:val="009D052A"/>
    <w:rsid w:val="009D153F"/>
    <w:rsid w:val="009D71F6"/>
    <w:rsid w:val="009E5DBC"/>
    <w:rsid w:val="009F5F8D"/>
    <w:rsid w:val="00A040ED"/>
    <w:rsid w:val="00A054C5"/>
    <w:rsid w:val="00A066CA"/>
    <w:rsid w:val="00A148DB"/>
    <w:rsid w:val="00A14B85"/>
    <w:rsid w:val="00A16B11"/>
    <w:rsid w:val="00A204B2"/>
    <w:rsid w:val="00A24AB1"/>
    <w:rsid w:val="00A27393"/>
    <w:rsid w:val="00A321D8"/>
    <w:rsid w:val="00A41AC0"/>
    <w:rsid w:val="00A41DE3"/>
    <w:rsid w:val="00A44B9B"/>
    <w:rsid w:val="00A469DE"/>
    <w:rsid w:val="00A51D10"/>
    <w:rsid w:val="00A55883"/>
    <w:rsid w:val="00A56C37"/>
    <w:rsid w:val="00A570B7"/>
    <w:rsid w:val="00A570F9"/>
    <w:rsid w:val="00A63CFE"/>
    <w:rsid w:val="00A645C5"/>
    <w:rsid w:val="00A66A6B"/>
    <w:rsid w:val="00A66FEE"/>
    <w:rsid w:val="00A728BA"/>
    <w:rsid w:val="00A763F3"/>
    <w:rsid w:val="00A84417"/>
    <w:rsid w:val="00A8656F"/>
    <w:rsid w:val="00A90624"/>
    <w:rsid w:val="00A91009"/>
    <w:rsid w:val="00A91B6D"/>
    <w:rsid w:val="00A92064"/>
    <w:rsid w:val="00A95DA3"/>
    <w:rsid w:val="00AA16EA"/>
    <w:rsid w:val="00AA473B"/>
    <w:rsid w:val="00AA5E58"/>
    <w:rsid w:val="00AA6931"/>
    <w:rsid w:val="00AB163A"/>
    <w:rsid w:val="00AC4AAF"/>
    <w:rsid w:val="00AC4D16"/>
    <w:rsid w:val="00AD032F"/>
    <w:rsid w:val="00AD0AFD"/>
    <w:rsid w:val="00AD0FC6"/>
    <w:rsid w:val="00AD3C39"/>
    <w:rsid w:val="00AD6243"/>
    <w:rsid w:val="00AE15C8"/>
    <w:rsid w:val="00AF4FC4"/>
    <w:rsid w:val="00AF62DD"/>
    <w:rsid w:val="00B02F43"/>
    <w:rsid w:val="00B043BA"/>
    <w:rsid w:val="00B1187F"/>
    <w:rsid w:val="00B1229D"/>
    <w:rsid w:val="00B15B55"/>
    <w:rsid w:val="00B2141A"/>
    <w:rsid w:val="00B237A2"/>
    <w:rsid w:val="00B30264"/>
    <w:rsid w:val="00B4563E"/>
    <w:rsid w:val="00B47B1D"/>
    <w:rsid w:val="00B526EA"/>
    <w:rsid w:val="00B535AE"/>
    <w:rsid w:val="00B56DE7"/>
    <w:rsid w:val="00B57232"/>
    <w:rsid w:val="00B5799B"/>
    <w:rsid w:val="00B6023D"/>
    <w:rsid w:val="00B6449C"/>
    <w:rsid w:val="00B700AA"/>
    <w:rsid w:val="00B70C16"/>
    <w:rsid w:val="00B76625"/>
    <w:rsid w:val="00B84108"/>
    <w:rsid w:val="00B865D4"/>
    <w:rsid w:val="00B91DC8"/>
    <w:rsid w:val="00BA1E2F"/>
    <w:rsid w:val="00BA5D34"/>
    <w:rsid w:val="00BB131A"/>
    <w:rsid w:val="00BB3D3E"/>
    <w:rsid w:val="00BC1713"/>
    <w:rsid w:val="00BC4D40"/>
    <w:rsid w:val="00BC682E"/>
    <w:rsid w:val="00BD15A5"/>
    <w:rsid w:val="00BD5FE0"/>
    <w:rsid w:val="00BE5E04"/>
    <w:rsid w:val="00BF0A55"/>
    <w:rsid w:val="00BF5C66"/>
    <w:rsid w:val="00C03155"/>
    <w:rsid w:val="00C11D45"/>
    <w:rsid w:val="00C1665D"/>
    <w:rsid w:val="00C17FB5"/>
    <w:rsid w:val="00C20760"/>
    <w:rsid w:val="00C214D2"/>
    <w:rsid w:val="00C35023"/>
    <w:rsid w:val="00C3794E"/>
    <w:rsid w:val="00C4220A"/>
    <w:rsid w:val="00C53C6B"/>
    <w:rsid w:val="00C5761E"/>
    <w:rsid w:val="00C70E6C"/>
    <w:rsid w:val="00C722BC"/>
    <w:rsid w:val="00C72554"/>
    <w:rsid w:val="00C730DB"/>
    <w:rsid w:val="00C81CE3"/>
    <w:rsid w:val="00C84E3F"/>
    <w:rsid w:val="00C86233"/>
    <w:rsid w:val="00CA0C89"/>
    <w:rsid w:val="00CA3405"/>
    <w:rsid w:val="00CB2230"/>
    <w:rsid w:val="00CB317E"/>
    <w:rsid w:val="00CC29D5"/>
    <w:rsid w:val="00CC31F2"/>
    <w:rsid w:val="00CC787E"/>
    <w:rsid w:val="00CD2A8D"/>
    <w:rsid w:val="00CD631D"/>
    <w:rsid w:val="00CF3EB7"/>
    <w:rsid w:val="00D10827"/>
    <w:rsid w:val="00D120CC"/>
    <w:rsid w:val="00D14581"/>
    <w:rsid w:val="00D20E62"/>
    <w:rsid w:val="00D30288"/>
    <w:rsid w:val="00D330CB"/>
    <w:rsid w:val="00D407CF"/>
    <w:rsid w:val="00D40819"/>
    <w:rsid w:val="00D41ABE"/>
    <w:rsid w:val="00D42776"/>
    <w:rsid w:val="00D47813"/>
    <w:rsid w:val="00D53117"/>
    <w:rsid w:val="00D67896"/>
    <w:rsid w:val="00D717B2"/>
    <w:rsid w:val="00D720A2"/>
    <w:rsid w:val="00D725E9"/>
    <w:rsid w:val="00D738AE"/>
    <w:rsid w:val="00D73D8F"/>
    <w:rsid w:val="00D753C2"/>
    <w:rsid w:val="00D76953"/>
    <w:rsid w:val="00D77CFA"/>
    <w:rsid w:val="00D804A9"/>
    <w:rsid w:val="00D810F6"/>
    <w:rsid w:val="00D8192D"/>
    <w:rsid w:val="00D868CD"/>
    <w:rsid w:val="00D9136D"/>
    <w:rsid w:val="00D917A4"/>
    <w:rsid w:val="00D91A49"/>
    <w:rsid w:val="00D91BB0"/>
    <w:rsid w:val="00D92C1F"/>
    <w:rsid w:val="00DA5F43"/>
    <w:rsid w:val="00DB13DF"/>
    <w:rsid w:val="00DB1A1A"/>
    <w:rsid w:val="00DC0403"/>
    <w:rsid w:val="00DC081D"/>
    <w:rsid w:val="00DC0E8B"/>
    <w:rsid w:val="00DC2C5D"/>
    <w:rsid w:val="00DC7A28"/>
    <w:rsid w:val="00DD49B8"/>
    <w:rsid w:val="00DE482D"/>
    <w:rsid w:val="00DE6D51"/>
    <w:rsid w:val="00DF0127"/>
    <w:rsid w:val="00DF6B65"/>
    <w:rsid w:val="00DF72DB"/>
    <w:rsid w:val="00E01C6B"/>
    <w:rsid w:val="00E01EF1"/>
    <w:rsid w:val="00E07550"/>
    <w:rsid w:val="00E2239D"/>
    <w:rsid w:val="00E2290C"/>
    <w:rsid w:val="00E23AC7"/>
    <w:rsid w:val="00E24A93"/>
    <w:rsid w:val="00E24AFF"/>
    <w:rsid w:val="00E3554A"/>
    <w:rsid w:val="00E37648"/>
    <w:rsid w:val="00E4140F"/>
    <w:rsid w:val="00E425B2"/>
    <w:rsid w:val="00E51653"/>
    <w:rsid w:val="00E55CAC"/>
    <w:rsid w:val="00E751E2"/>
    <w:rsid w:val="00E75EE2"/>
    <w:rsid w:val="00E80BB7"/>
    <w:rsid w:val="00E822FE"/>
    <w:rsid w:val="00E82F5B"/>
    <w:rsid w:val="00E83041"/>
    <w:rsid w:val="00E86ECB"/>
    <w:rsid w:val="00E94094"/>
    <w:rsid w:val="00E96E1E"/>
    <w:rsid w:val="00EA2804"/>
    <w:rsid w:val="00EA7CF6"/>
    <w:rsid w:val="00EA7D11"/>
    <w:rsid w:val="00EB4E58"/>
    <w:rsid w:val="00EC23DC"/>
    <w:rsid w:val="00EF08B4"/>
    <w:rsid w:val="00EF38A9"/>
    <w:rsid w:val="00EF38BC"/>
    <w:rsid w:val="00EF6741"/>
    <w:rsid w:val="00F004BD"/>
    <w:rsid w:val="00F06889"/>
    <w:rsid w:val="00F0778B"/>
    <w:rsid w:val="00F14761"/>
    <w:rsid w:val="00F17C62"/>
    <w:rsid w:val="00F223EF"/>
    <w:rsid w:val="00F22941"/>
    <w:rsid w:val="00F30359"/>
    <w:rsid w:val="00F35897"/>
    <w:rsid w:val="00F36452"/>
    <w:rsid w:val="00F45167"/>
    <w:rsid w:val="00F470AC"/>
    <w:rsid w:val="00F50B1A"/>
    <w:rsid w:val="00F52939"/>
    <w:rsid w:val="00F54FBC"/>
    <w:rsid w:val="00F56F7C"/>
    <w:rsid w:val="00F63904"/>
    <w:rsid w:val="00F73611"/>
    <w:rsid w:val="00F739A7"/>
    <w:rsid w:val="00F77BDB"/>
    <w:rsid w:val="00F81409"/>
    <w:rsid w:val="00F842BE"/>
    <w:rsid w:val="00F87F6C"/>
    <w:rsid w:val="00F90935"/>
    <w:rsid w:val="00FA1301"/>
    <w:rsid w:val="00FA5F77"/>
    <w:rsid w:val="00FA78BC"/>
    <w:rsid w:val="00FB6B49"/>
    <w:rsid w:val="00FB6E50"/>
    <w:rsid w:val="00FC324F"/>
    <w:rsid w:val="00FC6D5B"/>
    <w:rsid w:val="00FE2968"/>
    <w:rsid w:val="00FF15E8"/>
    <w:rsid w:val="00FF2C99"/>
    <w:rsid w:val="00FF4A98"/>
    <w:rsid w:val="00FF5100"/>
    <w:rsid w:val="0BB83BB1"/>
    <w:rsid w:val="1B207B5D"/>
    <w:rsid w:val="4C572CE5"/>
    <w:rsid w:val="59BE531B"/>
    <w:rsid w:val="5B677536"/>
    <w:rsid w:val="5FB248E1"/>
    <w:rsid w:val="60CE2960"/>
    <w:rsid w:val="781D7569"/>
    <w:rsid w:val="785E66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0"/>
    <w:pPr>
      <w:keepNext/>
      <w:keepLines/>
      <w:adjustRightInd w:val="0"/>
      <w:snapToGrid w:val="0"/>
      <w:outlineLvl w:val="0"/>
    </w:pPr>
    <w:rPr>
      <w:rFonts w:hAnsi="宋体"/>
      <w:b/>
      <w:bCs/>
      <w:color w:val="0000FF"/>
      <w:kern w:val="44"/>
      <w:sz w:val="32"/>
      <w:szCs w:val="44"/>
    </w:rPr>
  </w:style>
  <w:style w:type="paragraph" w:styleId="3">
    <w:name w:val="heading 2"/>
    <w:basedOn w:val="1"/>
    <w:next w:val="1"/>
    <w:link w:val="52"/>
    <w:qFormat/>
    <w:uiPriority w:val="0"/>
    <w:pPr>
      <w:keepNext/>
      <w:keepLines/>
      <w:spacing w:before="260" w:after="260"/>
      <w:outlineLvl w:val="1"/>
    </w:pPr>
    <w:rPr>
      <w:rFonts w:ascii="Arial" w:hAnsi="Arial"/>
      <w:b/>
      <w:bCs/>
      <w:sz w:val="28"/>
      <w:szCs w:val="32"/>
    </w:rPr>
  </w:style>
  <w:style w:type="paragraph" w:styleId="4">
    <w:name w:val="heading 3"/>
    <w:basedOn w:val="1"/>
    <w:next w:val="1"/>
    <w:link w:val="53"/>
    <w:qFormat/>
    <w:uiPriority w:val="0"/>
    <w:pPr>
      <w:keepNext/>
      <w:keepLines/>
      <w:spacing w:before="260" w:after="260" w:line="416" w:lineRule="auto"/>
      <w:outlineLvl w:val="2"/>
    </w:pPr>
    <w:rPr>
      <w:b/>
      <w:bCs/>
      <w:sz w:val="24"/>
      <w:szCs w:val="32"/>
    </w:rPr>
  </w:style>
  <w:style w:type="paragraph" w:styleId="5">
    <w:name w:val="heading 4"/>
    <w:basedOn w:val="1"/>
    <w:next w:val="1"/>
    <w:link w:val="54"/>
    <w:qFormat/>
    <w:uiPriority w:val="0"/>
    <w:pPr>
      <w:keepNext/>
      <w:keepLines/>
      <w:wordWrap w:val="0"/>
      <w:topLinePunct/>
      <w:adjustRightInd w:val="0"/>
      <w:snapToGrid w:val="0"/>
      <w:outlineLvl w:val="3"/>
    </w:pPr>
    <w:rPr>
      <w:rFonts w:ascii="Arial" w:hAnsi="Arial"/>
      <w:b/>
      <w:bCs/>
      <w:sz w:val="24"/>
      <w:szCs w:val="28"/>
    </w:rPr>
  </w:style>
  <w:style w:type="paragraph" w:styleId="6">
    <w:name w:val="heading 5"/>
    <w:basedOn w:val="1"/>
    <w:next w:val="1"/>
    <w:link w:val="55"/>
    <w:qFormat/>
    <w:uiPriority w:val="0"/>
    <w:pPr>
      <w:keepNext/>
      <w:keepLines/>
      <w:wordWrap w:val="0"/>
      <w:topLinePunct/>
      <w:adjustRightInd w:val="0"/>
      <w:snapToGrid w:val="0"/>
      <w:spacing w:before="280" w:after="290" w:line="372" w:lineRule="auto"/>
      <w:outlineLvl w:val="4"/>
    </w:pPr>
    <w:rPr>
      <w:b/>
      <w:bCs/>
      <w:sz w:val="28"/>
      <w:szCs w:val="28"/>
    </w:rPr>
  </w:style>
  <w:style w:type="character" w:default="1" w:styleId="46">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7">
    <w:name w:val="List 3"/>
    <w:basedOn w:val="1"/>
    <w:qFormat/>
    <w:uiPriority w:val="0"/>
    <w:pPr>
      <w:wordWrap w:val="0"/>
      <w:topLinePunct/>
      <w:adjustRightInd w:val="0"/>
      <w:snapToGrid w:val="0"/>
      <w:ind w:left="100" w:leftChars="400" w:hanging="200" w:hangingChars="200"/>
    </w:pPr>
    <w:rPr>
      <w:sz w:val="24"/>
    </w:rPr>
  </w:style>
  <w:style w:type="paragraph" w:styleId="8">
    <w:name w:val="toc 7"/>
    <w:basedOn w:val="1"/>
    <w:next w:val="1"/>
    <w:unhideWhenUsed/>
    <w:qFormat/>
    <w:uiPriority w:val="39"/>
    <w:pPr>
      <w:spacing w:line="240" w:lineRule="auto"/>
      <w:ind w:left="2520" w:leftChars="1200"/>
    </w:pPr>
    <w:rPr>
      <w:rFonts w:ascii="Calibri" w:hAnsi="Calibri"/>
      <w:szCs w:val="22"/>
    </w:rPr>
  </w:style>
  <w:style w:type="paragraph" w:styleId="9">
    <w:name w:val="Normal Indent"/>
    <w:basedOn w:val="1"/>
    <w:link w:val="60"/>
    <w:qFormat/>
    <w:uiPriority w:val="0"/>
    <w:pPr>
      <w:wordWrap w:val="0"/>
      <w:topLinePunct/>
      <w:adjustRightInd w:val="0"/>
      <w:snapToGrid w:val="0"/>
      <w:ind w:firstLine="420" w:firstLineChars="200"/>
    </w:pPr>
    <w:rPr>
      <w:sz w:val="24"/>
    </w:rPr>
  </w:style>
  <w:style w:type="paragraph" w:styleId="10">
    <w:name w:val="caption"/>
    <w:basedOn w:val="1"/>
    <w:next w:val="1"/>
    <w:qFormat/>
    <w:uiPriority w:val="35"/>
    <w:pPr>
      <w:spacing w:line="240" w:lineRule="auto"/>
    </w:pPr>
    <w:rPr>
      <w:rFonts w:ascii="Cambria" w:hAnsi="Cambria" w:eastAsia="黑体"/>
      <w:sz w:val="20"/>
      <w:szCs w:val="20"/>
    </w:rPr>
  </w:style>
  <w:style w:type="paragraph" w:styleId="11">
    <w:name w:val="Document Map"/>
    <w:basedOn w:val="1"/>
    <w:link w:val="61"/>
    <w:qFormat/>
    <w:uiPriority w:val="0"/>
    <w:pPr>
      <w:shd w:val="clear" w:color="auto" w:fill="000080"/>
    </w:pPr>
  </w:style>
  <w:style w:type="paragraph" w:styleId="12">
    <w:name w:val="annotation text"/>
    <w:basedOn w:val="1"/>
    <w:link w:val="56"/>
    <w:unhideWhenUsed/>
    <w:qFormat/>
    <w:uiPriority w:val="0"/>
    <w:pPr>
      <w:jc w:val="left"/>
    </w:pPr>
  </w:style>
  <w:style w:type="paragraph" w:styleId="13">
    <w:name w:val="Body Text"/>
    <w:basedOn w:val="1"/>
    <w:link w:val="58"/>
    <w:unhideWhenUsed/>
    <w:qFormat/>
    <w:uiPriority w:val="0"/>
    <w:pPr>
      <w:spacing w:after="120"/>
    </w:pPr>
  </w:style>
  <w:style w:type="paragraph" w:styleId="14">
    <w:name w:val="Body Text Indent"/>
    <w:basedOn w:val="1"/>
    <w:link w:val="62"/>
    <w:qFormat/>
    <w:uiPriority w:val="0"/>
    <w:pPr>
      <w:wordWrap w:val="0"/>
      <w:topLinePunct/>
      <w:adjustRightInd w:val="0"/>
      <w:snapToGrid w:val="0"/>
      <w:spacing w:after="120"/>
      <w:ind w:left="420" w:leftChars="200"/>
    </w:pPr>
    <w:rPr>
      <w:sz w:val="24"/>
    </w:rPr>
  </w:style>
  <w:style w:type="paragraph" w:styleId="15">
    <w:name w:val="List 2"/>
    <w:basedOn w:val="1"/>
    <w:link w:val="63"/>
    <w:qFormat/>
    <w:uiPriority w:val="0"/>
    <w:rPr>
      <w:rFonts w:ascii="楷体_GB2312" w:hAnsi="宋体" w:eastAsia="楷体_GB2312"/>
      <w:color w:val="000000"/>
      <w:szCs w:val="28"/>
    </w:rPr>
  </w:style>
  <w:style w:type="paragraph" w:styleId="16">
    <w:name w:val="Block Text"/>
    <w:basedOn w:val="1"/>
    <w:qFormat/>
    <w:uiPriority w:val="0"/>
    <w:pPr>
      <w:spacing w:after="120"/>
      <w:ind w:left="1440" w:leftChars="700" w:right="1440" w:rightChars="700"/>
    </w:pPr>
  </w:style>
  <w:style w:type="paragraph" w:styleId="17">
    <w:name w:val="List Bullet 2"/>
    <w:basedOn w:val="1"/>
    <w:qFormat/>
    <w:uiPriority w:val="0"/>
    <w:pPr>
      <w:tabs>
        <w:tab w:val="left" w:pos="780"/>
      </w:tabs>
      <w:wordWrap w:val="0"/>
      <w:topLinePunct/>
      <w:adjustRightInd w:val="0"/>
      <w:snapToGrid w:val="0"/>
      <w:ind w:left="780" w:hanging="360"/>
    </w:pPr>
    <w:rPr>
      <w:sz w:val="24"/>
    </w:rPr>
  </w:style>
  <w:style w:type="paragraph" w:styleId="18">
    <w:name w:val="toc 5"/>
    <w:basedOn w:val="1"/>
    <w:next w:val="1"/>
    <w:unhideWhenUsed/>
    <w:qFormat/>
    <w:uiPriority w:val="39"/>
    <w:pPr>
      <w:spacing w:line="240" w:lineRule="auto"/>
      <w:ind w:left="1680" w:leftChars="800"/>
    </w:pPr>
    <w:rPr>
      <w:rFonts w:ascii="Calibri" w:hAnsi="Calibri"/>
      <w:szCs w:val="22"/>
    </w:rPr>
  </w:style>
  <w:style w:type="paragraph" w:styleId="19">
    <w:name w:val="toc 3"/>
    <w:basedOn w:val="1"/>
    <w:next w:val="1"/>
    <w:qFormat/>
    <w:uiPriority w:val="39"/>
    <w:pPr>
      <w:ind w:left="840" w:leftChars="400"/>
    </w:pPr>
  </w:style>
  <w:style w:type="paragraph" w:styleId="20">
    <w:name w:val="Plain Text"/>
    <w:basedOn w:val="1"/>
    <w:link w:val="66"/>
    <w:qFormat/>
    <w:uiPriority w:val="0"/>
    <w:rPr>
      <w:rFonts w:ascii="宋体" w:hAnsi="Courier New" w:cs="Courier New"/>
      <w:szCs w:val="21"/>
    </w:rPr>
  </w:style>
  <w:style w:type="paragraph" w:styleId="21">
    <w:name w:val="toc 8"/>
    <w:basedOn w:val="1"/>
    <w:next w:val="1"/>
    <w:unhideWhenUsed/>
    <w:qFormat/>
    <w:uiPriority w:val="39"/>
    <w:pPr>
      <w:spacing w:line="240" w:lineRule="auto"/>
      <w:ind w:left="2940" w:leftChars="1400"/>
    </w:pPr>
    <w:rPr>
      <w:rFonts w:ascii="Calibri" w:hAnsi="Calibri"/>
      <w:szCs w:val="22"/>
    </w:rPr>
  </w:style>
  <w:style w:type="paragraph" w:styleId="22">
    <w:name w:val="Date"/>
    <w:basedOn w:val="1"/>
    <w:next w:val="1"/>
    <w:link w:val="209"/>
    <w:qFormat/>
    <w:uiPriority w:val="0"/>
    <w:pPr>
      <w:ind w:left="100" w:leftChars="2500"/>
    </w:pPr>
    <w:rPr>
      <w:lang w:val="zh-CN"/>
    </w:rPr>
  </w:style>
  <w:style w:type="paragraph" w:styleId="23">
    <w:name w:val="Body Text Indent 2"/>
    <w:basedOn w:val="1"/>
    <w:link w:val="67"/>
    <w:qFormat/>
    <w:uiPriority w:val="0"/>
    <w:pPr>
      <w:spacing w:after="120" w:line="480" w:lineRule="auto"/>
      <w:ind w:left="420" w:leftChars="200"/>
    </w:pPr>
  </w:style>
  <w:style w:type="paragraph" w:styleId="24">
    <w:name w:val="Balloon Text"/>
    <w:basedOn w:val="1"/>
    <w:link w:val="68"/>
    <w:qFormat/>
    <w:uiPriority w:val="0"/>
    <w:rPr>
      <w:sz w:val="18"/>
      <w:szCs w:val="18"/>
    </w:rPr>
  </w:style>
  <w:style w:type="paragraph" w:styleId="25">
    <w:name w:val="footer"/>
    <w:basedOn w:val="1"/>
    <w:link w:val="69"/>
    <w:qFormat/>
    <w:uiPriority w:val="0"/>
    <w:pPr>
      <w:tabs>
        <w:tab w:val="center" w:pos="4153"/>
        <w:tab w:val="right" w:pos="8306"/>
      </w:tabs>
      <w:snapToGrid w:val="0"/>
      <w:jc w:val="left"/>
    </w:pPr>
    <w:rPr>
      <w:sz w:val="18"/>
      <w:szCs w:val="18"/>
    </w:rPr>
  </w:style>
  <w:style w:type="paragraph" w:styleId="26">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wordWrap w:val="0"/>
      <w:topLinePunct/>
      <w:adjustRightInd w:val="0"/>
      <w:snapToGrid w:val="0"/>
    </w:pPr>
    <w:rPr>
      <w:sz w:val="24"/>
    </w:rPr>
  </w:style>
  <w:style w:type="paragraph" w:styleId="28">
    <w:name w:val="toc 4"/>
    <w:basedOn w:val="1"/>
    <w:next w:val="1"/>
    <w:unhideWhenUsed/>
    <w:qFormat/>
    <w:uiPriority w:val="39"/>
    <w:pPr>
      <w:spacing w:line="240" w:lineRule="auto"/>
      <w:ind w:left="1260" w:leftChars="600"/>
    </w:pPr>
    <w:rPr>
      <w:rFonts w:ascii="Calibri" w:hAnsi="Calibri"/>
      <w:szCs w:val="22"/>
    </w:rPr>
  </w:style>
  <w:style w:type="paragraph" w:styleId="29">
    <w:name w:val="Subtitle"/>
    <w:basedOn w:val="1"/>
    <w:link w:val="72"/>
    <w:qFormat/>
    <w:uiPriority w:val="0"/>
    <w:pPr>
      <w:wordWrap w:val="0"/>
      <w:topLinePunct/>
      <w:adjustRightInd w:val="0"/>
      <w:snapToGrid w:val="0"/>
      <w:spacing w:before="240" w:after="60" w:line="312" w:lineRule="auto"/>
      <w:jc w:val="center"/>
      <w:outlineLvl w:val="1"/>
    </w:pPr>
    <w:rPr>
      <w:rFonts w:ascii="Arial" w:hAnsi="Arial" w:cs="Arial"/>
      <w:b/>
      <w:bCs/>
      <w:kern w:val="28"/>
      <w:sz w:val="32"/>
      <w:szCs w:val="32"/>
    </w:rPr>
  </w:style>
  <w:style w:type="paragraph" w:styleId="30">
    <w:name w:val="List"/>
    <w:basedOn w:val="1"/>
    <w:qFormat/>
    <w:uiPriority w:val="0"/>
    <w:pPr>
      <w:wordWrap w:val="0"/>
      <w:topLinePunct/>
      <w:adjustRightInd w:val="0"/>
      <w:snapToGrid w:val="0"/>
      <w:ind w:left="200" w:hanging="200" w:hangingChars="200"/>
    </w:pPr>
    <w:rPr>
      <w:sz w:val="24"/>
    </w:rPr>
  </w:style>
  <w:style w:type="paragraph" w:styleId="31">
    <w:name w:val="toc 6"/>
    <w:basedOn w:val="1"/>
    <w:next w:val="1"/>
    <w:unhideWhenUsed/>
    <w:qFormat/>
    <w:uiPriority w:val="39"/>
    <w:pPr>
      <w:spacing w:line="240" w:lineRule="auto"/>
      <w:ind w:left="2100" w:leftChars="1000"/>
    </w:pPr>
    <w:rPr>
      <w:rFonts w:ascii="Calibri" w:hAnsi="Calibri"/>
      <w:szCs w:val="22"/>
    </w:rPr>
  </w:style>
  <w:style w:type="paragraph" w:styleId="32">
    <w:name w:val="Body Text Indent 3"/>
    <w:basedOn w:val="1"/>
    <w:link w:val="73"/>
    <w:qFormat/>
    <w:uiPriority w:val="0"/>
    <w:pPr>
      <w:spacing w:after="120"/>
      <w:ind w:left="420" w:leftChars="200"/>
    </w:pPr>
    <w:rPr>
      <w:sz w:val="16"/>
      <w:szCs w:val="16"/>
    </w:rPr>
  </w:style>
  <w:style w:type="paragraph" w:styleId="33">
    <w:name w:val="toc 2"/>
    <w:basedOn w:val="1"/>
    <w:next w:val="1"/>
    <w:qFormat/>
    <w:uiPriority w:val="39"/>
    <w:pPr>
      <w:ind w:left="420" w:leftChars="200"/>
    </w:pPr>
  </w:style>
  <w:style w:type="paragraph" w:styleId="34">
    <w:name w:val="toc 9"/>
    <w:basedOn w:val="1"/>
    <w:next w:val="1"/>
    <w:unhideWhenUsed/>
    <w:qFormat/>
    <w:uiPriority w:val="39"/>
    <w:pPr>
      <w:spacing w:line="240" w:lineRule="auto"/>
      <w:ind w:left="3360" w:leftChars="1600"/>
    </w:pPr>
    <w:rPr>
      <w:rFonts w:ascii="Calibri" w:hAnsi="Calibri"/>
      <w:szCs w:val="22"/>
    </w:rPr>
  </w:style>
  <w:style w:type="paragraph" w:styleId="35">
    <w:name w:val="Body Text 2"/>
    <w:basedOn w:val="1"/>
    <w:link w:val="74"/>
    <w:qFormat/>
    <w:uiPriority w:val="0"/>
    <w:pPr>
      <w:spacing w:after="120" w:line="480" w:lineRule="auto"/>
    </w:pPr>
  </w:style>
  <w:style w:type="paragraph" w:styleId="36">
    <w:name w:val="HTML Preformatted"/>
    <w:basedOn w:val="1"/>
    <w:link w:val="7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Title"/>
    <w:basedOn w:val="1"/>
    <w:link w:val="76"/>
    <w:qFormat/>
    <w:uiPriority w:val="0"/>
    <w:pPr>
      <w:wordWrap w:val="0"/>
      <w:topLinePunct/>
      <w:adjustRightInd w:val="0"/>
      <w:snapToGrid w:val="0"/>
      <w:spacing w:before="240" w:after="60"/>
      <w:jc w:val="center"/>
      <w:outlineLvl w:val="0"/>
    </w:pPr>
    <w:rPr>
      <w:rFonts w:ascii="Arial" w:hAnsi="Arial" w:cs="Arial"/>
      <w:b/>
      <w:bCs/>
      <w:sz w:val="32"/>
      <w:szCs w:val="32"/>
    </w:rPr>
  </w:style>
  <w:style w:type="paragraph" w:styleId="39">
    <w:name w:val="annotation subject"/>
    <w:basedOn w:val="12"/>
    <w:next w:val="12"/>
    <w:link w:val="57"/>
    <w:semiHidden/>
    <w:qFormat/>
    <w:uiPriority w:val="0"/>
    <w:rPr>
      <w:b/>
      <w:bCs/>
    </w:rPr>
  </w:style>
  <w:style w:type="paragraph" w:styleId="40">
    <w:name w:val="Body Text First Indent"/>
    <w:basedOn w:val="1"/>
    <w:link w:val="59"/>
    <w:qFormat/>
    <w:uiPriority w:val="0"/>
    <w:pPr>
      <w:wordWrap w:val="0"/>
      <w:topLinePunct/>
      <w:adjustRightInd w:val="0"/>
      <w:snapToGrid w:val="0"/>
      <w:ind w:firstLine="420" w:firstLineChars="100"/>
    </w:pPr>
    <w:rPr>
      <w:sz w:val="24"/>
    </w:rPr>
  </w:style>
  <w:style w:type="paragraph" w:styleId="41">
    <w:name w:val="Body Text First Indent 2"/>
    <w:basedOn w:val="14"/>
    <w:link w:val="70"/>
    <w:qFormat/>
    <w:uiPriority w:val="0"/>
    <w:pPr>
      <w:ind w:firstLine="420" w:firstLineChars="200"/>
    </w:pPr>
  </w:style>
  <w:style w:type="table" w:styleId="43">
    <w:name w:val="Table Grid"/>
    <w:basedOn w:val="4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4">
    <w:name w:val="Table Theme"/>
    <w:basedOn w:val="4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Table Grid 1"/>
    <w:basedOn w:val="42"/>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7">
    <w:name w:val="Strong"/>
    <w:qFormat/>
    <w:uiPriority w:val="22"/>
    <w:rPr>
      <w:b/>
      <w:bCs/>
    </w:rPr>
  </w:style>
  <w:style w:type="character" w:styleId="48">
    <w:name w:val="page number"/>
    <w:basedOn w:val="46"/>
    <w:qFormat/>
    <w:uiPriority w:val="0"/>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basedOn w:val="46"/>
    <w:link w:val="2"/>
    <w:qFormat/>
    <w:uiPriority w:val="0"/>
    <w:rPr>
      <w:rFonts w:ascii="Times New Roman" w:hAnsi="宋体" w:eastAsia="宋体" w:cs="Times New Roman"/>
      <w:b/>
      <w:bCs/>
      <w:color w:val="0000FF"/>
      <w:kern w:val="44"/>
      <w:sz w:val="32"/>
      <w:szCs w:val="44"/>
    </w:rPr>
  </w:style>
  <w:style w:type="character" w:customStyle="1" w:styleId="52">
    <w:name w:val="标题 2 Char"/>
    <w:basedOn w:val="46"/>
    <w:link w:val="3"/>
    <w:qFormat/>
    <w:uiPriority w:val="0"/>
    <w:rPr>
      <w:rFonts w:ascii="Arial" w:hAnsi="Arial" w:eastAsia="宋体" w:cs="Times New Roman"/>
      <w:b/>
      <w:bCs/>
      <w:sz w:val="28"/>
      <w:szCs w:val="32"/>
    </w:rPr>
  </w:style>
  <w:style w:type="character" w:customStyle="1" w:styleId="53">
    <w:name w:val="标题 3 Char"/>
    <w:basedOn w:val="46"/>
    <w:link w:val="4"/>
    <w:qFormat/>
    <w:uiPriority w:val="0"/>
    <w:rPr>
      <w:rFonts w:ascii="Times New Roman" w:hAnsi="Times New Roman" w:eastAsia="宋体" w:cs="Times New Roman"/>
      <w:b/>
      <w:bCs/>
      <w:sz w:val="24"/>
      <w:szCs w:val="32"/>
    </w:rPr>
  </w:style>
  <w:style w:type="character" w:customStyle="1" w:styleId="54">
    <w:name w:val="标题 4 Char"/>
    <w:basedOn w:val="46"/>
    <w:link w:val="5"/>
    <w:qFormat/>
    <w:uiPriority w:val="0"/>
    <w:rPr>
      <w:rFonts w:ascii="Arial" w:hAnsi="Arial" w:eastAsia="宋体" w:cs="Times New Roman"/>
      <w:b/>
      <w:bCs/>
      <w:sz w:val="24"/>
      <w:szCs w:val="28"/>
    </w:rPr>
  </w:style>
  <w:style w:type="character" w:customStyle="1" w:styleId="55">
    <w:name w:val="标题 5 Char"/>
    <w:basedOn w:val="46"/>
    <w:link w:val="6"/>
    <w:qFormat/>
    <w:uiPriority w:val="0"/>
    <w:rPr>
      <w:rFonts w:ascii="Times New Roman" w:hAnsi="Times New Roman" w:eastAsia="宋体" w:cs="Times New Roman"/>
      <w:b/>
      <w:bCs/>
      <w:sz w:val="28"/>
      <w:szCs w:val="28"/>
    </w:rPr>
  </w:style>
  <w:style w:type="character" w:customStyle="1" w:styleId="56">
    <w:name w:val="批注文字 Char"/>
    <w:basedOn w:val="46"/>
    <w:link w:val="12"/>
    <w:qFormat/>
    <w:uiPriority w:val="0"/>
    <w:rPr>
      <w:rFonts w:ascii="Times New Roman" w:hAnsi="Times New Roman" w:eastAsia="宋体" w:cs="Times New Roman"/>
      <w:szCs w:val="24"/>
    </w:rPr>
  </w:style>
  <w:style w:type="character" w:customStyle="1" w:styleId="57">
    <w:name w:val="批注主题 Char"/>
    <w:basedOn w:val="56"/>
    <w:link w:val="39"/>
    <w:semiHidden/>
    <w:qFormat/>
    <w:uiPriority w:val="0"/>
    <w:rPr>
      <w:rFonts w:ascii="Times New Roman" w:hAnsi="Times New Roman" w:eastAsia="宋体" w:cs="Times New Roman"/>
      <w:b/>
      <w:bCs/>
      <w:szCs w:val="24"/>
    </w:rPr>
  </w:style>
  <w:style w:type="character" w:customStyle="1" w:styleId="58">
    <w:name w:val="正文文本 Char"/>
    <w:basedOn w:val="46"/>
    <w:link w:val="13"/>
    <w:qFormat/>
    <w:uiPriority w:val="0"/>
    <w:rPr>
      <w:rFonts w:ascii="Times New Roman" w:hAnsi="Times New Roman" w:eastAsia="宋体" w:cs="Times New Roman"/>
      <w:szCs w:val="24"/>
    </w:rPr>
  </w:style>
  <w:style w:type="character" w:customStyle="1" w:styleId="59">
    <w:name w:val="正文首行缩进 Char"/>
    <w:basedOn w:val="58"/>
    <w:link w:val="40"/>
    <w:qFormat/>
    <w:uiPriority w:val="0"/>
    <w:rPr>
      <w:rFonts w:ascii="Times New Roman" w:hAnsi="Times New Roman" w:eastAsia="宋体" w:cs="Times New Roman"/>
      <w:sz w:val="24"/>
      <w:szCs w:val="24"/>
    </w:rPr>
  </w:style>
  <w:style w:type="character" w:customStyle="1" w:styleId="60">
    <w:name w:val="正文缩进 Char"/>
    <w:link w:val="9"/>
    <w:qFormat/>
    <w:uiPriority w:val="0"/>
    <w:rPr>
      <w:rFonts w:ascii="Times New Roman" w:hAnsi="Times New Roman" w:eastAsia="宋体" w:cs="Times New Roman"/>
      <w:sz w:val="24"/>
      <w:szCs w:val="24"/>
    </w:rPr>
  </w:style>
  <w:style w:type="character" w:customStyle="1" w:styleId="61">
    <w:name w:val="文档结构图 Char"/>
    <w:basedOn w:val="46"/>
    <w:link w:val="11"/>
    <w:qFormat/>
    <w:uiPriority w:val="0"/>
    <w:rPr>
      <w:rFonts w:ascii="Times New Roman" w:hAnsi="Times New Roman" w:eastAsia="宋体" w:cs="Times New Roman"/>
      <w:szCs w:val="24"/>
      <w:shd w:val="clear" w:color="auto" w:fill="000080"/>
    </w:rPr>
  </w:style>
  <w:style w:type="character" w:customStyle="1" w:styleId="62">
    <w:name w:val="正文文本缩进 Char"/>
    <w:basedOn w:val="46"/>
    <w:link w:val="14"/>
    <w:qFormat/>
    <w:uiPriority w:val="0"/>
    <w:rPr>
      <w:rFonts w:ascii="Times New Roman" w:hAnsi="Times New Roman" w:eastAsia="宋体" w:cs="Times New Roman"/>
      <w:sz w:val="24"/>
      <w:szCs w:val="24"/>
    </w:rPr>
  </w:style>
  <w:style w:type="character" w:customStyle="1" w:styleId="63">
    <w:name w:val="列表 2 Char"/>
    <w:link w:val="15"/>
    <w:qFormat/>
    <w:uiPriority w:val="0"/>
    <w:rPr>
      <w:rFonts w:ascii="楷体_GB2312" w:hAnsi="宋体" w:eastAsia="楷体_GB2312" w:cs="Times New Roman"/>
      <w:color w:val="000000"/>
      <w:szCs w:val="28"/>
    </w:rPr>
  </w:style>
  <w:style w:type="character" w:customStyle="1" w:styleId="64">
    <w:name w:val="纯文本 Char"/>
    <w:basedOn w:val="46"/>
    <w:link w:val="65"/>
    <w:qFormat/>
    <w:uiPriority w:val="0"/>
    <w:rPr>
      <w:rFonts w:ascii="宋体" w:hAnsi="Courier New" w:eastAsia="宋体" w:cs="Courier New"/>
      <w:szCs w:val="21"/>
    </w:rPr>
  </w:style>
  <w:style w:type="paragraph" w:customStyle="1" w:styleId="65">
    <w:name w:val="纯文本1"/>
    <w:basedOn w:val="1"/>
    <w:link w:val="64"/>
    <w:qFormat/>
    <w:uiPriority w:val="0"/>
    <w:pPr>
      <w:spacing w:line="240" w:lineRule="atLeast"/>
    </w:pPr>
    <w:rPr>
      <w:rFonts w:ascii="宋体" w:hAnsi="Courier New" w:cs="Courier New"/>
      <w:szCs w:val="21"/>
    </w:rPr>
  </w:style>
  <w:style w:type="character" w:customStyle="1" w:styleId="66">
    <w:name w:val="纯文本 Char1"/>
    <w:link w:val="20"/>
    <w:qFormat/>
    <w:uiPriority w:val="0"/>
    <w:rPr>
      <w:rFonts w:ascii="宋体" w:hAnsi="Courier New" w:eastAsia="宋体" w:cs="Courier New"/>
      <w:szCs w:val="21"/>
    </w:rPr>
  </w:style>
  <w:style w:type="character" w:customStyle="1" w:styleId="67">
    <w:name w:val="正文文本缩进 2 Char"/>
    <w:basedOn w:val="46"/>
    <w:link w:val="23"/>
    <w:qFormat/>
    <w:uiPriority w:val="0"/>
    <w:rPr>
      <w:rFonts w:ascii="Times New Roman" w:hAnsi="Times New Roman" w:eastAsia="宋体" w:cs="Times New Roman"/>
      <w:szCs w:val="24"/>
    </w:rPr>
  </w:style>
  <w:style w:type="character" w:customStyle="1" w:styleId="68">
    <w:name w:val="批注框文本 Char"/>
    <w:basedOn w:val="46"/>
    <w:link w:val="24"/>
    <w:qFormat/>
    <w:uiPriority w:val="0"/>
    <w:rPr>
      <w:rFonts w:ascii="Times New Roman" w:hAnsi="Times New Roman" w:eastAsia="宋体" w:cs="Times New Roman"/>
      <w:sz w:val="18"/>
      <w:szCs w:val="18"/>
    </w:rPr>
  </w:style>
  <w:style w:type="character" w:customStyle="1" w:styleId="69">
    <w:name w:val="页脚 Char"/>
    <w:basedOn w:val="46"/>
    <w:link w:val="25"/>
    <w:qFormat/>
    <w:uiPriority w:val="0"/>
    <w:rPr>
      <w:rFonts w:ascii="Times New Roman" w:hAnsi="Times New Roman" w:eastAsia="宋体" w:cs="Times New Roman"/>
      <w:sz w:val="18"/>
      <w:szCs w:val="18"/>
    </w:rPr>
  </w:style>
  <w:style w:type="character" w:customStyle="1" w:styleId="70">
    <w:name w:val="正文首行缩进 2 Char"/>
    <w:basedOn w:val="62"/>
    <w:link w:val="41"/>
    <w:qFormat/>
    <w:uiPriority w:val="0"/>
    <w:rPr>
      <w:rFonts w:ascii="Times New Roman" w:hAnsi="Times New Roman" w:eastAsia="宋体" w:cs="Times New Roman"/>
      <w:sz w:val="24"/>
      <w:szCs w:val="24"/>
    </w:rPr>
  </w:style>
  <w:style w:type="character" w:customStyle="1" w:styleId="71">
    <w:name w:val="页眉 Char"/>
    <w:basedOn w:val="46"/>
    <w:link w:val="26"/>
    <w:qFormat/>
    <w:uiPriority w:val="0"/>
    <w:rPr>
      <w:rFonts w:ascii="Times New Roman" w:hAnsi="Times New Roman" w:eastAsia="宋体" w:cs="Times New Roman"/>
      <w:sz w:val="18"/>
      <w:szCs w:val="18"/>
    </w:rPr>
  </w:style>
  <w:style w:type="character" w:customStyle="1" w:styleId="72">
    <w:name w:val="副标题 Char"/>
    <w:basedOn w:val="46"/>
    <w:link w:val="29"/>
    <w:qFormat/>
    <w:uiPriority w:val="0"/>
    <w:rPr>
      <w:rFonts w:ascii="Arial" w:hAnsi="Arial" w:eastAsia="宋体" w:cs="Arial"/>
      <w:b/>
      <w:bCs/>
      <w:kern w:val="28"/>
      <w:sz w:val="32"/>
      <w:szCs w:val="32"/>
    </w:rPr>
  </w:style>
  <w:style w:type="character" w:customStyle="1" w:styleId="73">
    <w:name w:val="正文文本缩进 3 Char"/>
    <w:basedOn w:val="46"/>
    <w:link w:val="32"/>
    <w:qFormat/>
    <w:uiPriority w:val="0"/>
    <w:rPr>
      <w:rFonts w:ascii="Times New Roman" w:hAnsi="Times New Roman" w:eastAsia="宋体" w:cs="Times New Roman"/>
      <w:sz w:val="16"/>
      <w:szCs w:val="16"/>
    </w:rPr>
  </w:style>
  <w:style w:type="character" w:customStyle="1" w:styleId="74">
    <w:name w:val="正文文本 2 Char"/>
    <w:basedOn w:val="46"/>
    <w:link w:val="35"/>
    <w:qFormat/>
    <w:uiPriority w:val="0"/>
    <w:rPr>
      <w:rFonts w:ascii="Times New Roman" w:hAnsi="Times New Roman" w:eastAsia="宋体" w:cs="Times New Roman"/>
      <w:szCs w:val="24"/>
    </w:rPr>
  </w:style>
  <w:style w:type="character" w:customStyle="1" w:styleId="75">
    <w:name w:val="HTML 预设格式 Char"/>
    <w:basedOn w:val="46"/>
    <w:link w:val="36"/>
    <w:qFormat/>
    <w:uiPriority w:val="0"/>
    <w:rPr>
      <w:rFonts w:ascii="Arial" w:hAnsi="Arial" w:eastAsia="宋体" w:cs="Arial"/>
      <w:kern w:val="0"/>
      <w:sz w:val="24"/>
      <w:szCs w:val="24"/>
    </w:rPr>
  </w:style>
  <w:style w:type="character" w:customStyle="1" w:styleId="76">
    <w:name w:val="标题 Char"/>
    <w:basedOn w:val="46"/>
    <w:link w:val="38"/>
    <w:qFormat/>
    <w:uiPriority w:val="0"/>
    <w:rPr>
      <w:rFonts w:ascii="Arial" w:hAnsi="Arial" w:eastAsia="宋体" w:cs="Arial"/>
      <w:b/>
      <w:bCs/>
      <w:sz w:val="32"/>
      <w:szCs w:val="32"/>
    </w:rPr>
  </w:style>
  <w:style w:type="character" w:customStyle="1" w:styleId="77">
    <w:name w:val="表标题 Char1"/>
    <w:qFormat/>
    <w:uiPriority w:val="0"/>
    <w:rPr>
      <w:rFonts w:eastAsia="黑体"/>
      <w:kern w:val="2"/>
      <w:sz w:val="28"/>
      <w:lang w:val="en-US" w:eastAsia="zh-CN" w:bidi="ar-SA"/>
    </w:rPr>
  </w:style>
  <w:style w:type="character" w:customStyle="1" w:styleId="78">
    <w:name w:val="1章 Char Char"/>
    <w:link w:val="79"/>
    <w:qFormat/>
    <w:uiPriority w:val="0"/>
    <w:rPr>
      <w:rFonts w:eastAsia="黑体"/>
      <w:color w:val="FF0000"/>
      <w:spacing w:val="20"/>
      <w:w w:val="110"/>
      <w:sz w:val="48"/>
      <w:szCs w:val="48"/>
    </w:rPr>
  </w:style>
  <w:style w:type="paragraph" w:customStyle="1" w:styleId="79">
    <w:name w:val="1章"/>
    <w:next w:val="1"/>
    <w:link w:val="78"/>
    <w:qFormat/>
    <w:uiPriority w:val="0"/>
    <w:pPr>
      <w:pageBreakBefore/>
      <w:widowControl w:val="0"/>
      <w:spacing w:beforeLines="350" w:afterLines="50" w:line="440" w:lineRule="exact"/>
      <w:outlineLvl w:val="1"/>
    </w:pPr>
    <w:rPr>
      <w:rFonts w:eastAsia="黑体" w:asciiTheme="minorHAnsi" w:hAnsiTheme="minorHAnsi" w:cstheme="minorBidi"/>
      <w:color w:val="FF0000"/>
      <w:spacing w:val="20"/>
      <w:w w:val="110"/>
      <w:kern w:val="2"/>
      <w:sz w:val="48"/>
      <w:szCs w:val="48"/>
      <w:lang w:val="en-US" w:eastAsia="zh-CN" w:bidi="ar-SA"/>
    </w:rPr>
  </w:style>
  <w:style w:type="character" w:customStyle="1" w:styleId="80">
    <w:name w:val="样式 F3 + 自动设置"/>
    <w:qFormat/>
    <w:uiPriority w:val="0"/>
    <w:rPr>
      <w:rFonts w:ascii="Times New Roman" w:hAnsi="Times New Roman" w:eastAsia="黑体" w:cs="宋体"/>
      <w:b/>
      <w:color w:val="auto"/>
      <w:spacing w:val="10"/>
      <w:w w:val="120"/>
      <w:kern w:val="0"/>
      <w:sz w:val="24"/>
      <w:lang w:val="en-US" w:eastAsia="zh-CN" w:bidi="ar-SA"/>
    </w:rPr>
  </w:style>
  <w:style w:type="character" w:customStyle="1" w:styleId="81">
    <w:name w:val="F3"/>
    <w:semiHidden/>
    <w:qFormat/>
    <w:uiPriority w:val="0"/>
    <w:rPr>
      <w:rFonts w:ascii="Times New Roman" w:hAnsi="Times New Roman" w:eastAsia="黑体" w:cs="宋体"/>
      <w:b/>
      <w:color w:val="FF0000"/>
      <w:w w:val="120"/>
      <w:sz w:val="24"/>
      <w:lang w:val="en-US" w:eastAsia="zh-CN" w:bidi="ar-SA"/>
    </w:rPr>
  </w:style>
  <w:style w:type="character" w:customStyle="1" w:styleId="82">
    <w:name w:val="标题 4 Char Char"/>
    <w:qFormat/>
    <w:uiPriority w:val="0"/>
    <w:rPr>
      <w:rFonts w:ascii="Arial" w:hAnsi="Arial" w:eastAsia="宋体" w:cs="Times New Roman"/>
      <w:b/>
      <w:bCs/>
      <w:sz w:val="24"/>
      <w:szCs w:val="28"/>
    </w:rPr>
  </w:style>
  <w:style w:type="character" w:customStyle="1" w:styleId="83">
    <w:name w:val="样式 样式 小四 段前: 7.8 磅 段后: 7.8 磅 行距: 1.5 倍行距 + 首行缩进:  2 字符 Char Char"/>
    <w:link w:val="84"/>
    <w:qFormat/>
    <w:uiPriority w:val="0"/>
    <w:rPr>
      <w:rFonts w:ascii="Arial" w:hAnsi="Arial" w:eastAsia="宋体"/>
      <w:sz w:val="24"/>
      <w:szCs w:val="24"/>
    </w:rPr>
  </w:style>
  <w:style w:type="paragraph" w:customStyle="1" w:styleId="84">
    <w:name w:val="样式 样式 小四 段前: 7.8 磅 段后: 7.8 磅 行距: 1.5 倍行距 + 首行缩进:  2 字符"/>
    <w:basedOn w:val="1"/>
    <w:link w:val="83"/>
    <w:qFormat/>
    <w:uiPriority w:val="0"/>
    <w:pPr>
      <w:ind w:left="36" w:leftChars="17" w:firstLine="480" w:firstLineChars="200"/>
    </w:pPr>
    <w:rPr>
      <w:rFonts w:ascii="Arial" w:hAnsi="Arial" w:cstheme="minorBidi"/>
      <w:sz w:val="24"/>
    </w:rPr>
  </w:style>
  <w:style w:type="character" w:customStyle="1" w:styleId="85">
    <w:name w:val="表文字 Char"/>
    <w:link w:val="86"/>
    <w:qFormat/>
    <w:uiPriority w:val="0"/>
    <w:rPr>
      <w:rFonts w:ascii="宋体" w:hAnsi="宋体" w:eastAsia="宋体"/>
      <w:snapToGrid w:val="0"/>
      <w:color w:val="000000"/>
      <w:szCs w:val="9"/>
    </w:rPr>
  </w:style>
  <w:style w:type="paragraph" w:customStyle="1" w:styleId="86">
    <w:name w:val="表文字"/>
    <w:basedOn w:val="1"/>
    <w:link w:val="85"/>
    <w:qFormat/>
    <w:uiPriority w:val="0"/>
    <w:pPr>
      <w:tabs>
        <w:tab w:val="left" w:pos="945"/>
        <w:tab w:val="right" w:leader="dot" w:pos="1155"/>
        <w:tab w:val="left" w:pos="8715"/>
      </w:tabs>
      <w:adjustRightInd w:val="0"/>
      <w:snapToGrid w:val="0"/>
      <w:spacing w:beforeLines="15" w:afterLines="15"/>
      <w:jc w:val="center"/>
      <w:textAlignment w:val="baseline"/>
    </w:pPr>
    <w:rPr>
      <w:rFonts w:ascii="宋体" w:hAnsi="宋体" w:cstheme="minorBidi"/>
      <w:snapToGrid w:val="0"/>
      <w:color w:val="000000"/>
      <w:szCs w:val="9"/>
    </w:rPr>
  </w:style>
  <w:style w:type="character" w:customStyle="1" w:styleId="87">
    <w:name w:val="报告正文 Char2"/>
    <w:link w:val="88"/>
    <w:qFormat/>
    <w:uiPriority w:val="0"/>
    <w:rPr>
      <w:rFonts w:ascii="Arial" w:hAnsi="Arial" w:eastAsia="宋体"/>
      <w:spacing w:val="14"/>
      <w:sz w:val="24"/>
      <w:szCs w:val="32"/>
    </w:rPr>
  </w:style>
  <w:style w:type="paragraph" w:customStyle="1" w:styleId="88">
    <w:name w:val="报告正文"/>
    <w:basedOn w:val="1"/>
    <w:link w:val="87"/>
    <w:qFormat/>
    <w:uiPriority w:val="0"/>
    <w:pPr>
      <w:ind w:firstLine="536" w:firstLineChars="200"/>
    </w:pPr>
    <w:rPr>
      <w:rFonts w:ascii="Arial" w:hAnsi="Arial" w:cstheme="minorBidi"/>
      <w:spacing w:val="14"/>
      <w:sz w:val="24"/>
      <w:szCs w:val="32"/>
    </w:rPr>
  </w:style>
  <w:style w:type="character" w:customStyle="1" w:styleId="89">
    <w:name w:val="1.1.1段 Char Char"/>
    <w:link w:val="90"/>
    <w:semiHidden/>
    <w:qFormat/>
    <w:uiPriority w:val="0"/>
    <w:rPr>
      <w:rFonts w:eastAsia="黑体"/>
      <w:color w:val="0000FF"/>
      <w:spacing w:val="10"/>
      <w:sz w:val="28"/>
      <w:szCs w:val="28"/>
    </w:rPr>
  </w:style>
  <w:style w:type="paragraph" w:customStyle="1" w:styleId="90">
    <w:name w:val="1.1.1段"/>
    <w:next w:val="1"/>
    <w:link w:val="89"/>
    <w:semiHidden/>
    <w:qFormat/>
    <w:uiPriority w:val="0"/>
    <w:pPr>
      <w:keepNext/>
      <w:widowControl w:val="0"/>
      <w:spacing w:beforeLines="75" w:line="440" w:lineRule="exact"/>
    </w:pPr>
    <w:rPr>
      <w:rFonts w:eastAsia="黑体" w:asciiTheme="minorHAnsi" w:hAnsiTheme="minorHAnsi" w:cstheme="minorBidi"/>
      <w:color w:val="0000FF"/>
      <w:spacing w:val="10"/>
      <w:kern w:val="2"/>
      <w:sz w:val="28"/>
      <w:szCs w:val="28"/>
      <w:lang w:val="en-US" w:eastAsia="zh-CN" w:bidi="ar-SA"/>
    </w:rPr>
  </w:style>
  <w:style w:type="character" w:customStyle="1" w:styleId="91">
    <w:name w:val="纯文本 Char Char2"/>
    <w:qFormat/>
    <w:uiPriority w:val="0"/>
    <w:rPr>
      <w:rFonts w:ascii="宋体" w:hAnsi="Courier New" w:eastAsia="宋体"/>
      <w:kern w:val="2"/>
      <w:sz w:val="28"/>
      <w:lang w:val="en-US" w:eastAsia="zh-CN" w:bidi="ar-SA"/>
    </w:rPr>
  </w:style>
  <w:style w:type="character" w:customStyle="1" w:styleId="92">
    <w:name w:val="小标题 Char"/>
    <w:qFormat/>
    <w:uiPriority w:val="0"/>
    <w:rPr>
      <w:rFonts w:eastAsia="宋体"/>
      <w:b/>
      <w:bCs/>
      <w:kern w:val="2"/>
      <w:sz w:val="24"/>
      <w:szCs w:val="32"/>
      <w:lang w:val="en-US" w:eastAsia="zh-CN" w:bidi="ar-SA"/>
    </w:rPr>
  </w:style>
  <w:style w:type="character" w:customStyle="1" w:styleId="93">
    <w:name w:val="图表 Char Char"/>
    <w:basedOn w:val="94"/>
    <w:qFormat/>
    <w:uiPriority w:val="0"/>
    <w:rPr>
      <w:rFonts w:ascii="Times New Roman" w:hAnsi="Times New Roman" w:eastAsia="宋体" w:cs="Times New Roman"/>
      <w:sz w:val="24"/>
      <w:szCs w:val="24"/>
    </w:rPr>
  </w:style>
  <w:style w:type="character" w:customStyle="1" w:styleId="94">
    <w:name w:val="图表题 Char Char"/>
    <w:qFormat/>
    <w:uiPriority w:val="0"/>
    <w:rPr>
      <w:rFonts w:ascii="Times New Roman" w:hAnsi="Times New Roman" w:eastAsia="宋体" w:cs="Times New Roman"/>
      <w:b/>
      <w:sz w:val="24"/>
      <w:szCs w:val="24"/>
    </w:rPr>
  </w:style>
  <w:style w:type="character" w:customStyle="1" w:styleId="95">
    <w:name w:val="样式 宋体 小四 行距: 1.5 倍行距 Char Char"/>
    <w:qFormat/>
    <w:uiPriority w:val="0"/>
    <w:rPr>
      <w:rFonts w:hAnsi="宋体" w:eastAsia="宋体"/>
      <w:bCs/>
      <w:szCs w:val="21"/>
      <w:lang w:val="zh-CN"/>
    </w:rPr>
  </w:style>
  <w:style w:type="character" w:customStyle="1" w:styleId="96">
    <w:name w:val="表头 Char"/>
    <w:qFormat/>
    <w:uiPriority w:val="0"/>
    <w:rPr>
      <w:rFonts w:eastAsia="黑体"/>
      <w:shadow/>
      <w:kern w:val="2"/>
      <w:sz w:val="24"/>
      <w:szCs w:val="24"/>
      <w:lang w:val="en-US" w:eastAsia="zh-CN" w:bidi="ar-SA"/>
    </w:rPr>
  </w:style>
  <w:style w:type="character" w:customStyle="1" w:styleId="97">
    <w:name w:val="自定义2 Char Char"/>
    <w:qFormat/>
    <w:uiPriority w:val="0"/>
    <w:rPr>
      <w:rFonts w:hAnsi="宋体" w:eastAsia="宋体"/>
      <w:kern w:val="2"/>
      <w:sz w:val="24"/>
      <w:szCs w:val="22"/>
      <w:lang w:val="en-US" w:eastAsia="zh-CN" w:bidi="ar-SA"/>
    </w:rPr>
  </w:style>
  <w:style w:type="character" w:customStyle="1" w:styleId="98">
    <w:name w:val="Char Char16"/>
    <w:qFormat/>
    <w:uiPriority w:val="0"/>
    <w:rPr>
      <w:rFonts w:eastAsia="宋体"/>
      <w:kern w:val="2"/>
      <w:sz w:val="18"/>
      <w:szCs w:val="18"/>
      <w:lang w:val="en-US" w:eastAsia="zh-CN" w:bidi="ar-SA"/>
    </w:rPr>
  </w:style>
  <w:style w:type="character" w:customStyle="1" w:styleId="99">
    <w:name w:val="表格 Char Char"/>
    <w:link w:val="100"/>
    <w:qFormat/>
    <w:uiPriority w:val="0"/>
    <w:rPr>
      <w:rFonts w:eastAsia="宋体"/>
      <w:szCs w:val="24"/>
    </w:rPr>
  </w:style>
  <w:style w:type="paragraph" w:customStyle="1" w:styleId="100">
    <w:name w:val="表格"/>
    <w:basedOn w:val="1"/>
    <w:link w:val="99"/>
    <w:qFormat/>
    <w:uiPriority w:val="0"/>
    <w:pPr>
      <w:adjustRightInd w:val="0"/>
      <w:snapToGrid w:val="0"/>
      <w:spacing w:line="320" w:lineRule="exact"/>
      <w:jc w:val="center"/>
    </w:pPr>
    <w:rPr>
      <w:rFonts w:asciiTheme="minorHAnsi" w:hAnsiTheme="minorHAnsi" w:cstheme="minorBidi"/>
    </w:rPr>
  </w:style>
  <w:style w:type="character" w:customStyle="1" w:styleId="101">
    <w:name w:val="列表 2 Char Char"/>
    <w:qFormat/>
    <w:uiPriority w:val="0"/>
    <w:rPr>
      <w:rFonts w:ascii="楷体_GB2312" w:hAnsi="宋体" w:eastAsia="楷体_GB2312" w:cs="Times New Roman"/>
      <w:color w:val="000000"/>
      <w:szCs w:val="28"/>
    </w:rPr>
  </w:style>
  <w:style w:type="character" w:customStyle="1" w:styleId="102">
    <w:name w:val="正文 Char"/>
    <w:link w:val="103"/>
    <w:uiPriority w:val="0"/>
    <w:rPr>
      <w:rFonts w:eastAsia="宋体" w:cs="宋体"/>
      <w:sz w:val="24"/>
    </w:rPr>
  </w:style>
  <w:style w:type="paragraph" w:customStyle="1" w:styleId="103">
    <w:name w:val="正文2"/>
    <w:basedOn w:val="1"/>
    <w:link w:val="102"/>
    <w:qFormat/>
    <w:uiPriority w:val="0"/>
    <w:pPr>
      <w:ind w:firstLine="480" w:firstLineChars="200"/>
    </w:pPr>
    <w:rPr>
      <w:rFonts w:cs="宋体" w:asciiTheme="minorHAnsi" w:hAnsiTheme="minorHAnsi"/>
      <w:sz w:val="24"/>
      <w:szCs w:val="22"/>
    </w:rPr>
  </w:style>
  <w:style w:type="character" w:customStyle="1" w:styleId="104">
    <w:name w:val="表格文字 Char"/>
    <w:qFormat/>
    <w:uiPriority w:val="0"/>
    <w:rPr>
      <w:rFonts w:hint="eastAsia" w:ascii="仿宋_GB2312" w:hAnsi="Arial Black" w:eastAsia="仿宋_GB2312"/>
      <w:kern w:val="44"/>
      <w:sz w:val="24"/>
      <w:szCs w:val="24"/>
      <w:lang w:val="en-US" w:eastAsia="zh-CN" w:bidi="ar-SA"/>
    </w:rPr>
  </w:style>
  <w:style w:type="character" w:customStyle="1" w:styleId="105">
    <w:name w:val="样式 1.1.1.1 分段 + 自动设置 Char Char"/>
    <w:basedOn w:val="106"/>
    <w:link w:val="108"/>
    <w:qFormat/>
    <w:uiPriority w:val="0"/>
    <w:rPr>
      <w:rFonts w:eastAsia="黑体"/>
      <w:snapToGrid w:val="0"/>
      <w:color w:val="993300"/>
      <w:spacing w:val="10"/>
      <w:sz w:val="24"/>
    </w:rPr>
  </w:style>
  <w:style w:type="character" w:customStyle="1" w:styleId="106">
    <w:name w:val="1.1.1.1 分段 Char Char"/>
    <w:link w:val="107"/>
    <w:qFormat/>
    <w:uiPriority w:val="0"/>
    <w:rPr>
      <w:rFonts w:eastAsia="黑体"/>
      <w:snapToGrid w:val="0"/>
      <w:color w:val="993300"/>
      <w:spacing w:val="10"/>
      <w:sz w:val="24"/>
    </w:rPr>
  </w:style>
  <w:style w:type="paragraph" w:customStyle="1" w:styleId="107">
    <w:name w:val="1.1.1.1 分段"/>
    <w:next w:val="1"/>
    <w:link w:val="106"/>
    <w:qFormat/>
    <w:uiPriority w:val="0"/>
    <w:pPr>
      <w:widowControl w:val="0"/>
      <w:spacing w:beforeLines="25" w:line="480" w:lineRule="exact"/>
      <w:ind w:firstLine="390" w:firstLineChars="150"/>
    </w:pPr>
    <w:rPr>
      <w:rFonts w:eastAsia="黑体" w:asciiTheme="minorHAnsi" w:hAnsiTheme="minorHAnsi" w:cstheme="minorBidi"/>
      <w:snapToGrid w:val="0"/>
      <w:color w:val="993300"/>
      <w:spacing w:val="10"/>
      <w:kern w:val="2"/>
      <w:sz w:val="24"/>
      <w:szCs w:val="22"/>
      <w:lang w:val="en-US" w:eastAsia="zh-CN" w:bidi="ar-SA"/>
    </w:rPr>
  </w:style>
  <w:style w:type="paragraph" w:customStyle="1" w:styleId="108">
    <w:name w:val="样式 1.1.1.1 分段 + 自动设置"/>
    <w:basedOn w:val="107"/>
    <w:link w:val="105"/>
    <w:qFormat/>
    <w:uiPriority w:val="0"/>
    <w:pPr>
      <w:spacing w:beforeLines="0"/>
    </w:pPr>
  </w:style>
  <w:style w:type="character" w:customStyle="1" w:styleId="109">
    <w:name w:val="表头 Char1"/>
    <w:link w:val="110"/>
    <w:qFormat/>
    <w:uiPriority w:val="0"/>
    <w:rPr>
      <w:rFonts w:hAnsi="宋体" w:eastAsia="宋体"/>
      <w:b/>
      <w:shadow/>
      <w:color w:val="000000"/>
      <w:sz w:val="24"/>
      <w:szCs w:val="24"/>
    </w:rPr>
  </w:style>
  <w:style w:type="paragraph" w:customStyle="1" w:styleId="110">
    <w:name w:val="表头"/>
    <w:basedOn w:val="1"/>
    <w:link w:val="109"/>
    <w:qFormat/>
    <w:uiPriority w:val="0"/>
    <w:pPr>
      <w:adjustRightInd w:val="0"/>
      <w:snapToGrid w:val="0"/>
      <w:jc w:val="center"/>
    </w:pPr>
    <w:rPr>
      <w:rFonts w:hAnsi="宋体" w:asciiTheme="minorHAnsi" w:cstheme="minorBidi"/>
      <w:b/>
      <w:shadow/>
      <w:color w:val="000000"/>
      <w:sz w:val="24"/>
      <w:shd w:val="clear" w:color="auto" w:fill="FFFFFF"/>
    </w:rPr>
  </w:style>
  <w:style w:type="character" w:customStyle="1" w:styleId="111">
    <w:name w:val="样式 表头 + 段前: 0.5 行 段后: 0.2 行2 Char Char"/>
    <w:link w:val="112"/>
    <w:qFormat/>
    <w:uiPriority w:val="0"/>
    <w:rPr>
      <w:rFonts w:eastAsia="黑体" w:cs="宋体"/>
      <w:shadow/>
      <w:color w:val="FF0000"/>
      <w:spacing w:val="20"/>
      <w:sz w:val="24"/>
      <w:szCs w:val="24"/>
    </w:rPr>
  </w:style>
  <w:style w:type="paragraph" w:customStyle="1" w:styleId="112">
    <w:name w:val="样式 表头 + 段前: 0.5 行 段后: 0.2 行2"/>
    <w:basedOn w:val="110"/>
    <w:link w:val="111"/>
    <w:qFormat/>
    <w:uiPriority w:val="0"/>
    <w:pPr>
      <w:widowControl/>
      <w:adjustRightInd/>
      <w:snapToGrid/>
      <w:spacing w:beforeLines="50" w:afterLines="20" w:line="400" w:lineRule="exact"/>
    </w:pPr>
    <w:rPr>
      <w:rFonts w:eastAsia="黑体" w:cs="宋体" w:hAnsiTheme="minorHAnsi"/>
      <w:b w:val="0"/>
      <w:color w:val="FF0000"/>
      <w:spacing w:val="20"/>
      <w:shd w:val="clear" w:color="auto" w:fill="auto"/>
    </w:rPr>
  </w:style>
  <w:style w:type="character" w:customStyle="1" w:styleId="113">
    <w:name w:val="表头 Char Char"/>
    <w:qFormat/>
    <w:uiPriority w:val="0"/>
    <w:rPr>
      <w:rFonts w:eastAsia="黑体"/>
      <w:shadow/>
      <w:kern w:val="2"/>
      <w:sz w:val="24"/>
      <w:szCs w:val="24"/>
      <w:lang w:val="en-US" w:eastAsia="zh-CN" w:bidi="ar-SA"/>
    </w:rPr>
  </w:style>
  <w:style w:type="character" w:customStyle="1" w:styleId="114">
    <w:name w:val="图表 Char"/>
    <w:link w:val="115"/>
    <w:qFormat/>
    <w:uiPriority w:val="0"/>
    <w:rPr>
      <w:rFonts w:eastAsia="宋体"/>
      <w:b/>
      <w:szCs w:val="24"/>
    </w:rPr>
  </w:style>
  <w:style w:type="paragraph" w:customStyle="1" w:styleId="115">
    <w:name w:val="图表"/>
    <w:basedOn w:val="116"/>
    <w:next w:val="1"/>
    <w:link w:val="114"/>
    <w:uiPriority w:val="0"/>
    <w:pPr>
      <w:spacing w:line="320" w:lineRule="exact"/>
    </w:pPr>
    <w:rPr>
      <w:rFonts w:asciiTheme="minorHAnsi" w:hAnsiTheme="minorHAnsi" w:cstheme="minorBidi"/>
      <w:sz w:val="21"/>
    </w:rPr>
  </w:style>
  <w:style w:type="paragraph" w:customStyle="1" w:styleId="116">
    <w:name w:val="图表题"/>
    <w:basedOn w:val="1"/>
    <w:next w:val="1"/>
    <w:link w:val="117"/>
    <w:qFormat/>
    <w:uiPriority w:val="0"/>
    <w:pPr>
      <w:wordWrap w:val="0"/>
      <w:topLinePunct/>
      <w:adjustRightInd w:val="0"/>
      <w:snapToGrid w:val="0"/>
      <w:jc w:val="center"/>
    </w:pPr>
    <w:rPr>
      <w:b/>
      <w:sz w:val="24"/>
    </w:rPr>
  </w:style>
  <w:style w:type="character" w:customStyle="1" w:styleId="117">
    <w:name w:val="图表题 Char"/>
    <w:link w:val="116"/>
    <w:qFormat/>
    <w:uiPriority w:val="0"/>
    <w:rPr>
      <w:rFonts w:ascii="Times New Roman" w:hAnsi="Times New Roman" w:eastAsia="宋体" w:cs="Times New Roman"/>
      <w:b/>
      <w:sz w:val="24"/>
      <w:szCs w:val="24"/>
    </w:rPr>
  </w:style>
  <w:style w:type="character" w:customStyle="1" w:styleId="118">
    <w:name w:val="三级标题 Char"/>
    <w:link w:val="119"/>
    <w:qFormat/>
    <w:uiPriority w:val="0"/>
    <w:rPr>
      <w:rFonts w:eastAsia="宋体"/>
      <w:b/>
      <w:sz w:val="28"/>
      <w:szCs w:val="28"/>
    </w:rPr>
  </w:style>
  <w:style w:type="paragraph" w:customStyle="1" w:styleId="119">
    <w:name w:val="三级标题"/>
    <w:basedOn w:val="1"/>
    <w:link w:val="118"/>
    <w:qFormat/>
    <w:uiPriority w:val="0"/>
    <w:pPr>
      <w:spacing w:line="580" w:lineRule="exact"/>
      <w:jc w:val="left"/>
    </w:pPr>
    <w:rPr>
      <w:rFonts w:asciiTheme="minorHAnsi" w:hAnsiTheme="minorHAnsi" w:cstheme="minorBidi"/>
      <w:b/>
      <w:sz w:val="28"/>
      <w:szCs w:val="28"/>
    </w:rPr>
  </w:style>
  <w:style w:type="character" w:customStyle="1" w:styleId="120">
    <w:name w:val="F2 Char Char"/>
    <w:link w:val="121"/>
    <w:semiHidden/>
    <w:qFormat/>
    <w:uiPriority w:val="0"/>
    <w:rPr>
      <w:rFonts w:eastAsia="楷体_GB2312"/>
      <w:b/>
      <w:color w:val="FF00FF"/>
      <w:spacing w:val="15"/>
      <w:w w:val="110"/>
      <w:sz w:val="36"/>
      <w:szCs w:val="32"/>
    </w:rPr>
  </w:style>
  <w:style w:type="paragraph" w:customStyle="1" w:styleId="121">
    <w:name w:val="F2"/>
    <w:next w:val="1"/>
    <w:link w:val="120"/>
    <w:semiHidden/>
    <w:qFormat/>
    <w:uiPriority w:val="0"/>
    <w:pPr>
      <w:spacing w:beforeLines="200" w:line="440" w:lineRule="exact"/>
    </w:pPr>
    <w:rPr>
      <w:rFonts w:eastAsia="楷体_GB2312" w:asciiTheme="minorHAnsi" w:hAnsiTheme="minorHAnsi" w:cstheme="minorBidi"/>
      <w:b/>
      <w:color w:val="FF00FF"/>
      <w:spacing w:val="15"/>
      <w:w w:val="110"/>
      <w:kern w:val="2"/>
      <w:sz w:val="36"/>
      <w:szCs w:val="32"/>
      <w:lang w:val="en-US" w:eastAsia="zh-CN" w:bidi="ar-SA"/>
    </w:rPr>
  </w:style>
  <w:style w:type="character" w:customStyle="1" w:styleId="122">
    <w:name w:val="三级标题 Char Char"/>
    <w:qFormat/>
    <w:uiPriority w:val="0"/>
    <w:rPr>
      <w:rFonts w:ascii="Times New Roman" w:hAnsi="Times New Roman" w:eastAsia="宋体" w:cs="Times New Roman"/>
      <w:b/>
      <w:sz w:val="28"/>
      <w:szCs w:val="28"/>
    </w:rPr>
  </w:style>
  <w:style w:type="character" w:customStyle="1" w:styleId="123">
    <w:name w:val="填表5中 Char"/>
    <w:link w:val="124"/>
    <w:qFormat/>
    <w:uiPriority w:val="0"/>
    <w:rPr>
      <w:rFonts w:ascii="宋体" w:eastAsia="宋体"/>
      <w:sz w:val="24"/>
      <w:szCs w:val="21"/>
    </w:rPr>
  </w:style>
  <w:style w:type="paragraph" w:customStyle="1" w:styleId="124">
    <w:name w:val="填表5中"/>
    <w:basedOn w:val="1"/>
    <w:next w:val="1"/>
    <w:link w:val="123"/>
    <w:qFormat/>
    <w:uiPriority w:val="0"/>
    <w:pPr>
      <w:spacing w:line="300" w:lineRule="exact"/>
      <w:jc w:val="center"/>
    </w:pPr>
    <w:rPr>
      <w:rFonts w:ascii="宋体" w:hAnsiTheme="minorHAnsi" w:cstheme="minorBidi"/>
      <w:sz w:val="24"/>
      <w:szCs w:val="21"/>
    </w:rPr>
  </w:style>
  <w:style w:type="character" w:customStyle="1" w:styleId="125">
    <w:name w:val="表文 Char1"/>
    <w:link w:val="126"/>
    <w:qFormat/>
    <w:uiPriority w:val="0"/>
    <w:rPr>
      <w:rFonts w:eastAsia="宋体"/>
      <w:szCs w:val="21"/>
    </w:rPr>
  </w:style>
  <w:style w:type="paragraph" w:customStyle="1" w:styleId="126">
    <w:name w:val="表文"/>
    <w:basedOn w:val="1"/>
    <w:link w:val="125"/>
    <w:qFormat/>
    <w:uiPriority w:val="0"/>
    <w:pPr>
      <w:jc w:val="center"/>
    </w:pPr>
    <w:rPr>
      <w:rFonts w:asciiTheme="minorHAnsi" w:hAnsiTheme="minorHAnsi" w:cstheme="minorBidi"/>
      <w:szCs w:val="21"/>
    </w:rPr>
  </w:style>
  <w:style w:type="character" w:customStyle="1" w:styleId="127">
    <w:name w:val="Char Char3"/>
    <w:qFormat/>
    <w:uiPriority w:val="0"/>
    <w:rPr>
      <w:rFonts w:eastAsia="宋体"/>
      <w:kern w:val="2"/>
      <w:sz w:val="21"/>
      <w:szCs w:val="24"/>
      <w:lang w:val="en-US" w:eastAsia="zh-CN" w:bidi="ar-SA"/>
    </w:rPr>
  </w:style>
  <w:style w:type="character" w:customStyle="1" w:styleId="128">
    <w:name w:val="1.1 节 Char Char"/>
    <w:link w:val="129"/>
    <w:semiHidden/>
    <w:qFormat/>
    <w:uiPriority w:val="0"/>
    <w:rPr>
      <w:rFonts w:eastAsia="楷体_GB2312"/>
      <w:bCs/>
      <w:snapToGrid w:val="0"/>
      <w:color w:val="FF00FF"/>
      <w:spacing w:val="15"/>
      <w:w w:val="110"/>
      <w:sz w:val="36"/>
      <w:szCs w:val="32"/>
    </w:rPr>
  </w:style>
  <w:style w:type="paragraph" w:customStyle="1" w:styleId="129">
    <w:name w:val="1.1 节"/>
    <w:next w:val="1"/>
    <w:link w:val="128"/>
    <w:semiHidden/>
    <w:qFormat/>
    <w:uiPriority w:val="0"/>
    <w:pPr>
      <w:keepNext/>
      <w:widowControl w:val="0"/>
      <w:spacing w:beforeLines="150" w:line="440" w:lineRule="exact"/>
      <w:outlineLvl w:val="2"/>
    </w:pPr>
    <w:rPr>
      <w:rFonts w:eastAsia="楷体_GB2312" w:asciiTheme="minorHAnsi" w:hAnsiTheme="minorHAnsi" w:cstheme="minorBidi"/>
      <w:bCs/>
      <w:snapToGrid w:val="0"/>
      <w:color w:val="FF00FF"/>
      <w:spacing w:val="15"/>
      <w:w w:val="110"/>
      <w:kern w:val="2"/>
      <w:sz w:val="36"/>
      <w:szCs w:val="32"/>
      <w:lang w:val="en-US" w:eastAsia="zh-CN" w:bidi="ar-SA"/>
    </w:rPr>
  </w:style>
  <w:style w:type="character" w:customStyle="1" w:styleId="130">
    <w:name w:val="Char Char27"/>
    <w:qFormat/>
    <w:locked/>
    <w:uiPriority w:val="0"/>
    <w:rPr>
      <w:rFonts w:hint="eastAsia" w:ascii="宋体" w:hAnsi="宋体" w:eastAsia="宋体"/>
      <w:kern w:val="2"/>
      <w:sz w:val="21"/>
      <w:szCs w:val="21"/>
      <w:lang w:val="en-US" w:eastAsia="zh-CN" w:bidi="ar-SA"/>
    </w:rPr>
  </w:style>
  <w:style w:type="character" w:customStyle="1" w:styleId="131">
    <w:name w:val="赵 Char Char"/>
    <w:link w:val="132"/>
    <w:qFormat/>
    <w:uiPriority w:val="0"/>
    <w:rPr>
      <w:rFonts w:eastAsia="宋体"/>
      <w:color w:val="000000"/>
      <w:sz w:val="24"/>
      <w:szCs w:val="24"/>
    </w:rPr>
  </w:style>
  <w:style w:type="paragraph" w:customStyle="1" w:styleId="132">
    <w:name w:val="赵"/>
    <w:basedOn w:val="1"/>
    <w:link w:val="131"/>
    <w:qFormat/>
    <w:uiPriority w:val="0"/>
    <w:pPr>
      <w:ind w:firstLine="200" w:firstLineChars="200"/>
    </w:pPr>
    <w:rPr>
      <w:rFonts w:asciiTheme="minorHAnsi" w:hAnsiTheme="minorHAnsi" w:cstheme="minorBidi"/>
      <w:color w:val="000000"/>
      <w:sz w:val="24"/>
    </w:rPr>
  </w:style>
  <w:style w:type="character" w:customStyle="1" w:styleId="133">
    <w:name w:val="headline-content2"/>
    <w:basedOn w:val="46"/>
    <w:qFormat/>
    <w:uiPriority w:val="0"/>
  </w:style>
  <w:style w:type="character" w:customStyle="1" w:styleId="134">
    <w:name w:val="【表头】 Char Char"/>
    <w:link w:val="135"/>
    <w:qFormat/>
    <w:uiPriority w:val="0"/>
    <w:rPr>
      <w:rFonts w:eastAsia="宋体"/>
      <w:b/>
      <w:szCs w:val="24"/>
    </w:rPr>
  </w:style>
  <w:style w:type="paragraph" w:customStyle="1" w:styleId="135">
    <w:name w:val="【表头】"/>
    <w:basedOn w:val="1"/>
    <w:link w:val="134"/>
    <w:qFormat/>
    <w:uiPriority w:val="0"/>
    <w:pPr>
      <w:jc w:val="center"/>
    </w:pPr>
    <w:rPr>
      <w:rFonts w:asciiTheme="minorHAnsi" w:hAnsiTheme="minorHAnsi" w:cstheme="minorBidi"/>
      <w:b/>
    </w:rPr>
  </w:style>
  <w:style w:type="character" w:customStyle="1" w:styleId="136">
    <w:name w:val="表格文字 Char Char"/>
    <w:qFormat/>
    <w:uiPriority w:val="0"/>
    <w:rPr>
      <w:rFonts w:hint="eastAsia" w:ascii="仿宋_GB2312" w:hAnsi="Arial Black" w:eastAsia="仿宋_GB2312"/>
      <w:kern w:val="44"/>
      <w:sz w:val="24"/>
      <w:szCs w:val="24"/>
      <w:lang w:val="en-US" w:eastAsia="zh-CN" w:bidi="ar-SA"/>
    </w:rPr>
  </w:style>
  <w:style w:type="character" w:customStyle="1" w:styleId="137">
    <w:name w:val="正文文本 Char Char"/>
    <w:qFormat/>
    <w:uiPriority w:val="0"/>
    <w:rPr>
      <w:rFonts w:eastAsia="宋体"/>
      <w:kern w:val="2"/>
      <w:sz w:val="21"/>
      <w:szCs w:val="24"/>
      <w:lang w:val="en-US" w:eastAsia="zh-CN" w:bidi="ar-SA"/>
    </w:rPr>
  </w:style>
  <w:style w:type="character" w:customStyle="1" w:styleId="138">
    <w:name w:val="表格 Char Char Char"/>
    <w:qFormat/>
    <w:uiPriority w:val="0"/>
    <w:rPr>
      <w:rFonts w:eastAsia="宋体"/>
      <w:kern w:val="2"/>
      <w:sz w:val="21"/>
      <w:lang w:val="en-US" w:eastAsia="zh-CN" w:bidi="ar-SA"/>
    </w:rPr>
  </w:style>
  <w:style w:type="character" w:customStyle="1" w:styleId="139">
    <w:name w:val="样式 cucd-0 + (西文) Arial (中文) 仿宋_GB2312 Char Char"/>
    <w:link w:val="140"/>
    <w:qFormat/>
    <w:uiPriority w:val="0"/>
    <w:rPr>
      <w:rFonts w:ascii="Arial" w:hAnsi="Arial" w:eastAsia="仿宋_GB2312"/>
      <w:sz w:val="28"/>
      <w:szCs w:val="24"/>
    </w:rPr>
  </w:style>
  <w:style w:type="paragraph" w:customStyle="1" w:styleId="140">
    <w:name w:val="样式 cucd-0 + (西文) Arial (中文) 仿宋_GB2312"/>
    <w:basedOn w:val="1"/>
    <w:link w:val="139"/>
    <w:qFormat/>
    <w:uiPriority w:val="0"/>
    <w:pPr>
      <w:widowControl/>
      <w:ind w:firstLine="480" w:firstLineChars="200"/>
      <w:jc w:val="left"/>
    </w:pPr>
    <w:rPr>
      <w:rFonts w:ascii="Arial" w:hAnsi="Arial" w:eastAsia="仿宋_GB2312" w:cstheme="minorBidi"/>
      <w:sz w:val="28"/>
    </w:rPr>
  </w:style>
  <w:style w:type="character" w:customStyle="1" w:styleId="141">
    <w:name w:val="样式 宋体 小四 行距: 1.5 倍行距 Char"/>
    <w:link w:val="142"/>
    <w:qFormat/>
    <w:uiPriority w:val="0"/>
    <w:rPr>
      <w:rFonts w:hAnsi="宋体" w:eastAsia="宋体"/>
      <w:bCs/>
      <w:szCs w:val="21"/>
      <w:lang w:val="zh-CN"/>
    </w:rPr>
  </w:style>
  <w:style w:type="paragraph" w:customStyle="1" w:styleId="142">
    <w:name w:val="样式 宋体 小四 行距: 1.5 倍行距"/>
    <w:basedOn w:val="1"/>
    <w:link w:val="141"/>
    <w:qFormat/>
    <w:uiPriority w:val="0"/>
    <w:pPr>
      <w:ind w:firstLine="420" w:firstLineChars="200"/>
    </w:pPr>
    <w:rPr>
      <w:rFonts w:hAnsi="宋体" w:asciiTheme="minorHAnsi" w:cstheme="minorBidi"/>
      <w:bCs/>
      <w:szCs w:val="21"/>
      <w:lang w:val="zh-CN"/>
    </w:rPr>
  </w:style>
  <w:style w:type="character" w:customStyle="1" w:styleId="143">
    <w:name w:val="表格（熊） Char Char"/>
    <w:link w:val="144"/>
    <w:semiHidden/>
    <w:qFormat/>
    <w:uiPriority w:val="0"/>
    <w:rPr>
      <w:rFonts w:eastAsia="楷体_GB2312"/>
      <w:szCs w:val="21"/>
    </w:rPr>
  </w:style>
  <w:style w:type="paragraph" w:customStyle="1" w:styleId="144">
    <w:name w:val="表格（熊）"/>
    <w:link w:val="143"/>
    <w:semiHidden/>
    <w:qFormat/>
    <w:uiPriority w:val="0"/>
    <w:pPr>
      <w:spacing w:line="360" w:lineRule="exact"/>
      <w:jc w:val="center"/>
    </w:pPr>
    <w:rPr>
      <w:rFonts w:eastAsia="楷体_GB2312" w:asciiTheme="minorHAnsi" w:hAnsiTheme="minorHAnsi" w:cstheme="minorBidi"/>
      <w:kern w:val="2"/>
      <w:sz w:val="21"/>
      <w:szCs w:val="21"/>
      <w:lang w:val="en-US" w:eastAsia="zh-CN" w:bidi="ar-SA"/>
    </w:rPr>
  </w:style>
  <w:style w:type="character" w:customStyle="1" w:styleId="145">
    <w:name w:val="正文文本缩进 3 Char Char"/>
    <w:qFormat/>
    <w:uiPriority w:val="0"/>
    <w:rPr>
      <w:rFonts w:ascii="Times New Roman" w:hAnsi="Times New Roman" w:eastAsia="宋体" w:cs="Times New Roman"/>
      <w:sz w:val="16"/>
      <w:szCs w:val="16"/>
    </w:rPr>
  </w:style>
  <w:style w:type="character" w:customStyle="1" w:styleId="146">
    <w:name w:val="表标题 Char Char"/>
    <w:link w:val="147"/>
    <w:qFormat/>
    <w:uiPriority w:val="0"/>
    <w:rPr>
      <w:rFonts w:ascii="Arial" w:hAnsi="Arial" w:eastAsia="宋体"/>
      <w:b/>
      <w:spacing w:val="14"/>
      <w:sz w:val="28"/>
      <w:szCs w:val="32"/>
    </w:rPr>
  </w:style>
  <w:style w:type="paragraph" w:customStyle="1" w:styleId="147">
    <w:name w:val="表标题"/>
    <w:basedOn w:val="1"/>
    <w:next w:val="1"/>
    <w:link w:val="146"/>
    <w:qFormat/>
    <w:uiPriority w:val="0"/>
    <w:pPr>
      <w:adjustRightInd w:val="0"/>
      <w:snapToGrid w:val="0"/>
      <w:spacing w:beforeLines="50" w:afterLines="20" w:line="300" w:lineRule="auto"/>
      <w:jc w:val="center"/>
      <w:textAlignment w:val="baseline"/>
    </w:pPr>
    <w:rPr>
      <w:rFonts w:ascii="Arial" w:hAnsi="Arial" w:cstheme="minorBidi"/>
      <w:b/>
      <w:spacing w:val="14"/>
      <w:sz w:val="28"/>
      <w:szCs w:val="32"/>
    </w:rPr>
  </w:style>
  <w:style w:type="character" w:customStyle="1" w:styleId="148">
    <w:name w:val="style3"/>
    <w:basedOn w:val="46"/>
    <w:qFormat/>
    <w:uiPriority w:val="0"/>
  </w:style>
  <w:style w:type="character" w:customStyle="1" w:styleId="149">
    <w:name w:val="样式 1.1.1段 + 自动设置 Char Char"/>
    <w:basedOn w:val="89"/>
    <w:link w:val="150"/>
    <w:qFormat/>
    <w:uiPriority w:val="0"/>
    <w:rPr>
      <w:rFonts w:eastAsia="黑体"/>
      <w:color w:val="0000FF"/>
      <w:spacing w:val="10"/>
      <w:sz w:val="28"/>
      <w:szCs w:val="28"/>
    </w:rPr>
  </w:style>
  <w:style w:type="paragraph" w:customStyle="1" w:styleId="150">
    <w:name w:val="样式 1.1.1段 + 自动设置"/>
    <w:basedOn w:val="90"/>
    <w:link w:val="149"/>
    <w:qFormat/>
    <w:uiPriority w:val="0"/>
    <w:pPr>
      <w:spacing w:beforeLines="0"/>
    </w:pPr>
  </w:style>
  <w:style w:type="character" w:customStyle="1" w:styleId="151">
    <w:name w:val="Char Char15"/>
    <w:qFormat/>
    <w:uiPriority w:val="0"/>
    <w:rPr>
      <w:rFonts w:eastAsia="宋体"/>
      <w:kern w:val="2"/>
      <w:sz w:val="18"/>
      <w:szCs w:val="18"/>
      <w:lang w:val="en-US" w:eastAsia="zh-CN" w:bidi="ar-SA"/>
    </w:rPr>
  </w:style>
  <w:style w:type="character" w:customStyle="1" w:styleId="152">
    <w:name w:val="自定义2 Char"/>
    <w:link w:val="153"/>
    <w:qFormat/>
    <w:uiPriority w:val="0"/>
    <w:rPr>
      <w:rFonts w:hAnsi="宋体" w:eastAsia="宋体"/>
      <w:sz w:val="24"/>
    </w:rPr>
  </w:style>
  <w:style w:type="paragraph" w:customStyle="1" w:styleId="153">
    <w:name w:val="自定义2"/>
    <w:basedOn w:val="1"/>
    <w:link w:val="152"/>
    <w:qFormat/>
    <w:uiPriority w:val="0"/>
    <w:pPr>
      <w:ind w:firstLine="480" w:firstLineChars="200"/>
    </w:pPr>
    <w:rPr>
      <w:rFonts w:hAnsi="宋体" w:asciiTheme="minorHAnsi" w:cstheme="minorBidi"/>
      <w:sz w:val="24"/>
      <w:szCs w:val="22"/>
    </w:rPr>
  </w:style>
  <w:style w:type="character" w:customStyle="1" w:styleId="154">
    <w:name w:val="wj样式 Char Char"/>
    <w:link w:val="155"/>
    <w:qFormat/>
    <w:uiPriority w:val="0"/>
    <w:rPr>
      <w:rFonts w:ascii="Arial" w:hAnsi="Arial" w:eastAsia="宋体"/>
      <w:spacing w:val="14"/>
      <w:sz w:val="24"/>
      <w:szCs w:val="24"/>
    </w:rPr>
  </w:style>
  <w:style w:type="paragraph" w:customStyle="1" w:styleId="155">
    <w:name w:val="wj样式"/>
    <w:basedOn w:val="1"/>
    <w:next w:val="1"/>
    <w:link w:val="154"/>
    <w:qFormat/>
    <w:uiPriority w:val="0"/>
    <w:pPr>
      <w:ind w:firstLine="200" w:firstLineChars="200"/>
    </w:pPr>
    <w:rPr>
      <w:rFonts w:ascii="Arial" w:hAnsi="Arial" w:cstheme="minorBidi"/>
      <w:spacing w:val="14"/>
      <w:sz w:val="24"/>
    </w:rPr>
  </w:style>
  <w:style w:type="paragraph" w:customStyle="1" w:styleId="156">
    <w:name w:val="Char4 Char Char Char"/>
    <w:basedOn w:val="1"/>
    <w:qFormat/>
    <w:uiPriority w:val="0"/>
    <w:pPr>
      <w:snapToGrid w:val="0"/>
      <w:ind w:firstLine="200" w:firstLineChars="200"/>
    </w:pPr>
    <w:rPr>
      <w:color w:val="000000"/>
      <w:sz w:val="24"/>
      <w:szCs w:val="20"/>
    </w:rPr>
  </w:style>
  <w:style w:type="paragraph" w:customStyle="1" w:styleId="157">
    <w:name w:val="列出段落1"/>
    <w:basedOn w:val="1"/>
    <w:qFormat/>
    <w:uiPriority w:val="34"/>
    <w:pPr>
      <w:ind w:firstLine="420" w:firstLineChars="200"/>
    </w:pPr>
    <w:rPr>
      <w:rFonts w:ascii="Calibri" w:hAnsi="Calibri"/>
      <w:szCs w:val="22"/>
    </w:rPr>
  </w:style>
  <w:style w:type="paragraph" w:customStyle="1" w:styleId="158">
    <w:name w:val="表题"/>
    <w:basedOn w:val="1"/>
    <w:next w:val="100"/>
    <w:qFormat/>
    <w:uiPriority w:val="0"/>
    <w:pPr>
      <w:adjustRightInd w:val="0"/>
      <w:snapToGrid w:val="0"/>
      <w:ind w:firstLine="482"/>
      <w:jc w:val="center"/>
    </w:pPr>
    <w:rPr>
      <w:b/>
      <w:bCs/>
      <w:sz w:val="24"/>
      <w:szCs w:val="20"/>
    </w:rPr>
  </w:style>
  <w:style w:type="paragraph" w:customStyle="1" w:styleId="159">
    <w:name w:val="标题4"/>
    <w:basedOn w:val="1"/>
    <w:qFormat/>
    <w:uiPriority w:val="0"/>
    <w:pPr>
      <w:tabs>
        <w:tab w:val="left" w:pos="1848"/>
        <w:tab w:val="left" w:pos="6061"/>
        <w:tab w:val="left" w:pos="8665"/>
      </w:tabs>
      <w:wordWrap w:val="0"/>
      <w:topLinePunct/>
      <w:adjustRightInd w:val="0"/>
      <w:snapToGrid w:val="0"/>
    </w:pPr>
    <w:rPr>
      <w:rFonts w:ascii="Arial" w:hAnsi="Arial" w:cs="Arial"/>
      <w:b/>
      <w:bCs/>
      <w:sz w:val="24"/>
    </w:rPr>
  </w:style>
  <w:style w:type="paragraph" w:customStyle="1" w:styleId="160">
    <w:name w:val="默认段落字体 Para Char Char Char Char Char Char Char Char Char Char"/>
    <w:basedOn w:val="1"/>
    <w:qFormat/>
    <w:uiPriority w:val="0"/>
    <w:pPr>
      <w:adjustRightInd w:val="0"/>
      <w:spacing w:line="360" w:lineRule="atLeast"/>
      <w:textAlignment w:val="baseline"/>
    </w:pPr>
    <w:rPr>
      <w:szCs w:val="21"/>
    </w:rPr>
  </w:style>
  <w:style w:type="paragraph" w:customStyle="1" w:styleId="161">
    <w:name w:val="样式1"/>
    <w:basedOn w:val="1"/>
    <w:next w:val="16"/>
    <w:qFormat/>
    <w:uiPriority w:val="0"/>
    <w:pPr>
      <w:adjustRightInd w:val="0"/>
      <w:snapToGrid w:val="0"/>
      <w:ind w:firstLine="200" w:firstLineChars="200"/>
      <w:jc w:val="center"/>
    </w:pPr>
    <w:rPr>
      <w:rFonts w:ascii="仿宋_GB2312" w:hAnsi="宋体" w:eastAsia="仿宋_GB2312"/>
      <w:bCs/>
      <w:sz w:val="24"/>
    </w:rPr>
  </w:style>
  <w:style w:type="paragraph" w:customStyle="1" w:styleId="162">
    <w:name w:val="Char Char Char Char Char Char"/>
    <w:basedOn w:val="1"/>
    <w:qFormat/>
    <w:uiPriority w:val="0"/>
  </w:style>
  <w:style w:type="paragraph" w:customStyle="1" w:styleId="163">
    <w:name w:val="Char Char Char Char Char Char Char Char Char Char Char Char2 Char"/>
    <w:basedOn w:val="1"/>
    <w:qFormat/>
    <w:uiPriority w:val="0"/>
    <w:pPr>
      <w:widowControl/>
      <w:spacing w:after="160" w:line="240" w:lineRule="exact"/>
      <w:jc w:val="left"/>
    </w:pPr>
  </w:style>
  <w:style w:type="paragraph" w:customStyle="1" w:styleId="164">
    <w:name w:val="样式 列表 2 + 华文仿宋 居中"/>
    <w:basedOn w:val="15"/>
    <w:qFormat/>
    <w:uiPriority w:val="0"/>
    <w:pPr>
      <w:adjustRightInd w:val="0"/>
      <w:snapToGrid w:val="0"/>
      <w:jc w:val="center"/>
    </w:pPr>
    <w:rPr>
      <w:rFonts w:ascii="Times New Roman" w:hAnsi="Times New Roman" w:cs="宋体"/>
      <w:szCs w:val="21"/>
    </w:rPr>
  </w:style>
  <w:style w:type="paragraph" w:customStyle="1" w:styleId="165">
    <w:name w:val="样式3"/>
    <w:basedOn w:val="1"/>
    <w:qFormat/>
    <w:uiPriority w:val="0"/>
    <w:pPr>
      <w:ind w:firstLine="200" w:firstLineChars="200"/>
    </w:pPr>
  </w:style>
  <w:style w:type="paragraph" w:customStyle="1" w:styleId="166">
    <w:name w:val="Char2 Char Char Char Char Char Char"/>
    <w:basedOn w:val="1"/>
    <w:qFormat/>
    <w:uiPriority w:val="0"/>
    <w:pPr>
      <w:snapToGrid w:val="0"/>
      <w:ind w:firstLine="200" w:firstLineChars="200"/>
    </w:pPr>
    <w:rPr>
      <w:rFonts w:eastAsia="仿宋_GB2312"/>
      <w:sz w:val="24"/>
    </w:rPr>
  </w:style>
  <w:style w:type="paragraph" w:customStyle="1" w:styleId="167">
    <w:name w:val="二级无标题条"/>
    <w:basedOn w:val="1"/>
    <w:qFormat/>
    <w:uiPriority w:val="0"/>
  </w:style>
  <w:style w:type="paragraph" w:customStyle="1" w:styleId="168">
    <w:name w:val="p22"/>
    <w:basedOn w:val="1"/>
    <w:qFormat/>
    <w:uiPriority w:val="0"/>
    <w:pPr>
      <w:widowControl/>
      <w:snapToGrid w:val="0"/>
      <w:jc w:val="center"/>
    </w:pPr>
    <w:rPr>
      <w:kern w:val="0"/>
      <w:sz w:val="24"/>
    </w:rPr>
  </w:style>
  <w:style w:type="paragraph" w:customStyle="1" w:styleId="169">
    <w:name w:val="_Style 32"/>
    <w:basedOn w:val="1"/>
    <w:qFormat/>
    <w:uiPriority w:val="0"/>
    <w:rPr>
      <w:szCs w:val="20"/>
    </w:rPr>
  </w:style>
  <w:style w:type="paragraph" w:customStyle="1" w:styleId="170">
    <w:name w:val="Char Char Char Char Char Char2 Char"/>
    <w:basedOn w:val="1"/>
    <w:qFormat/>
    <w:uiPriority w:val="0"/>
    <w:pPr>
      <w:widowControl/>
      <w:spacing w:after="160" w:line="240" w:lineRule="exact"/>
      <w:jc w:val="left"/>
    </w:pPr>
    <w:rPr>
      <w:szCs w:val="20"/>
    </w:rPr>
  </w:style>
  <w:style w:type="paragraph" w:customStyle="1" w:styleId="171">
    <w:name w:val="列出段落11"/>
    <w:basedOn w:val="1"/>
    <w:qFormat/>
    <w:uiPriority w:val="0"/>
    <w:pPr>
      <w:ind w:firstLine="420" w:firstLineChars="200"/>
    </w:pPr>
    <w:rPr>
      <w:rFonts w:ascii="Calibri" w:hAnsi="Calibri"/>
      <w:color w:val="000000"/>
      <w:sz w:val="24"/>
      <w:szCs w:val="22"/>
    </w:rPr>
  </w:style>
  <w:style w:type="paragraph" w:customStyle="1" w:styleId="172">
    <w:name w:val="Default"/>
    <w:qFormat/>
    <w:uiPriority w:val="0"/>
    <w:pPr>
      <w:widowControl w:val="0"/>
      <w:autoSpaceDE w:val="0"/>
      <w:autoSpaceDN w:val="0"/>
      <w:adjustRightInd w:val="0"/>
      <w:spacing w:line="360" w:lineRule="auto"/>
    </w:pPr>
    <w:rPr>
      <w:rFonts w:ascii="宋体" w:hAnsi="Times New Roman" w:eastAsia="宋体" w:cs="宋体"/>
      <w:color w:val="000000"/>
      <w:sz w:val="24"/>
      <w:szCs w:val="24"/>
      <w:lang w:val="en-US" w:eastAsia="zh-CN" w:bidi="ar-SA"/>
    </w:rPr>
  </w:style>
  <w:style w:type="paragraph" w:customStyle="1" w:styleId="173">
    <w:name w:val="xl24"/>
    <w:basedOn w:val="1"/>
    <w:qFormat/>
    <w:uiPriority w:val="0"/>
    <w:pPr>
      <w:widowControl/>
      <w:spacing w:before="100" w:beforeAutospacing="1" w:after="100" w:afterAutospacing="1"/>
      <w:jc w:val="center"/>
    </w:pPr>
    <w:rPr>
      <w:rFonts w:ascii="宋体" w:hAnsi="宋体"/>
      <w:kern w:val="0"/>
      <w:sz w:val="24"/>
    </w:rPr>
  </w:style>
  <w:style w:type="paragraph" w:customStyle="1" w:styleId="174">
    <w:name w:val="表图题注"/>
    <w:basedOn w:val="1"/>
    <w:next w:val="1"/>
    <w:qFormat/>
    <w:uiPriority w:val="0"/>
    <w:pPr>
      <w:jc w:val="center"/>
    </w:pPr>
    <w:rPr>
      <w:b/>
      <w:sz w:val="24"/>
      <w:szCs w:val="22"/>
    </w:rPr>
  </w:style>
  <w:style w:type="paragraph" w:customStyle="1" w:styleId="175">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76">
    <w:name w:val="Char Char Char Char1"/>
    <w:basedOn w:val="1"/>
    <w:qFormat/>
    <w:uiPriority w:val="0"/>
    <w:rPr>
      <w:szCs w:val="21"/>
    </w:rPr>
  </w:style>
  <w:style w:type="paragraph" w:customStyle="1" w:styleId="177">
    <w:name w:val="样式 标题 3头 Char Char标题 3XW3h33rd levelH3l3CT标题 3 Char Cha..."/>
    <w:basedOn w:val="4"/>
    <w:qFormat/>
    <w:uiPriority w:val="0"/>
    <w:pPr>
      <w:spacing w:line="240" w:lineRule="auto"/>
      <w:jc w:val="left"/>
    </w:pPr>
    <w:rPr>
      <w:rFonts w:eastAsia="Adobe 黑体 Std R" w:cs="Arial"/>
    </w:rPr>
  </w:style>
  <w:style w:type="paragraph" w:customStyle="1" w:styleId="178">
    <w:name w:val="标题3 Char Char Char Char"/>
    <w:basedOn w:val="1"/>
    <w:qFormat/>
    <w:uiPriority w:val="0"/>
    <w:pPr>
      <w:spacing w:afterLines="50" w:line="560" w:lineRule="exact"/>
    </w:pPr>
    <w:rPr>
      <w:rFonts w:eastAsia="黑体"/>
      <w:sz w:val="30"/>
      <w:szCs w:val="30"/>
    </w:rPr>
  </w:style>
  <w:style w:type="paragraph" w:customStyle="1" w:styleId="179">
    <w:name w:val="表格文字"/>
    <w:basedOn w:val="1"/>
    <w:qFormat/>
    <w:uiPriority w:val="0"/>
    <w:pPr>
      <w:jc w:val="center"/>
    </w:pPr>
    <w:rPr>
      <w:rFonts w:ascii="仿宋_GB2312" w:hAnsi="Arial Black" w:eastAsia="仿宋_GB2312"/>
      <w:kern w:val="44"/>
      <w:sz w:val="24"/>
    </w:rPr>
  </w:style>
  <w:style w:type="paragraph" w:customStyle="1" w:styleId="180">
    <w:name w:val="Char"/>
    <w:basedOn w:val="1"/>
    <w:next w:val="41"/>
    <w:qFormat/>
    <w:uiPriority w:val="0"/>
    <w:rPr>
      <w:sz w:val="24"/>
    </w:rPr>
  </w:style>
  <w:style w:type="paragraph" w:customStyle="1" w:styleId="181">
    <w:name w:val="Char1"/>
    <w:basedOn w:val="1"/>
    <w:qFormat/>
    <w:uiPriority w:val="0"/>
    <w:pPr>
      <w:snapToGrid w:val="0"/>
      <w:ind w:firstLine="200" w:firstLineChars="200"/>
    </w:pPr>
    <w:rPr>
      <w:rFonts w:eastAsia="仿宋_GB2312"/>
      <w:sz w:val="24"/>
    </w:rPr>
  </w:style>
  <w:style w:type="paragraph" w:customStyle="1" w:styleId="182">
    <w:name w:val="表格格式"/>
    <w:basedOn w:val="1"/>
    <w:next w:val="1"/>
    <w:qFormat/>
    <w:uiPriority w:val="0"/>
    <w:rPr>
      <w:szCs w:val="22"/>
    </w:rPr>
  </w:style>
  <w:style w:type="paragraph" w:customStyle="1" w:styleId="183">
    <w:name w:val="Char4 Char Char Char1"/>
    <w:basedOn w:val="1"/>
    <w:qFormat/>
    <w:uiPriority w:val="0"/>
    <w:pPr>
      <w:snapToGrid w:val="0"/>
      <w:ind w:firstLine="200" w:firstLineChars="200"/>
    </w:pPr>
    <w:rPr>
      <w:szCs w:val="20"/>
    </w:rPr>
  </w:style>
  <w:style w:type="paragraph" w:customStyle="1" w:styleId="184">
    <w:name w:val="Char Char Char Char Char Char Char"/>
    <w:basedOn w:val="1"/>
    <w:semiHidden/>
    <w:qFormat/>
    <w:uiPriority w:val="0"/>
    <w:rPr>
      <w:sz w:val="18"/>
      <w:szCs w:val="18"/>
    </w:rPr>
  </w:style>
  <w:style w:type="paragraph" w:customStyle="1" w:styleId="185">
    <w:name w:val="Char Char Char Char Char Char Char Char Char Char Char Char Char Char Char Char"/>
    <w:basedOn w:val="1"/>
    <w:qFormat/>
    <w:uiPriority w:val="0"/>
    <w:pPr>
      <w:ind w:firstLine="200" w:firstLineChars="200"/>
    </w:pPr>
    <w:rPr>
      <w:rFonts w:ascii="宋体" w:hAnsi="宋体" w:cs="宋体"/>
      <w:sz w:val="24"/>
    </w:rPr>
  </w:style>
  <w:style w:type="paragraph" w:customStyle="1" w:styleId="186">
    <w:name w:val="普通(网站)1"/>
    <w:basedOn w:val="1"/>
    <w:qFormat/>
    <w:uiPriority w:val="0"/>
    <w:pPr>
      <w:widowControl/>
      <w:spacing w:before="100" w:beforeAutospacing="1" w:after="100" w:afterAutospacing="1"/>
      <w:ind w:firstLine="200" w:firstLineChars="200"/>
      <w:jc w:val="left"/>
    </w:pPr>
    <w:rPr>
      <w:rFonts w:ascii="宋体" w:hAnsi="宋体" w:cs="宋体"/>
      <w:color w:val="000000"/>
      <w:kern w:val="0"/>
      <w:sz w:val="24"/>
    </w:rPr>
  </w:style>
  <w:style w:type="paragraph" w:customStyle="1" w:styleId="187">
    <w:name w:val="样式 四号 首行缩进:  1.92 字符"/>
    <w:basedOn w:val="1"/>
    <w:qFormat/>
    <w:uiPriority w:val="0"/>
    <w:pPr>
      <w:widowControl/>
      <w:ind w:firstLine="560" w:firstLineChars="200"/>
    </w:pPr>
    <w:rPr>
      <w:color w:val="000000"/>
      <w:sz w:val="28"/>
      <w:szCs w:val="28"/>
    </w:rPr>
  </w:style>
  <w:style w:type="paragraph" w:customStyle="1" w:styleId="188">
    <w:name w:val="纯文本11"/>
    <w:basedOn w:val="1"/>
    <w:qFormat/>
    <w:uiPriority w:val="0"/>
    <w:pPr>
      <w:spacing w:line="240" w:lineRule="atLeast"/>
      <w:ind w:firstLine="200" w:firstLineChars="200"/>
    </w:pPr>
    <w:rPr>
      <w:rFonts w:ascii="宋体" w:hAnsi="Courier New" w:cs="Courier New"/>
      <w:color w:val="000000"/>
      <w:sz w:val="24"/>
      <w:szCs w:val="21"/>
    </w:rPr>
  </w:style>
  <w:style w:type="paragraph" w:customStyle="1" w:styleId="189">
    <w:name w:val="Char11"/>
    <w:basedOn w:val="1"/>
    <w:qFormat/>
    <w:uiPriority w:val="0"/>
    <w:pPr>
      <w:snapToGrid w:val="0"/>
      <w:ind w:firstLine="200" w:firstLineChars="200"/>
    </w:pPr>
    <w:rPr>
      <w:rFonts w:eastAsia="仿宋_GB2312"/>
      <w:color w:val="000000"/>
      <w:sz w:val="24"/>
    </w:rPr>
  </w:style>
  <w:style w:type="paragraph" w:customStyle="1" w:styleId="190">
    <w:name w:val="正文缩进1"/>
    <w:basedOn w:val="1"/>
    <w:qFormat/>
    <w:uiPriority w:val="0"/>
    <w:pPr>
      <w:wordWrap w:val="0"/>
      <w:topLinePunct/>
      <w:adjustRightInd w:val="0"/>
      <w:snapToGrid w:val="0"/>
      <w:ind w:firstLine="420" w:firstLineChars="200"/>
    </w:pPr>
    <w:rPr>
      <w:color w:val="000000"/>
      <w:sz w:val="24"/>
    </w:rPr>
  </w:style>
  <w:style w:type="paragraph" w:customStyle="1" w:styleId="191">
    <w:name w:val="1 Char"/>
    <w:basedOn w:val="1"/>
    <w:qFormat/>
    <w:uiPriority w:val="0"/>
    <w:rPr>
      <w:szCs w:val="20"/>
    </w:rPr>
  </w:style>
  <w:style w:type="paragraph" w:customStyle="1" w:styleId="192">
    <w:name w:val="p0"/>
    <w:basedOn w:val="1"/>
    <w:qFormat/>
    <w:uiPriority w:val="0"/>
    <w:pPr>
      <w:widowControl/>
    </w:pPr>
    <w:rPr>
      <w:kern w:val="0"/>
      <w:szCs w:val="21"/>
    </w:rPr>
  </w:style>
  <w:style w:type="paragraph" w:customStyle="1" w:styleId="193">
    <w:name w:val="样式 样式  小四 黑色 居中 首行缩进:  2 字符 行距: 固定值 18 磅 + 首行缩进:  0.85 厘米"/>
    <w:basedOn w:val="1"/>
    <w:qFormat/>
    <w:uiPriority w:val="0"/>
    <w:pPr>
      <w:spacing w:after="156" w:line="360" w:lineRule="exact"/>
      <w:jc w:val="center"/>
    </w:pPr>
    <w:rPr>
      <w:rFonts w:ascii="仿宋_GB2312" w:hAnsi="仿宋_GB2312" w:cs="宋体"/>
      <w:b/>
      <w:bCs/>
      <w:sz w:val="24"/>
      <w:szCs w:val="20"/>
    </w:rPr>
  </w:style>
  <w:style w:type="paragraph" w:customStyle="1" w:styleId="194">
    <w:name w:val="Char12"/>
    <w:basedOn w:val="1"/>
    <w:qFormat/>
    <w:uiPriority w:val="0"/>
  </w:style>
  <w:style w:type="paragraph" w:customStyle="1" w:styleId="195">
    <w:name w:val="样式 宋体 四号 行距: 1.5 倍行距"/>
    <w:basedOn w:val="1"/>
    <w:qFormat/>
    <w:uiPriority w:val="0"/>
    <w:pPr>
      <w:ind w:firstLine="560" w:firstLineChars="200"/>
    </w:pPr>
    <w:rPr>
      <w:rFonts w:ascii="宋体" w:hAnsi="宋体" w:cs="宋体"/>
      <w:sz w:val="28"/>
      <w:szCs w:val="28"/>
    </w:rPr>
  </w:style>
  <w:style w:type="character" w:customStyle="1" w:styleId="196">
    <w:name w:val="正文（首行缩进两字） Char"/>
    <w:qFormat/>
    <w:uiPriority w:val="0"/>
    <w:rPr>
      <w:rFonts w:eastAsia="宋体"/>
      <w:kern w:val="2"/>
      <w:sz w:val="24"/>
      <w:lang w:val="en-US" w:eastAsia="zh-CN"/>
    </w:rPr>
  </w:style>
  <w:style w:type="paragraph" w:customStyle="1" w:styleId="197">
    <w:name w:val="xl30"/>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olor w:val="FF0000"/>
      <w:kern w:val="0"/>
      <w:szCs w:val="21"/>
    </w:rPr>
  </w:style>
  <w:style w:type="character" w:customStyle="1" w:styleId="198">
    <w:name w:val="批注文字 Char1"/>
    <w:semiHidden/>
    <w:qFormat/>
    <w:locked/>
    <w:uiPriority w:val="0"/>
    <w:rPr>
      <w:kern w:val="2"/>
      <w:sz w:val="21"/>
      <w:szCs w:val="24"/>
    </w:rPr>
  </w:style>
  <w:style w:type="paragraph" w:customStyle="1" w:styleId="199">
    <w:name w:val="正文加粗"/>
    <w:basedOn w:val="1"/>
    <w:qFormat/>
    <w:uiPriority w:val="0"/>
    <w:pPr>
      <w:ind w:firstLine="200" w:firstLineChars="200"/>
    </w:pPr>
    <w:rPr>
      <w:b/>
      <w:sz w:val="24"/>
      <w:szCs w:val="22"/>
    </w:rPr>
  </w:style>
  <w:style w:type="paragraph" w:customStyle="1" w:styleId="200">
    <w:name w:val="表头文字"/>
    <w:basedOn w:val="1"/>
    <w:qFormat/>
    <w:uiPriority w:val="0"/>
    <w:pPr>
      <w:jc w:val="center"/>
    </w:pPr>
    <w:rPr>
      <w:b/>
      <w:szCs w:val="22"/>
    </w:rPr>
  </w:style>
  <w:style w:type="paragraph" w:customStyle="1" w:styleId="201">
    <w:name w:val="列出段落2"/>
    <w:basedOn w:val="1"/>
    <w:unhideWhenUsed/>
    <w:qFormat/>
    <w:uiPriority w:val="99"/>
    <w:pPr>
      <w:ind w:firstLine="420" w:firstLineChars="200"/>
    </w:pPr>
  </w:style>
  <w:style w:type="paragraph" w:customStyle="1" w:styleId="202">
    <w:name w:val="标题2"/>
    <w:basedOn w:val="3"/>
    <w:next w:val="3"/>
    <w:qFormat/>
    <w:uiPriority w:val="0"/>
    <w:pPr>
      <w:spacing w:before="0" w:after="0"/>
    </w:pPr>
    <w:rPr>
      <w:rFonts w:ascii="Times New Roman" w:hAnsi="Times New Roman"/>
      <w:kern w:val="0"/>
      <w:sz w:val="32"/>
    </w:rPr>
  </w:style>
  <w:style w:type="paragraph" w:customStyle="1" w:styleId="203">
    <w:name w:val="正常段落"/>
    <w:basedOn w:val="9"/>
    <w:link w:val="204"/>
    <w:qFormat/>
    <w:uiPriority w:val="0"/>
    <w:pPr>
      <w:wordWrap/>
      <w:topLinePunct w:val="0"/>
      <w:adjustRightInd/>
      <w:snapToGrid/>
      <w:spacing w:line="440" w:lineRule="exact"/>
      <w:ind w:firstLine="0" w:firstLineChars="0"/>
    </w:pPr>
    <w:rPr>
      <w:rFonts w:ascii="宋体"/>
      <w:szCs w:val="20"/>
      <w:lang w:val="zh-CN"/>
    </w:rPr>
  </w:style>
  <w:style w:type="character" w:customStyle="1" w:styleId="204">
    <w:name w:val="正常段落 Char"/>
    <w:link w:val="203"/>
    <w:qFormat/>
    <w:uiPriority w:val="0"/>
    <w:rPr>
      <w:rFonts w:ascii="宋体" w:hAnsi="Times New Roman" w:eastAsia="宋体" w:cs="Times New Roman"/>
      <w:sz w:val="24"/>
      <w:szCs w:val="20"/>
      <w:lang w:val="zh-CN" w:eastAsia="zh-CN"/>
    </w:rPr>
  </w:style>
  <w:style w:type="paragraph" w:customStyle="1" w:styleId="205">
    <w:name w:val="标题3"/>
    <w:basedOn w:val="4"/>
    <w:next w:val="4"/>
    <w:qFormat/>
    <w:uiPriority w:val="0"/>
    <w:pPr>
      <w:spacing w:before="0" w:after="0" w:line="360" w:lineRule="auto"/>
    </w:pPr>
    <w:rPr>
      <w:kern w:val="0"/>
      <w:sz w:val="30"/>
    </w:rPr>
  </w:style>
  <w:style w:type="character" w:customStyle="1" w:styleId="206">
    <w:name w:val="正文缩进 Char1"/>
    <w:qFormat/>
    <w:uiPriority w:val="0"/>
    <w:rPr>
      <w:rFonts w:eastAsia="宋体"/>
      <w:kern w:val="2"/>
      <w:sz w:val="28"/>
      <w:szCs w:val="24"/>
      <w:lang w:val="en-US" w:eastAsia="zh-CN" w:bidi="ar-SA"/>
    </w:rPr>
  </w:style>
  <w:style w:type="paragraph" w:customStyle="1" w:styleId="207">
    <w:name w:val="正文1"/>
    <w:basedOn w:val="1"/>
    <w:qFormat/>
    <w:uiPriority w:val="0"/>
    <w:pPr>
      <w:adjustRightInd w:val="0"/>
      <w:snapToGrid w:val="0"/>
      <w:spacing w:line="500" w:lineRule="atLeast"/>
      <w:ind w:firstLine="567"/>
    </w:pPr>
    <w:rPr>
      <w:sz w:val="28"/>
      <w:szCs w:val="20"/>
    </w:rPr>
  </w:style>
  <w:style w:type="paragraph" w:customStyle="1" w:styleId="208">
    <w:name w:val="默认段落字体 Para Char"/>
    <w:basedOn w:val="1"/>
    <w:qFormat/>
    <w:uiPriority w:val="0"/>
    <w:pPr>
      <w:ind w:firstLine="200" w:firstLineChars="200"/>
    </w:pPr>
    <w:rPr>
      <w:szCs w:val="20"/>
    </w:rPr>
  </w:style>
  <w:style w:type="character" w:customStyle="1" w:styleId="209">
    <w:name w:val="日期 Char"/>
    <w:basedOn w:val="46"/>
    <w:link w:val="22"/>
    <w:qFormat/>
    <w:uiPriority w:val="0"/>
    <w:rPr>
      <w:rFonts w:ascii="Times New Roman" w:hAnsi="Times New Roman" w:eastAsia="宋体" w:cs="Times New Roman"/>
      <w:szCs w:val="24"/>
      <w:lang w:val="zh-CN" w:eastAsia="zh-CN"/>
    </w:rPr>
  </w:style>
  <w:style w:type="paragraph" w:customStyle="1" w:styleId="210">
    <w:name w:val="Char1 Char Char Char Char Char Char Char Char Char"/>
    <w:basedOn w:val="1"/>
    <w:qFormat/>
    <w:uiPriority w:val="0"/>
    <w:pPr>
      <w:widowControl/>
      <w:spacing w:after="160" w:line="240" w:lineRule="exact"/>
      <w:ind w:left="835"/>
      <w:jc w:val="left"/>
    </w:pPr>
    <w:rPr>
      <w:rFonts w:ascii="Arial" w:hAnsi="Arial"/>
      <w:spacing w:val="-5"/>
      <w:kern w:val="0"/>
      <w:sz w:val="20"/>
      <w:szCs w:val="20"/>
      <w:lang w:bidi="he-IL"/>
    </w:rPr>
  </w:style>
  <w:style w:type="paragraph" w:customStyle="1" w:styleId="211">
    <w:name w:val="表格2"/>
    <w:basedOn w:val="1"/>
    <w:qFormat/>
    <w:uiPriority w:val="0"/>
    <w:pPr>
      <w:spacing w:line="400" w:lineRule="exact"/>
      <w:jc w:val="center"/>
    </w:pPr>
    <w:rPr>
      <w:szCs w:val="20"/>
    </w:rPr>
  </w:style>
  <w:style w:type="paragraph" w:customStyle="1" w:styleId="212">
    <w:name w:val="表1表2"/>
    <w:basedOn w:val="1"/>
    <w:qFormat/>
    <w:uiPriority w:val="0"/>
    <w:pPr>
      <w:autoSpaceDE w:val="0"/>
      <w:autoSpaceDN w:val="0"/>
      <w:adjustRightInd w:val="0"/>
      <w:spacing w:line="240" w:lineRule="auto"/>
      <w:jc w:val="center"/>
      <w:textAlignment w:val="center"/>
    </w:pPr>
    <w:rPr>
      <w:rFonts w:eastAsia="仿宋_GB2312"/>
      <w:kern w:val="0"/>
      <w:szCs w:val="21"/>
    </w:rPr>
  </w:style>
  <w:style w:type="character" w:customStyle="1" w:styleId="213">
    <w:name w:val="表格内容 Char"/>
    <w:link w:val="214"/>
    <w:qFormat/>
    <w:uiPriority w:val="0"/>
    <w:rPr>
      <w:szCs w:val="21"/>
    </w:rPr>
  </w:style>
  <w:style w:type="paragraph" w:customStyle="1" w:styleId="214">
    <w:name w:val="表格内容"/>
    <w:basedOn w:val="1"/>
    <w:next w:val="1"/>
    <w:link w:val="213"/>
    <w:qFormat/>
    <w:uiPriority w:val="0"/>
    <w:pPr>
      <w:adjustRightInd w:val="0"/>
      <w:spacing w:line="240" w:lineRule="auto"/>
      <w:jc w:val="center"/>
    </w:pPr>
    <w:rPr>
      <w:rFonts w:asciiTheme="minorHAnsi" w:hAnsiTheme="minorHAnsi" w:eastAsiaTheme="minorEastAsia" w:cstheme="minorBidi"/>
      <w:szCs w:val="21"/>
    </w:rPr>
  </w:style>
  <w:style w:type="paragraph" w:customStyle="1" w:styleId="215">
    <w:name w:val="表格首行"/>
    <w:basedOn w:val="1"/>
    <w:next w:val="1"/>
    <w:qFormat/>
    <w:uiPriority w:val="0"/>
    <w:pPr>
      <w:adjustRightInd w:val="0"/>
      <w:spacing w:line="240" w:lineRule="auto"/>
      <w:jc w:val="center"/>
    </w:pPr>
    <w:rPr>
      <w:rFonts w:cs="宋体"/>
      <w:b/>
      <w:szCs w:val="20"/>
    </w:rPr>
  </w:style>
  <w:style w:type="character" w:customStyle="1" w:styleId="216">
    <w:name w:val="apple-converted-space"/>
    <w:basedOn w:val="46"/>
    <w:qFormat/>
    <w:uiPriority w:val="0"/>
  </w:style>
  <w:style w:type="character" w:customStyle="1" w:styleId="217">
    <w:name w:val="表格 Char"/>
    <w:qFormat/>
    <w:uiPriority w:val="0"/>
    <w:rPr>
      <w:bCs/>
      <w:szCs w:val="28"/>
    </w:rPr>
  </w:style>
  <w:style w:type="character" w:customStyle="1" w:styleId="218">
    <w:name w:val="【表中文字】 Char"/>
    <w:link w:val="219"/>
    <w:qFormat/>
    <w:uiPriority w:val="0"/>
    <w:rPr>
      <w:rFonts w:eastAsia="宋体"/>
    </w:rPr>
  </w:style>
  <w:style w:type="paragraph" w:customStyle="1" w:styleId="219">
    <w:name w:val="【表中文字】"/>
    <w:basedOn w:val="1"/>
    <w:link w:val="218"/>
    <w:qFormat/>
    <w:uiPriority w:val="0"/>
    <w:pPr>
      <w:ind w:firstLine="200" w:firstLineChars="200"/>
      <w:jc w:val="center"/>
    </w:pPr>
    <w:rPr>
      <w:rFonts w:asciiTheme="minorHAnsi" w:hAnsiTheme="minorHAnsi" w:cstheme="minorBidi"/>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36.jpeg"/><Relationship Id="rId7" Type="http://schemas.openxmlformats.org/officeDocument/2006/relationships/footer" Target="footer2.xml"/><Relationship Id="rId69" Type="http://schemas.openxmlformats.org/officeDocument/2006/relationships/image" Target="media/image35.jpeg"/><Relationship Id="rId68" Type="http://schemas.openxmlformats.org/officeDocument/2006/relationships/image" Target="media/image34.jpeg"/><Relationship Id="rId67" Type="http://schemas.openxmlformats.org/officeDocument/2006/relationships/image" Target="media/image33.jpeg"/><Relationship Id="rId66" Type="http://schemas.openxmlformats.org/officeDocument/2006/relationships/image" Target="media/image32.wmf"/><Relationship Id="rId65" Type="http://schemas.openxmlformats.org/officeDocument/2006/relationships/oleObject" Target="embeddings/oleObject20.bin"/><Relationship Id="rId64" Type="http://schemas.openxmlformats.org/officeDocument/2006/relationships/image" Target="media/image31.wmf"/><Relationship Id="rId63" Type="http://schemas.openxmlformats.org/officeDocument/2006/relationships/oleObject" Target="embeddings/oleObject19.bin"/><Relationship Id="rId62" Type="http://schemas.openxmlformats.org/officeDocument/2006/relationships/image" Target="media/image30.wmf"/><Relationship Id="rId61" Type="http://schemas.openxmlformats.org/officeDocument/2006/relationships/oleObject" Target="embeddings/oleObject18.bin"/><Relationship Id="rId60" Type="http://schemas.openxmlformats.org/officeDocument/2006/relationships/image" Target="media/image29.wmf"/><Relationship Id="rId6" Type="http://schemas.openxmlformats.org/officeDocument/2006/relationships/footer" Target="footer1.xml"/><Relationship Id="rId59" Type="http://schemas.openxmlformats.org/officeDocument/2006/relationships/oleObject" Target="embeddings/oleObject17.bin"/><Relationship Id="rId58" Type="http://schemas.openxmlformats.org/officeDocument/2006/relationships/image" Target="media/image28.wmf"/><Relationship Id="rId57" Type="http://schemas.openxmlformats.org/officeDocument/2006/relationships/oleObject" Target="embeddings/oleObject16.bin"/><Relationship Id="rId56" Type="http://schemas.openxmlformats.org/officeDocument/2006/relationships/image" Target="media/image27.wmf"/><Relationship Id="rId55" Type="http://schemas.openxmlformats.org/officeDocument/2006/relationships/oleObject" Target="embeddings/oleObject15.bin"/><Relationship Id="rId54" Type="http://schemas.openxmlformats.org/officeDocument/2006/relationships/image" Target="media/image26.wmf"/><Relationship Id="rId53" Type="http://schemas.openxmlformats.org/officeDocument/2006/relationships/oleObject" Target="embeddings/oleObject14.bin"/><Relationship Id="rId52" Type="http://schemas.openxmlformats.org/officeDocument/2006/relationships/image" Target="media/image25.wmf"/><Relationship Id="rId51" Type="http://schemas.openxmlformats.org/officeDocument/2006/relationships/oleObject" Target="embeddings/oleObject13.bin"/><Relationship Id="rId50" Type="http://schemas.openxmlformats.org/officeDocument/2006/relationships/image" Target="media/image24.wmf"/><Relationship Id="rId5" Type="http://schemas.openxmlformats.org/officeDocument/2006/relationships/header" Target="header1.xml"/><Relationship Id="rId49" Type="http://schemas.openxmlformats.org/officeDocument/2006/relationships/oleObject" Target="embeddings/oleObject12.bin"/><Relationship Id="rId48" Type="http://schemas.openxmlformats.org/officeDocument/2006/relationships/image" Target="media/image23.wmf"/><Relationship Id="rId47" Type="http://schemas.openxmlformats.org/officeDocument/2006/relationships/oleObject" Target="embeddings/oleObject11.bin"/><Relationship Id="rId46" Type="http://schemas.openxmlformats.org/officeDocument/2006/relationships/image" Target="media/image22.wmf"/><Relationship Id="rId45" Type="http://schemas.openxmlformats.org/officeDocument/2006/relationships/oleObject" Target="embeddings/oleObject10.bin"/><Relationship Id="rId44" Type="http://schemas.openxmlformats.org/officeDocument/2006/relationships/image" Target="media/image21.wmf"/><Relationship Id="rId43" Type="http://schemas.openxmlformats.org/officeDocument/2006/relationships/oleObject" Target="embeddings/oleObject9.bin"/><Relationship Id="rId42" Type="http://schemas.openxmlformats.org/officeDocument/2006/relationships/image" Target="media/image20.wmf"/><Relationship Id="rId41" Type="http://schemas.openxmlformats.org/officeDocument/2006/relationships/oleObject" Target="embeddings/oleObject8.bin"/><Relationship Id="rId40" Type="http://schemas.openxmlformats.org/officeDocument/2006/relationships/image" Target="media/image19.wmf"/><Relationship Id="rId4" Type="http://schemas.openxmlformats.org/officeDocument/2006/relationships/endnotes" Target="endnotes.xml"/><Relationship Id="rId39" Type="http://schemas.openxmlformats.org/officeDocument/2006/relationships/oleObject" Target="embeddings/oleObject7.bin"/><Relationship Id="rId38" Type="http://schemas.openxmlformats.org/officeDocument/2006/relationships/image" Target="media/image18.wmf"/><Relationship Id="rId37" Type="http://schemas.openxmlformats.org/officeDocument/2006/relationships/oleObject" Target="embeddings/oleObject6.bin"/><Relationship Id="rId36" Type="http://schemas.openxmlformats.org/officeDocument/2006/relationships/image" Target="media/image17.wmf"/><Relationship Id="rId35" Type="http://schemas.openxmlformats.org/officeDocument/2006/relationships/oleObject" Target="embeddings/oleObject5.bin"/><Relationship Id="rId34" Type="http://schemas.openxmlformats.org/officeDocument/2006/relationships/image" Target="media/image16.wmf"/><Relationship Id="rId33" Type="http://schemas.openxmlformats.org/officeDocument/2006/relationships/image" Target="media/image15.jpeg"/><Relationship Id="rId32" Type="http://schemas.openxmlformats.org/officeDocument/2006/relationships/image" Target="media/image14.emf"/><Relationship Id="rId31" Type="http://schemas.openxmlformats.org/officeDocument/2006/relationships/oleObject" Target="embeddings/oleObject4.bin"/><Relationship Id="rId30" Type="http://schemas.openxmlformats.org/officeDocument/2006/relationships/image" Target="media/image13.e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2.emf"/><Relationship Id="rId27" Type="http://schemas.openxmlformats.org/officeDocument/2006/relationships/oleObject" Target="embeddings/oleObject2.bin"/><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B27D6-51BB-4C99-B889-12DA98CB9EFB}">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134</Pages>
  <Words>74281</Words>
  <Characters>87298</Characters>
  <Lines>698</Lines>
  <Paragraphs>196</Paragraphs>
  <TotalTime>4766</TotalTime>
  <ScaleCrop>false</ScaleCrop>
  <LinksUpToDate>false</LinksUpToDate>
  <CharactersWithSpaces>87860</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2018-04-11T04:01:00Z</dcterms:created>
  <dc:creator>xb21cn</dc:creator>
  <cp:lastModifiedBy>亚永辉</cp:lastModifiedBy>
  <cp:lastPrinted>2019-01-03T14:04:00Z</cp:lastPrinted>
  <dcterms:modified xsi:type="dcterms:W3CDTF">2025-01-15T08:09:36Z</dcterms:modified>
  <cp:revision>455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ICV">
    <vt:lpwstr>9BDC6B0F267A43B5B891B1FED0C8ACB9</vt:lpwstr>
  </property>
</Properties>
</file>