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Arial Unicode MS" w:hAnsi="Arial Unicode MS" w:eastAsia="Arial Unicode MS" w:cs="Arial Unicode MS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 Unicode MS" w:hAnsi="Arial Unicode MS" w:eastAsia="Arial Unicode MS" w:cs="Arial Unicode MS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新平县综合行政执法局2024年</w:t>
      </w:r>
      <w:r>
        <w:rPr>
          <w:rFonts w:hint="eastAsia" w:ascii="Arial Unicode MS" w:hAnsi="Arial Unicode MS" w:eastAsia="Arial Unicode MS" w:cs="Arial Unicode MS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年度法治政府建设</w:t>
      </w:r>
      <w:r>
        <w:rPr>
          <w:rFonts w:hint="eastAsia" w:ascii="Arial Unicode MS" w:hAnsi="Arial Unicode MS" w:eastAsia="Arial Unicode MS" w:cs="Arial Unicode MS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Helvetica"/>
          <w:i w:val="0"/>
          <w:iCs w:val="0"/>
          <w:caps w:val="0"/>
          <w:color w:val="000000"/>
          <w:spacing w:val="0"/>
          <w:sz w:val="32"/>
          <w:szCs w:val="27"/>
          <w:shd w:val="clear" w:fill="FFFFFF"/>
        </w:rPr>
        <w:t>治政府建设是全面依法治国的重点任务和主体工程，是推进国家治理体系和治理能力现代化的重要支撑。今年以来，我局坚持以习近平新时代中国特色社会主义思想为指导，深入贯彻落实习近平法治思想，深入学习贯彻党的二十大和二十届三中全会精神，认真落实《法治政府建设实施纲要（2021—2025年）》目标任务，紧紧围绕</w:t>
      </w:r>
      <w:r>
        <w:rPr>
          <w:rFonts w:hint="eastAsia" w:ascii="Times New Roman" w:hAnsi="Times New Roman" w:eastAsia="仿宋_GB2312" w:cs="Helvetica"/>
          <w:i w:val="0"/>
          <w:iCs w:val="0"/>
          <w:caps w:val="0"/>
          <w:color w:val="000000"/>
          <w:spacing w:val="0"/>
          <w:sz w:val="32"/>
          <w:szCs w:val="27"/>
          <w:shd w:val="clear" w:fill="FFFFFF"/>
          <w:lang w:val="en-US" w:eastAsia="zh-CN"/>
        </w:rPr>
        <w:t>县</w:t>
      </w:r>
      <w:r>
        <w:rPr>
          <w:rFonts w:ascii="Times New Roman" w:hAnsi="Times New Roman" w:eastAsia="仿宋_GB2312" w:cs="Helvetica"/>
          <w:i w:val="0"/>
          <w:iCs w:val="0"/>
          <w:caps w:val="0"/>
          <w:color w:val="000000"/>
          <w:spacing w:val="0"/>
          <w:sz w:val="32"/>
          <w:szCs w:val="27"/>
          <w:shd w:val="clear" w:fill="FFFFFF"/>
        </w:rPr>
        <w:t>委、</w:t>
      </w:r>
      <w:r>
        <w:rPr>
          <w:rFonts w:hint="eastAsia" w:ascii="Times New Roman" w:hAnsi="Times New Roman" w:eastAsia="仿宋_GB2312" w:cs="Helvetica"/>
          <w:i w:val="0"/>
          <w:iCs w:val="0"/>
          <w:caps w:val="0"/>
          <w:color w:val="000000"/>
          <w:spacing w:val="0"/>
          <w:sz w:val="32"/>
          <w:szCs w:val="27"/>
          <w:shd w:val="clear" w:fill="FFFFFF"/>
          <w:lang w:val="en-US" w:eastAsia="zh-CN"/>
        </w:rPr>
        <w:t>县</w:t>
      </w:r>
      <w:r>
        <w:rPr>
          <w:rFonts w:ascii="Times New Roman" w:hAnsi="Times New Roman" w:eastAsia="仿宋_GB2312" w:cs="Helvetica"/>
          <w:i w:val="0"/>
          <w:iCs w:val="0"/>
          <w:caps w:val="0"/>
          <w:color w:val="000000"/>
          <w:spacing w:val="0"/>
          <w:sz w:val="32"/>
          <w:szCs w:val="27"/>
          <w:shd w:val="clear" w:fill="FFFFFF"/>
        </w:rPr>
        <w:t>政府中心工作和建设法治政府目标，坚持守正创新，压实各级责任，推动法治政府建设全面提质增效，行政决策科学民主合法，依法行政能力普遍提高，行政权力规范透明运行，较好地完成了全年各项工作任务。现将2024年工作总结及2025年工作计划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法治政府建设工作完成情况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党政主要负责人履行推进法治政府建设第一责任人职责。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方正黑体_GBK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新平县综合行政执法局成立了以局党组书记、局长为组长，局属各单位负责人为成员的法治建设工作领导小组，明确党政主要负责人为推进法治建设第一责任人，并认真制定每年度工作计划和考核机制，确保法治建设工作有人抓、有人管、有人负责，将法治建设工作融入中心工作同谋划、通部署、同推进，确保法治建设工作落到实处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局党组书记、局长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年内听取法治建设工作汇报2次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，定期不定期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督促领导班子其他成员和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局属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股室单位负责人依纪办事、依法行政，纠正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行政不作为、乱作为问题。健全完善行政权力运行监督制约体系，自觉接受人大监督、政协民主监督、人民群众监督和舆论监督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针对城市管理执法难问题，提出要“文明执法”“刚性执法”“柔性执法”“集体执法”理念，大力提倡“721工作法”。以治违治乱为重点，深入治理城市秩序。以惠民利民为核心，着力完善功能配套。以日常管护为抓手，推进绿色城市建设。以城市安全为目的，筑牢城市安全防线。以数字赋能为目标，城市管理更高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推动县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综合行政执法局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法治政府建设工作落实。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（二）紧跟机构改革步调，深化执法体制改革。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2024年3月21日组建新平县综合行政执法局（加挂新平县城市管理局牌子），内设办公室、政策法规股、综合管理股三个机构。2024年6月28日，撤销新平县城市管理综合行政执法大队，成立新平县综合行政执法局执法一大队、新平县综合行政执法局执法二大队、新平县综合行政执法局执法三大队。本次机构改革从县城市管理局、县自然资源局、县林业和草原局划入县综合行政执法局及其下属单位共84人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根据三定方案内容，新平县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综合行政执法改革相对集中执法事项还在编制中，我局按上级部门要求积极报送了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新平县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综合行政执法改革拟相对集中执法事项目录，下一步待云南省人民政府审批后严格执行。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目前综合行政执法局（城市管理局）按照“三定方案”及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现行相关法律、法规界定的职能职责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开展行政执法工作，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目前我局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法规界定的职能职责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，梳理了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城市管理领域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权责清单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（行政处罚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项、行政许可1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项、行政强制1项、行政检查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项），经批准已在云南省人民政府网站公示。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（二）依法履行政府职能，全面推进深化改革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全面推行权责清单制度，完成涉及本职能部门行政职权的全面梳理，逐项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厘清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设定依据，对照法律、法规有关规定和国务院及其部门、省政府及其部门已公布取消、保留的行政权力事项和责任事项权责清单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，梳理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本部门行政职权 4类13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行政职权对应“责任事项”112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项，“追责情形”13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按照中央、省、市县关于落实“放管服”改革政策措施要求，落实好涉及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综合行政执法局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的13项行政许可办理，优化内部审查环节，提高办理率，承诺办结时限全部压缩到法定办结时限的三分之一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2024年10月共受理、办结行政许可事项92件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按照县社会信用体系建设领导小组办公室要求，做好行政许可和行政处罚信息公示，没有出现逾期；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开展“双随机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一公开”工作，制定年度抽查工作计划，完成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高漠公司城市生活、餐厨垃圾收运处理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市政公用企业的监管检查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录入公开工作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联合消防、公安、市场监督、应急部门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完成对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新平县辖区内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新平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利民管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道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液化气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储备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供应有限公司、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新平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欧华燃气有限公司2家城镇燃气企业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监管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录入公开工作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按照国家、省、市、县统一部署，对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综合行政执法局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涉及的城市道路占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用费、城市道路挖掘费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收费项目落实减税降费政策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4年10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收取城市道路占用挖掘修复费5186.25 元、减免城市道路占用挖掘修复费2223 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六是</w:t>
      </w:r>
      <w:r>
        <w:rPr>
          <w:rFonts w:hint="eastAsia" w:ascii="Times New Roman" w:hAnsi="Times New Roman" w:eastAsia="仿宋_GB2312" w:cs="方正仿宋_GBK"/>
          <w:color w:val="auto"/>
          <w:sz w:val="32"/>
          <w:szCs w:val="32"/>
        </w:rPr>
        <w:t>推动全县乡镇赋权工作落实</w:t>
      </w:r>
      <w:r>
        <w:rPr>
          <w:rFonts w:hint="eastAsia" w:ascii="Times New Roman" w:hAnsi="Times New Roman" w:eastAsia="仿宋_GB2312" w:cs="方正仿宋_GBK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方正仿宋_GBK"/>
          <w:color w:val="auto"/>
          <w:sz w:val="32"/>
          <w:szCs w:val="32"/>
          <w:lang w:val="en-US" w:eastAsia="zh-CN"/>
        </w:rPr>
        <w:t>新平县</w:t>
      </w:r>
      <w:r>
        <w:rPr>
          <w:rFonts w:hint="eastAsia" w:ascii="Times New Roman" w:hAnsi="Times New Roman" w:eastAsia="仿宋_GB2312" w:cs="方正仿宋_GBK"/>
          <w:color w:val="auto"/>
          <w:sz w:val="32"/>
          <w:szCs w:val="32"/>
        </w:rPr>
        <w:t>综合</w:t>
      </w:r>
      <w:r>
        <w:rPr>
          <w:rFonts w:hint="eastAsia" w:ascii="Times New Roman" w:hAnsi="Times New Roman" w:eastAsia="仿宋_GB2312" w:cs="方正仿宋_GBK"/>
          <w:color w:val="auto"/>
          <w:sz w:val="32"/>
          <w:szCs w:val="32"/>
          <w:lang w:val="en-US" w:eastAsia="zh-CN"/>
        </w:rPr>
        <w:t>行政</w:t>
      </w:r>
      <w:r>
        <w:rPr>
          <w:rFonts w:hint="eastAsia" w:ascii="Times New Roman" w:hAnsi="Times New Roman" w:eastAsia="仿宋_GB2312" w:cs="方正仿宋_GBK"/>
          <w:color w:val="auto"/>
          <w:sz w:val="32"/>
          <w:szCs w:val="32"/>
        </w:rPr>
        <w:t>执法局赋权</w:t>
      </w:r>
      <w:r>
        <w:rPr>
          <w:rFonts w:hint="eastAsia" w:ascii="Times New Roman" w:hAnsi="Times New Roman" w:eastAsia="仿宋_GB2312" w:cs="方正仿宋_GBK"/>
          <w:color w:val="auto"/>
          <w:sz w:val="32"/>
          <w:szCs w:val="32"/>
          <w:lang w:val="en-US" w:eastAsia="zh-CN"/>
        </w:rPr>
        <w:t>戛洒镇22项，行政处罚17项，行政许可5项；赋权桂山、古城、平甸、扬武、漠沙、建兴、平掌、水塘、者竜、老厂、新化21项，指导戛洒、扬武、建兴开展集镇市容市貌整治工作8起。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（四）健全行政执法工作制度，规范公正文明执法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全面落实行政执法公示、执法全过程记录、重大行政执法决定法制审核“三项制度”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建立完善《新平县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综合行政执法局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行政执法全过程记录制度》《新平县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综合行政执法局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重大行政执法决定法制审核制度》《新平县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综合行政执法局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执法公示制度》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全面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规范行政处罚和提高办理案件质量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制定了《新平县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综合行政执法局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行政处罚裁量基准》等规章制度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严格规范公正文明执法，健全行政执法人员管理制度，组织行政执法人员参加市、县组织的行政执法培训和行政执法人员网上考试。目前，我局已有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人取得行政执法证资格，并完成全国统一标准样式行政执法证换发工作。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四是有序开展各项执法工作。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重点对城区市场、学校周边及主要街道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管理，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责令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当场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整改出店、超店经营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1216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人次，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责令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流动商贩进店（市场）经营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41338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人次，占用人行道修理摩托、门窗加工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进店431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规范乱堆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放、吊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653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拆除县城建成区挂耳式灯箱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个，侧立式广告牌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块，拆除闲置、无主、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陈旧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破损的招牌布标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条；开展人员密集场所门窗设置影响逃生和灭火救援障碍物专项行动，排查县城区店牌1032处，发现问题6处，拆除6处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清理非法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小广告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910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检查渣土运输车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辆次，其中责令当场整改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起，发放宣传资料60余份；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配合交警开展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车辆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乱停乱放整治，规范非机动车停放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2745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辆次，共享单车296辆次；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抓实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文明养犬宣传和监管力度，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发放《文明养犬告知书》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317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份，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劝导不文明遛狗人员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652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次，捕捉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流浪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犬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只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商业高音广播宣传进行有效管理，责令当场整改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1449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人次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，开展高考、中考护考周边噪音专项整治，共发放告知书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65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份；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六是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督促餐饮业安装油烟净化器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237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户，责令当场整改乱倒污水49人次、行政处罚1起；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收集处理餐厨垃圾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1120斤，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整改擅自收集清运餐厨垃圾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人次，下发《责令停止（改正）违法行为通知书》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份，与环卫办、餐厨垃圾处理企业开展专项整治3次，发放宣传资料325份。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（五）完善社会监督机制，提高行政管理水平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全面推进政务公开，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新平县政府信息公开网站公布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部门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财政预算、人事任免、资源配置等相关信息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32"/>
          <w:lang w:val="en-US" w:eastAsia="zh-CN" w:bidi="ar-SA"/>
        </w:rPr>
        <w:t>系统信息平台录入工作。系统信息平台录入工作。截止2024年10月14日。“政务应用服务平台（云南玉溪）”录入数据信息共计：523条，其中行政许可数据93条、行政处罚数据3条、行政检查信息140条、天然气缴费信息数据287条；“云南省行政执法综合管理监督信息系统”录入数据信息共计：236条，其中行政许可数据维护93条、行政检查信息维护140条、行政处罚数据3条(简易程序2条)；玉溪市政府网站管理平台发布许可公示62期，行政处罚1期；“行政执法与刑事司法衔接信息平台”录入行政处罚3件(简易程序案件2件)；“云南省行政执法证件管理系统”申请行政执法证人员3人。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做好信访案件查办工作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及时调查处理和报送各级交办信访案件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做到了件件有着落，事事有交待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截止目前为止。共受理各类信访件72件，其中省政府微信公众号：2件，县级单位交办：7件，信访辅助系统交办：3件，新平110交办：20件，市长热线12345交办：27件，市级12369交办件：5件，市级12315交办件：5件，办结率：100%，新平社区网络舆情：14件，办结率：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）加强法治教育宣传，营造良好法治政府建设氛围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方正黑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楷体_GB2312"/>
          <w:color w:val="auto"/>
          <w:sz w:val="32"/>
          <w:szCs w:val="32"/>
          <w:lang w:val="en-US" w:eastAsia="zh-CN"/>
        </w:rPr>
        <w:t>2024年以来，通过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“三会一课”、周一例会、党组理论中心组学习等方式全面贯彻党的二十大精神、二十届三中全会精神和习近平法治思想的学习，把学法普法纳入周一例会学习内容，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通过“工作职责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+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案例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+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法规”学习模式，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积极组织全局干部职工积极参与城市管理领域法律法规学习，累计参加人员50人次。</w:t>
      </w:r>
      <w:r>
        <w:rPr>
          <w:rFonts w:hint="eastAsia" w:ascii="Times New Roman" w:hAnsi="Times New Roman" w:eastAsia="仿宋_GB2312" w:cs="楷体_GB2312"/>
          <w:color w:val="auto"/>
          <w:sz w:val="32"/>
          <w:szCs w:val="32"/>
          <w:lang w:val="en-US" w:eastAsia="zh-CN"/>
        </w:rPr>
        <w:t>组织培训城市管理领域的行政执法专业知识培训3次，学习了新修订的《行政处罚法》《行政复议法》等法律法规；2024年3月，举办城市管理领域“赋权”事项专题培训班，培训采取集中授课的方式进行，12个乡镇（街道）40余名执法人员及行政许可相关办理人员参加培训，重点培训行政处罚、行政许可相关程序规范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存在的不足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黑体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（一）政策变化频繁，专业素养参差不齐。</w:t>
      </w:r>
      <w:r>
        <w:rPr>
          <w:rFonts w:hint="eastAsia" w:ascii="Times New Roman" w:hAnsi="Times New Roman" w:eastAsia="仿宋_GB2312" w:cs="黑体"/>
          <w:color w:val="auto"/>
          <w:sz w:val="32"/>
          <w:szCs w:val="32"/>
          <w:lang w:val="en-US" w:eastAsia="zh-CN"/>
        </w:rPr>
        <w:t>政策法规不断更新，需要持续投入大量时间和精力进行学习和理解，以确保准确应用。这对工作人员的学习能力和适应能力提出了很高的要求，增加了工作的压力和难度。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黑体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（二）协调难度大，执行监督不到位。</w:t>
      </w:r>
      <w:r>
        <w:rPr>
          <w:rFonts w:hint="eastAsia" w:ascii="Times New Roman" w:hAnsi="Times New Roman" w:eastAsia="仿宋_GB2312" w:cs="黑体"/>
          <w:color w:val="auto"/>
          <w:sz w:val="32"/>
          <w:szCs w:val="32"/>
          <w:lang w:val="en-US" w:eastAsia="zh-CN"/>
        </w:rPr>
        <w:t>一是由于各部门的工作重点和利益诉求不同，协调起来往往比较困难，容易出现推诿扯皮、工作推进缓慢的情况。二是对政策法规的执行情况监督力度不够，缺乏有效的监督手段和机制。可能出现业务部门不严格执行政策法规，或者违规操作而未被及时发现和纠正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（三）资源有限，宣传效果不佳。</w:t>
      </w:r>
      <w:r>
        <w:rPr>
          <w:rFonts w:hint="eastAsia" w:ascii="Times New Roman" w:hAnsi="Times New Roman" w:eastAsia="仿宋_GB2312" w:cs="黑体"/>
          <w:color w:val="auto"/>
          <w:sz w:val="32"/>
          <w:szCs w:val="32"/>
          <w:lang w:val="en-US" w:eastAsia="zh-CN"/>
        </w:rPr>
        <w:t>一是可能面临人力、物力、财力等资源的限制。例如，缺乏足够的专业人员来深入研究和解读复杂的政策法规，或者没有足够的经费支持开展培训、宣传等活动。二是在政策法规的宣传方面，可能存在方式单一、内容枯燥、针对性不强等问题，导致企业和群众对政策法规的知晓度不高，影响政策的实施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四、202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年推进法治政府建设的工作计划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黑体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（一）强化法制培训，提升执法水平。</w:t>
      </w:r>
      <w:r>
        <w:rPr>
          <w:rFonts w:hint="eastAsia" w:ascii="Times New Roman" w:hAnsi="Times New Roman" w:eastAsia="仿宋_GB2312" w:cs="黑体"/>
          <w:color w:val="auto"/>
          <w:sz w:val="32"/>
          <w:szCs w:val="32"/>
          <w:lang w:val="en-US" w:eastAsia="zh-CN"/>
        </w:rPr>
        <w:t>一是组织开展多场内部法制培训讲座，涵盖新出台的法律法规、执法程序规范等内容，有效提高了执法人员的法律素养和业务能力。二是邀请法律专家进行专题授课，针对执法过程中的疑难问题进行深入剖析和解答，为执法工作提供了专业指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黑体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（二）加强执法监督，规范执法行为。</w:t>
      </w:r>
      <w:r>
        <w:rPr>
          <w:rFonts w:hint="eastAsia" w:ascii="Times New Roman" w:hAnsi="Times New Roman" w:eastAsia="仿宋_GB2312" w:cs="黑体"/>
          <w:color w:val="auto"/>
          <w:sz w:val="32"/>
          <w:szCs w:val="32"/>
          <w:lang w:val="en-US" w:eastAsia="zh-CN"/>
        </w:rPr>
        <w:t>一是定期开展执法检查和案卷评查活动，对执法人员的执法行为、执法文书制作等进行监督检查，及时发现和纠正存在的问题。二是受理群众投诉举报，对反映的执法不规范问题进行调查核实，并依法作出处理，维护了群众的合法权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（三）积极推进法治宣传，营造良好执法环境。</w:t>
      </w:r>
      <w:r>
        <w:rPr>
          <w:rFonts w:hint="eastAsia" w:ascii="Times New Roman" w:hAnsi="Times New Roman" w:eastAsia="仿宋_GB2312" w:cs="黑体"/>
          <w:color w:val="auto"/>
          <w:sz w:val="32"/>
          <w:szCs w:val="32"/>
          <w:lang w:val="en-US" w:eastAsia="zh-CN"/>
        </w:rPr>
        <w:t>一是结合各类主题活动，开展形式多样的法治宣传活动，如发放宣传资料、举办法律知识讲座等，提高了群众的法律意识和对综合行政执法工作的理解与支持。二是利用新媒体平台，发布执法动态、法律法规解读等信息，拓宽了法治宣传渠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118" w:leftChars="304" w:hanging="4480" w:hangingChars="14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新平县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综合行政执法局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D5AD66-5E2B-4DE9-8AA2-9383734F525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2D719A2-E2BB-4329-BC6B-E23B3225F650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6BF6988B-F0AD-49C5-9DF6-D977E99FEB6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F79F6CD-0ED8-438C-B5A4-24C0417A579B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0CF47091-30C2-4DD0-AD34-2C0089EBE645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90F61889-1702-41B8-A72B-48F449BF9B42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01B61760-C8F6-4F4B-BD64-29047DFB9E6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8" w:fontKey="{EB83149E-0159-4F05-9909-BB1D25B9F6AA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9" w:fontKey="{AB59DC8D-7B75-4AA5-BCE1-A56D1D81C9A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E6F1A2"/>
    <w:multiLevelType w:val="singleLevel"/>
    <w:tmpl w:val="C1E6F1A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10DC959"/>
    <w:multiLevelType w:val="singleLevel"/>
    <w:tmpl w:val="510DC9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2FlZGE1NDU2MDZkMmIyNDdmM2MxMzE0MDk0N2YifQ=="/>
    <w:docVar w:name="KSO_WPS_MARK_KEY" w:val="28ff6f08-c6d2-49fe-ac4c-db2dbc5c3304"/>
  </w:docVars>
  <w:rsids>
    <w:rsidRoot w:val="454233E2"/>
    <w:rsid w:val="02FC3407"/>
    <w:rsid w:val="03FB2BF2"/>
    <w:rsid w:val="067A33E0"/>
    <w:rsid w:val="075C3AA5"/>
    <w:rsid w:val="0AEB73DB"/>
    <w:rsid w:val="0CE64769"/>
    <w:rsid w:val="0D904269"/>
    <w:rsid w:val="0EC01096"/>
    <w:rsid w:val="12D6271E"/>
    <w:rsid w:val="195F59C7"/>
    <w:rsid w:val="19B4405E"/>
    <w:rsid w:val="19C84D8B"/>
    <w:rsid w:val="19EF056A"/>
    <w:rsid w:val="1B3F2847"/>
    <w:rsid w:val="1F0627CF"/>
    <w:rsid w:val="2F754C15"/>
    <w:rsid w:val="32AD00E1"/>
    <w:rsid w:val="36CA4D04"/>
    <w:rsid w:val="37DC067E"/>
    <w:rsid w:val="3E423A55"/>
    <w:rsid w:val="438D657A"/>
    <w:rsid w:val="449364EF"/>
    <w:rsid w:val="450E2D47"/>
    <w:rsid w:val="454233E2"/>
    <w:rsid w:val="45B7090C"/>
    <w:rsid w:val="4766324F"/>
    <w:rsid w:val="4C812213"/>
    <w:rsid w:val="4D677E3B"/>
    <w:rsid w:val="50B0713F"/>
    <w:rsid w:val="54B757A1"/>
    <w:rsid w:val="5B12562F"/>
    <w:rsid w:val="5CD43056"/>
    <w:rsid w:val="5D1309C3"/>
    <w:rsid w:val="64F17E5D"/>
    <w:rsid w:val="6A71784F"/>
    <w:rsid w:val="6AE919BD"/>
    <w:rsid w:val="6C6D147C"/>
    <w:rsid w:val="6D43376C"/>
    <w:rsid w:val="6DEB2CE5"/>
    <w:rsid w:val="6E7D0E15"/>
    <w:rsid w:val="70170A19"/>
    <w:rsid w:val="7256430E"/>
    <w:rsid w:val="75922F7B"/>
    <w:rsid w:val="759A320A"/>
    <w:rsid w:val="75F20F28"/>
    <w:rsid w:val="7A4B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1"/>
    <w:next w:val="1"/>
    <w:qFormat/>
    <w:uiPriority w:val="0"/>
    <w:pPr>
      <w:ind w:left="0" w:firstLine="420" w:firstLineChars="200"/>
    </w:p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2023-11-25T09:06:00Z</dcterms:created>
  <dc:creator>何安延</dc:creator>
  <cp:lastModifiedBy>卢伟亮</cp:lastModifiedBy>
  <dcterms:modified xsi:type="dcterms:W3CDTF">2025-02-01T14:08:28Z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DE32A06FC9D14551B471E60908D3A2BE_13</vt:lpwstr>
  </property>
</Properties>
</file>