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新平县市场监督管理局涉企行政检查事项清单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45"/>
        <w:gridCol w:w="1540"/>
        <w:gridCol w:w="2130"/>
        <w:gridCol w:w="1680"/>
        <w:gridCol w:w="169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法定实施主体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法定行使层级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工业产品生产许可证后监管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获证企业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工业产品生产许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条例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产品质量监督抽查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生产、销售环节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产品质量监督抽查管理办法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计量监督检查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计量器具使用单位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计量法、计量法实施细则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检验检测机构证后监管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获证企业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检验检测机构监督管理办法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标准管理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标准化法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</w:trPr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药品经营许可证后监管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获证企业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《中华人民共和国药品管理法》、玉溪市市场监管领域2025年深化群众身边不正之风和腐败问题集中整治工作方案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医疗器械经营企业抽查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经营环节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《医疗器械监督管理条例》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化妆品抽查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经营环节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《化妆品监督管理条例》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药品使用单位抽查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使用环节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《药品经营和使用质量管理办法》、玉溪市市场监管领域2025年深化群众身边不正之风和腐败问题集中整治工作方案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医疗器械抽查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使用环节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《医疗器械使用质量监督管理办法》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食品安全检查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餐饮店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食品安全法》第一百一十条；《中共中央国务院关于深化改革加强食品安全工作的意见》(中发〔2019〕17号);《食品药品监管总局关于印发食品生产经营风险分级管理办法(试行)的通知》(食药监食监一〔2016〕115号)第三十一条、第三十二条；《食品生产经营监督检查管理办法》(国家市场监督管理总局令第49号)第二十二条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食品安全检查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副食店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《食品安全法》第一百零九条、第一百一十条；《食品生产经营监督检查管理办法》第二条、第五条。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食品安全检查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食品生产企业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食品安全法》第一百一十条；《中共中央国务院关于深化改革加强食品安全工作的意见》(中发〔2019〕17号);《食品药品监管总局关于印发食品生产经营风险分级管理办法(试行)的通知》(食药监食监一〔2016〕115号)第三十一条、第三十二条；《食品生产经营监督检查管理办法》(国家市场监督管理总局令第49号)第二十二条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广告监测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全县经营主体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《中华人民共和国广告法》第四十九条第二款。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特种设备生产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含设计、制造、安装、改造、修理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  <w:r>
              <w:rPr>
                <w:rFonts w:hint="default"/>
                <w:vertAlign w:val="baseline"/>
                <w:lang w:val="en-US" w:eastAsia="zh-CN"/>
              </w:rPr>
              <w:t>单位监督检查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特种设备生产(含设计、制造、安装、改造、修理)单位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《中华人民共和国特种设备安全法》《特种设备安全监督检查办法》《市场监管总局办公厅关于实施&lt;特种设备安全监督检查办法&gt;若干问题的意见》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特种设备经营单位监督检查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特种设备经营单位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《中华人民共和国特种设备安全法》《特种设备安全监督检查办法》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特种设备使用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含移动式压力容器、气瓶充装单位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  <w:r>
              <w:rPr>
                <w:rFonts w:hint="default"/>
                <w:vertAlign w:val="baseline"/>
                <w:lang w:val="en-US" w:eastAsia="zh-CN"/>
              </w:rPr>
              <w:t>单位监督检查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特种设备使用(含移动式压力容器、气瓶充装单位)单位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《中华人民共和国特种设备安全法》《特种设备安全监督检查办法》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特种设备检验检测机构监督检查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特种设备检验检测机构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《中华人民共和国特种设备安全法》《特种设备安全监督检查办法》《国家市场监管总局办公厅关于&lt;实施特种设备安全监督检查办法&gt;若干问题的意见》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特种设备安全管理和作业人员考试机构监督检查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特种设备安全管理和作业人员考试机构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《国家质量监督检验检疫总局关于修改&lt;特种设备作业人员监督管理办法&gt;的决定》《特种设备作业人员监督管理办法》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价格监督检查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全县经营主体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《中华人民共和国价格法》</w:t>
            </w:r>
            <w:r>
              <w:rPr>
                <w:rFonts w:hint="eastAsia"/>
                <w:vertAlign w:val="baseline"/>
                <w:lang w:val="en-US" w:eastAsia="zh-CN"/>
              </w:rPr>
              <w:t>第十二条、第十三条,《明码标价和禁止价格欺诈规定》、《价格违法行为行政处罚规定》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食品安全监督抽检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市场在售食品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《食品安全法》第八十七条；《食品安全抽样检验管理办法》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双随机、一公开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填表说明: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本表填报行政执法部门所有的涉企行政检查事项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包括纳入市场监管领域随机抽查事项清单的事项和未纳入的事项。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检查事项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检查对象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参考《云南省市场监管领域部门联合抽查事项清单编制口径和标准》中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检查事项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检查对象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的填报指南。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检查依据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精确到相关法律法规规章的条款项。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法定实施主体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法定行使层级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根据检查依据确定。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  <w:docVar w:name="KSO_WPS_MARK_KEY" w:val="fed46e96-9c70-4ba8-bb48-ee29f93cd375"/>
  </w:docVars>
  <w:rsids>
    <w:rsidRoot w:val="5F8C1207"/>
    <w:rsid w:val="022C506D"/>
    <w:rsid w:val="15E2587E"/>
    <w:rsid w:val="44431DB5"/>
    <w:rsid w:val="448160DE"/>
    <w:rsid w:val="5A7B3BCD"/>
    <w:rsid w:val="5DBB2185"/>
    <w:rsid w:val="63FD435D"/>
    <w:rsid w:val="6A0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1711</Words>
  <Characters>1755</Characters>
  <Lines>0</Lines>
  <Paragraphs>0</Paragraphs>
  <TotalTime>2</TotalTime>
  <ScaleCrop>false</ScaleCrop>
  <LinksUpToDate>false</LinksUpToDate>
  <CharactersWithSpaces>1755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2025-04-25T01:01:00Z</dcterms:created>
  <dc:creator>官官</dc:creator>
  <cp:lastModifiedBy>卢伟亮</cp:lastModifiedBy>
  <dcterms:modified xsi:type="dcterms:W3CDTF">2025-04-30T07:23:21Z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3FBDF5F7557345B5B4C5B37D6FB4547A_13</vt:lpwstr>
  </property>
  <property fmtid="{D5CDD505-2E9C-101B-9397-08002B2CF9AE}" pid="4" name="KSOTemplateDocerSaveRecord">
    <vt:lpwstr>eyJoZGlkIjoiNTRjZmE3M2RjMjA3NjViODMwZTc0MTEzNmE1MTIzY2MiLCJ1c2VySWQiOiI2MTc0MzQ4OTgifQ==</vt:lpwstr>
  </property>
</Properties>
</file>