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910AB0">
      <w:pPr>
        <w:widowControl/>
        <w:jc w:val="center"/>
        <w:rPr>
          <w:rFonts w:ascii="Times New Roman" w:hAnsi="Times New Roman" w:eastAsia="仿宋" w:cs="Times New Roman"/>
          <w:b/>
          <w:color w:val="FF0000"/>
          <w:sz w:val="56"/>
          <w:szCs w:val="56"/>
        </w:rPr>
      </w:pPr>
      <w:bookmarkStart w:id="0" w:name="_Toc88471996"/>
      <w:bookmarkStart w:id="1" w:name="_Toc88661477"/>
      <w:bookmarkStart w:id="2" w:name="_Toc98890289"/>
      <w:bookmarkStart w:id="3" w:name="_Toc88671052"/>
    </w:p>
    <w:p w14:paraId="68EF0F1B">
      <w:pPr>
        <w:widowControl/>
        <w:jc w:val="center"/>
        <w:rPr>
          <w:rFonts w:ascii="Times New Roman" w:hAnsi="Times New Roman" w:eastAsia="仿宋" w:cs="Times New Roman"/>
          <w:b/>
          <w:color w:val="auto"/>
          <w:sz w:val="44"/>
          <w:szCs w:val="44"/>
        </w:rPr>
      </w:pPr>
      <w:r>
        <w:rPr>
          <w:rFonts w:hint="eastAsia" w:ascii="Times New Roman" w:hAnsi="Times New Roman" w:eastAsia="仿宋" w:cs="Times New Roman"/>
          <w:b/>
          <w:color w:val="auto"/>
          <w:sz w:val="56"/>
          <w:szCs w:val="56"/>
          <w:lang w:eastAsia="zh-CN"/>
        </w:rPr>
        <w:t>新平县</w:t>
      </w:r>
      <w:r>
        <w:rPr>
          <w:rFonts w:ascii="Times New Roman" w:hAnsi="Times New Roman" w:eastAsia="仿宋" w:cs="Times New Roman"/>
          <w:b/>
          <w:color w:val="auto"/>
          <w:sz w:val="56"/>
          <w:szCs w:val="56"/>
        </w:rPr>
        <w:t>生态文明建设示范区规划（20</w:t>
      </w:r>
      <w:r>
        <w:rPr>
          <w:rFonts w:hint="eastAsia" w:ascii="Times New Roman" w:hAnsi="Times New Roman" w:eastAsia="仿宋" w:cs="Times New Roman"/>
          <w:b/>
          <w:color w:val="auto"/>
          <w:sz w:val="56"/>
          <w:szCs w:val="56"/>
          <w:lang w:val="en-US" w:eastAsia="zh-CN"/>
        </w:rPr>
        <w:t>22—</w:t>
      </w:r>
      <w:r>
        <w:rPr>
          <w:rFonts w:ascii="Times New Roman" w:hAnsi="Times New Roman" w:eastAsia="仿宋" w:cs="Times New Roman"/>
          <w:b/>
          <w:color w:val="auto"/>
          <w:sz w:val="56"/>
          <w:szCs w:val="56"/>
        </w:rPr>
        <w:t>203</w:t>
      </w:r>
      <w:r>
        <w:rPr>
          <w:rFonts w:hint="eastAsia" w:ascii="Times New Roman" w:hAnsi="Times New Roman" w:eastAsia="仿宋" w:cs="Times New Roman"/>
          <w:b/>
          <w:color w:val="auto"/>
          <w:sz w:val="56"/>
          <w:szCs w:val="56"/>
          <w:lang w:val="en-US" w:eastAsia="zh-CN"/>
        </w:rPr>
        <w:t>5</w:t>
      </w:r>
      <w:r>
        <w:rPr>
          <w:rFonts w:ascii="Times New Roman" w:hAnsi="Times New Roman" w:eastAsia="仿宋" w:cs="Times New Roman"/>
          <w:b/>
          <w:color w:val="auto"/>
          <w:sz w:val="56"/>
          <w:szCs w:val="56"/>
        </w:rPr>
        <w:t>年）</w:t>
      </w:r>
      <w:bookmarkEnd w:id="0"/>
      <w:bookmarkEnd w:id="1"/>
      <w:bookmarkEnd w:id="2"/>
      <w:bookmarkEnd w:id="3"/>
      <w:bookmarkStart w:id="4" w:name="_Toc88661478"/>
      <w:bookmarkStart w:id="5" w:name="_Toc98890290"/>
      <w:bookmarkStart w:id="6" w:name="_Toc88671053"/>
      <w:r>
        <w:rPr>
          <w:rFonts w:hint="eastAsia" w:ascii="Times New Roman" w:hAnsi="Times New Roman" w:eastAsia="仿宋" w:cs="Times New Roman"/>
          <w:b/>
          <w:color w:val="auto"/>
          <w:sz w:val="56"/>
          <w:szCs w:val="56"/>
          <w:lang w:eastAsia="zh-CN"/>
        </w:rPr>
        <w:t>（</w:t>
      </w:r>
      <w:r>
        <w:rPr>
          <w:rFonts w:hint="eastAsia" w:ascii="Times New Roman" w:hAnsi="Times New Roman" w:eastAsia="仿宋" w:cs="Times New Roman"/>
          <w:b/>
          <w:color w:val="auto"/>
          <w:sz w:val="56"/>
          <w:szCs w:val="56"/>
          <w:lang w:val="en-US" w:eastAsia="zh-CN"/>
        </w:rPr>
        <w:t>征求意见</w:t>
      </w:r>
      <w:r>
        <w:rPr>
          <w:rFonts w:hint="eastAsia" w:ascii="Times New Roman" w:hAnsi="Times New Roman" w:eastAsia="仿宋" w:cs="Times New Roman"/>
          <w:b/>
          <w:color w:val="auto"/>
          <w:sz w:val="56"/>
          <w:szCs w:val="56"/>
          <w:lang w:eastAsia="zh-CN"/>
        </w:rPr>
        <w:t>稿）</w:t>
      </w:r>
      <w:bookmarkEnd w:id="4"/>
      <w:bookmarkEnd w:id="5"/>
      <w:bookmarkEnd w:id="6"/>
    </w:p>
    <w:p w14:paraId="2356900A">
      <w:pPr>
        <w:widowControl/>
        <w:jc w:val="center"/>
        <w:rPr>
          <w:rFonts w:ascii="Times New Roman" w:hAnsi="Times New Roman" w:eastAsia="仿宋" w:cs="Times New Roman"/>
          <w:bCs/>
          <w:color w:val="auto"/>
          <w:sz w:val="56"/>
          <w:szCs w:val="36"/>
        </w:rPr>
      </w:pPr>
    </w:p>
    <w:p w14:paraId="4B9C0F14">
      <w:pPr>
        <w:widowControl/>
        <w:jc w:val="center"/>
        <w:rPr>
          <w:rFonts w:ascii="Times New Roman" w:hAnsi="Times New Roman" w:eastAsia="仿宋" w:cs="Times New Roman"/>
          <w:bCs/>
          <w:color w:val="auto"/>
          <w:sz w:val="56"/>
          <w:szCs w:val="36"/>
        </w:rPr>
      </w:pPr>
    </w:p>
    <w:p w14:paraId="109A28B7">
      <w:pPr>
        <w:widowControl/>
        <w:jc w:val="center"/>
        <w:rPr>
          <w:rFonts w:ascii="Times New Roman" w:hAnsi="Times New Roman" w:eastAsia="仿宋" w:cs="Times New Roman"/>
          <w:bCs/>
          <w:color w:val="auto"/>
          <w:sz w:val="56"/>
          <w:szCs w:val="36"/>
        </w:rPr>
      </w:pPr>
    </w:p>
    <w:p w14:paraId="31B4609B">
      <w:pPr>
        <w:widowControl/>
        <w:jc w:val="center"/>
        <w:rPr>
          <w:rFonts w:ascii="Times New Roman" w:hAnsi="Times New Roman" w:eastAsia="仿宋" w:cs="Times New Roman"/>
          <w:bCs/>
          <w:color w:val="auto"/>
          <w:sz w:val="56"/>
          <w:szCs w:val="36"/>
        </w:rPr>
      </w:pPr>
    </w:p>
    <w:p w14:paraId="6042C32F">
      <w:pPr>
        <w:widowControl/>
        <w:jc w:val="center"/>
        <w:rPr>
          <w:rFonts w:ascii="Times New Roman" w:hAnsi="Times New Roman" w:eastAsia="仿宋" w:cs="Times New Roman"/>
          <w:bCs/>
          <w:color w:val="auto"/>
          <w:sz w:val="56"/>
          <w:szCs w:val="36"/>
        </w:rPr>
      </w:pPr>
    </w:p>
    <w:p w14:paraId="1A0BA39C">
      <w:pPr>
        <w:widowControl/>
        <w:rPr>
          <w:rFonts w:ascii="Times New Roman" w:hAnsi="Times New Roman" w:eastAsia="仿宋" w:cs="Times New Roman"/>
          <w:bCs/>
          <w:color w:val="auto"/>
          <w:sz w:val="56"/>
          <w:szCs w:val="36"/>
        </w:rPr>
      </w:pPr>
    </w:p>
    <w:p w14:paraId="66A50E51">
      <w:pPr>
        <w:pStyle w:val="9"/>
        <w:rPr>
          <w:rFonts w:ascii="Times New Roman" w:hAnsi="Times New Roman" w:eastAsia="仿宋" w:cs="Times New Roman"/>
          <w:bCs/>
          <w:color w:val="auto"/>
          <w:sz w:val="56"/>
          <w:szCs w:val="36"/>
        </w:rPr>
      </w:pPr>
    </w:p>
    <w:p w14:paraId="5FA65694">
      <w:pPr>
        <w:rPr>
          <w:color w:val="auto"/>
        </w:rPr>
      </w:pPr>
    </w:p>
    <w:p w14:paraId="0BC8975A">
      <w:pPr>
        <w:rPr>
          <w:rFonts w:ascii="Times New Roman" w:hAnsi="Times New Roman" w:eastAsia="仿宋" w:cs="Times New Roman"/>
          <w:color w:val="auto"/>
        </w:rPr>
      </w:pPr>
    </w:p>
    <w:p w14:paraId="3B0B9F36">
      <w:pPr>
        <w:widowControl/>
        <w:jc w:val="center"/>
        <w:rPr>
          <w:rFonts w:ascii="Times New Roman" w:hAnsi="Times New Roman" w:eastAsia="仿宋" w:cs="Times New Roman"/>
          <w:b/>
          <w:color w:val="auto"/>
          <w:sz w:val="36"/>
          <w:szCs w:val="36"/>
        </w:rPr>
      </w:pPr>
      <w:r>
        <w:rPr>
          <w:rFonts w:hint="eastAsia" w:ascii="Times New Roman" w:hAnsi="Times New Roman" w:eastAsia="仿宋" w:cs="Times New Roman"/>
          <w:b/>
          <w:color w:val="auto"/>
          <w:sz w:val="36"/>
          <w:szCs w:val="36"/>
          <w:lang w:eastAsia="zh-CN"/>
        </w:rPr>
        <w:t>新平县</w:t>
      </w:r>
      <w:r>
        <w:rPr>
          <w:rFonts w:ascii="Times New Roman" w:hAnsi="Times New Roman" w:eastAsia="仿宋" w:cs="Times New Roman"/>
          <w:b/>
          <w:color w:val="auto"/>
          <w:sz w:val="36"/>
          <w:szCs w:val="36"/>
        </w:rPr>
        <w:t>人民政府</w:t>
      </w:r>
    </w:p>
    <w:p w14:paraId="18CBC1C6">
      <w:pPr>
        <w:widowControl/>
        <w:spacing w:line="240" w:lineRule="auto"/>
        <w:jc w:val="center"/>
        <w:rPr>
          <w:rFonts w:ascii="Times New Roman" w:hAnsi="Times New Roman" w:eastAsia="仿宋" w:cs="Times New Roman"/>
          <w:b/>
          <w:color w:val="auto"/>
          <w:sz w:val="36"/>
          <w:szCs w:val="36"/>
        </w:rPr>
      </w:pPr>
      <w:r>
        <w:rPr>
          <w:rFonts w:ascii="Times New Roman" w:hAnsi="Times New Roman" w:eastAsia="仿宋" w:cs="Times New Roman"/>
          <w:b/>
          <w:color w:val="auto"/>
          <w:sz w:val="36"/>
          <w:szCs w:val="36"/>
        </w:rPr>
        <w:t>二〇二</w:t>
      </w:r>
      <w:r>
        <w:rPr>
          <w:rFonts w:hint="eastAsia" w:ascii="Times New Roman" w:hAnsi="Times New Roman" w:eastAsia="仿宋" w:cs="Times New Roman"/>
          <w:b/>
          <w:color w:val="auto"/>
          <w:sz w:val="36"/>
          <w:szCs w:val="36"/>
          <w:lang w:val="en-US" w:eastAsia="zh-CN"/>
        </w:rPr>
        <w:t>三</w:t>
      </w:r>
      <w:r>
        <w:rPr>
          <w:rFonts w:ascii="Times New Roman" w:hAnsi="Times New Roman" w:eastAsia="仿宋" w:cs="Times New Roman"/>
          <w:b/>
          <w:color w:val="auto"/>
          <w:sz w:val="36"/>
          <w:szCs w:val="36"/>
        </w:rPr>
        <w:t>年</w:t>
      </w:r>
      <w:r>
        <w:rPr>
          <w:rFonts w:hint="eastAsia" w:ascii="Times New Roman" w:hAnsi="Times New Roman" w:eastAsia="仿宋" w:cs="Times New Roman"/>
          <w:b/>
          <w:color w:val="auto"/>
          <w:sz w:val="36"/>
          <w:szCs w:val="36"/>
          <w:lang w:val="en-US" w:eastAsia="zh-CN"/>
        </w:rPr>
        <w:t>二</w:t>
      </w:r>
      <w:r>
        <w:rPr>
          <w:rFonts w:ascii="Times New Roman" w:hAnsi="Times New Roman" w:eastAsia="仿宋" w:cs="Times New Roman"/>
          <w:b/>
          <w:color w:val="auto"/>
          <w:sz w:val="36"/>
          <w:szCs w:val="36"/>
        </w:rPr>
        <w:t>月</w:t>
      </w:r>
    </w:p>
    <w:p w14:paraId="29114984">
      <w:pPr>
        <w:widowControl/>
        <w:spacing w:line="240" w:lineRule="auto"/>
        <w:jc w:val="left"/>
        <w:rPr>
          <w:rFonts w:ascii="Times New Roman" w:hAnsi="Times New Roman" w:eastAsia="仿宋" w:cs="Times New Roman"/>
          <w:b/>
          <w:color w:val="FF0000"/>
          <w:sz w:val="36"/>
          <w:szCs w:val="36"/>
        </w:rPr>
      </w:pPr>
    </w:p>
    <w:p w14:paraId="62D16D66">
      <w:pPr>
        <w:rPr>
          <w:rFonts w:ascii="Times New Roman" w:hAnsi="Times New Roman" w:eastAsia="仿宋" w:cs="Times New Roman"/>
          <w:b/>
          <w:color w:val="FF0000"/>
          <w:spacing w:val="80"/>
        </w:rPr>
      </w:pPr>
      <w:r>
        <w:rPr>
          <w:rFonts w:ascii="Times New Roman" w:hAnsi="Times New Roman" w:eastAsia="仿宋" w:cs="Times New Roman"/>
          <w:b/>
          <w:color w:val="FF0000"/>
          <w:spacing w:val="80"/>
        </w:rPr>
        <w:br w:type="page"/>
      </w:r>
    </w:p>
    <w:p w14:paraId="354E5689">
      <w:pPr>
        <w:widowControl/>
        <w:spacing w:line="240" w:lineRule="auto"/>
        <w:jc w:val="left"/>
        <w:rPr>
          <w:rFonts w:ascii="Times New Roman" w:hAnsi="Times New Roman" w:eastAsia="仿宋" w:cs="Times New Roman"/>
          <w:color w:val="auto"/>
        </w:rPr>
      </w:pPr>
      <w:r>
        <w:rPr>
          <w:rFonts w:ascii="Times New Roman" w:hAnsi="Times New Roman" w:eastAsia="仿宋" w:cs="Times New Roman"/>
          <w:b/>
          <w:color w:val="auto"/>
          <w:spacing w:val="80"/>
        </w:rPr>
        <w:t>项目名称</w:t>
      </w:r>
      <w:r>
        <w:rPr>
          <w:rFonts w:ascii="Times New Roman" w:hAnsi="Times New Roman" w:eastAsia="仿宋" w:cs="Times New Roman"/>
          <w:color w:val="auto"/>
        </w:rPr>
        <w:t>：</w:t>
      </w:r>
      <w:r>
        <w:rPr>
          <w:rFonts w:hint="eastAsia" w:ascii="Times New Roman" w:hAnsi="Times New Roman" w:eastAsia="仿宋" w:cs="Times New Roman"/>
          <w:color w:val="auto"/>
          <w:lang w:eastAsia="zh-CN"/>
        </w:rPr>
        <w:t>新平县</w:t>
      </w:r>
      <w:r>
        <w:rPr>
          <w:rFonts w:ascii="Times New Roman" w:hAnsi="Times New Roman" w:eastAsia="仿宋" w:cs="Times New Roman"/>
          <w:color w:val="auto"/>
        </w:rPr>
        <w:t>生态文明建设示范区规划（202</w:t>
      </w:r>
      <w:r>
        <w:rPr>
          <w:rFonts w:hint="eastAsia" w:ascii="Times New Roman" w:hAnsi="Times New Roman" w:eastAsia="仿宋" w:cs="Times New Roman"/>
          <w:color w:val="auto"/>
          <w:lang w:val="en-US" w:eastAsia="zh-CN"/>
        </w:rPr>
        <w:t>2—</w:t>
      </w:r>
      <w:r>
        <w:rPr>
          <w:rFonts w:ascii="Times New Roman" w:hAnsi="Times New Roman" w:eastAsia="仿宋" w:cs="Times New Roman"/>
          <w:color w:val="auto"/>
        </w:rPr>
        <w:t>20</w:t>
      </w:r>
      <w:r>
        <w:rPr>
          <w:rFonts w:hint="eastAsia" w:ascii="Times New Roman" w:hAnsi="Times New Roman" w:eastAsia="仿宋" w:cs="Times New Roman"/>
          <w:color w:val="auto"/>
          <w:lang w:val="en-US" w:eastAsia="zh-CN"/>
        </w:rPr>
        <w:t>35</w:t>
      </w:r>
      <w:r>
        <w:rPr>
          <w:rFonts w:ascii="Times New Roman" w:hAnsi="Times New Roman" w:eastAsia="仿宋" w:cs="Times New Roman"/>
          <w:color w:val="auto"/>
        </w:rPr>
        <w:t>年）</w:t>
      </w:r>
    </w:p>
    <w:p w14:paraId="24A90983">
      <w:pPr>
        <w:spacing w:line="900" w:lineRule="exact"/>
        <w:rPr>
          <w:rFonts w:ascii="Times New Roman" w:hAnsi="Times New Roman" w:eastAsia="仿宋" w:cs="Times New Roman"/>
          <w:color w:val="auto"/>
        </w:rPr>
      </w:pPr>
      <w:r>
        <w:rPr>
          <w:rFonts w:ascii="Times New Roman" w:hAnsi="Times New Roman" w:eastAsia="仿宋" w:cs="Times New Roman"/>
          <w:b/>
          <w:color w:val="auto"/>
        </w:rPr>
        <w:t>项目主持单位</w:t>
      </w:r>
      <w:r>
        <w:rPr>
          <w:rFonts w:ascii="Times New Roman" w:hAnsi="Times New Roman" w:eastAsia="仿宋" w:cs="Times New Roman"/>
          <w:color w:val="auto"/>
        </w:rPr>
        <w:t>：</w:t>
      </w:r>
      <w:r>
        <w:rPr>
          <w:rFonts w:hint="eastAsia" w:ascii="Times New Roman" w:hAnsi="Times New Roman" w:eastAsia="仿宋" w:cs="Times New Roman"/>
          <w:color w:val="auto"/>
          <w:lang w:eastAsia="zh-CN"/>
        </w:rPr>
        <w:t>新平县</w:t>
      </w:r>
      <w:r>
        <w:rPr>
          <w:rFonts w:ascii="Times New Roman" w:hAnsi="Times New Roman" w:eastAsia="仿宋" w:cs="Times New Roman"/>
          <w:color w:val="auto"/>
        </w:rPr>
        <w:t>人民政府</w:t>
      </w:r>
    </w:p>
    <w:p w14:paraId="5DA78104">
      <w:pPr>
        <w:spacing w:line="900" w:lineRule="exact"/>
        <w:rPr>
          <w:rFonts w:eastAsia="方正仿宋_GBK"/>
          <w:color w:val="auto"/>
          <w:sz w:val="32"/>
        </w:rPr>
      </w:pPr>
      <w:r>
        <w:rPr>
          <w:rFonts w:eastAsia="方正仿宋_GBK"/>
          <w:b/>
          <w:color w:val="auto"/>
          <w:sz w:val="32"/>
        </w:rPr>
        <w:t>项目承办单位</w:t>
      </w:r>
      <w:r>
        <w:rPr>
          <w:rFonts w:eastAsia="方正仿宋_GBK"/>
          <w:color w:val="auto"/>
          <w:sz w:val="32"/>
        </w:rPr>
        <w:t>：</w:t>
      </w:r>
      <w:r>
        <w:rPr>
          <w:rFonts w:hint="eastAsia" w:eastAsia="方正仿宋_GBK"/>
          <w:color w:val="auto"/>
          <w:sz w:val="32"/>
          <w:lang w:val="en-US" w:eastAsia="zh-CN"/>
        </w:rPr>
        <w:t>玉溪市</w:t>
      </w:r>
      <w:r>
        <w:rPr>
          <w:rFonts w:eastAsia="方正仿宋_GBK"/>
          <w:color w:val="auto"/>
          <w:sz w:val="32"/>
        </w:rPr>
        <w:t>生态环境局</w:t>
      </w:r>
      <w:r>
        <w:rPr>
          <w:rFonts w:hint="eastAsia" w:eastAsia="方正仿宋_GBK"/>
          <w:color w:val="auto"/>
          <w:sz w:val="32"/>
          <w:lang w:val="en-US" w:eastAsia="zh-CN"/>
        </w:rPr>
        <w:t>新平</w:t>
      </w:r>
      <w:r>
        <w:rPr>
          <w:rFonts w:eastAsia="方正仿宋_GBK"/>
          <w:color w:val="auto"/>
          <w:sz w:val="32"/>
        </w:rPr>
        <w:t>分局</w:t>
      </w:r>
    </w:p>
    <w:p w14:paraId="250E9926">
      <w:pPr>
        <w:spacing w:line="900" w:lineRule="exact"/>
        <w:rPr>
          <w:rFonts w:ascii="Times New Roman" w:hAnsi="Times New Roman" w:eastAsia="仿宋" w:cs="Times New Roman"/>
          <w:color w:val="auto"/>
        </w:rPr>
      </w:pPr>
      <w:r>
        <w:rPr>
          <w:rFonts w:eastAsia="方正仿宋_GBK"/>
          <w:b/>
          <w:color w:val="auto"/>
          <w:sz w:val="32"/>
        </w:rPr>
        <w:t>技术支持单位</w:t>
      </w:r>
      <w:r>
        <w:rPr>
          <w:rFonts w:eastAsia="方正仿宋_GBK"/>
          <w:color w:val="auto"/>
          <w:sz w:val="32"/>
        </w:rPr>
        <w:t>：</w:t>
      </w:r>
      <w:r>
        <w:rPr>
          <w:rFonts w:hint="eastAsia" w:eastAsia="方正仿宋_GBK"/>
          <w:color w:val="auto"/>
          <w:sz w:val="32"/>
          <w:lang w:val="en-US" w:eastAsia="zh-CN"/>
        </w:rPr>
        <w:t>云南省环境科学学会</w:t>
      </w:r>
    </w:p>
    <w:p w14:paraId="666E9203">
      <w:pPr>
        <w:spacing w:line="900" w:lineRule="exact"/>
        <w:rPr>
          <w:rFonts w:ascii="Times New Roman" w:hAnsi="Times New Roman" w:eastAsia="仿宋" w:cs="Times New Roman"/>
          <w:color w:val="auto"/>
        </w:rPr>
      </w:pPr>
      <w:r>
        <w:rPr>
          <w:rFonts w:ascii="Times New Roman" w:hAnsi="Times New Roman" w:eastAsia="仿宋" w:cs="Times New Roman"/>
          <w:b/>
          <w:color w:val="auto"/>
          <w:spacing w:val="34"/>
        </w:rPr>
        <w:t>法定代表人</w:t>
      </w:r>
      <w:r>
        <w:rPr>
          <w:rFonts w:ascii="Times New Roman" w:hAnsi="Times New Roman" w:eastAsia="仿宋" w:cs="Times New Roman"/>
          <w:color w:val="auto"/>
        </w:rPr>
        <w:t>：李唯（正高级工程师）</w:t>
      </w:r>
    </w:p>
    <w:p w14:paraId="4286B0C1">
      <w:pPr>
        <w:spacing w:line="700" w:lineRule="exact"/>
        <w:rPr>
          <w:rFonts w:ascii="Times New Roman" w:hAnsi="Times New Roman" w:eastAsia="仿宋" w:cs="Times New Roman"/>
          <w:color w:val="auto"/>
        </w:rPr>
      </w:pPr>
      <w:r>
        <w:rPr>
          <w:rFonts w:ascii="Times New Roman" w:hAnsi="Times New Roman" w:eastAsia="仿宋" w:cs="Times New Roman"/>
          <w:b/>
          <w:color w:val="auto"/>
          <w:spacing w:val="34"/>
        </w:rPr>
        <w:t>审核</w:t>
      </w:r>
      <w:r>
        <w:rPr>
          <w:rFonts w:ascii="Times New Roman" w:hAnsi="Times New Roman" w:eastAsia="仿宋" w:cs="Times New Roman"/>
          <w:color w:val="auto"/>
        </w:rPr>
        <w:t>：朱海春（高级工程师）</w:t>
      </w:r>
    </w:p>
    <w:p w14:paraId="544DD321">
      <w:pPr>
        <w:snapToGrid w:val="0"/>
        <w:spacing w:line="900" w:lineRule="exact"/>
        <w:rPr>
          <w:rFonts w:ascii="Times New Roman" w:hAnsi="Times New Roman" w:eastAsia="仿宋" w:cs="Times New Roman"/>
          <w:color w:val="auto"/>
        </w:rPr>
      </w:pPr>
      <w:r>
        <w:rPr>
          <w:rFonts w:ascii="Times New Roman" w:hAnsi="Times New Roman" w:eastAsia="仿宋" w:cs="Times New Roman"/>
          <w:b/>
          <w:color w:val="auto"/>
          <w:spacing w:val="80"/>
        </w:rPr>
        <w:t>课题组长</w:t>
      </w:r>
      <w:r>
        <w:rPr>
          <w:rFonts w:ascii="Times New Roman" w:hAnsi="Times New Roman" w:eastAsia="仿宋" w:cs="Times New Roman"/>
          <w:color w:val="auto"/>
        </w:rPr>
        <w:t>：</w:t>
      </w:r>
      <w:r>
        <w:rPr>
          <w:rFonts w:hint="eastAsia" w:ascii="Times New Roman" w:hAnsi="Times New Roman" w:eastAsia="仿宋" w:cs="Times New Roman"/>
          <w:color w:val="auto"/>
          <w:lang w:val="en-US" w:eastAsia="zh-CN"/>
        </w:rPr>
        <w:t>海艳</w:t>
      </w:r>
      <w:r>
        <w:rPr>
          <w:rFonts w:ascii="Times New Roman" w:hAnsi="Times New Roman" w:eastAsia="仿宋" w:cs="Times New Roman"/>
          <w:color w:val="auto"/>
        </w:rPr>
        <w:t>（工程师）</w:t>
      </w:r>
    </w:p>
    <w:p w14:paraId="5CD0B7E8">
      <w:pPr>
        <w:pStyle w:val="13"/>
        <w:spacing w:after="0" w:line="700" w:lineRule="exact"/>
        <w:ind w:left="0" w:leftChars="0" w:firstLine="0" w:firstLineChars="0"/>
        <w:rPr>
          <w:color w:val="auto"/>
        </w:rPr>
      </w:pPr>
      <w:r>
        <w:rPr>
          <w:rFonts w:ascii="Times New Roman" w:hAnsi="Times New Roman" w:eastAsia="仿宋" w:cs="Times New Roman"/>
          <w:b/>
          <w:color w:val="auto"/>
          <w:spacing w:val="80"/>
        </w:rPr>
        <w:t>编制人员</w:t>
      </w:r>
      <w:r>
        <w:rPr>
          <w:rFonts w:ascii="Times New Roman" w:hAnsi="Times New Roman" w:eastAsia="仿宋" w:cs="Times New Roman"/>
          <w:color w:val="auto"/>
        </w:rPr>
        <w:t>：</w:t>
      </w:r>
      <w:r>
        <w:rPr>
          <w:color w:val="auto"/>
        </w:rPr>
        <w:t>洪春霞（高级工程师）</w:t>
      </w:r>
    </w:p>
    <w:p w14:paraId="6802CF74">
      <w:pPr>
        <w:spacing w:line="700" w:lineRule="exact"/>
        <w:ind w:firstLine="2240" w:firstLineChars="700"/>
        <w:rPr>
          <w:rFonts w:hint="eastAsia" w:ascii="Times New Roman" w:hAnsi="Times New Roman" w:eastAsia="仿宋" w:cs="Times New Roman"/>
          <w:color w:val="auto"/>
          <w:lang w:val="en-US" w:eastAsia="zh-CN"/>
        </w:rPr>
      </w:pPr>
      <w:r>
        <w:rPr>
          <w:rFonts w:hint="eastAsia" w:ascii="Times New Roman" w:hAnsi="Times New Roman" w:eastAsia="仿宋" w:cs="Times New Roman"/>
          <w:color w:val="auto"/>
          <w:lang w:val="en-US" w:eastAsia="zh-CN"/>
        </w:rPr>
        <w:t>邓婷文（工程师）</w:t>
      </w:r>
    </w:p>
    <w:p w14:paraId="4D17BCEA">
      <w:pPr>
        <w:pStyle w:val="42"/>
        <w:spacing w:line="700" w:lineRule="exact"/>
        <w:ind w:firstLine="2240" w:firstLineChars="700"/>
        <w:rPr>
          <w:rFonts w:ascii="Times New Roman" w:hAnsi="Times New Roman" w:eastAsia="仿宋"/>
          <w:color w:val="auto"/>
          <w:sz w:val="32"/>
          <w:szCs w:val="24"/>
        </w:rPr>
      </w:pPr>
      <w:r>
        <w:rPr>
          <w:rFonts w:ascii="Times New Roman" w:hAnsi="Times New Roman" w:eastAsia="仿宋"/>
          <w:color w:val="auto"/>
          <w:sz w:val="32"/>
        </w:rPr>
        <w:t>陈</w:t>
      </w:r>
      <w:r>
        <w:rPr>
          <w:rFonts w:hint="eastAsia" w:ascii="Times New Roman" w:hAnsi="Times New Roman" w:eastAsia="仿宋"/>
          <w:color w:val="auto"/>
          <w:sz w:val="32"/>
          <w:lang w:val="en-US" w:eastAsia="zh-CN"/>
        </w:rPr>
        <w:t xml:space="preserve">  </w:t>
      </w:r>
      <w:r>
        <w:rPr>
          <w:rFonts w:ascii="Times New Roman" w:hAnsi="Times New Roman" w:eastAsia="仿宋"/>
          <w:color w:val="auto"/>
          <w:sz w:val="32"/>
        </w:rPr>
        <w:t>诚（工程师）</w:t>
      </w:r>
    </w:p>
    <w:p w14:paraId="07CF3EC8">
      <w:pPr>
        <w:pStyle w:val="13"/>
        <w:spacing w:after="0" w:line="700" w:lineRule="exact"/>
        <w:ind w:left="0" w:leftChars="0" w:firstLine="2240" w:firstLineChars="700"/>
        <w:rPr>
          <w:rFonts w:ascii="Times New Roman" w:hAnsi="Times New Roman" w:eastAsia="仿宋" w:cs="Times New Roman"/>
          <w:color w:val="auto"/>
        </w:rPr>
      </w:pPr>
      <w:r>
        <w:rPr>
          <w:rFonts w:ascii="Times New Roman" w:hAnsi="Times New Roman" w:eastAsia="仿宋" w:cs="Times New Roman"/>
          <w:color w:val="auto"/>
          <w:sz w:val="32"/>
        </w:rPr>
        <w:t>李</w:t>
      </w:r>
      <w:r>
        <w:rPr>
          <w:rFonts w:hint="eastAsia" w:cs="Times New Roman"/>
          <w:color w:val="auto"/>
          <w:sz w:val="32"/>
          <w:lang w:val="en-US" w:eastAsia="zh-CN"/>
        </w:rPr>
        <w:t xml:space="preserve">  </w:t>
      </w:r>
      <w:r>
        <w:rPr>
          <w:rFonts w:ascii="Times New Roman" w:hAnsi="Times New Roman" w:eastAsia="仿宋" w:cs="Times New Roman"/>
          <w:color w:val="auto"/>
          <w:sz w:val="32"/>
        </w:rPr>
        <w:t>婷（工程师）</w:t>
      </w:r>
    </w:p>
    <w:p w14:paraId="1A0A016F">
      <w:pPr>
        <w:spacing w:line="700" w:lineRule="exact"/>
        <w:ind w:firstLine="2240" w:firstLineChars="700"/>
        <w:rPr>
          <w:rFonts w:ascii="Times New Roman" w:hAnsi="Times New Roman" w:eastAsia="仿宋" w:cs="Times New Roman"/>
          <w:color w:val="auto"/>
        </w:rPr>
      </w:pPr>
      <w:r>
        <w:rPr>
          <w:rFonts w:hint="eastAsia" w:ascii="Times New Roman" w:hAnsi="Times New Roman" w:eastAsia="仿宋" w:cs="Times New Roman"/>
          <w:color w:val="auto"/>
          <w:lang w:val="en-US" w:eastAsia="zh-CN"/>
        </w:rPr>
        <w:t>肖  珏</w:t>
      </w:r>
      <w:r>
        <w:rPr>
          <w:rFonts w:ascii="Times New Roman" w:hAnsi="Times New Roman" w:eastAsia="仿宋" w:cs="Times New Roman"/>
          <w:color w:val="auto"/>
        </w:rPr>
        <w:t>（工程师）</w:t>
      </w:r>
    </w:p>
    <w:p w14:paraId="00AEAFE3">
      <w:pPr>
        <w:spacing w:line="700" w:lineRule="exact"/>
        <w:ind w:firstLine="2240" w:firstLineChars="700"/>
        <w:rPr>
          <w:rFonts w:ascii="Times New Roman" w:hAnsi="Times New Roman" w:eastAsia="仿宋" w:cs="Times New Roman"/>
          <w:color w:val="auto"/>
        </w:rPr>
      </w:pPr>
      <w:r>
        <w:rPr>
          <w:rFonts w:ascii="Times New Roman" w:hAnsi="Times New Roman" w:eastAsia="仿宋" w:cs="Times New Roman"/>
          <w:color w:val="auto"/>
        </w:rPr>
        <w:t>张馨允（工程师）</w:t>
      </w:r>
    </w:p>
    <w:p w14:paraId="3BCE241B">
      <w:pPr>
        <w:spacing w:line="700" w:lineRule="exact"/>
        <w:ind w:firstLine="2240" w:firstLineChars="700"/>
        <w:rPr>
          <w:rFonts w:ascii="Times New Roman" w:hAnsi="Times New Roman" w:eastAsia="仿宋" w:cs="Times New Roman"/>
          <w:color w:val="auto"/>
        </w:rPr>
      </w:pPr>
      <w:r>
        <w:rPr>
          <w:rFonts w:ascii="Times New Roman" w:hAnsi="Times New Roman" w:eastAsia="仿宋" w:cs="Times New Roman"/>
          <w:color w:val="auto"/>
        </w:rPr>
        <w:t>马丹妮（制图）</w:t>
      </w:r>
    </w:p>
    <w:p w14:paraId="19F8151E">
      <w:pPr>
        <w:spacing w:line="800" w:lineRule="exact"/>
        <w:jc w:val="center"/>
        <w:rPr>
          <w:rFonts w:ascii="Times New Roman" w:hAnsi="Times New Roman" w:eastAsia="仿宋" w:cs="Times New Roman"/>
          <w:b/>
          <w:bCs/>
          <w:color w:val="FF0000"/>
          <w:sz w:val="28"/>
          <w:szCs w:val="28"/>
        </w:rPr>
        <w:sectPr>
          <w:headerReference r:id="rId5" w:type="default"/>
          <w:footerReference r:id="rId6" w:type="default"/>
          <w:pgSz w:w="11906" w:h="16838"/>
          <w:pgMar w:top="1440" w:right="1800" w:bottom="1440" w:left="1800" w:header="851" w:footer="992" w:gutter="0"/>
          <w:pgNumType w:start="1"/>
          <w:cols w:space="425" w:num="1"/>
          <w:docGrid w:type="lines" w:linePitch="312" w:charSpace="0"/>
        </w:sectPr>
      </w:pPr>
    </w:p>
    <w:p w14:paraId="2DF9FDE1">
      <w:pPr>
        <w:pStyle w:val="3"/>
        <w:jc w:val="center"/>
        <w:rPr>
          <w:rFonts w:eastAsia="方正仿宋_GBK"/>
          <w:color w:val="auto"/>
          <w:sz w:val="44"/>
          <w:szCs w:val="44"/>
        </w:rPr>
      </w:pPr>
      <w:bookmarkStart w:id="7" w:name="_Toc20994"/>
      <w:bookmarkStart w:id="8" w:name="_Toc112155745"/>
      <w:bookmarkStart w:id="9" w:name="_Toc98890291"/>
      <w:r>
        <w:rPr>
          <w:rFonts w:eastAsia="方正仿宋_GBK"/>
          <w:color w:val="auto"/>
          <w:sz w:val="44"/>
          <w:szCs w:val="44"/>
        </w:rPr>
        <w:t>前言</w:t>
      </w:r>
      <w:bookmarkEnd w:id="7"/>
      <w:bookmarkEnd w:id="8"/>
    </w:p>
    <w:p w14:paraId="6C17D111">
      <w:pPr>
        <w:widowControl/>
        <w:adjustRightInd w:val="0"/>
        <w:snapToGrid w:val="0"/>
        <w:spacing w:line="560" w:lineRule="exact"/>
        <w:ind w:firstLine="560" w:firstLineChars="200"/>
        <w:rPr>
          <w:rFonts w:hint="default" w:ascii="Times New Roman" w:hAnsi="Times New Roman" w:eastAsia="方正仿宋_GBK" w:cs="Times New Roman"/>
          <w:color w:val="auto"/>
          <w:sz w:val="28"/>
          <w:szCs w:val="28"/>
        </w:rPr>
      </w:pPr>
      <w:r>
        <w:rPr>
          <w:rFonts w:hint="default" w:ascii="Times New Roman" w:hAnsi="Times New Roman" w:eastAsia="方正仿宋_GBK" w:cs="Times New Roman"/>
          <w:color w:val="auto"/>
          <w:sz w:val="28"/>
          <w:szCs w:val="28"/>
        </w:rPr>
        <w:t>新平县隶属于云南玉溪，位于云南省中部偏西南，玉溪市西部，地处哀牢山中段东麓。境内哀牢山国家级自然保护区是世界同纬度生物多样化、植物群落保留最完整的地区，被列为联合国“人与生物圈”森林生态系统定位观察站和国际候鸟保护基地，被誉为镶嵌在哀牢山皇冠上的一块“绿宝石”。全县推动绿色发展，让生态优势转化为经济优势，让绿色、生态成</w:t>
      </w:r>
      <w:r>
        <w:rPr>
          <w:rFonts w:hint="default" w:ascii="Times New Roman" w:hAnsi="Times New Roman" w:eastAsia="方正仿宋_GBK" w:cs="Times New Roman"/>
          <w:color w:val="auto"/>
          <w:sz w:val="28"/>
          <w:szCs w:val="28"/>
          <w:highlight w:val="none"/>
        </w:rPr>
        <w:t>为财富资源，是建设“美丽云南新平篇章”的具体体现。党的十八大以来，</w:t>
      </w:r>
      <w:r>
        <w:rPr>
          <w:rFonts w:hint="default" w:ascii="Times New Roman" w:hAnsi="Times New Roman" w:eastAsia="方正仿宋_GBK" w:cs="Times New Roman"/>
          <w:color w:val="auto"/>
          <w:sz w:val="28"/>
          <w:szCs w:val="28"/>
          <w:highlight w:val="none"/>
          <w:lang w:eastAsia="zh-CN"/>
        </w:rPr>
        <w:t>新平县</w:t>
      </w:r>
      <w:r>
        <w:rPr>
          <w:rFonts w:hint="default" w:ascii="Times New Roman" w:hAnsi="Times New Roman" w:eastAsia="方正仿宋_GBK" w:cs="Times New Roman"/>
          <w:color w:val="auto"/>
          <w:sz w:val="28"/>
          <w:szCs w:val="28"/>
          <w:highlight w:val="none"/>
        </w:rPr>
        <w:t>进一步理清思路、找准定位、明确方向、突出重点，全面贯彻落实党的</w:t>
      </w:r>
      <w:r>
        <w:rPr>
          <w:rFonts w:hint="default" w:ascii="Times New Roman" w:hAnsi="Times New Roman" w:eastAsia="方正仿宋_GBK" w:cs="Times New Roman"/>
          <w:color w:val="auto"/>
          <w:sz w:val="28"/>
          <w:szCs w:val="28"/>
          <w:highlight w:val="none"/>
          <w:lang w:val="en-US" w:eastAsia="zh-CN"/>
        </w:rPr>
        <w:t>二十大、</w:t>
      </w:r>
      <w:r>
        <w:rPr>
          <w:rFonts w:hint="default" w:ascii="Times New Roman" w:hAnsi="Times New Roman" w:eastAsia="方正仿宋_GBK" w:cs="Times New Roman"/>
          <w:color w:val="auto"/>
          <w:sz w:val="28"/>
          <w:szCs w:val="28"/>
          <w:highlight w:val="none"/>
        </w:rPr>
        <w:t>习近平总书记系列重要讲话和考察云南重要讲话精神，紧紧围绕“五位一体”总体布局和“四个全面”战略布局，围绕“12345”发展思路，加快建设“3+4”现代产业体系，在全省建设“民族团结进步示范区、生态文明建设排头兵、面向南亚东南亚辐射中心”和全市打造“滇中崛起增</w:t>
      </w:r>
      <w:r>
        <w:rPr>
          <w:rFonts w:hint="default" w:ascii="Times New Roman" w:hAnsi="Times New Roman" w:eastAsia="方正仿宋_GBK" w:cs="Times New Roman"/>
          <w:color w:val="auto"/>
          <w:sz w:val="28"/>
          <w:szCs w:val="28"/>
        </w:rPr>
        <w:t>长极、乡村振兴示范区、共同富裕示范区”中奋力谱写好新平篇章。成功获得“国家现代农业示范区”“国家级绿色种养循环农业试点县”“国家农业绿色发展先行先试支撑体系建设试点县”“云南省高原特色农业示范县”“特色产业发展先进县”“云南省一县一业（柑橘）特色县”“云南省一县一业（水果）示范县”等多项殊荣。</w:t>
      </w:r>
    </w:p>
    <w:p w14:paraId="40C3B9F4">
      <w:pPr>
        <w:keepNext w:val="0"/>
        <w:keepLines w:val="0"/>
        <w:pageBreakBefore w:val="0"/>
        <w:widowControl/>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方正仿宋_GBK" w:cs="Times New Roman"/>
          <w:color w:val="auto"/>
          <w:sz w:val="28"/>
          <w:szCs w:val="28"/>
        </w:rPr>
      </w:pPr>
      <w:r>
        <w:rPr>
          <w:rFonts w:hint="default" w:ascii="Times New Roman" w:hAnsi="Times New Roman" w:eastAsia="方正仿宋_GBK" w:cs="Times New Roman"/>
          <w:color w:val="auto"/>
          <w:sz w:val="28"/>
          <w:szCs w:val="28"/>
        </w:rPr>
        <w:t>多年来，</w:t>
      </w:r>
      <w:r>
        <w:rPr>
          <w:rFonts w:hint="default" w:ascii="Times New Roman" w:hAnsi="Times New Roman" w:eastAsia="方正仿宋_GBK" w:cs="Times New Roman"/>
          <w:color w:val="auto"/>
          <w:sz w:val="28"/>
          <w:szCs w:val="28"/>
          <w:lang w:eastAsia="zh-CN"/>
        </w:rPr>
        <w:t>新平县</w:t>
      </w:r>
      <w:r>
        <w:rPr>
          <w:rFonts w:hint="default" w:ascii="Times New Roman" w:hAnsi="Times New Roman" w:eastAsia="方正仿宋_GBK" w:cs="Times New Roman"/>
          <w:color w:val="auto"/>
          <w:sz w:val="28"/>
          <w:szCs w:val="28"/>
        </w:rPr>
        <w:t>委、县政府牢固树立“绿水青山就是金山银山”的发展理念，统筹推进经济建设、政治建设、文化建设、社会建设、生态文明建设，把创建生态文明建设示范区作为推进生态文明建设的重要载体和抓手以及云南建设生态文明建设排头</w:t>
      </w:r>
      <w:r>
        <w:rPr>
          <w:rFonts w:hint="default" w:ascii="Times New Roman" w:hAnsi="Times New Roman" w:eastAsia="方正仿宋_GBK" w:cs="Times New Roman"/>
          <w:color w:val="auto"/>
          <w:sz w:val="28"/>
          <w:szCs w:val="28"/>
          <w:lang w:val="en-US" w:eastAsia="zh-CN"/>
        </w:rPr>
        <w:t>和</w:t>
      </w:r>
      <w:r>
        <w:rPr>
          <w:rFonts w:hint="default" w:ascii="Times New Roman" w:hAnsi="Times New Roman" w:eastAsia="方正仿宋_GBK" w:cs="Times New Roman"/>
          <w:color w:val="auto"/>
          <w:sz w:val="28"/>
          <w:szCs w:val="28"/>
        </w:rPr>
        <w:t>美丽中国建设的重要组成部分。成立了生态文明建设示范创建工作领导小组，印发了《</w:t>
      </w:r>
      <w:r>
        <w:rPr>
          <w:rFonts w:hint="default" w:ascii="Times New Roman" w:hAnsi="Times New Roman" w:eastAsia="方正仿宋_GBK" w:cs="Times New Roman"/>
          <w:color w:val="auto"/>
          <w:sz w:val="28"/>
          <w:szCs w:val="28"/>
          <w:lang w:eastAsia="zh-CN"/>
        </w:rPr>
        <w:t>新平县</w:t>
      </w:r>
      <w:r>
        <w:rPr>
          <w:rFonts w:hint="default" w:ascii="Times New Roman" w:hAnsi="Times New Roman" w:eastAsia="方正仿宋_GBK" w:cs="Times New Roman"/>
          <w:color w:val="auto"/>
          <w:sz w:val="28"/>
          <w:szCs w:val="28"/>
        </w:rPr>
        <w:t>生态文明建设示范创建工作方案》，提出了争创国家生态文明建设示范区的工作目标，全面启动生态文明建设示范区创建工作，开展《</w:t>
      </w:r>
      <w:r>
        <w:rPr>
          <w:rFonts w:hint="default" w:ascii="Times New Roman" w:hAnsi="Times New Roman" w:eastAsia="方正仿宋_GBK" w:cs="Times New Roman"/>
          <w:color w:val="auto"/>
          <w:sz w:val="28"/>
          <w:szCs w:val="28"/>
          <w:lang w:val="en-US" w:eastAsia="zh-CN"/>
        </w:rPr>
        <w:t>新平县</w:t>
      </w:r>
      <w:r>
        <w:rPr>
          <w:rFonts w:hint="default" w:ascii="Times New Roman" w:hAnsi="Times New Roman" w:eastAsia="方正仿宋_GBK" w:cs="Times New Roman"/>
          <w:color w:val="auto"/>
          <w:sz w:val="28"/>
          <w:szCs w:val="28"/>
        </w:rPr>
        <w:t>生态文明建设示范区规划（202</w:t>
      </w:r>
      <w:r>
        <w:rPr>
          <w:rFonts w:hint="default" w:ascii="Times New Roman" w:hAnsi="Times New Roman" w:eastAsia="方正仿宋_GBK" w:cs="Times New Roman"/>
          <w:color w:val="auto"/>
          <w:sz w:val="28"/>
          <w:szCs w:val="28"/>
          <w:lang w:val="en-US" w:eastAsia="zh-CN"/>
        </w:rPr>
        <w:t>2</w:t>
      </w:r>
      <w:r>
        <w:rPr>
          <w:rFonts w:hint="eastAsia" w:ascii="Times New Roman" w:hAnsi="Times New Roman" w:eastAsia="方正仿宋_GBK" w:cs="Times New Roman"/>
          <w:color w:val="auto"/>
          <w:sz w:val="28"/>
          <w:szCs w:val="28"/>
          <w:lang w:val="en-US" w:eastAsia="zh-CN"/>
        </w:rPr>
        <w:t>—</w:t>
      </w:r>
      <w:r>
        <w:rPr>
          <w:rFonts w:hint="default" w:ascii="Times New Roman" w:hAnsi="Times New Roman" w:eastAsia="方正仿宋_GBK" w:cs="Times New Roman"/>
          <w:color w:val="auto"/>
          <w:sz w:val="28"/>
          <w:szCs w:val="28"/>
        </w:rPr>
        <w:t>20</w:t>
      </w:r>
      <w:r>
        <w:rPr>
          <w:rFonts w:hint="default" w:ascii="Times New Roman" w:hAnsi="Times New Roman" w:eastAsia="方正仿宋_GBK" w:cs="Times New Roman"/>
          <w:color w:val="auto"/>
          <w:sz w:val="28"/>
          <w:szCs w:val="28"/>
          <w:lang w:val="en-US" w:eastAsia="zh-CN"/>
        </w:rPr>
        <w:t>35</w:t>
      </w:r>
      <w:r>
        <w:rPr>
          <w:rFonts w:hint="default" w:ascii="Times New Roman" w:hAnsi="Times New Roman" w:eastAsia="方正仿宋_GBK" w:cs="Times New Roman"/>
          <w:color w:val="auto"/>
          <w:sz w:val="28"/>
          <w:szCs w:val="28"/>
        </w:rPr>
        <w:t>年）》（以下简称《规划》）编制工作。《规划》深入分析了</w:t>
      </w:r>
      <w:r>
        <w:rPr>
          <w:rFonts w:hint="default" w:ascii="Times New Roman" w:hAnsi="Times New Roman" w:eastAsia="方正仿宋_GBK" w:cs="Times New Roman"/>
          <w:color w:val="auto"/>
          <w:sz w:val="28"/>
          <w:szCs w:val="28"/>
          <w:lang w:eastAsia="zh-CN"/>
        </w:rPr>
        <w:t>新平县</w:t>
      </w:r>
      <w:r>
        <w:rPr>
          <w:rFonts w:hint="default" w:ascii="Times New Roman" w:hAnsi="Times New Roman" w:eastAsia="方正仿宋_GBK" w:cs="Times New Roman"/>
          <w:color w:val="auto"/>
          <w:sz w:val="28"/>
          <w:szCs w:val="28"/>
        </w:rPr>
        <w:t>生态文明示范区建设基础及生态环境现状，提出了生态文明建设示范区建设的指导思想和规划目标，结合</w:t>
      </w:r>
      <w:r>
        <w:rPr>
          <w:rFonts w:hint="default" w:ascii="Times New Roman" w:hAnsi="Times New Roman" w:eastAsia="方正仿宋_GBK" w:cs="Times New Roman"/>
          <w:color w:val="auto"/>
          <w:sz w:val="28"/>
          <w:szCs w:val="28"/>
          <w:lang w:val="en-US" w:eastAsia="zh-CN"/>
        </w:rPr>
        <w:t>新平</w:t>
      </w:r>
      <w:r>
        <w:rPr>
          <w:rFonts w:hint="default" w:ascii="Times New Roman" w:hAnsi="Times New Roman" w:eastAsia="方正仿宋_GBK" w:cs="Times New Roman"/>
          <w:color w:val="auto"/>
          <w:sz w:val="28"/>
          <w:szCs w:val="28"/>
        </w:rPr>
        <w:t>实际规划了生态制度、生态安全、生态空间、生态经济、生态生活、生态文化六大体系，提出了生态文明建设示范区建设的重点工程项目及保障措施，争取202</w:t>
      </w:r>
      <w:r>
        <w:rPr>
          <w:rFonts w:hint="default" w:ascii="Times New Roman" w:hAnsi="Times New Roman" w:eastAsia="方正仿宋_GBK" w:cs="Times New Roman"/>
          <w:color w:val="auto"/>
          <w:sz w:val="28"/>
          <w:szCs w:val="28"/>
          <w:lang w:val="en-US" w:eastAsia="zh-CN"/>
        </w:rPr>
        <w:t>2</w:t>
      </w:r>
      <w:r>
        <w:rPr>
          <w:rFonts w:hint="default" w:ascii="Times New Roman" w:hAnsi="Times New Roman" w:eastAsia="方正仿宋_GBK" w:cs="Times New Roman"/>
          <w:color w:val="auto"/>
          <w:sz w:val="28"/>
          <w:szCs w:val="28"/>
        </w:rPr>
        <w:t>年</w:t>
      </w:r>
      <w:r>
        <w:rPr>
          <w:rFonts w:hint="default" w:ascii="Times New Roman" w:hAnsi="Times New Roman" w:eastAsia="方正仿宋_GBK" w:cs="Times New Roman"/>
          <w:color w:val="auto"/>
          <w:sz w:val="28"/>
          <w:szCs w:val="28"/>
          <w:lang w:val="en-US" w:eastAsia="zh-CN"/>
        </w:rPr>
        <w:t>通过云南</w:t>
      </w:r>
      <w:r>
        <w:rPr>
          <w:rFonts w:hint="default" w:ascii="Times New Roman" w:hAnsi="Times New Roman" w:eastAsia="方正仿宋_GBK" w:cs="Times New Roman"/>
          <w:color w:val="auto"/>
          <w:sz w:val="28"/>
          <w:szCs w:val="28"/>
        </w:rPr>
        <w:t>省</w:t>
      </w:r>
      <w:r>
        <w:rPr>
          <w:rFonts w:hint="default" w:ascii="Times New Roman" w:hAnsi="Times New Roman" w:eastAsia="方正仿宋_GBK" w:cs="Times New Roman"/>
          <w:color w:val="auto"/>
          <w:sz w:val="28"/>
          <w:szCs w:val="28"/>
          <w:lang w:val="en-US" w:eastAsia="zh-CN"/>
        </w:rPr>
        <w:t>省</w:t>
      </w:r>
      <w:r>
        <w:rPr>
          <w:rFonts w:hint="default" w:ascii="Times New Roman" w:hAnsi="Times New Roman" w:eastAsia="方正仿宋_GBK" w:cs="Times New Roman"/>
          <w:color w:val="auto"/>
          <w:sz w:val="28"/>
          <w:szCs w:val="28"/>
        </w:rPr>
        <w:t>级生态文明建设示范区</w:t>
      </w:r>
      <w:r>
        <w:rPr>
          <w:rFonts w:hint="default" w:ascii="Times New Roman" w:hAnsi="Times New Roman" w:eastAsia="方正仿宋_GBK" w:cs="Times New Roman"/>
          <w:color w:val="auto"/>
          <w:sz w:val="28"/>
          <w:szCs w:val="28"/>
          <w:lang w:val="en-US" w:eastAsia="zh-CN"/>
        </w:rPr>
        <w:t>复核</w:t>
      </w:r>
      <w:r>
        <w:rPr>
          <w:rFonts w:hint="default" w:ascii="Times New Roman" w:hAnsi="Times New Roman" w:eastAsia="方正仿宋_GBK" w:cs="Times New Roman"/>
          <w:color w:val="auto"/>
          <w:sz w:val="28"/>
          <w:szCs w:val="28"/>
        </w:rPr>
        <w:t>，20</w:t>
      </w:r>
      <w:r>
        <w:rPr>
          <w:rFonts w:hint="default" w:ascii="Times New Roman" w:hAnsi="Times New Roman" w:eastAsia="方正仿宋_GBK" w:cs="Times New Roman"/>
          <w:color w:val="auto"/>
          <w:sz w:val="28"/>
          <w:szCs w:val="28"/>
          <w:lang w:val="en-US" w:eastAsia="zh-CN"/>
        </w:rPr>
        <w:t>25</w:t>
      </w:r>
      <w:r>
        <w:rPr>
          <w:rFonts w:hint="default" w:ascii="Times New Roman" w:hAnsi="Times New Roman" w:eastAsia="方正仿宋_GBK" w:cs="Times New Roman"/>
          <w:color w:val="auto"/>
          <w:sz w:val="28"/>
          <w:szCs w:val="28"/>
        </w:rPr>
        <w:t>年争创国家生态文明建设示范区，2026</w:t>
      </w:r>
      <w:r>
        <w:rPr>
          <w:rFonts w:hint="eastAsia" w:ascii="Times New Roman" w:hAnsi="Times New Roman" w:eastAsia="方正仿宋_GBK" w:cs="Times New Roman"/>
          <w:color w:val="auto"/>
          <w:sz w:val="28"/>
          <w:szCs w:val="28"/>
          <w:lang w:eastAsia="zh-CN"/>
        </w:rPr>
        <w:t>—</w:t>
      </w:r>
      <w:r>
        <w:rPr>
          <w:rFonts w:hint="default" w:ascii="Times New Roman" w:hAnsi="Times New Roman" w:eastAsia="方正仿宋_GBK" w:cs="Times New Roman"/>
          <w:color w:val="auto"/>
          <w:sz w:val="28"/>
          <w:szCs w:val="28"/>
        </w:rPr>
        <w:t>203</w:t>
      </w:r>
      <w:r>
        <w:rPr>
          <w:rFonts w:hint="default" w:ascii="Times New Roman" w:hAnsi="Times New Roman" w:eastAsia="方正仿宋_GBK" w:cs="Times New Roman"/>
          <w:color w:val="auto"/>
          <w:sz w:val="28"/>
          <w:szCs w:val="28"/>
          <w:lang w:val="en-US" w:eastAsia="zh-CN"/>
        </w:rPr>
        <w:t>5</w:t>
      </w:r>
      <w:r>
        <w:rPr>
          <w:rFonts w:hint="default" w:ascii="Times New Roman" w:hAnsi="Times New Roman" w:eastAsia="方正仿宋_GBK" w:cs="Times New Roman"/>
          <w:color w:val="auto"/>
          <w:sz w:val="28"/>
          <w:szCs w:val="28"/>
        </w:rPr>
        <w:t>年巩固提升创建成果。《规划》的编制及实施，是</w:t>
      </w:r>
      <w:r>
        <w:rPr>
          <w:rFonts w:hint="default" w:ascii="Times New Roman" w:hAnsi="Times New Roman" w:eastAsia="方正仿宋_GBK" w:cs="Times New Roman"/>
          <w:color w:val="auto"/>
          <w:sz w:val="28"/>
          <w:szCs w:val="28"/>
          <w:lang w:eastAsia="zh-CN"/>
        </w:rPr>
        <w:t>新平县</w:t>
      </w:r>
      <w:r>
        <w:rPr>
          <w:rFonts w:hint="default" w:ascii="Times New Roman" w:hAnsi="Times New Roman" w:eastAsia="方正仿宋_GBK" w:cs="Times New Roman"/>
          <w:color w:val="auto"/>
          <w:sz w:val="28"/>
          <w:szCs w:val="28"/>
          <w:lang w:val="en-US" w:eastAsia="zh-CN"/>
        </w:rPr>
        <w:t>国家</w:t>
      </w:r>
      <w:r>
        <w:rPr>
          <w:rFonts w:hint="default" w:ascii="Times New Roman" w:hAnsi="Times New Roman" w:eastAsia="方正仿宋_GBK" w:cs="Times New Roman"/>
          <w:color w:val="auto"/>
          <w:sz w:val="28"/>
          <w:szCs w:val="28"/>
        </w:rPr>
        <w:t>生态文明建设示范区创建申报、</w:t>
      </w:r>
      <w:r>
        <w:rPr>
          <w:rFonts w:hint="default" w:ascii="Times New Roman" w:hAnsi="Times New Roman" w:eastAsia="方正仿宋_GBK" w:cs="Times New Roman"/>
          <w:color w:val="auto"/>
          <w:sz w:val="28"/>
          <w:szCs w:val="28"/>
          <w:lang w:val="en-US" w:eastAsia="zh-CN"/>
        </w:rPr>
        <w:t>云南</w:t>
      </w:r>
      <w:r>
        <w:rPr>
          <w:rFonts w:hint="default" w:ascii="Times New Roman" w:hAnsi="Times New Roman" w:eastAsia="方正仿宋_GBK" w:cs="Times New Roman"/>
          <w:color w:val="auto"/>
          <w:sz w:val="28"/>
          <w:szCs w:val="28"/>
        </w:rPr>
        <w:t>省</w:t>
      </w:r>
      <w:r>
        <w:rPr>
          <w:rFonts w:hint="default" w:ascii="Times New Roman" w:hAnsi="Times New Roman" w:eastAsia="方正仿宋_GBK" w:cs="Times New Roman"/>
          <w:color w:val="auto"/>
          <w:sz w:val="28"/>
          <w:szCs w:val="28"/>
          <w:lang w:val="en-US" w:eastAsia="zh-CN"/>
        </w:rPr>
        <w:t>省</w:t>
      </w:r>
      <w:r>
        <w:rPr>
          <w:rFonts w:hint="default" w:ascii="Times New Roman" w:hAnsi="Times New Roman" w:eastAsia="方正仿宋_GBK" w:cs="Times New Roman"/>
          <w:color w:val="auto"/>
          <w:sz w:val="28"/>
          <w:szCs w:val="28"/>
        </w:rPr>
        <w:t>级生态文明建设示范区复核</w:t>
      </w:r>
      <w:r>
        <w:rPr>
          <w:rFonts w:hint="default" w:ascii="Times New Roman" w:hAnsi="Times New Roman" w:eastAsia="方正仿宋_GBK" w:cs="Times New Roman"/>
          <w:color w:val="auto"/>
          <w:sz w:val="28"/>
          <w:szCs w:val="28"/>
          <w:lang w:val="en-US" w:eastAsia="zh-CN"/>
        </w:rPr>
        <w:t>评估</w:t>
      </w:r>
      <w:r>
        <w:rPr>
          <w:rFonts w:hint="default" w:ascii="Times New Roman" w:hAnsi="Times New Roman" w:eastAsia="方正仿宋_GBK" w:cs="Times New Roman"/>
          <w:color w:val="auto"/>
          <w:sz w:val="28"/>
          <w:szCs w:val="28"/>
        </w:rPr>
        <w:t>的重要依据，对推进</w:t>
      </w:r>
      <w:r>
        <w:rPr>
          <w:rFonts w:hint="default" w:ascii="Times New Roman" w:hAnsi="Times New Roman" w:eastAsia="方正仿宋_GBK" w:cs="Times New Roman"/>
          <w:color w:val="auto"/>
          <w:sz w:val="28"/>
          <w:szCs w:val="28"/>
          <w:lang w:val="en-US" w:eastAsia="zh-CN"/>
        </w:rPr>
        <w:t>新平</w:t>
      </w:r>
      <w:r>
        <w:rPr>
          <w:rFonts w:hint="default" w:ascii="Times New Roman" w:hAnsi="Times New Roman" w:eastAsia="方正仿宋_GBK" w:cs="Times New Roman"/>
          <w:color w:val="auto"/>
          <w:sz w:val="28"/>
          <w:szCs w:val="28"/>
        </w:rPr>
        <w:t>生态经济提升、生态系统健康、城乡环境宜居、生态文明理念普及、生态文明制度完善具有引领作用。</w:t>
      </w:r>
    </w:p>
    <w:p w14:paraId="20C40A19">
      <w:pPr>
        <w:keepNext w:val="0"/>
        <w:keepLines w:val="0"/>
        <w:pageBreakBefore w:val="0"/>
        <w:widowControl/>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方正仿宋_GBK" w:cs="Times New Roman"/>
          <w:color w:val="auto"/>
          <w:sz w:val="28"/>
          <w:szCs w:val="28"/>
        </w:rPr>
      </w:pPr>
      <w:r>
        <w:rPr>
          <w:rFonts w:hint="default" w:ascii="Times New Roman" w:hAnsi="Times New Roman" w:eastAsia="方正仿宋_GBK" w:cs="Times New Roman"/>
          <w:color w:val="auto"/>
          <w:sz w:val="28"/>
          <w:szCs w:val="28"/>
        </w:rPr>
        <w:t>规划编制组对</w:t>
      </w:r>
      <w:r>
        <w:rPr>
          <w:rFonts w:hint="default" w:ascii="Times New Roman" w:hAnsi="Times New Roman" w:eastAsia="方正仿宋_GBK" w:cs="Times New Roman"/>
          <w:color w:val="auto"/>
          <w:sz w:val="28"/>
          <w:szCs w:val="28"/>
          <w:lang w:val="en-US" w:eastAsia="zh-CN"/>
        </w:rPr>
        <w:t>新平</w:t>
      </w:r>
      <w:r>
        <w:rPr>
          <w:rFonts w:hint="default" w:ascii="Times New Roman" w:hAnsi="Times New Roman" w:eastAsia="方正仿宋_GBK" w:cs="Times New Roman"/>
          <w:color w:val="auto"/>
          <w:sz w:val="28"/>
          <w:szCs w:val="28"/>
        </w:rPr>
        <w:t>进行了调研，期间得到了云南省生态环境厅及相关专家的指导，得到县直各部门和</w:t>
      </w:r>
      <w:r>
        <w:rPr>
          <w:rFonts w:hint="default" w:ascii="Times New Roman" w:hAnsi="Times New Roman" w:eastAsia="方正仿宋_GBK" w:cs="Times New Roman"/>
          <w:color w:val="auto"/>
          <w:sz w:val="28"/>
          <w:szCs w:val="28"/>
          <w:lang w:val="en-US" w:eastAsia="zh-CN"/>
        </w:rPr>
        <w:t>12</w:t>
      </w:r>
      <w:r>
        <w:rPr>
          <w:rFonts w:hint="default" w:ascii="Times New Roman" w:hAnsi="Times New Roman" w:eastAsia="方正仿宋_GBK" w:cs="Times New Roman"/>
          <w:color w:val="auto"/>
          <w:sz w:val="28"/>
          <w:szCs w:val="28"/>
        </w:rPr>
        <w:t>个</w:t>
      </w:r>
      <w:r>
        <w:rPr>
          <w:rFonts w:hint="default" w:ascii="Times New Roman" w:hAnsi="Times New Roman" w:eastAsia="方正仿宋_GBK" w:cs="Times New Roman"/>
          <w:color w:val="auto"/>
          <w:sz w:val="28"/>
          <w:szCs w:val="28"/>
          <w:lang w:val="en-US" w:eastAsia="zh-CN"/>
        </w:rPr>
        <w:t>街道、</w:t>
      </w:r>
      <w:r>
        <w:rPr>
          <w:rFonts w:hint="default" w:ascii="Times New Roman" w:hAnsi="Times New Roman" w:eastAsia="方正仿宋_GBK" w:cs="Times New Roman"/>
          <w:color w:val="auto"/>
          <w:sz w:val="28"/>
          <w:szCs w:val="28"/>
        </w:rPr>
        <w:t>乡（镇）人民政府的大力支持和积极配合。规划文本编制中还广泛征求各相关部门和</w:t>
      </w:r>
      <w:r>
        <w:rPr>
          <w:rFonts w:hint="default" w:ascii="Times New Roman" w:hAnsi="Times New Roman" w:eastAsia="方正仿宋_GBK" w:cs="Times New Roman"/>
          <w:color w:val="auto"/>
          <w:sz w:val="28"/>
          <w:szCs w:val="28"/>
          <w:lang w:val="en-US" w:eastAsia="zh-CN"/>
        </w:rPr>
        <w:t>街道、</w:t>
      </w:r>
      <w:r>
        <w:rPr>
          <w:rFonts w:hint="default" w:ascii="Times New Roman" w:hAnsi="Times New Roman" w:eastAsia="方正仿宋_GBK" w:cs="Times New Roman"/>
          <w:color w:val="auto"/>
          <w:sz w:val="28"/>
          <w:szCs w:val="28"/>
        </w:rPr>
        <w:t>乡（镇）意见，并获得宝贵的意见建议。</w:t>
      </w:r>
    </w:p>
    <w:p w14:paraId="6F4C07C2">
      <w:pPr>
        <w:keepNext w:val="0"/>
        <w:keepLines w:val="0"/>
        <w:pageBreakBefore w:val="0"/>
        <w:widowControl/>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方正仿宋_GBK" w:cs="Times New Roman"/>
          <w:color w:val="auto"/>
          <w:sz w:val="28"/>
          <w:szCs w:val="28"/>
        </w:rPr>
      </w:pPr>
      <w:r>
        <w:rPr>
          <w:rFonts w:hint="default" w:ascii="Times New Roman" w:hAnsi="Times New Roman" w:eastAsia="方正仿宋_GBK" w:cs="Times New Roman"/>
          <w:color w:val="auto"/>
          <w:sz w:val="28"/>
          <w:szCs w:val="28"/>
        </w:rPr>
        <w:t>在此，对所有指导和帮助本规划编制的领导、专家和有关人员表示感谢！</w:t>
      </w:r>
    </w:p>
    <w:p w14:paraId="10BD5562">
      <w:pPr>
        <w:keepNext w:val="0"/>
        <w:keepLines w:val="0"/>
        <w:pageBreakBefore w:val="0"/>
        <w:widowControl/>
        <w:kinsoku/>
        <w:wordWrap/>
        <w:overflowPunct/>
        <w:topLinePunct w:val="0"/>
        <w:autoSpaceDE/>
        <w:autoSpaceDN/>
        <w:bidi w:val="0"/>
        <w:adjustRightInd/>
        <w:snapToGrid/>
        <w:spacing w:line="500" w:lineRule="exact"/>
        <w:ind w:firstLine="6720" w:firstLineChars="2400"/>
        <w:textAlignment w:val="auto"/>
        <w:rPr>
          <w:rFonts w:hint="default" w:ascii="Times New Roman" w:hAnsi="Times New Roman" w:eastAsia="方正仿宋_GBK" w:cs="Times New Roman"/>
          <w:color w:val="auto"/>
          <w:sz w:val="28"/>
          <w:szCs w:val="28"/>
        </w:rPr>
      </w:pPr>
    </w:p>
    <w:p w14:paraId="6AD837FC">
      <w:pPr>
        <w:pStyle w:val="11"/>
        <w:rPr>
          <w:rFonts w:hint="default"/>
        </w:rPr>
      </w:pPr>
    </w:p>
    <w:p w14:paraId="1DAD9430">
      <w:pPr>
        <w:keepNext w:val="0"/>
        <w:keepLines w:val="0"/>
        <w:pageBreakBefore w:val="0"/>
        <w:widowControl/>
        <w:kinsoku/>
        <w:wordWrap/>
        <w:overflowPunct/>
        <w:topLinePunct w:val="0"/>
        <w:autoSpaceDE/>
        <w:autoSpaceDN/>
        <w:bidi w:val="0"/>
        <w:adjustRightInd/>
        <w:snapToGrid/>
        <w:spacing w:line="500" w:lineRule="exact"/>
        <w:ind w:firstLine="4760" w:firstLineChars="1700"/>
        <w:textAlignment w:val="auto"/>
        <w:rPr>
          <w:rFonts w:hint="default" w:ascii="Times New Roman" w:hAnsi="Times New Roman" w:eastAsia="方正仿宋_GBK" w:cs="Times New Roman"/>
          <w:color w:val="auto"/>
          <w:sz w:val="28"/>
          <w:szCs w:val="28"/>
        </w:rPr>
      </w:pPr>
      <w:r>
        <w:rPr>
          <w:rFonts w:hint="default" w:ascii="Times New Roman" w:hAnsi="Times New Roman" w:eastAsia="方正仿宋_GBK" w:cs="Times New Roman"/>
          <w:color w:val="auto"/>
          <w:sz w:val="28"/>
          <w:szCs w:val="28"/>
        </w:rPr>
        <w:t>规划编制组</w:t>
      </w:r>
    </w:p>
    <w:p w14:paraId="34BF54F6">
      <w:pPr>
        <w:keepNext w:val="0"/>
        <w:keepLines w:val="0"/>
        <w:pageBreakBefore w:val="0"/>
        <w:widowControl/>
        <w:kinsoku/>
        <w:wordWrap/>
        <w:overflowPunct/>
        <w:topLinePunct w:val="0"/>
        <w:autoSpaceDE/>
        <w:autoSpaceDN/>
        <w:bidi w:val="0"/>
        <w:adjustRightInd/>
        <w:snapToGrid/>
        <w:spacing w:line="500" w:lineRule="exact"/>
        <w:ind w:firstLine="4480" w:firstLineChars="1600"/>
        <w:textAlignment w:val="auto"/>
        <w:rPr>
          <w:rFonts w:hint="default" w:ascii="Times New Roman" w:hAnsi="Times New Roman" w:eastAsia="方正仿宋_GBK" w:cs="Times New Roman"/>
          <w:color w:val="auto"/>
          <w:sz w:val="28"/>
          <w:szCs w:val="28"/>
        </w:rPr>
      </w:pPr>
      <w:r>
        <w:rPr>
          <w:rFonts w:hint="default" w:ascii="Times New Roman" w:hAnsi="Times New Roman" w:eastAsia="方正仿宋_GBK" w:cs="Times New Roman"/>
          <w:color w:val="auto"/>
          <w:sz w:val="28"/>
          <w:szCs w:val="28"/>
        </w:rPr>
        <w:t>二〇二</w:t>
      </w:r>
      <w:r>
        <w:rPr>
          <w:rFonts w:hint="default" w:ascii="Times New Roman" w:hAnsi="Times New Roman" w:eastAsia="方正仿宋_GBK" w:cs="Times New Roman"/>
          <w:color w:val="auto"/>
          <w:sz w:val="28"/>
          <w:szCs w:val="28"/>
          <w:lang w:val="en-US" w:eastAsia="zh-CN"/>
        </w:rPr>
        <w:t>三</w:t>
      </w:r>
      <w:r>
        <w:rPr>
          <w:rFonts w:hint="default" w:ascii="Times New Roman" w:hAnsi="Times New Roman" w:eastAsia="方正仿宋_GBK" w:cs="Times New Roman"/>
          <w:color w:val="auto"/>
          <w:sz w:val="28"/>
          <w:szCs w:val="28"/>
        </w:rPr>
        <w:t>年</w:t>
      </w:r>
      <w:r>
        <w:rPr>
          <w:rFonts w:hint="eastAsia" w:ascii="Times New Roman" w:hAnsi="Times New Roman" w:eastAsia="方正仿宋_GBK" w:cs="Times New Roman"/>
          <w:color w:val="auto"/>
          <w:sz w:val="28"/>
          <w:szCs w:val="28"/>
          <w:lang w:val="en-US" w:eastAsia="zh-CN"/>
        </w:rPr>
        <w:t>二</w:t>
      </w:r>
      <w:r>
        <w:rPr>
          <w:rFonts w:hint="default" w:ascii="Times New Roman" w:hAnsi="Times New Roman" w:eastAsia="方正仿宋_GBK" w:cs="Times New Roman"/>
          <w:color w:val="auto"/>
          <w:sz w:val="28"/>
          <w:szCs w:val="28"/>
        </w:rPr>
        <w:t>月</w:t>
      </w:r>
    </w:p>
    <w:p w14:paraId="5AA2E743">
      <w:pPr>
        <w:pStyle w:val="9"/>
        <w:rPr>
          <w:rFonts w:eastAsia="方正仿宋_GBK"/>
          <w:color w:val="auto"/>
          <w:sz w:val="32"/>
          <w:szCs w:val="32"/>
        </w:rPr>
      </w:pPr>
    </w:p>
    <w:p w14:paraId="11360A9C">
      <w:pPr>
        <w:rPr>
          <w:rFonts w:eastAsia="方正仿宋_GBK"/>
          <w:color w:val="auto"/>
          <w:sz w:val="32"/>
          <w:szCs w:val="32"/>
        </w:rPr>
      </w:pPr>
    </w:p>
    <w:p w14:paraId="69909F4C">
      <w:pPr>
        <w:pStyle w:val="9"/>
        <w:rPr>
          <w:rFonts w:eastAsia="方正仿宋_GBK"/>
          <w:color w:val="auto"/>
          <w:sz w:val="32"/>
          <w:szCs w:val="32"/>
        </w:rPr>
      </w:pPr>
    </w:p>
    <w:p w14:paraId="7A14CA57">
      <w:pPr>
        <w:pStyle w:val="9"/>
      </w:pPr>
    </w:p>
    <w:sdt>
      <w:sdtPr>
        <w:rPr>
          <w:rFonts w:ascii="Times New Roman" w:hAnsi="Times New Roman" w:eastAsia="仿宋" w:cs="Times New Roman"/>
          <w:b/>
          <w:bCs/>
          <w:color w:val="auto"/>
          <w:szCs w:val="32"/>
        </w:rPr>
        <w:id w:val="147482902"/>
        <w15:color w:val="DBDBDB"/>
        <w:docPartObj>
          <w:docPartGallery w:val="Table of Contents"/>
          <w:docPartUnique/>
        </w:docPartObj>
      </w:sdtPr>
      <w:sdtEndPr>
        <w:rPr>
          <w:rFonts w:ascii="Times New Roman" w:hAnsi="Times New Roman" w:eastAsia="仿宋" w:cs="Times New Roman"/>
          <w:b/>
          <w:bCs/>
          <w:color w:val="FF0000"/>
          <w:szCs w:val="22"/>
        </w:rPr>
      </w:sdtEndPr>
      <w:sdtContent>
        <w:p w14:paraId="6C8AFF51">
          <w:pPr>
            <w:spacing w:line="240" w:lineRule="auto"/>
            <w:jc w:val="center"/>
            <w:rPr>
              <w:rFonts w:ascii="Times New Roman" w:hAnsi="Times New Roman" w:eastAsia="仿宋" w:cs="Times New Roman"/>
              <w:color w:val="FF0000"/>
              <w:kern w:val="2"/>
              <w:sz w:val="32"/>
              <w:szCs w:val="22"/>
              <w:lang w:val="en-US" w:eastAsia="zh-CN" w:bidi="ar-SA"/>
            </w:rPr>
          </w:pPr>
          <w:r>
            <w:rPr>
              <w:rFonts w:ascii="Times New Roman" w:hAnsi="Times New Roman" w:eastAsia="仿宋" w:cs="Times New Roman"/>
              <w:b/>
              <w:bCs/>
              <w:color w:val="auto"/>
              <w:szCs w:val="32"/>
            </w:rPr>
            <w:t>目录</w:t>
          </w:r>
          <w:r>
            <w:rPr>
              <w:rFonts w:ascii="Times New Roman" w:hAnsi="Times New Roman" w:eastAsia="仿宋" w:cs="Times New Roman"/>
              <w:color w:val="FF0000"/>
              <w:sz w:val="44"/>
            </w:rPr>
            <w:fldChar w:fldCharType="begin"/>
          </w:r>
          <w:r>
            <w:rPr>
              <w:rFonts w:ascii="Times New Roman" w:hAnsi="Times New Roman" w:eastAsia="仿宋" w:cs="Times New Roman"/>
              <w:color w:val="FF0000"/>
              <w:sz w:val="44"/>
            </w:rPr>
            <w:instrText xml:space="preserve">TOC\o"1-3"\h\u</w:instrText>
          </w:r>
          <w:r>
            <w:rPr>
              <w:rFonts w:ascii="Times New Roman" w:hAnsi="Times New Roman" w:eastAsia="仿宋" w:cs="Times New Roman"/>
              <w:color w:val="FF0000"/>
              <w:sz w:val="44"/>
            </w:rPr>
            <w:fldChar w:fldCharType="separate"/>
          </w:r>
        </w:p>
        <w:p w14:paraId="391F401E">
          <w:pPr>
            <w:pStyle w:val="20"/>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_Toc15666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1规划背景与意义</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_Toc15666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528044D9">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_Toc11822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1.1规划背景</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_Toc11822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1C928EF7">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_Toc10028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1.1.1国家生态文明建设战略部署</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_Toc10028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617680D9">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_Toc12945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1.1.</w:t>
          </w:r>
          <w:r>
            <w:rPr>
              <w:rFonts w:hint="default" w:ascii="Times New Roman" w:hAnsi="Times New Roman" w:eastAsia="方正仿宋_GBK" w:cs="Times New Roman"/>
              <w:snapToGrid w:val="0"/>
              <w:color w:val="auto"/>
              <w:sz w:val="21"/>
              <w:szCs w:val="21"/>
              <w:lang w:val="en-US" w:eastAsia="zh-CN"/>
            </w:rPr>
            <w:t>2</w:t>
          </w:r>
          <w:r>
            <w:rPr>
              <w:rFonts w:hint="default" w:ascii="Times New Roman" w:hAnsi="Times New Roman" w:eastAsia="方正仿宋_GBK" w:cs="Times New Roman"/>
              <w:snapToGrid w:val="0"/>
              <w:color w:val="auto"/>
              <w:sz w:val="21"/>
              <w:szCs w:val="21"/>
            </w:rPr>
            <w:t>云南省高度重视生态文明建设</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_Toc12945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2</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7E773F27">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_Toc24248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1.1.</w:t>
          </w:r>
          <w:r>
            <w:rPr>
              <w:rFonts w:hint="default" w:ascii="Times New Roman" w:hAnsi="Times New Roman" w:eastAsia="方正仿宋_GBK" w:cs="Times New Roman"/>
              <w:snapToGrid w:val="0"/>
              <w:color w:val="auto"/>
              <w:sz w:val="21"/>
              <w:szCs w:val="21"/>
              <w:lang w:val="en-US" w:eastAsia="zh-CN"/>
            </w:rPr>
            <w:t>3玉溪市</w:t>
          </w:r>
          <w:r>
            <w:rPr>
              <w:rFonts w:hint="default" w:ascii="Times New Roman" w:hAnsi="Times New Roman" w:eastAsia="方正仿宋_GBK" w:cs="Times New Roman"/>
              <w:snapToGrid w:val="0"/>
              <w:color w:val="auto"/>
              <w:sz w:val="21"/>
              <w:szCs w:val="21"/>
            </w:rPr>
            <w:t>积极推进生态文明建设</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_Toc24248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4</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675738DF">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_Toc6894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1.1.</w:t>
          </w:r>
          <w:r>
            <w:rPr>
              <w:rFonts w:hint="default" w:ascii="Times New Roman" w:hAnsi="Times New Roman" w:eastAsia="方正仿宋_GBK" w:cs="Times New Roman"/>
              <w:snapToGrid w:val="0"/>
              <w:color w:val="auto"/>
              <w:sz w:val="21"/>
              <w:szCs w:val="21"/>
              <w:lang w:val="en-US" w:eastAsia="zh-CN"/>
            </w:rPr>
            <w:t>4</w:t>
          </w:r>
          <w:r>
            <w:rPr>
              <w:rFonts w:hint="default" w:ascii="Times New Roman" w:hAnsi="Times New Roman" w:eastAsia="方正仿宋_GBK" w:cs="Times New Roman"/>
              <w:snapToGrid w:val="0"/>
              <w:color w:val="auto"/>
              <w:sz w:val="21"/>
              <w:szCs w:val="21"/>
              <w:lang w:eastAsia="zh-CN"/>
            </w:rPr>
            <w:t>新平县</w:t>
          </w:r>
          <w:r>
            <w:rPr>
              <w:rFonts w:hint="default" w:ascii="Times New Roman" w:hAnsi="Times New Roman" w:eastAsia="方正仿宋_GBK" w:cs="Times New Roman"/>
              <w:snapToGrid w:val="0"/>
              <w:color w:val="auto"/>
              <w:sz w:val="21"/>
              <w:szCs w:val="21"/>
              <w:lang w:val="en-US" w:eastAsia="zh-CN"/>
            </w:rPr>
            <w:t>持续</w:t>
          </w:r>
          <w:r>
            <w:rPr>
              <w:rFonts w:hint="default" w:ascii="Times New Roman" w:hAnsi="Times New Roman" w:eastAsia="方正仿宋_GBK" w:cs="Times New Roman"/>
              <w:snapToGrid w:val="0"/>
              <w:color w:val="auto"/>
              <w:sz w:val="21"/>
              <w:szCs w:val="21"/>
            </w:rPr>
            <w:t>推动生态文明建设</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_Toc6894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5</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5A3B43D7">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_Toc24892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1.2规划意义</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_Toc24892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29926D6E">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_Toc9903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1.2.1</w:t>
          </w:r>
          <w:r>
            <w:rPr>
              <w:rFonts w:hint="default" w:ascii="Times New Roman" w:hAnsi="Times New Roman" w:eastAsia="方正仿宋_GBK" w:cs="Times New Roman"/>
              <w:snapToGrid w:val="0"/>
              <w:color w:val="auto"/>
              <w:sz w:val="21"/>
              <w:szCs w:val="21"/>
              <w:lang w:val="en-US" w:eastAsia="zh-CN"/>
            </w:rPr>
            <w:t>促进区域绿色发展</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_Toc9903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274E6ED2">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_Toc12715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1.2.</w:t>
          </w:r>
          <w:r>
            <w:rPr>
              <w:rFonts w:hint="default" w:ascii="Times New Roman" w:hAnsi="Times New Roman" w:eastAsia="方正仿宋_GBK" w:cs="Times New Roman"/>
              <w:snapToGrid w:val="0"/>
              <w:color w:val="auto"/>
              <w:sz w:val="21"/>
              <w:szCs w:val="21"/>
              <w:lang w:val="en-US" w:eastAsia="zh-CN"/>
            </w:rPr>
            <w:t>2</w:t>
          </w:r>
          <w:r>
            <w:rPr>
              <w:rFonts w:hint="default" w:ascii="Times New Roman" w:hAnsi="Times New Roman" w:eastAsia="方正仿宋_GBK" w:cs="Times New Roman"/>
              <w:snapToGrid w:val="0"/>
              <w:color w:val="auto"/>
              <w:sz w:val="21"/>
              <w:szCs w:val="21"/>
            </w:rPr>
            <w:t>推进产城人融合发展</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_Toc12715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7</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5E878D53">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_Toc20841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1.2.</w:t>
          </w:r>
          <w:r>
            <w:rPr>
              <w:rFonts w:hint="default" w:ascii="Times New Roman" w:hAnsi="Times New Roman" w:eastAsia="方正仿宋_GBK" w:cs="Times New Roman"/>
              <w:snapToGrid w:val="0"/>
              <w:color w:val="auto"/>
              <w:sz w:val="21"/>
              <w:szCs w:val="21"/>
              <w:lang w:val="en-US" w:eastAsia="zh-CN"/>
            </w:rPr>
            <w:t>3</w:t>
          </w:r>
          <w:r>
            <w:rPr>
              <w:rFonts w:hint="default" w:ascii="Times New Roman" w:hAnsi="Times New Roman" w:eastAsia="方正仿宋_GBK" w:cs="Times New Roman"/>
              <w:snapToGrid w:val="0"/>
              <w:color w:val="auto"/>
              <w:sz w:val="21"/>
              <w:szCs w:val="21"/>
            </w:rPr>
            <w:t>推动“</w:t>
          </w:r>
          <w:r>
            <w:rPr>
              <w:rFonts w:hint="default" w:ascii="Times New Roman" w:hAnsi="Times New Roman" w:eastAsia="方正仿宋_GBK" w:cs="Times New Roman"/>
              <w:snapToGrid w:val="0"/>
              <w:color w:val="auto"/>
              <w:sz w:val="21"/>
              <w:szCs w:val="21"/>
              <w:lang w:val="en-US" w:eastAsia="zh-CN"/>
            </w:rPr>
            <w:t>大美</w:t>
          </w:r>
          <w:r>
            <w:rPr>
              <w:rFonts w:hint="default" w:ascii="Times New Roman" w:hAnsi="Times New Roman" w:eastAsia="方正仿宋_GBK" w:cs="Times New Roman"/>
              <w:snapToGrid w:val="0"/>
              <w:color w:val="auto"/>
              <w:sz w:val="21"/>
              <w:szCs w:val="21"/>
              <w:lang w:eastAsia="zh-CN"/>
            </w:rPr>
            <w:t>新平</w:t>
          </w:r>
          <w:r>
            <w:rPr>
              <w:rFonts w:hint="default" w:ascii="Times New Roman" w:hAnsi="Times New Roman" w:eastAsia="方正仿宋_GBK" w:cs="Times New Roman"/>
              <w:snapToGrid w:val="0"/>
              <w:color w:val="auto"/>
              <w:sz w:val="21"/>
              <w:szCs w:val="21"/>
            </w:rPr>
            <w:t>”宜居之城建设</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_Toc20841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7</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743E1CF4">
          <w:pPr>
            <w:pStyle w:val="20"/>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_Toc30731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2建设基础</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_Toc30731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2E9FC980">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_Toc23234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2.1区域概况</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_Toc23234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1FF865CD">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_Toc13883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2.1.1自然地理状况</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_Toc13883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2BBDB2F7">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_Toc17059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color w:val="auto"/>
              <w:kern w:val="2"/>
              <w:sz w:val="21"/>
              <w:szCs w:val="21"/>
              <w:lang w:val="en-US" w:eastAsia="zh-CN" w:bidi="ar-SA"/>
            </w:rPr>
            <w:t>2.1.2社会概况</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_Toc17059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2A591BD8">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_Toc991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2.1.3经济状况</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_Toc991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13</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0E2C33F1">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_Toc1024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2.1.4主要资源状况</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_Toc1024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68A31C91">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_Toc4755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2.1.5生态环境状况</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_Toc4755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18</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5F3874A3">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_Toc27308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2.2工作基础</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_Toc27308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31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12740C80">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_Toc1239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2.2.1</w:t>
          </w:r>
          <w:r>
            <w:rPr>
              <w:rFonts w:hint="default" w:ascii="Times New Roman" w:hAnsi="Times New Roman" w:eastAsia="方正仿宋_GBK" w:cs="Times New Roman"/>
              <w:snapToGrid w:val="0"/>
              <w:color w:val="auto"/>
              <w:sz w:val="21"/>
              <w:szCs w:val="21"/>
              <w:lang w:val="en-US" w:eastAsia="zh-CN"/>
            </w:rPr>
            <w:t>坚持</w:t>
          </w:r>
          <w:r>
            <w:rPr>
              <w:rFonts w:hint="default" w:ascii="Times New Roman" w:hAnsi="Times New Roman" w:eastAsia="方正仿宋_GBK" w:cs="Times New Roman"/>
              <w:snapToGrid w:val="0"/>
              <w:color w:val="auto"/>
              <w:sz w:val="21"/>
              <w:szCs w:val="21"/>
            </w:rPr>
            <w:t>生态文明为引领，生态</w:t>
          </w:r>
          <w:r>
            <w:rPr>
              <w:rFonts w:hint="default" w:ascii="Times New Roman" w:hAnsi="Times New Roman" w:eastAsia="方正仿宋_GBK" w:cs="Times New Roman"/>
              <w:snapToGrid w:val="0"/>
              <w:color w:val="auto"/>
              <w:sz w:val="21"/>
              <w:szCs w:val="21"/>
              <w:lang w:val="en-US" w:eastAsia="zh-CN"/>
            </w:rPr>
            <w:t>体制机制不断完善</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_Toc1239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31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37EC9805">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_Toc1312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2.2.</w:t>
          </w:r>
          <w:r>
            <w:rPr>
              <w:rFonts w:hint="default" w:ascii="Times New Roman" w:hAnsi="Times New Roman" w:eastAsia="方正仿宋_GBK" w:cs="Times New Roman"/>
              <w:snapToGrid w:val="0"/>
              <w:color w:val="auto"/>
              <w:sz w:val="21"/>
              <w:szCs w:val="21"/>
              <w:lang w:val="en-US" w:eastAsia="zh-CN"/>
            </w:rPr>
            <w:t>2坚持</w:t>
          </w:r>
          <w:r>
            <w:rPr>
              <w:rFonts w:hint="default" w:ascii="Times New Roman" w:hAnsi="Times New Roman" w:eastAsia="方正仿宋_GBK" w:cs="Times New Roman"/>
              <w:snapToGrid w:val="0"/>
              <w:color w:val="auto"/>
              <w:sz w:val="21"/>
              <w:szCs w:val="21"/>
            </w:rPr>
            <w:t>系统保护为重点，</w:t>
          </w:r>
          <w:r>
            <w:rPr>
              <w:rFonts w:hint="default" w:ascii="Times New Roman" w:hAnsi="Times New Roman" w:eastAsia="方正仿宋_GBK" w:cs="Times New Roman"/>
              <w:snapToGrid w:val="0"/>
              <w:color w:val="auto"/>
              <w:sz w:val="21"/>
              <w:szCs w:val="21"/>
              <w:lang w:val="en-US" w:eastAsia="zh-CN"/>
            </w:rPr>
            <w:t>生态安全屏障更加牢固</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_Toc1312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32</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57AB82AC">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_Toc13659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2.2.</w:t>
          </w:r>
          <w:r>
            <w:rPr>
              <w:rFonts w:hint="default" w:ascii="Times New Roman" w:hAnsi="Times New Roman" w:eastAsia="方正仿宋_GBK" w:cs="Times New Roman"/>
              <w:snapToGrid w:val="0"/>
              <w:color w:val="auto"/>
              <w:sz w:val="21"/>
              <w:szCs w:val="21"/>
              <w:lang w:val="en-US" w:eastAsia="zh-CN"/>
            </w:rPr>
            <w:t>3坚持生态</w:t>
          </w:r>
          <w:r>
            <w:rPr>
              <w:rFonts w:hint="default" w:ascii="Times New Roman" w:hAnsi="Times New Roman" w:eastAsia="方正仿宋_GBK" w:cs="Times New Roman"/>
              <w:snapToGrid w:val="0"/>
              <w:color w:val="auto"/>
              <w:sz w:val="21"/>
              <w:szCs w:val="21"/>
            </w:rPr>
            <w:t>持保护优先，生态环境更加优美</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_Toc13659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34</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51EC016D">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_Toc31000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2.2.</w:t>
          </w:r>
          <w:r>
            <w:rPr>
              <w:rFonts w:hint="default" w:ascii="Times New Roman" w:hAnsi="Times New Roman" w:eastAsia="方正仿宋_GBK" w:cs="Times New Roman"/>
              <w:snapToGrid w:val="0"/>
              <w:color w:val="auto"/>
              <w:sz w:val="21"/>
              <w:szCs w:val="21"/>
              <w:lang w:val="en-US" w:eastAsia="zh-CN"/>
            </w:rPr>
            <w:t>4</w:t>
          </w:r>
          <w:r>
            <w:rPr>
              <w:rFonts w:hint="default" w:ascii="Times New Roman" w:hAnsi="Times New Roman" w:eastAsia="方正仿宋_GBK" w:cs="Times New Roman"/>
              <w:snapToGrid w:val="0"/>
              <w:color w:val="auto"/>
              <w:sz w:val="21"/>
              <w:szCs w:val="21"/>
            </w:rPr>
            <w:t>坚持</w:t>
          </w:r>
          <w:r>
            <w:rPr>
              <w:rFonts w:hint="default" w:ascii="Times New Roman" w:hAnsi="Times New Roman" w:eastAsia="方正仿宋_GBK" w:cs="Times New Roman"/>
              <w:snapToGrid w:val="0"/>
              <w:color w:val="auto"/>
              <w:sz w:val="21"/>
              <w:szCs w:val="21"/>
              <w:lang w:val="en-US" w:eastAsia="zh-CN"/>
            </w:rPr>
            <w:t>产业</w:t>
          </w:r>
          <w:r>
            <w:rPr>
              <w:rFonts w:hint="default" w:ascii="Times New Roman" w:hAnsi="Times New Roman" w:eastAsia="方正仿宋_GBK" w:cs="Times New Roman"/>
              <w:snapToGrid w:val="0"/>
              <w:color w:val="auto"/>
              <w:sz w:val="21"/>
              <w:szCs w:val="21"/>
            </w:rPr>
            <w:t>转型发展，绿色经济成为新增长极</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_Toc31000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35</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310F1449">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_Toc14729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2.2.</w:t>
          </w:r>
          <w:r>
            <w:rPr>
              <w:rFonts w:hint="default" w:ascii="Times New Roman" w:hAnsi="Times New Roman" w:eastAsia="方正仿宋_GBK" w:cs="Times New Roman"/>
              <w:snapToGrid w:val="0"/>
              <w:color w:val="auto"/>
              <w:sz w:val="21"/>
              <w:szCs w:val="21"/>
              <w:lang w:val="en-US" w:eastAsia="zh-CN"/>
            </w:rPr>
            <w:t>5</w:t>
          </w:r>
          <w:r>
            <w:rPr>
              <w:rFonts w:hint="default" w:ascii="Times New Roman" w:hAnsi="Times New Roman" w:eastAsia="方正仿宋_GBK" w:cs="Times New Roman"/>
              <w:snapToGrid w:val="0"/>
              <w:color w:val="auto"/>
              <w:sz w:val="21"/>
              <w:szCs w:val="21"/>
            </w:rPr>
            <w:t>坚持</w:t>
          </w:r>
          <w:r>
            <w:rPr>
              <w:rFonts w:hint="default" w:ascii="Times New Roman" w:hAnsi="Times New Roman" w:eastAsia="方正仿宋_GBK" w:cs="Times New Roman"/>
              <w:snapToGrid w:val="0"/>
              <w:color w:val="auto"/>
              <w:sz w:val="21"/>
              <w:szCs w:val="21"/>
              <w:lang w:val="en-US" w:eastAsia="zh-CN"/>
            </w:rPr>
            <w:t>城乡</w:t>
          </w:r>
          <w:r>
            <w:rPr>
              <w:rFonts w:hint="default" w:ascii="Times New Roman" w:hAnsi="Times New Roman" w:eastAsia="方正仿宋_GBK" w:cs="Times New Roman"/>
              <w:snapToGrid w:val="0"/>
              <w:color w:val="auto"/>
              <w:sz w:val="21"/>
              <w:szCs w:val="21"/>
            </w:rPr>
            <w:t>协同共进，城乡人居环境</w:t>
          </w:r>
          <w:r>
            <w:rPr>
              <w:rFonts w:hint="default" w:ascii="Times New Roman" w:hAnsi="Times New Roman" w:eastAsia="方正仿宋_GBK" w:cs="Times New Roman"/>
              <w:snapToGrid w:val="0"/>
              <w:color w:val="auto"/>
              <w:sz w:val="21"/>
              <w:szCs w:val="21"/>
              <w:lang w:val="en-US" w:eastAsia="zh-CN"/>
            </w:rPr>
            <w:t>持续</w:t>
          </w:r>
          <w:r>
            <w:rPr>
              <w:rFonts w:hint="default" w:ascii="Times New Roman" w:hAnsi="Times New Roman" w:eastAsia="方正仿宋_GBK" w:cs="Times New Roman"/>
              <w:snapToGrid w:val="0"/>
              <w:color w:val="auto"/>
              <w:sz w:val="21"/>
              <w:szCs w:val="21"/>
            </w:rPr>
            <w:t>改善</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_Toc14729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37</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67801461">
          <w:pPr>
            <w:pStyle w:val="20"/>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_Toc31343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3形势分析</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_Toc31343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39</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3F345E31">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_Toc385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3.1存在问题</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_Toc385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39</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56933782">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_Toc23982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3.1.1产业高质量绿色发展压力仍然较大</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_Toc23982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39</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02D30D18">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_Toc18665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3.1.2污染防治工作任务依然艰巨</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_Toc18665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40</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0BC434DE">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_Toc19488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3.1.3城乡环保设施等公共基础设施建设滞后</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_Toc19488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40</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7C8E8296">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_Toc26425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3.1.4资源开发与环境保护压力较大</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_Toc26425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40</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4B059B6A">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_Toc3429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3.1.5治理体系和治理能力现代化尚未形成</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_Toc3429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41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6223244B">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_Toc17261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3.2机遇</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_Toc17261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41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6E6F2E85">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_Toc15075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3.2.1国家发展战略带来的政策机遇</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_Toc15075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41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1BE8393E">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_Toc3650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3.2.2云南省发展战略带来的机遇</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_Toc3650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42</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411CFFFE">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_Toc5004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3.2.3滇中城市群发展带来的机遇</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_Toc5004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43</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7BBCFF2D">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_Toc16238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3.2.4玉溪市生态建设和环境保护带来的发展机遇</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_Toc16238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43</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3007BCF8">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_Toc6842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3.3挑战</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_Toc6842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44</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2064C1E8">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_Toc30059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3.3.1产业转型升级，绿色高质量发展的挑战</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_Toc30059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44</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26965100">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_Toc17224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3.3.2生态保护与经济发展的挑战</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_Toc17224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44</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0C5406CF">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_Toc5330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3.3.3实现碳达峰碳中和的挑战</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_Toc5330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45</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2E0CC4FE">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_Toc12296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3.3.4生物多样性保护面临的挑战</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_Toc12296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45</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6D0F9491">
          <w:pPr>
            <w:pStyle w:val="20"/>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_Toc11095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4规划总则</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_Toc11095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47</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06B32D14">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_Toc7491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4.1指导思想</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_Toc7491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47</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06E4E626">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_Toc31720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4.2规划原则</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_Toc31720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47</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7B59CE54">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_Toc25323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4.3编制依据</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_Toc25323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48</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64CFECD0">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_Toc1149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4.3.1法律法规</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_Toc1149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48</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65D13114">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_Toc15779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4.3.2政策文件</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_Toc15779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49</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76AFE969">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_Toc5011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4.3.3规划计划</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_Toc5011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53</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5F3BF514">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_Toc15564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4.3.4相关技术文件</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_Toc15564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55</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464D1537">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_Toc29298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4.4规划范围与期限</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_Toc29298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56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2FB7AF8A">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_Toc26169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4.4.1规划范围</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_Toc26169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56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255F9711">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_Toc4779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4.4.2规划时限</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_Toc4779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56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3ED1B6EE">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_Toc25653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4.5定位分析</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_Toc25653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56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4A723044">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_Toc24683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4.5.1上位规划</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_Toc24683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56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308F604F">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_Toc30971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4.5.2示范创建定位</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_Toc30971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57</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57615F3E">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_Toc10400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4.6规划目标</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_Toc10400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58</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45DE86A6">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_Toc2786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4.6.1总体目标</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_Toc2786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58</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1A1D9EDA">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_Toc14590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4.6.2阶段目标</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_Toc14590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59</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42D788A7">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_Toc30389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4.7规划指标</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_Toc30389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60</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1E71B23D">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_Toc20832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4.7.1指标现状</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_Toc20832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60</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7B392BB8">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_Toc538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4.7.2指标目标及可达性分析</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_Toc538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74</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05C2DC4A">
          <w:pPr>
            <w:pStyle w:val="20"/>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_Toc31016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5严格落实政策，健全生态制度体系</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_Toc31016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0738F77B">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_Toc22011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5.1健全完善自然资源资产产权和资源总量管理全面节约制度</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_Toc22011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21FBD840">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_Toc8315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5.1.1健全自然资源资产产权制度和用途管制制度</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_Toc8315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502DE30E">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_Toc26944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5.1.2健全土地节约集约使用制度</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_Toc26944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587180FB">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_Toc29844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5.1.3施行最严格水资源管理制度</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_Toc29844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82</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010C72B8">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_Toc18018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5.1.4强化落实能源消费总量管理和节约制度</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_Toc18018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83</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17901ED3">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_Toc18309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5.1.5完善资源循环利用制度</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_Toc18309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83</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20A6C3FC">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_Toc10917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5.2建立健全国土空间开发保护制度和空间规划体系</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_Toc10917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84</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31A359F9">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_Toc12058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5.2.1建立统一的确权登记系统</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_Toc12058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84</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724DA20A">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_Toc13296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5.2.2健全国土空间用途管制制度</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_Toc13296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84</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1026CF25">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_Toc23485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5.2.3健全自然保护地保护机制</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_Toc23485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85</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4F0173D5">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_Toc15008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5.2.4建立空间规划体系</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_Toc15008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85</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491FEF65">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_Toc28551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5.3健全资源有偿使用和生态补偿制度</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_Toc28551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85</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7C284B02">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_Toc7888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5.</w:t>
          </w:r>
          <w:r>
            <w:rPr>
              <w:rFonts w:hint="default" w:ascii="Times New Roman" w:hAnsi="Times New Roman" w:eastAsia="方正仿宋_GBK" w:cs="Times New Roman"/>
              <w:snapToGrid w:val="0"/>
              <w:color w:val="auto"/>
              <w:sz w:val="21"/>
              <w:szCs w:val="21"/>
              <w:lang w:val="en-US" w:eastAsia="zh-CN"/>
            </w:rPr>
            <w:t>3</w:t>
          </w:r>
          <w:r>
            <w:rPr>
              <w:rFonts w:hint="default" w:ascii="Times New Roman" w:hAnsi="Times New Roman" w:eastAsia="方正仿宋_GBK" w:cs="Times New Roman"/>
              <w:snapToGrid w:val="0"/>
              <w:color w:val="auto"/>
              <w:sz w:val="21"/>
              <w:szCs w:val="21"/>
            </w:rPr>
            <w:t>.1</w:t>
          </w:r>
          <w:r>
            <w:rPr>
              <w:rFonts w:hint="default" w:ascii="Times New Roman" w:hAnsi="Times New Roman" w:eastAsia="方正仿宋_GBK" w:cs="Times New Roman"/>
              <w:color w:val="auto"/>
              <w:sz w:val="21"/>
              <w:szCs w:val="21"/>
              <w:lang w:val="en-US" w:eastAsia="zh-CN"/>
            </w:rPr>
            <w:t>加快自然资源及其产品价格改革</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_Toc7888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85</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272B03AA">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_Toc7915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5.</w:t>
          </w:r>
          <w:r>
            <w:rPr>
              <w:rFonts w:hint="default" w:ascii="Times New Roman" w:hAnsi="Times New Roman" w:eastAsia="方正仿宋_GBK" w:cs="Times New Roman"/>
              <w:snapToGrid w:val="0"/>
              <w:color w:val="auto"/>
              <w:sz w:val="21"/>
              <w:szCs w:val="21"/>
              <w:lang w:val="en-US" w:eastAsia="zh-CN"/>
            </w:rPr>
            <w:t>3</w:t>
          </w:r>
          <w:r>
            <w:rPr>
              <w:rFonts w:hint="default" w:ascii="Times New Roman" w:hAnsi="Times New Roman" w:eastAsia="方正仿宋_GBK" w:cs="Times New Roman"/>
              <w:snapToGrid w:val="0"/>
              <w:color w:val="auto"/>
              <w:sz w:val="21"/>
              <w:szCs w:val="21"/>
            </w:rPr>
            <w:t>.</w:t>
          </w:r>
          <w:r>
            <w:rPr>
              <w:rFonts w:hint="default" w:ascii="Times New Roman" w:hAnsi="Times New Roman" w:eastAsia="方正仿宋_GBK" w:cs="Times New Roman"/>
              <w:snapToGrid w:val="0"/>
              <w:color w:val="auto"/>
              <w:sz w:val="21"/>
              <w:szCs w:val="21"/>
              <w:lang w:val="en-US" w:eastAsia="zh-CN"/>
            </w:rPr>
            <w:t>2完善土地有偿使用制度</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_Toc7915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6A20DEC0">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_Toc19681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5.</w:t>
          </w:r>
          <w:r>
            <w:rPr>
              <w:rFonts w:hint="default" w:ascii="Times New Roman" w:hAnsi="Times New Roman" w:eastAsia="方正仿宋_GBK" w:cs="Times New Roman"/>
              <w:snapToGrid w:val="0"/>
              <w:color w:val="auto"/>
              <w:sz w:val="21"/>
              <w:szCs w:val="21"/>
              <w:lang w:val="en-US" w:eastAsia="zh-CN"/>
            </w:rPr>
            <w:t>3</w:t>
          </w:r>
          <w:r>
            <w:rPr>
              <w:rFonts w:hint="default" w:ascii="Times New Roman" w:hAnsi="Times New Roman" w:eastAsia="方正仿宋_GBK" w:cs="Times New Roman"/>
              <w:snapToGrid w:val="0"/>
              <w:color w:val="auto"/>
              <w:sz w:val="21"/>
              <w:szCs w:val="21"/>
            </w:rPr>
            <w:t>.</w:t>
          </w:r>
          <w:r>
            <w:rPr>
              <w:rFonts w:hint="default" w:ascii="Times New Roman" w:hAnsi="Times New Roman" w:eastAsia="方正仿宋_GBK" w:cs="Times New Roman"/>
              <w:snapToGrid w:val="0"/>
              <w:color w:val="auto"/>
              <w:sz w:val="21"/>
              <w:szCs w:val="21"/>
              <w:lang w:val="en-US" w:eastAsia="zh-CN"/>
            </w:rPr>
            <w:t>3完善矿产资源有偿使用制度</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_Toc19681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46D3F869">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_Toc28572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5.3.4探索完善生态补偿制度</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_Toc28572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22CD389C">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_Toc6986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5.4建立健全环境治理体系</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_Toc6986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87</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25853E90">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_Toc20367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5.</w:t>
          </w:r>
          <w:r>
            <w:rPr>
              <w:rFonts w:hint="default" w:ascii="Times New Roman" w:hAnsi="Times New Roman" w:eastAsia="方正仿宋_GBK" w:cs="Times New Roman"/>
              <w:snapToGrid w:val="0"/>
              <w:color w:val="auto"/>
              <w:sz w:val="21"/>
              <w:szCs w:val="21"/>
              <w:lang w:val="en-US" w:eastAsia="zh-CN"/>
            </w:rPr>
            <w:t>4</w:t>
          </w:r>
          <w:r>
            <w:rPr>
              <w:rFonts w:hint="default" w:ascii="Times New Roman" w:hAnsi="Times New Roman" w:eastAsia="方正仿宋_GBK" w:cs="Times New Roman"/>
              <w:snapToGrid w:val="0"/>
              <w:color w:val="auto"/>
              <w:sz w:val="21"/>
              <w:szCs w:val="21"/>
            </w:rPr>
            <w:t>.1严格执行生态环境准入制度</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_Toc20367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87</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3FA52938">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_Toc29698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5.</w:t>
          </w:r>
          <w:r>
            <w:rPr>
              <w:rFonts w:hint="default" w:ascii="Times New Roman" w:hAnsi="Times New Roman" w:eastAsia="方正仿宋_GBK" w:cs="Times New Roman"/>
              <w:snapToGrid w:val="0"/>
              <w:color w:val="auto"/>
              <w:sz w:val="21"/>
              <w:szCs w:val="21"/>
              <w:lang w:val="en-US" w:eastAsia="zh-CN"/>
            </w:rPr>
            <w:t>4</w:t>
          </w:r>
          <w:r>
            <w:rPr>
              <w:rFonts w:hint="default" w:ascii="Times New Roman" w:hAnsi="Times New Roman" w:eastAsia="方正仿宋_GBK" w:cs="Times New Roman"/>
              <w:snapToGrid w:val="0"/>
              <w:color w:val="auto"/>
              <w:sz w:val="21"/>
              <w:szCs w:val="21"/>
            </w:rPr>
            <w:t>.2深入执行环境影响评价与排污许可制度</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_Toc29698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87</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397F71D2">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_Toc19801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5.</w:t>
          </w:r>
          <w:r>
            <w:rPr>
              <w:rFonts w:hint="default" w:ascii="Times New Roman" w:hAnsi="Times New Roman" w:eastAsia="方正仿宋_GBK" w:cs="Times New Roman"/>
              <w:snapToGrid w:val="0"/>
              <w:color w:val="auto"/>
              <w:sz w:val="21"/>
              <w:szCs w:val="21"/>
              <w:lang w:val="en-US" w:eastAsia="zh-CN"/>
            </w:rPr>
            <w:t>4</w:t>
          </w:r>
          <w:r>
            <w:rPr>
              <w:rFonts w:hint="default" w:ascii="Times New Roman" w:hAnsi="Times New Roman" w:eastAsia="方正仿宋_GBK" w:cs="Times New Roman"/>
              <w:snapToGrid w:val="0"/>
              <w:color w:val="auto"/>
              <w:sz w:val="21"/>
              <w:szCs w:val="21"/>
            </w:rPr>
            <w:t>.3严格落实污染物排放总量控制制度</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_Toc19801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88</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49D962F5">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_Toc3571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5.</w:t>
          </w:r>
          <w:r>
            <w:rPr>
              <w:rFonts w:hint="default" w:ascii="Times New Roman" w:hAnsi="Times New Roman" w:eastAsia="方正仿宋_GBK" w:cs="Times New Roman"/>
              <w:snapToGrid w:val="0"/>
              <w:color w:val="auto"/>
              <w:sz w:val="21"/>
              <w:szCs w:val="21"/>
              <w:lang w:val="en-US" w:eastAsia="zh-CN"/>
            </w:rPr>
            <w:t>4</w:t>
          </w:r>
          <w:r>
            <w:rPr>
              <w:rFonts w:hint="default" w:ascii="Times New Roman" w:hAnsi="Times New Roman" w:eastAsia="方正仿宋_GBK" w:cs="Times New Roman"/>
              <w:snapToGrid w:val="0"/>
              <w:color w:val="auto"/>
              <w:sz w:val="21"/>
              <w:szCs w:val="21"/>
            </w:rPr>
            <w:t>.4健全落实环境信息公开制度</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_Toc3571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88</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58DCEF61">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_Toc17463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5.</w:t>
          </w:r>
          <w:r>
            <w:rPr>
              <w:rFonts w:hint="default" w:ascii="Times New Roman" w:hAnsi="Times New Roman" w:eastAsia="方正仿宋_GBK" w:cs="Times New Roman"/>
              <w:snapToGrid w:val="0"/>
              <w:color w:val="auto"/>
              <w:sz w:val="21"/>
              <w:szCs w:val="21"/>
              <w:lang w:val="en-US" w:eastAsia="zh-CN"/>
            </w:rPr>
            <w:t>4</w:t>
          </w:r>
          <w:r>
            <w:rPr>
              <w:rFonts w:hint="default" w:ascii="Times New Roman" w:hAnsi="Times New Roman" w:eastAsia="方正仿宋_GBK" w:cs="Times New Roman"/>
              <w:snapToGrid w:val="0"/>
              <w:color w:val="auto"/>
              <w:sz w:val="21"/>
              <w:szCs w:val="21"/>
            </w:rPr>
            <w:t>.5深化生态环境监管制度</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_Toc17463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89</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7FE99FA0">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_Toc24415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5.5健全环境治理和生态保护市场体系</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_Toc24415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92</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694D584F">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_Toc30753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5.</w:t>
          </w:r>
          <w:r>
            <w:rPr>
              <w:rFonts w:hint="default" w:ascii="Times New Roman" w:hAnsi="Times New Roman" w:eastAsia="方正仿宋_GBK" w:cs="Times New Roman"/>
              <w:snapToGrid w:val="0"/>
              <w:color w:val="auto"/>
              <w:sz w:val="21"/>
              <w:szCs w:val="21"/>
              <w:lang w:val="en-US" w:eastAsia="zh-CN"/>
            </w:rPr>
            <w:t>5</w:t>
          </w:r>
          <w:r>
            <w:rPr>
              <w:rFonts w:hint="default" w:ascii="Times New Roman" w:hAnsi="Times New Roman" w:eastAsia="方正仿宋_GBK" w:cs="Times New Roman"/>
              <w:snapToGrid w:val="0"/>
              <w:color w:val="auto"/>
              <w:sz w:val="21"/>
              <w:szCs w:val="21"/>
            </w:rPr>
            <w:t>.</w:t>
          </w:r>
          <w:r>
            <w:rPr>
              <w:rFonts w:hint="default" w:ascii="Times New Roman" w:hAnsi="Times New Roman" w:eastAsia="方正仿宋_GBK" w:cs="Times New Roman"/>
              <w:snapToGrid w:val="0"/>
              <w:color w:val="auto"/>
              <w:sz w:val="21"/>
              <w:szCs w:val="21"/>
              <w:lang w:val="en-US" w:eastAsia="zh-CN"/>
            </w:rPr>
            <w:t>1</w:t>
          </w:r>
          <w:r>
            <w:rPr>
              <w:rFonts w:hint="default" w:ascii="Times New Roman" w:hAnsi="Times New Roman" w:eastAsia="方正仿宋_GBK" w:cs="Times New Roman"/>
              <w:snapToGrid w:val="0"/>
              <w:color w:val="auto"/>
              <w:sz w:val="21"/>
              <w:szCs w:val="21"/>
            </w:rPr>
            <w:t>培育环境治理和生态保护市场主体</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_Toc30753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92</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0B07A85C">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_Toc22065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5.5.2推行用能权和碳排放权交易制度</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_Toc22065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92</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034D3DE6">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_Toc11048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5.5.3推行排污权交易制度</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_Toc11048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92</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597D54F7">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_Toc26786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5.5.4推行水权交易制度</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_Toc26786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92</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2CA0AC69">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_Toc24418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5.5.5建立绿色金融体系</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_Toc24418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93</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4DF2F235">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_Toc30388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5.</w:t>
          </w:r>
          <w:r>
            <w:rPr>
              <w:rFonts w:hint="default" w:ascii="Times New Roman" w:hAnsi="Times New Roman" w:eastAsia="方正仿宋_GBK" w:cs="Times New Roman"/>
              <w:snapToGrid w:val="0"/>
              <w:color w:val="auto"/>
              <w:sz w:val="21"/>
              <w:szCs w:val="21"/>
              <w:lang w:val="en-US" w:eastAsia="zh-CN"/>
            </w:rPr>
            <w:t>5</w:t>
          </w:r>
          <w:r>
            <w:rPr>
              <w:rFonts w:hint="default" w:ascii="Times New Roman" w:hAnsi="Times New Roman" w:eastAsia="方正仿宋_GBK" w:cs="Times New Roman"/>
              <w:snapToGrid w:val="0"/>
              <w:color w:val="auto"/>
              <w:sz w:val="21"/>
              <w:szCs w:val="21"/>
            </w:rPr>
            <w:t>.</w:t>
          </w:r>
          <w:r>
            <w:rPr>
              <w:rFonts w:hint="default" w:ascii="Times New Roman" w:hAnsi="Times New Roman" w:eastAsia="方正仿宋_GBK" w:cs="Times New Roman"/>
              <w:snapToGrid w:val="0"/>
              <w:color w:val="auto"/>
              <w:sz w:val="21"/>
              <w:szCs w:val="21"/>
              <w:lang w:val="en-US" w:eastAsia="zh-CN"/>
            </w:rPr>
            <w:t>6</w:t>
          </w:r>
          <w:r>
            <w:rPr>
              <w:rFonts w:hint="default" w:ascii="Times New Roman" w:hAnsi="Times New Roman" w:eastAsia="方正仿宋_GBK" w:cs="Times New Roman"/>
              <w:snapToGrid w:val="0"/>
              <w:color w:val="auto"/>
              <w:sz w:val="21"/>
              <w:szCs w:val="21"/>
            </w:rPr>
            <w:t>健全生态产品价值实现支撑机制</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_Toc30388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93</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6A42E06A">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_Toc24953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5.6完善生态文明绩效评价考核和责任追究制度</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_Toc24953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94</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46295A2E">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_Toc25774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5.</w:t>
          </w:r>
          <w:r>
            <w:rPr>
              <w:rFonts w:hint="default" w:ascii="Times New Roman" w:hAnsi="Times New Roman" w:eastAsia="方正仿宋_GBK" w:cs="Times New Roman"/>
              <w:snapToGrid w:val="0"/>
              <w:color w:val="auto"/>
              <w:sz w:val="21"/>
              <w:szCs w:val="21"/>
              <w:lang w:val="en-US" w:eastAsia="zh-CN"/>
            </w:rPr>
            <w:t>6</w:t>
          </w:r>
          <w:r>
            <w:rPr>
              <w:rFonts w:hint="default" w:ascii="Times New Roman" w:hAnsi="Times New Roman" w:eastAsia="方正仿宋_GBK" w:cs="Times New Roman"/>
              <w:snapToGrid w:val="0"/>
              <w:color w:val="auto"/>
              <w:sz w:val="21"/>
              <w:szCs w:val="21"/>
            </w:rPr>
            <w:t>.1完善生态文明建设目标责任制度</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_Toc25774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94</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54AC131F">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_Toc20342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5.</w:t>
          </w:r>
          <w:r>
            <w:rPr>
              <w:rFonts w:hint="default" w:ascii="Times New Roman" w:hAnsi="Times New Roman" w:eastAsia="方正仿宋_GBK" w:cs="Times New Roman"/>
              <w:snapToGrid w:val="0"/>
              <w:color w:val="auto"/>
              <w:sz w:val="21"/>
              <w:szCs w:val="21"/>
              <w:lang w:val="en-US" w:eastAsia="zh-CN"/>
            </w:rPr>
            <w:t>6</w:t>
          </w:r>
          <w:r>
            <w:rPr>
              <w:rFonts w:hint="default" w:ascii="Times New Roman" w:hAnsi="Times New Roman" w:eastAsia="方正仿宋_GBK" w:cs="Times New Roman"/>
              <w:snapToGrid w:val="0"/>
              <w:color w:val="auto"/>
              <w:sz w:val="21"/>
              <w:szCs w:val="21"/>
            </w:rPr>
            <w:t>.2完善生态环境损害责任追究制度</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_Toc20342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94</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3C6AD4F9">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_Toc13592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5.</w:t>
          </w:r>
          <w:r>
            <w:rPr>
              <w:rFonts w:hint="default" w:ascii="Times New Roman" w:hAnsi="Times New Roman" w:eastAsia="方正仿宋_GBK" w:cs="Times New Roman"/>
              <w:snapToGrid w:val="0"/>
              <w:color w:val="auto"/>
              <w:sz w:val="21"/>
              <w:szCs w:val="21"/>
              <w:lang w:val="en-US" w:eastAsia="zh-CN"/>
            </w:rPr>
            <w:t>6</w:t>
          </w:r>
          <w:r>
            <w:rPr>
              <w:rFonts w:hint="default" w:ascii="Times New Roman" w:hAnsi="Times New Roman" w:eastAsia="方正仿宋_GBK" w:cs="Times New Roman"/>
              <w:snapToGrid w:val="0"/>
              <w:color w:val="auto"/>
              <w:sz w:val="21"/>
              <w:szCs w:val="21"/>
            </w:rPr>
            <w:t>.3健全自然资源资产离任审计制度</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_Toc13592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95</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6E507800">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_Toc18609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5.</w:t>
          </w:r>
          <w:r>
            <w:rPr>
              <w:rFonts w:hint="default" w:ascii="Times New Roman" w:hAnsi="Times New Roman" w:eastAsia="方正仿宋_GBK" w:cs="Times New Roman"/>
              <w:snapToGrid w:val="0"/>
              <w:color w:val="auto"/>
              <w:sz w:val="21"/>
              <w:szCs w:val="21"/>
              <w:lang w:val="en-US" w:eastAsia="zh-CN"/>
            </w:rPr>
            <w:t>6</w:t>
          </w:r>
          <w:r>
            <w:rPr>
              <w:rFonts w:hint="default" w:ascii="Times New Roman" w:hAnsi="Times New Roman" w:eastAsia="方正仿宋_GBK" w:cs="Times New Roman"/>
              <w:snapToGrid w:val="0"/>
              <w:color w:val="auto"/>
              <w:sz w:val="21"/>
              <w:szCs w:val="21"/>
            </w:rPr>
            <w:t>.4健全生态环境损害赔偿制度</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_Toc18609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95</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52D5815A">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_Toc23833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5.</w:t>
          </w:r>
          <w:r>
            <w:rPr>
              <w:rFonts w:hint="default" w:ascii="Times New Roman" w:hAnsi="Times New Roman" w:eastAsia="方正仿宋_GBK" w:cs="Times New Roman"/>
              <w:snapToGrid w:val="0"/>
              <w:color w:val="auto"/>
              <w:sz w:val="21"/>
              <w:szCs w:val="21"/>
              <w:lang w:val="en-US" w:eastAsia="zh-CN"/>
            </w:rPr>
            <w:t>6</w:t>
          </w:r>
          <w:r>
            <w:rPr>
              <w:rFonts w:hint="default" w:ascii="Times New Roman" w:hAnsi="Times New Roman" w:eastAsia="方正仿宋_GBK" w:cs="Times New Roman"/>
              <w:snapToGrid w:val="0"/>
              <w:color w:val="auto"/>
              <w:sz w:val="21"/>
              <w:szCs w:val="21"/>
            </w:rPr>
            <w:t>.5落实企业生态环境保护责任</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_Toc23833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96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358046E4">
          <w:pPr>
            <w:pStyle w:val="20"/>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_Toc7226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6坚持全面统筹，建设生态安全体系</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_Toc7226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98</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429FBB5B">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_Toc27641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6.1稳定保持水生态环境质量</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_Toc27641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98</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6E8AE2FE">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_Toc3789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6.1.1保障水环境安全</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_Toc3789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98</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1E28A5DC">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_Toc973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6.1.2积极推动水生态保护与修复</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_Toc973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101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3FDB84E6">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_Toc4421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6.1.3强化水资源保护与管理</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_Toc4421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102</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45C1A5E8">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_Toc21662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6.2持续改善大气环境质量</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_Toc21662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104</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7D50F18E">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_Toc29635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6.2.1协同温室气体和污染物治理</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_Toc29635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104</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2F7D25D2">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_Toc5496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6.2.2加强大气面源污染治理</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_Toc5496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104</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478FAB96">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_Toc17118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6.2.3深化工业企业污染防控</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_Toc17118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105</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70929783">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_Toc4937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6.2.4强化移动源污染防治</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_Toc4937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106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5CA98EF1">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_Toc10144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6.3严格管控土壤环境质量</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_Toc10144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107</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25DA77AF">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_Toc27522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6.3.1推动土壤污染防治和安全利用</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_Toc27522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107</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53E52C49">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_Toc10266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6.3.2加强地下水污染防治</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_Toc10266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109</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19BE2F2F">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_Toc30920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6.4提高声环境质量</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_Toc30920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111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4029B953">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_Toc21965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6.4.1加大噪声污染监管力度</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_Toc21965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111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3F51493D">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_Toc27202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6.4.2严控各类噪声源</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_Toc27202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112</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2CF171A6">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_Toc8261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6.5强化生态系统保护与修复</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_Toc8261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113</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30F9659B">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_Toc583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6.5.1提升生态系统质量和稳定性</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_Toc583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113</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46A238DC">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_Toc30097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6.5.2加强生物多样性保护</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_Toc30097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115</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430A0398">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_Toc8049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6.5.3全面实施生态修复</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_Toc8049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116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36CFAA99">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_Toc26499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6.5.4持续开展国土山川大绿化行动</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_Toc26499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117</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1DC8E128">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_Toc2920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6.6积极应对气候变化</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_Toc2920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118</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63AC8BEB">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_Toc984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6.6.1制定碳达峰行动方案</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_Toc984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118</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63A4D8DE">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_Toc9439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6.6.2持续加强减污降碳</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_Toc9439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119</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4B16271A">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_Toc16055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6.6.3积极发展生态降碳</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_Toc16055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120</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0C9EF317">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_Toc26262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6.6.4提高适应气候变化能力</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_Toc26262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121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0C7DB2CD">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_Toc2611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6.7加强生态环境风险防范</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_Toc2611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121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481E2D09">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_Toc7012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6.7.1完善生态环境风险和应急管理体系</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_Toc7012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121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03F1B287">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_Toc20374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6.7.2加强危险废物、医疗废物收集处理</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_Toc20374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123</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54D1E0B9">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_Toc5919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6.7.3提高固体废弃物综合利用水平</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_Toc5919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124</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4524F601">
          <w:pPr>
            <w:pStyle w:val="20"/>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_Toc21018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7严格空间管控，建设生态空间体系</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_Toc21018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126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7B779FB2">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_Toc28243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7.1严格生态空间用途管制</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_Toc28243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126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223F6E45">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_Toc27742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7.1.1落实“三线一单”生态环境分区管控</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_Toc27742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126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760488CD">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_Toc2954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7.1.2生态保护红线和生态空间</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_Toc2954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132</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03520534">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_Toc28105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7.1.3永久基本农田和农业空间</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_Toc28105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133</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76952B09">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_Toc9396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7.1.4城镇开发边界线和城镇空间</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_Toc9396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134</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1FE24589">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_Toc20523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7</w:t>
          </w:r>
          <w:r>
            <w:rPr>
              <w:rFonts w:hint="default" w:ascii="Times New Roman" w:hAnsi="Times New Roman" w:eastAsia="方正仿宋_GBK" w:cs="Times New Roman"/>
              <w:color w:val="auto"/>
              <w:sz w:val="21"/>
              <w:szCs w:val="21"/>
              <w:lang w:val="zh-CN" w:eastAsia="zh-CN"/>
            </w:rPr>
            <w:t>.</w:t>
          </w:r>
          <w:r>
            <w:rPr>
              <w:rFonts w:hint="default" w:ascii="Times New Roman" w:hAnsi="Times New Roman" w:eastAsia="方正仿宋_GBK" w:cs="Times New Roman"/>
              <w:color w:val="auto"/>
              <w:sz w:val="21"/>
              <w:szCs w:val="21"/>
              <w:lang w:val="en-US" w:eastAsia="zh-CN"/>
            </w:rPr>
            <w:t>2</w:t>
          </w:r>
          <w:r>
            <w:rPr>
              <w:rFonts w:hint="default" w:ascii="Times New Roman" w:hAnsi="Times New Roman" w:eastAsia="方正仿宋_GBK" w:cs="Times New Roman"/>
              <w:color w:val="auto"/>
              <w:sz w:val="21"/>
              <w:szCs w:val="21"/>
              <w:lang w:val="zh-CN" w:eastAsia="zh-CN"/>
            </w:rPr>
            <w:t>构建自然保护地体系</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_Toc20523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135</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63D82F68">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_Toc24979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zh-CN" w:eastAsia="zh-CN"/>
            </w:rPr>
            <w:t>7.</w:t>
          </w:r>
          <w:r>
            <w:rPr>
              <w:rFonts w:hint="default" w:ascii="Times New Roman" w:hAnsi="Times New Roman" w:eastAsia="方正仿宋_GBK" w:cs="Times New Roman"/>
              <w:color w:val="auto"/>
              <w:sz w:val="21"/>
              <w:szCs w:val="21"/>
              <w:lang w:val="en-US" w:eastAsia="zh-CN"/>
            </w:rPr>
            <w:t>3</w:t>
          </w:r>
          <w:r>
            <w:rPr>
              <w:rFonts w:hint="default" w:ascii="Times New Roman" w:hAnsi="Times New Roman" w:eastAsia="方正仿宋_GBK" w:cs="Times New Roman"/>
              <w:color w:val="auto"/>
              <w:sz w:val="21"/>
              <w:szCs w:val="21"/>
              <w:lang w:val="zh-CN" w:eastAsia="zh-CN"/>
            </w:rPr>
            <w:t>持续优化国土空间布局</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_Toc24979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136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55D3C5BB">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_Toc9379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7.3.1加速融入滇中城市群一体化发展</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_Toc9379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136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466C0B6E">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_Toc7559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7.3.2优化生产力空间布局</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_Toc7559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137</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5B33D8A7">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_Toc13518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7.3.3巩固“两</w:t>
          </w:r>
          <w:r>
            <w:rPr>
              <w:rFonts w:hint="default" w:ascii="Times New Roman" w:hAnsi="Times New Roman" w:eastAsia="方正仿宋_GBK" w:cs="Times New Roman"/>
              <w:bCs/>
              <w:snapToGrid w:val="0"/>
              <w:color w:val="auto"/>
              <w:kern w:val="2"/>
              <w:sz w:val="21"/>
              <w:szCs w:val="21"/>
              <w:highlight w:val="none"/>
              <w:lang w:eastAsia="zh-CN" w:bidi="ar-SA"/>
            </w:rPr>
            <w:t>山</w:t>
          </w:r>
          <w:r>
            <w:rPr>
              <w:rFonts w:hint="default" w:ascii="Times New Roman" w:hAnsi="Times New Roman" w:eastAsia="方正仿宋_GBK" w:cs="Times New Roman"/>
              <w:bCs/>
              <w:snapToGrid w:val="0"/>
              <w:color w:val="auto"/>
              <w:kern w:val="2"/>
              <w:sz w:val="21"/>
              <w:szCs w:val="21"/>
              <w:highlight w:val="none"/>
              <w:lang w:val="en-US" w:eastAsia="zh-CN" w:bidi="ar-SA"/>
            </w:rPr>
            <w:t>一</w:t>
          </w:r>
          <w:r>
            <w:rPr>
              <w:rFonts w:hint="default" w:ascii="Times New Roman" w:hAnsi="Times New Roman" w:eastAsia="方正仿宋_GBK" w:cs="Times New Roman"/>
              <w:bCs/>
              <w:snapToGrid w:val="0"/>
              <w:color w:val="auto"/>
              <w:kern w:val="2"/>
              <w:sz w:val="21"/>
              <w:szCs w:val="21"/>
              <w:highlight w:val="none"/>
              <w:lang w:eastAsia="zh-CN" w:bidi="ar-SA"/>
            </w:rPr>
            <w:t>江</w:t>
          </w:r>
          <w:r>
            <w:rPr>
              <w:rFonts w:hint="default" w:ascii="Times New Roman" w:hAnsi="Times New Roman" w:eastAsia="方正仿宋_GBK" w:cs="Times New Roman"/>
              <w:bCs/>
              <w:snapToGrid w:val="0"/>
              <w:color w:val="auto"/>
              <w:kern w:val="2"/>
              <w:sz w:val="21"/>
              <w:szCs w:val="21"/>
              <w:highlight w:val="none"/>
              <w:lang w:val="en-US" w:eastAsia="zh-CN" w:bidi="ar-SA"/>
            </w:rPr>
            <w:t>多点”的生态安全格局</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_Toc13518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139</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67AB6A1F">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_Toc20626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7.3.4优化产业发展布局</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_Toc20626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139</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45904213">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_Toc25138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7.3.5优化城乡发展空间</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_Toc25138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142</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3E323A4A">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_Toc8573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7.4</w:t>
          </w:r>
          <w:r>
            <w:rPr>
              <w:rFonts w:hint="default" w:ascii="Times New Roman" w:hAnsi="Times New Roman" w:eastAsia="方正仿宋_GBK" w:cs="Times New Roman"/>
              <w:color w:val="auto"/>
              <w:sz w:val="21"/>
              <w:szCs w:val="21"/>
              <w:lang w:val="zh-CN" w:eastAsia="zh-CN"/>
            </w:rPr>
            <w:t>严格管控岸线开发利用</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_Toc8573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143</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5BFF0B0D">
          <w:pPr>
            <w:pStyle w:val="20"/>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_Toc24134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8坚持绿色发展，建设生态经济体系</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_Toc24134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144</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6A886098">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_Toc29272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zh-CN" w:eastAsia="zh-CN"/>
            </w:rPr>
            <w:t>8.1</w:t>
          </w:r>
          <w:r>
            <w:rPr>
              <w:rFonts w:hint="default" w:ascii="Times New Roman" w:hAnsi="Times New Roman" w:eastAsia="方正仿宋_GBK" w:cs="Times New Roman"/>
              <w:color w:val="auto"/>
              <w:sz w:val="21"/>
              <w:szCs w:val="21"/>
              <w:lang w:val="en-US" w:eastAsia="zh-CN"/>
            </w:rPr>
            <w:t>优化产业结构</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_Toc29272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144</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0A09A694">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_Toc26510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8.1.1改造提升传统支柱产业</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_Toc26510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144</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53E67732">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_Toc411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8.1.2构建循环型产业体系</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_Toc411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144</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2C8ED751">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_Toc23700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8.1.3构建低碳化产业体系</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_Toc23700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145</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04A57C5F">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_Toc19896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8.1.4发展绿色生态环境产业</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_Toc19896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146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52744021">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_Toc15315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zh-CN" w:eastAsia="zh-CN"/>
            </w:rPr>
            <w:t>8.2推进产业生态化发展</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_Toc15315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146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4EE4C9DD">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_Toc5600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8.2.1推进工业绿色化改造</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_Toc5600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146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556E732D">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_Toc8139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8.2.2推进园区循环化改造</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_Toc8139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149</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2E6794C9">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_Toc27206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8.2.3推进农业绿色化发展</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_Toc27206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155</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517FD00F">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_Toc210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8.2.4推进固体废弃物综合利用</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_Toc210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160</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7BB796B9">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_Toc3879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zh-CN"/>
            </w:rPr>
            <w:t>8.</w:t>
          </w:r>
          <w:r>
            <w:rPr>
              <w:rFonts w:hint="default" w:ascii="Times New Roman" w:hAnsi="Times New Roman" w:eastAsia="方正仿宋_GBK" w:cs="Times New Roman"/>
              <w:snapToGrid w:val="0"/>
              <w:color w:val="auto"/>
              <w:sz w:val="21"/>
              <w:szCs w:val="21"/>
            </w:rPr>
            <w:t>2.5提升水资源利用效率</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_Toc3879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160</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2B16395B">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_Toc4711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zh-CN"/>
            </w:rPr>
            <w:t>8.</w:t>
          </w:r>
          <w:r>
            <w:rPr>
              <w:rFonts w:hint="default" w:ascii="Times New Roman" w:hAnsi="Times New Roman" w:eastAsia="方正仿宋_GBK" w:cs="Times New Roman"/>
              <w:snapToGrid w:val="0"/>
              <w:color w:val="auto"/>
              <w:sz w:val="21"/>
              <w:szCs w:val="21"/>
            </w:rPr>
            <w:t>2.6提升清洁化水平</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_Toc4711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161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32F6F16F">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_Toc20830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8.2.7打造中国花腰傣文化旅游目的地</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_Toc20830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162</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7D0CAAD1">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_Toc7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8.2.8积极推进生态产品价值实现</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_Toc7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164</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03AF0171">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_Toc8271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zh-CN" w:eastAsia="zh-CN"/>
            </w:rPr>
            <w:t>8.3推进区域融合发展</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_Toc8271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165</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53B07477">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_Toc11743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zh-CN" w:eastAsia="zh-CN"/>
            </w:rPr>
            <w:t>8.4构建清洁低碳现代能源体系</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_Toc11743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166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1963018E">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_Toc8296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zh-CN"/>
            </w:rPr>
            <w:t>8.</w:t>
          </w:r>
          <w:r>
            <w:rPr>
              <w:rFonts w:hint="default" w:ascii="Times New Roman" w:hAnsi="Times New Roman" w:eastAsia="方正仿宋_GBK" w:cs="Times New Roman"/>
              <w:snapToGrid w:val="0"/>
              <w:color w:val="auto"/>
              <w:sz w:val="21"/>
              <w:szCs w:val="21"/>
            </w:rPr>
            <w:t>4</w:t>
          </w:r>
          <w:r>
            <w:rPr>
              <w:rFonts w:hint="default" w:ascii="Times New Roman" w:hAnsi="Times New Roman" w:eastAsia="方正仿宋_GBK" w:cs="Times New Roman"/>
              <w:snapToGrid w:val="0"/>
              <w:color w:val="auto"/>
              <w:sz w:val="21"/>
              <w:szCs w:val="21"/>
              <w:lang w:val="zh-CN"/>
            </w:rPr>
            <w:t>.1加快推进能源基础设施建设</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_Toc8296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166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1E7CA8FB">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_Toc972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zh-CN"/>
            </w:rPr>
            <w:t>8.</w:t>
          </w:r>
          <w:r>
            <w:rPr>
              <w:rFonts w:hint="default" w:ascii="Times New Roman" w:hAnsi="Times New Roman" w:eastAsia="方正仿宋_GBK" w:cs="Times New Roman"/>
              <w:snapToGrid w:val="0"/>
              <w:color w:val="auto"/>
              <w:sz w:val="21"/>
              <w:szCs w:val="21"/>
            </w:rPr>
            <w:t>4</w:t>
          </w:r>
          <w:r>
            <w:rPr>
              <w:rFonts w:hint="default" w:ascii="Times New Roman" w:hAnsi="Times New Roman" w:eastAsia="方正仿宋_GBK" w:cs="Times New Roman"/>
              <w:snapToGrid w:val="0"/>
              <w:color w:val="auto"/>
              <w:sz w:val="21"/>
              <w:szCs w:val="21"/>
              <w:lang w:val="zh-CN"/>
            </w:rPr>
            <w:t>.2控制能源消费总量</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_Toc972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166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67DE13DD">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_Toc17048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zh-CN"/>
            </w:rPr>
            <w:t>8.</w:t>
          </w:r>
          <w:r>
            <w:rPr>
              <w:rFonts w:hint="default" w:ascii="Times New Roman" w:hAnsi="Times New Roman" w:eastAsia="方正仿宋_GBK" w:cs="Times New Roman"/>
              <w:snapToGrid w:val="0"/>
              <w:color w:val="auto"/>
              <w:sz w:val="21"/>
              <w:szCs w:val="21"/>
            </w:rPr>
            <w:t>4</w:t>
          </w:r>
          <w:r>
            <w:rPr>
              <w:rFonts w:hint="default" w:ascii="Times New Roman" w:hAnsi="Times New Roman" w:eastAsia="方正仿宋_GBK" w:cs="Times New Roman"/>
              <w:snapToGrid w:val="0"/>
              <w:color w:val="auto"/>
              <w:sz w:val="21"/>
              <w:szCs w:val="21"/>
              <w:lang w:val="zh-CN"/>
            </w:rPr>
            <w:t>.3抓好重点领域节能工作</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_Toc17048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167</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14320DE6">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_Toc15742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8.4.4推动能源清洁低碳转型</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_Toc15742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168</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48FA4EC4">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_Toc4187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8.4.5推动能源消费绿色低碳转型</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_Toc4187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168</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3A4A2C5B">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_Toc20683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zh-CN"/>
            </w:rPr>
            <w:t>8.</w:t>
          </w:r>
          <w:r>
            <w:rPr>
              <w:rFonts w:hint="default" w:ascii="Times New Roman" w:hAnsi="Times New Roman" w:eastAsia="方正仿宋_GBK" w:cs="Times New Roman"/>
              <w:snapToGrid w:val="0"/>
              <w:color w:val="auto"/>
              <w:sz w:val="21"/>
              <w:szCs w:val="21"/>
            </w:rPr>
            <w:t>4</w:t>
          </w:r>
          <w:r>
            <w:rPr>
              <w:rFonts w:hint="default" w:ascii="Times New Roman" w:hAnsi="Times New Roman" w:eastAsia="方正仿宋_GBK" w:cs="Times New Roman"/>
              <w:snapToGrid w:val="0"/>
              <w:color w:val="auto"/>
              <w:sz w:val="21"/>
              <w:szCs w:val="21"/>
              <w:lang w:val="zh-CN"/>
            </w:rPr>
            <w:t>.</w:t>
          </w:r>
          <w:r>
            <w:rPr>
              <w:rFonts w:hint="default" w:ascii="Times New Roman" w:hAnsi="Times New Roman" w:eastAsia="方正仿宋_GBK" w:cs="Times New Roman"/>
              <w:snapToGrid w:val="0"/>
              <w:color w:val="auto"/>
              <w:sz w:val="21"/>
              <w:szCs w:val="21"/>
            </w:rPr>
            <w:t>6持续</w:t>
          </w:r>
          <w:r>
            <w:rPr>
              <w:rFonts w:hint="default" w:ascii="Times New Roman" w:hAnsi="Times New Roman" w:eastAsia="方正仿宋_GBK" w:cs="Times New Roman"/>
              <w:snapToGrid w:val="0"/>
              <w:color w:val="auto"/>
              <w:sz w:val="21"/>
              <w:szCs w:val="21"/>
              <w:lang w:val="zh-CN"/>
            </w:rPr>
            <w:t>调整农村能源结构</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_Toc20683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168</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19E4B5C4">
          <w:pPr>
            <w:pStyle w:val="20"/>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_Toc6480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9提升人居环境，打造生态生活体系</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_Toc6480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169</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6D4B42AC">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_Toc17262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zh-CN" w:eastAsia="zh-CN"/>
            </w:rPr>
            <w:t>9.1城乡环境一体化建设</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_Toc17262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169</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03BA7105">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_Toc5760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zh-CN"/>
            </w:rPr>
            <w:t>9.1.1加快推进两污设施建设</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_Toc5760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169</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3B9E7098">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_Toc21433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zh-CN"/>
            </w:rPr>
            <w:t>9.1.2保障饮用水安全</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_Toc21433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171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084F31F0">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_Toc14512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zh-CN"/>
            </w:rPr>
            <w:t>9.1.3加快绿美城市建设</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_Toc14512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173</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329D45A4">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_Toc13334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zh-CN" w:eastAsia="zh-CN"/>
            </w:rPr>
            <w:t>9.2绿色城镇化及生态城区</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_Toc13334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177</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3580105F">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_Toc633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zh-CN"/>
            </w:rPr>
            <w:t>9.2.1加快建设美丽县城</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_Toc633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177</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7A0D57F5">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_Toc22338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zh-CN"/>
            </w:rPr>
            <w:t>9.2.2积极支持小城镇发展</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_Toc22338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179</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070D57C4">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_Toc21505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zh-CN"/>
            </w:rPr>
            <w:t>9.2.3发展绿色生态旅游服务业</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_Toc21505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180</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6D4BDD71">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_Toc31654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zh-CN" w:eastAsia="zh-CN"/>
            </w:rPr>
            <w:t>9.3乡村振兴和美丽乡村建设</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_Toc31654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182</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5716084A">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_Toc15745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zh-CN"/>
            </w:rPr>
            <w:t>9.3.1全面实施乡村振兴战略</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_Toc15745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182</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5FC984FA">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_Toc5890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zh-CN"/>
            </w:rPr>
            <w:t>9.3.2农业农村环境综合整治</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_Toc5890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183</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71D3591A">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_Toc495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zh-CN"/>
            </w:rPr>
            <w:t>9.3.3推进生态宜居美丽乡村建设</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_Toc495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186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7D73968A">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_Toc3829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zh-CN" w:eastAsia="zh-CN"/>
            </w:rPr>
            <w:t>9.4践行简约绿色低碳生活</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_Toc3829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187</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4AADE9F1">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_Toc15919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zh-CN"/>
            </w:rPr>
            <w:t>9.4.1提升绿色建筑水平</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_Toc15919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187</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32652100">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_Toc11918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zh-CN"/>
            </w:rPr>
            <w:t>9.4.2倡导绿色出行</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_Toc11918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188</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2B971D37">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_Toc8313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zh-CN"/>
            </w:rPr>
            <w:t>9.4.3持续巩固政府绿色采购</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_Toc8313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188</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230D23E8">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_Toc2580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zh-CN"/>
            </w:rPr>
            <w:t>9.4.4不断推进生活垃圾分类减量化行动</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_Toc2580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189</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6D71255D">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_Toc13797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zh-CN"/>
            </w:rPr>
            <w:t>9.4.5积极开展“限塑”活动</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_Toc13797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189</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2AE3A343">
          <w:pPr>
            <w:pStyle w:val="20"/>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_Toc17530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10弘扬生态理念，构建生态文化体系</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_Toc17530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191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1933B8E4">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_Toc16079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zh-CN" w:eastAsia="zh-CN"/>
            </w:rPr>
            <w:t>10.1加强生态文化载体建设</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_Toc16079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191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684010AD">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_Toc2307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10.1.1深挖特色文化生态理念</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_Toc2307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191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2CF2480C">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_Toc15486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10.1.2夯实公共文化服务供给</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_Toc15486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192</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7F1EF8BA">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_Toc29373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10.1.3创建现代生态文化体系</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_Toc29373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193</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2E0951A8">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_Toc2334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zh-CN" w:eastAsia="zh-CN"/>
            </w:rPr>
            <w:t>10.2强化生态文明宣传教育</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_Toc2334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194</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398C0DAB">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_Toc22803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10.2.1丰富生态文明宣传教育渠道</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_Toc22803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194</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693B8658">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_Toc13462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10.2.2全面开展生态文明教育培训</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_Toc13462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195</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57D000A1">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_Toc29950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zh-CN" w:eastAsia="zh-CN"/>
            </w:rPr>
            <w:t>10.3推动生态文明共建共享</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_Toc29950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198</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72042717">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_Toc31815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zh-CN" w:eastAsia="zh-CN"/>
            </w:rPr>
            <w:t>10.4绿色细胞工程建设</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_Toc31815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199</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037EE887">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_Toc12220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10.4.1巩固现有生态创建成果</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_Toc12220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199</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20FAF16F">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_Toc1635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10.4.2持续推进生态创建活动</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_Toc1635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199</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565E3B68">
          <w:pPr>
            <w:pStyle w:val="20"/>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_Toc2192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11重点工程</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_Toc2192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200</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0E0B7124">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_Toc9233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zh-CN" w:eastAsia="zh-CN"/>
            </w:rPr>
            <w:t>11.1重点工程</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_Toc9233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200</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373ADF8A">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_Toc3618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zh-CN" w:eastAsia="zh-CN"/>
            </w:rPr>
            <w:t>11.2规划效益分析</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_Toc3618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209</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2CFC8A80">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_Toc29215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11.2.1环境效益</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_Toc29215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209</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279B90D6">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_Toc6089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11.2.2经济效益</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_Toc6089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209</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45874FFE">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_Toc18781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11.2.3社会效益</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_Toc18781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210</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5BDABDEF">
          <w:pPr>
            <w:pStyle w:val="20"/>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_Toc18073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12保障措施</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_Toc18073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211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1103FB31">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_Toc27627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zh-CN" w:eastAsia="zh-CN"/>
            </w:rPr>
            <w:t>12.</w:t>
          </w:r>
          <w:r>
            <w:rPr>
              <w:rFonts w:hint="default" w:ascii="Times New Roman" w:hAnsi="Times New Roman" w:eastAsia="方正仿宋_GBK" w:cs="Times New Roman"/>
              <w:color w:val="auto"/>
              <w:sz w:val="21"/>
              <w:szCs w:val="21"/>
              <w:lang w:val="en-US" w:eastAsia="zh-CN"/>
            </w:rPr>
            <w:t>1</w:t>
          </w:r>
          <w:r>
            <w:rPr>
              <w:rFonts w:hint="default" w:ascii="Times New Roman" w:hAnsi="Times New Roman" w:eastAsia="方正仿宋_GBK" w:cs="Times New Roman"/>
              <w:color w:val="auto"/>
              <w:sz w:val="21"/>
              <w:szCs w:val="21"/>
              <w:lang w:val="zh-CN" w:eastAsia="zh-CN"/>
            </w:rPr>
            <w:t>组织领导</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_Toc27627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211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19BC91AE">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_Toc27661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12.</w:t>
          </w:r>
          <w:r>
            <w:rPr>
              <w:rFonts w:hint="default" w:ascii="Times New Roman" w:hAnsi="Times New Roman" w:eastAsia="方正仿宋_GBK" w:cs="Times New Roman"/>
              <w:snapToGrid w:val="0"/>
              <w:color w:val="auto"/>
              <w:sz w:val="21"/>
              <w:szCs w:val="21"/>
              <w:lang w:val="en-US" w:eastAsia="zh-CN"/>
            </w:rPr>
            <w:t>1</w:t>
          </w:r>
          <w:r>
            <w:rPr>
              <w:rFonts w:hint="default" w:ascii="Times New Roman" w:hAnsi="Times New Roman" w:eastAsia="方正仿宋_GBK" w:cs="Times New Roman"/>
              <w:snapToGrid w:val="0"/>
              <w:color w:val="auto"/>
              <w:sz w:val="21"/>
              <w:szCs w:val="21"/>
            </w:rPr>
            <w:t>.1加强组织领导</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_Toc27661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211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223B2F63">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_Toc1488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12.</w:t>
          </w:r>
          <w:r>
            <w:rPr>
              <w:rFonts w:hint="default" w:ascii="Times New Roman" w:hAnsi="Times New Roman" w:eastAsia="方正仿宋_GBK" w:cs="Times New Roman"/>
              <w:snapToGrid w:val="0"/>
              <w:color w:val="auto"/>
              <w:sz w:val="21"/>
              <w:szCs w:val="21"/>
              <w:lang w:val="en-US" w:eastAsia="zh-CN"/>
            </w:rPr>
            <w:t>1</w:t>
          </w:r>
          <w:r>
            <w:rPr>
              <w:rFonts w:hint="default" w:ascii="Times New Roman" w:hAnsi="Times New Roman" w:eastAsia="方正仿宋_GBK" w:cs="Times New Roman"/>
              <w:snapToGrid w:val="0"/>
              <w:color w:val="auto"/>
              <w:sz w:val="21"/>
              <w:szCs w:val="21"/>
            </w:rPr>
            <w:t>.2建立健全目标责任制</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_Toc1488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211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51C9D123">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_Toc27325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zh-CN" w:eastAsia="zh-CN"/>
            </w:rPr>
            <w:t>12.</w:t>
          </w:r>
          <w:r>
            <w:rPr>
              <w:rFonts w:hint="default" w:ascii="Times New Roman" w:hAnsi="Times New Roman" w:eastAsia="方正仿宋_GBK" w:cs="Times New Roman"/>
              <w:color w:val="auto"/>
              <w:sz w:val="21"/>
              <w:szCs w:val="21"/>
              <w:lang w:val="en-US" w:eastAsia="zh-CN"/>
            </w:rPr>
            <w:t>2</w:t>
          </w:r>
          <w:r>
            <w:rPr>
              <w:rFonts w:hint="default" w:ascii="Times New Roman" w:hAnsi="Times New Roman" w:eastAsia="方正仿宋_GBK" w:cs="Times New Roman"/>
              <w:color w:val="auto"/>
              <w:sz w:val="21"/>
              <w:szCs w:val="21"/>
              <w:lang w:val="zh-CN" w:eastAsia="zh-CN"/>
            </w:rPr>
            <w:t>监督考核</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_Toc27325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211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170AFACC">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_Toc25410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zh-CN" w:eastAsia="zh-CN"/>
            </w:rPr>
            <w:t>12.</w:t>
          </w:r>
          <w:r>
            <w:rPr>
              <w:rFonts w:hint="default" w:ascii="Times New Roman" w:hAnsi="Times New Roman" w:eastAsia="方正仿宋_GBK" w:cs="Times New Roman"/>
              <w:color w:val="auto"/>
              <w:sz w:val="21"/>
              <w:szCs w:val="21"/>
              <w:lang w:val="en-US" w:eastAsia="zh-CN"/>
            </w:rPr>
            <w:t>3</w:t>
          </w:r>
          <w:r>
            <w:rPr>
              <w:rFonts w:hint="default" w:ascii="Times New Roman" w:hAnsi="Times New Roman" w:eastAsia="方正仿宋_GBK" w:cs="Times New Roman"/>
              <w:color w:val="auto"/>
              <w:sz w:val="21"/>
              <w:szCs w:val="21"/>
              <w:lang w:val="zh-CN" w:eastAsia="zh-CN"/>
            </w:rPr>
            <w:t>资金保障</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_Toc25410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212</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6DEE15EA">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_Toc2560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zh-CN" w:eastAsia="zh-CN"/>
            </w:rPr>
            <w:t>12.</w:t>
          </w:r>
          <w:r>
            <w:rPr>
              <w:rFonts w:hint="default" w:ascii="Times New Roman" w:hAnsi="Times New Roman" w:eastAsia="方正仿宋_GBK" w:cs="Times New Roman"/>
              <w:color w:val="auto"/>
              <w:sz w:val="21"/>
              <w:szCs w:val="21"/>
              <w:lang w:val="en-US" w:eastAsia="zh-CN"/>
            </w:rPr>
            <w:t>4</w:t>
          </w:r>
          <w:r>
            <w:rPr>
              <w:rFonts w:hint="default" w:ascii="Times New Roman" w:hAnsi="Times New Roman" w:eastAsia="方正仿宋_GBK" w:cs="Times New Roman"/>
              <w:color w:val="auto"/>
              <w:sz w:val="21"/>
              <w:szCs w:val="21"/>
              <w:lang w:val="zh-CN" w:eastAsia="zh-CN"/>
            </w:rPr>
            <w:t>科技支撑</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_Toc2560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213</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53E2CF6D">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_Toc4690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zh-CN" w:eastAsia="zh-CN"/>
            </w:rPr>
            <w:t>12.</w:t>
          </w:r>
          <w:r>
            <w:rPr>
              <w:rFonts w:hint="default" w:ascii="Times New Roman" w:hAnsi="Times New Roman" w:eastAsia="方正仿宋_GBK" w:cs="Times New Roman"/>
              <w:color w:val="auto"/>
              <w:sz w:val="21"/>
              <w:szCs w:val="21"/>
              <w:lang w:val="en-US" w:eastAsia="zh-CN"/>
            </w:rPr>
            <w:t>5</w:t>
          </w:r>
          <w:r>
            <w:rPr>
              <w:rFonts w:hint="default" w:ascii="Times New Roman" w:hAnsi="Times New Roman" w:eastAsia="方正仿宋_GBK" w:cs="Times New Roman"/>
              <w:color w:val="auto"/>
              <w:sz w:val="21"/>
              <w:szCs w:val="21"/>
              <w:lang w:val="zh-CN" w:eastAsia="zh-CN"/>
            </w:rPr>
            <w:t>社会参与</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_Toc4690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214</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14:paraId="42BBCB53">
          <w:pPr>
            <w:spacing w:line="480" w:lineRule="exact"/>
            <w:jc w:val="center"/>
            <w:rPr>
              <w:rFonts w:ascii="Times New Roman" w:hAnsi="Times New Roman" w:eastAsia="仿宋" w:cs="Times New Roman"/>
              <w:color w:val="FF0000"/>
            </w:rPr>
          </w:pPr>
          <w:r>
            <w:rPr>
              <w:rFonts w:ascii="Times New Roman" w:hAnsi="Times New Roman" w:eastAsia="仿宋" w:cs="Times New Roman"/>
              <w:color w:val="FF0000"/>
            </w:rPr>
            <w:fldChar w:fldCharType="end"/>
          </w:r>
        </w:p>
      </w:sdtContent>
    </w:sdt>
    <w:p w14:paraId="3FA2522E">
      <w:pPr>
        <w:pStyle w:val="3"/>
        <w:spacing w:before="340" w:after="330" w:line="276" w:lineRule="auto"/>
        <w:rPr>
          <w:rFonts w:ascii="Times New Roman" w:hAnsi="Times New Roman" w:eastAsia="仿宋" w:cs="Times New Roman"/>
          <w:color w:val="auto"/>
          <w:sz w:val="30"/>
          <w:szCs w:val="30"/>
        </w:rPr>
        <w:sectPr>
          <w:footerReference r:id="rId7" w:type="default"/>
          <w:pgSz w:w="11906" w:h="16838"/>
          <w:pgMar w:top="1440" w:right="1800" w:bottom="1440" w:left="1800" w:header="851" w:footer="992" w:gutter="0"/>
          <w:cols w:space="425" w:num="1"/>
          <w:docGrid w:type="lines" w:linePitch="312" w:charSpace="0"/>
        </w:sectPr>
      </w:pPr>
      <w:bookmarkStart w:id="10" w:name="_Toc13959"/>
      <w:bookmarkStart w:id="11" w:name="_Toc15580"/>
      <w:bookmarkStart w:id="12" w:name="_Toc30375"/>
    </w:p>
    <w:p w14:paraId="7F1B6134">
      <w:pPr>
        <w:pStyle w:val="3"/>
        <w:spacing w:before="340" w:after="330" w:line="276" w:lineRule="auto"/>
        <w:rPr>
          <w:rFonts w:ascii="Times New Roman" w:hAnsi="Times New Roman" w:eastAsia="仿宋" w:cs="Times New Roman"/>
          <w:color w:val="auto"/>
          <w:sz w:val="24"/>
          <w:szCs w:val="24"/>
        </w:rPr>
      </w:pPr>
      <w:r>
        <w:rPr>
          <w:rFonts w:ascii="Times New Roman" w:hAnsi="Times New Roman" w:eastAsia="仿宋" w:cs="Times New Roman"/>
          <w:color w:val="auto"/>
          <w:sz w:val="30"/>
          <w:szCs w:val="30"/>
        </w:rPr>
        <w:t>附图</w:t>
      </w:r>
      <w:bookmarkEnd w:id="10"/>
      <w:bookmarkEnd w:id="11"/>
      <w:bookmarkEnd w:id="12"/>
    </w:p>
    <w:p w14:paraId="2BC594C0">
      <w:pPr>
        <w:pStyle w:val="11"/>
        <w:spacing w:after="0" w:line="480" w:lineRule="exact"/>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附图1地理位置图</w:t>
      </w:r>
    </w:p>
    <w:p w14:paraId="5B53915D">
      <w:pPr>
        <w:pStyle w:val="11"/>
        <w:spacing w:after="0" w:line="480" w:lineRule="exact"/>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附图2</w:t>
      </w:r>
      <w:r>
        <w:rPr>
          <w:rFonts w:hint="eastAsia" w:ascii="Times New Roman" w:hAnsi="Times New Roman" w:eastAsia="仿宋" w:cs="Times New Roman"/>
          <w:color w:val="auto"/>
          <w:sz w:val="28"/>
          <w:szCs w:val="28"/>
        </w:rPr>
        <w:t>新平在云南省生态安全格局中的位置</w:t>
      </w:r>
    </w:p>
    <w:p w14:paraId="72B6386B">
      <w:pPr>
        <w:pStyle w:val="11"/>
        <w:spacing w:after="0" w:line="480" w:lineRule="exact"/>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附图3行政区划图</w:t>
      </w:r>
    </w:p>
    <w:p w14:paraId="06BDF9CE">
      <w:pPr>
        <w:pStyle w:val="11"/>
        <w:spacing w:after="0" w:line="480" w:lineRule="exact"/>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附图4地形分布图</w:t>
      </w:r>
    </w:p>
    <w:p w14:paraId="4F75D1D4">
      <w:pPr>
        <w:pStyle w:val="11"/>
        <w:spacing w:after="0" w:line="480" w:lineRule="exact"/>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附图5水系分布图</w:t>
      </w:r>
    </w:p>
    <w:p w14:paraId="04345EB2">
      <w:pPr>
        <w:pStyle w:val="11"/>
        <w:spacing w:after="0" w:line="480" w:lineRule="exact"/>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附图6生态环境质量现状图</w:t>
      </w:r>
    </w:p>
    <w:p w14:paraId="45ABA994">
      <w:pPr>
        <w:pStyle w:val="11"/>
        <w:spacing w:after="0" w:line="480" w:lineRule="exact"/>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附图7自然保护地分布图</w:t>
      </w:r>
    </w:p>
    <w:p w14:paraId="5A7020CE">
      <w:pPr>
        <w:pStyle w:val="11"/>
        <w:spacing w:after="0" w:line="480" w:lineRule="exact"/>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附图8</w:t>
      </w:r>
      <w:r>
        <w:rPr>
          <w:rFonts w:hint="eastAsia" w:ascii="Times New Roman" w:hAnsi="Times New Roman" w:eastAsia="仿宋" w:cs="Times New Roman"/>
          <w:color w:val="auto"/>
          <w:sz w:val="28"/>
          <w:szCs w:val="28"/>
        </w:rPr>
        <w:t>绿孔雀与西黑冠长臂猿分布图</w:t>
      </w:r>
    </w:p>
    <w:p w14:paraId="5BAB0EDD">
      <w:pPr>
        <w:pStyle w:val="11"/>
        <w:spacing w:after="0" w:line="480" w:lineRule="exact"/>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附图</w:t>
      </w:r>
      <w:r>
        <w:rPr>
          <w:rFonts w:hint="eastAsia" w:ascii="Times New Roman" w:hAnsi="Times New Roman" w:eastAsia="仿宋" w:cs="Times New Roman"/>
          <w:color w:val="auto"/>
          <w:sz w:val="28"/>
          <w:szCs w:val="28"/>
          <w:lang w:val="en-US" w:eastAsia="zh-CN"/>
        </w:rPr>
        <w:t>9</w:t>
      </w:r>
      <w:r>
        <w:rPr>
          <w:rFonts w:hint="eastAsia" w:ascii="Times New Roman" w:hAnsi="Times New Roman" w:eastAsia="仿宋" w:cs="Times New Roman"/>
          <w:color w:val="auto"/>
          <w:sz w:val="28"/>
          <w:szCs w:val="28"/>
        </w:rPr>
        <w:t>生态保护红线分布图</w:t>
      </w:r>
    </w:p>
    <w:p w14:paraId="6F7778A9">
      <w:pPr>
        <w:pStyle w:val="11"/>
        <w:spacing w:after="0" w:line="480" w:lineRule="exact"/>
        <w:rPr>
          <w:rFonts w:hint="eastAsia" w:ascii="Times New Roman" w:hAnsi="Times New Roman" w:eastAsia="仿宋" w:cs="Times New Roman"/>
          <w:color w:val="auto"/>
          <w:sz w:val="28"/>
          <w:szCs w:val="28"/>
        </w:rPr>
      </w:pPr>
      <w:r>
        <w:rPr>
          <w:rFonts w:ascii="Times New Roman" w:hAnsi="Times New Roman" w:eastAsia="仿宋" w:cs="Times New Roman"/>
          <w:color w:val="auto"/>
          <w:sz w:val="28"/>
          <w:szCs w:val="28"/>
        </w:rPr>
        <w:t>附图</w:t>
      </w:r>
      <w:r>
        <w:rPr>
          <w:rFonts w:hint="eastAsia" w:ascii="Times New Roman" w:hAnsi="Times New Roman" w:eastAsia="仿宋" w:cs="Times New Roman"/>
          <w:color w:val="auto"/>
          <w:sz w:val="28"/>
          <w:szCs w:val="28"/>
          <w:lang w:val="en-US" w:eastAsia="zh-CN"/>
        </w:rPr>
        <w:t>10</w:t>
      </w:r>
      <w:r>
        <w:rPr>
          <w:rFonts w:hint="eastAsia" w:ascii="Times New Roman" w:hAnsi="Times New Roman" w:eastAsia="仿宋" w:cs="Times New Roman"/>
          <w:color w:val="auto"/>
          <w:sz w:val="28"/>
          <w:szCs w:val="28"/>
        </w:rPr>
        <w:t>空间发展布局示意图</w:t>
      </w:r>
    </w:p>
    <w:p w14:paraId="5E63AE3F">
      <w:pPr>
        <w:pStyle w:val="11"/>
        <w:spacing w:after="0" w:line="480" w:lineRule="exact"/>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附图11</w:t>
      </w:r>
      <w:r>
        <w:rPr>
          <w:rFonts w:hint="eastAsia" w:ascii="Times New Roman" w:hAnsi="Times New Roman" w:eastAsia="仿宋" w:cs="Times New Roman"/>
          <w:color w:val="auto"/>
          <w:sz w:val="28"/>
          <w:szCs w:val="28"/>
        </w:rPr>
        <w:t>生态安全格局示意图</w:t>
      </w:r>
    </w:p>
    <w:p w14:paraId="0F3B0B6E">
      <w:pPr>
        <w:pStyle w:val="11"/>
        <w:spacing w:after="0" w:line="480" w:lineRule="exact"/>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附图12</w:t>
      </w:r>
      <w:r>
        <w:rPr>
          <w:rFonts w:hint="eastAsia" w:ascii="Times New Roman" w:hAnsi="Times New Roman" w:eastAsia="仿宋" w:cs="Times New Roman"/>
          <w:color w:val="auto"/>
          <w:sz w:val="28"/>
          <w:szCs w:val="28"/>
        </w:rPr>
        <w:t>农业发展布局示意图</w:t>
      </w:r>
    </w:p>
    <w:p w14:paraId="171619EB">
      <w:pPr>
        <w:pStyle w:val="11"/>
        <w:spacing w:after="0" w:line="480" w:lineRule="exact"/>
        <w:rPr>
          <w:rFonts w:hint="eastAsia" w:ascii="Times New Roman" w:hAnsi="Times New Roman" w:eastAsia="仿宋" w:cs="Times New Roman"/>
          <w:color w:val="auto"/>
          <w:sz w:val="28"/>
          <w:szCs w:val="28"/>
          <w:lang w:val="en-US" w:eastAsia="zh-CN"/>
        </w:rPr>
      </w:pPr>
      <w:r>
        <w:rPr>
          <w:rFonts w:ascii="Times New Roman" w:hAnsi="Times New Roman" w:eastAsia="仿宋" w:cs="Times New Roman"/>
          <w:color w:val="auto"/>
          <w:sz w:val="28"/>
          <w:szCs w:val="28"/>
        </w:rPr>
        <w:t>附图13</w:t>
      </w:r>
      <w:r>
        <w:rPr>
          <w:rFonts w:hint="eastAsia" w:ascii="Times New Roman" w:hAnsi="Times New Roman" w:eastAsia="仿宋" w:cs="Times New Roman"/>
          <w:color w:val="auto"/>
          <w:sz w:val="28"/>
          <w:szCs w:val="28"/>
        </w:rPr>
        <w:t>工业发展布局示意</w:t>
      </w:r>
      <w:r>
        <w:rPr>
          <w:rFonts w:hint="eastAsia" w:ascii="Times New Roman" w:hAnsi="Times New Roman" w:eastAsia="仿宋" w:cs="Times New Roman"/>
          <w:color w:val="auto"/>
          <w:sz w:val="28"/>
          <w:szCs w:val="28"/>
          <w:lang w:val="en-US" w:eastAsia="zh-CN"/>
        </w:rPr>
        <w:t>图</w:t>
      </w:r>
    </w:p>
    <w:p w14:paraId="1B1F9A91">
      <w:pPr>
        <w:pStyle w:val="11"/>
        <w:spacing w:after="0" w:line="480" w:lineRule="exact"/>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附图14</w:t>
      </w:r>
      <w:r>
        <w:rPr>
          <w:rFonts w:hint="eastAsia" w:ascii="Times New Roman" w:hAnsi="Times New Roman" w:eastAsia="仿宋" w:cs="Times New Roman"/>
          <w:color w:val="auto"/>
          <w:sz w:val="28"/>
          <w:szCs w:val="28"/>
        </w:rPr>
        <w:t>旅游产业布局示意图</w:t>
      </w:r>
    </w:p>
    <w:p w14:paraId="04359444">
      <w:pPr>
        <w:pStyle w:val="11"/>
        <w:spacing w:after="0" w:line="480" w:lineRule="exact"/>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附图15</w:t>
      </w:r>
      <w:r>
        <w:rPr>
          <w:rFonts w:hint="eastAsia" w:ascii="Times New Roman" w:hAnsi="Times New Roman" w:eastAsia="仿宋" w:cs="Times New Roman"/>
          <w:color w:val="auto"/>
          <w:sz w:val="28"/>
          <w:szCs w:val="28"/>
        </w:rPr>
        <w:t>环境功能区划图</w:t>
      </w:r>
    </w:p>
    <w:p w14:paraId="4AB9F466">
      <w:pPr>
        <w:pStyle w:val="11"/>
        <w:spacing w:after="0" w:line="480" w:lineRule="exact"/>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附图1</w:t>
      </w:r>
      <w:r>
        <w:rPr>
          <w:rFonts w:hint="eastAsia" w:ascii="Times New Roman" w:hAnsi="Times New Roman" w:eastAsia="仿宋" w:cs="Times New Roman"/>
          <w:color w:val="auto"/>
          <w:sz w:val="28"/>
          <w:szCs w:val="28"/>
          <w:lang w:val="en-US" w:eastAsia="zh-CN"/>
        </w:rPr>
        <w:t>6</w:t>
      </w:r>
      <w:r>
        <w:rPr>
          <w:rFonts w:hint="eastAsia" w:ascii="Times New Roman" w:hAnsi="Times New Roman" w:eastAsia="仿宋" w:cs="Times New Roman"/>
          <w:color w:val="auto"/>
          <w:sz w:val="28"/>
          <w:szCs w:val="28"/>
        </w:rPr>
        <w:t>声环境功能区划图</w:t>
      </w:r>
    </w:p>
    <w:p w14:paraId="54108130">
      <w:pPr>
        <w:pStyle w:val="14"/>
        <w:ind w:left="2560"/>
        <w:rPr>
          <w:rFonts w:ascii="Times New Roman" w:hAnsi="Times New Roman" w:eastAsia="仿宋" w:cs="Times New Roman"/>
          <w:color w:val="FF0000"/>
        </w:rPr>
      </w:pPr>
    </w:p>
    <w:p w14:paraId="274AED2C">
      <w:pPr>
        <w:pStyle w:val="14"/>
        <w:ind w:left="2560"/>
        <w:rPr>
          <w:rFonts w:ascii="Times New Roman" w:hAnsi="Times New Roman" w:eastAsia="仿宋" w:cs="Times New Roman"/>
          <w:color w:val="FF0000"/>
        </w:rPr>
      </w:pPr>
    </w:p>
    <w:p w14:paraId="67906336">
      <w:pPr>
        <w:pStyle w:val="14"/>
        <w:ind w:left="2560"/>
        <w:rPr>
          <w:rFonts w:ascii="Times New Roman" w:hAnsi="Times New Roman" w:eastAsia="仿宋" w:cs="Times New Roman"/>
          <w:color w:val="FF0000"/>
        </w:rPr>
      </w:pPr>
    </w:p>
    <w:p w14:paraId="1FCA4CAD">
      <w:pPr>
        <w:pStyle w:val="14"/>
        <w:ind w:left="2560"/>
        <w:rPr>
          <w:rFonts w:ascii="Times New Roman" w:hAnsi="Times New Roman" w:eastAsia="仿宋" w:cs="Times New Roman"/>
          <w:color w:val="FF0000"/>
        </w:rPr>
      </w:pPr>
    </w:p>
    <w:p w14:paraId="2DA9A0FF">
      <w:pPr>
        <w:pStyle w:val="14"/>
        <w:ind w:left="2560"/>
        <w:rPr>
          <w:rFonts w:ascii="Times New Roman" w:hAnsi="Times New Roman" w:eastAsia="仿宋" w:cs="Times New Roman"/>
          <w:color w:val="FF0000"/>
        </w:rPr>
      </w:pPr>
    </w:p>
    <w:p w14:paraId="37F3A90A">
      <w:pPr>
        <w:rPr>
          <w:rFonts w:ascii="Times New Roman" w:hAnsi="Times New Roman" w:eastAsia="仿宋" w:cs="Times New Roman"/>
          <w:color w:val="FF0000"/>
        </w:rPr>
        <w:sectPr>
          <w:pgSz w:w="11906" w:h="16838"/>
          <w:pgMar w:top="1440" w:right="1800" w:bottom="1440" w:left="1800" w:header="851" w:footer="992" w:gutter="0"/>
          <w:cols w:space="425" w:num="1"/>
          <w:docGrid w:type="lines" w:linePitch="312" w:charSpace="0"/>
        </w:sectPr>
      </w:pPr>
    </w:p>
    <w:bookmarkEnd w:id="9"/>
    <w:p w14:paraId="4EDE1457">
      <w:pPr>
        <w:pStyle w:val="3"/>
        <w:spacing w:before="0" w:after="0" w:line="276" w:lineRule="auto"/>
        <w:jc w:val="center"/>
        <w:rPr>
          <w:rFonts w:ascii="Times New Roman" w:hAnsi="Times New Roman" w:eastAsia="仿宋" w:cs="Times New Roman"/>
          <w:color w:val="auto"/>
          <w:sz w:val="44"/>
        </w:rPr>
      </w:pPr>
      <w:bookmarkStart w:id="13" w:name="_Toc15666"/>
      <w:bookmarkStart w:id="14" w:name="_Toc20414"/>
      <w:bookmarkStart w:id="15" w:name="_Toc98890316"/>
      <w:bookmarkStart w:id="16" w:name="_Toc98890317"/>
      <w:bookmarkStart w:id="17" w:name="_Toc88472012"/>
      <w:bookmarkStart w:id="18" w:name="_Toc7699"/>
      <w:bookmarkStart w:id="19" w:name="_Toc12867"/>
      <w:bookmarkStart w:id="20" w:name="_Toc88472013"/>
      <w:bookmarkStart w:id="21" w:name="_Toc12635"/>
      <w:r>
        <w:rPr>
          <w:rFonts w:ascii="Times New Roman" w:hAnsi="Times New Roman" w:eastAsia="仿宋" w:cs="Times New Roman"/>
          <w:color w:val="auto"/>
          <w:sz w:val="44"/>
        </w:rPr>
        <w:t>1规划背景与意义</w:t>
      </w:r>
      <w:bookmarkEnd w:id="13"/>
    </w:p>
    <w:p w14:paraId="341790BC">
      <w:pPr>
        <w:pStyle w:val="4"/>
        <w:spacing w:before="260" w:after="260" w:line="276" w:lineRule="auto"/>
        <w:ind w:firstLine="0"/>
        <w:rPr>
          <w:rFonts w:ascii="Times New Roman" w:hAnsi="Times New Roman" w:eastAsia="仿宋" w:cs="Times New Roman"/>
          <w:color w:val="auto"/>
          <w:sz w:val="32"/>
        </w:rPr>
      </w:pPr>
      <w:bookmarkStart w:id="22" w:name="_Toc11822"/>
      <w:bookmarkStart w:id="23" w:name="_Toc98890292"/>
      <w:r>
        <w:rPr>
          <w:rFonts w:ascii="Times New Roman" w:hAnsi="Times New Roman" w:eastAsia="仿宋" w:cs="Times New Roman"/>
          <w:color w:val="auto"/>
          <w:sz w:val="32"/>
        </w:rPr>
        <w:t>1.1规划背景</w:t>
      </w:r>
      <w:bookmarkEnd w:id="22"/>
      <w:bookmarkEnd w:id="23"/>
    </w:p>
    <w:p w14:paraId="4EA74BBC">
      <w:pPr>
        <w:pStyle w:val="5"/>
        <w:spacing w:before="120" w:after="120" w:line="360" w:lineRule="auto"/>
        <w:ind w:firstLine="0" w:firstLineChars="0"/>
        <w:rPr>
          <w:rFonts w:eastAsia="仿宋"/>
          <w:snapToGrid w:val="0"/>
          <w:color w:val="auto"/>
          <w:sz w:val="28"/>
        </w:rPr>
      </w:pPr>
      <w:bookmarkStart w:id="24" w:name="_Toc10028"/>
      <w:bookmarkStart w:id="25" w:name="_Toc98890293"/>
      <w:r>
        <w:rPr>
          <w:rFonts w:eastAsia="仿宋"/>
          <w:snapToGrid w:val="0"/>
          <w:color w:val="auto"/>
          <w:sz w:val="28"/>
        </w:rPr>
        <w:t>1.1.1</w:t>
      </w:r>
      <w:r>
        <w:rPr>
          <w:rFonts w:hint="eastAsia" w:eastAsia="仿宋"/>
          <w:snapToGrid w:val="0"/>
          <w:color w:val="auto"/>
          <w:sz w:val="28"/>
        </w:rPr>
        <w:t>国家生态文明建设战略部署</w:t>
      </w:r>
      <w:bookmarkEnd w:id="24"/>
    </w:p>
    <w:bookmarkEnd w:id="25"/>
    <w:p w14:paraId="402C6494">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方正仿宋_GBK" w:cs="Times New Roman"/>
          <w:color w:val="auto"/>
          <w:sz w:val="28"/>
          <w:szCs w:val="28"/>
          <w:shd w:val="clear" w:color="auto" w:fill="auto"/>
          <w:lang w:val="en-US" w:eastAsia="zh-CN"/>
        </w:rPr>
      </w:pPr>
      <w:r>
        <w:rPr>
          <w:rFonts w:hint="default" w:ascii="Times New Roman" w:hAnsi="Times New Roman" w:eastAsia="方正仿宋_GBK" w:cs="Times New Roman"/>
          <w:color w:val="auto"/>
          <w:sz w:val="28"/>
          <w:szCs w:val="28"/>
          <w:shd w:val="clear" w:color="auto" w:fill="auto"/>
          <w:lang w:eastAsia="zh-CN"/>
        </w:rPr>
        <w:t>党的十八大以来，以习近平同志为核心的党中央始终把生态文明建设放在治国理政的突出位置，把生态文明建设作为统筹推进“五位一体”总体布局和协调推进“四个全面”战略布局的重要内容，融入到经济建设、政治建设、文化建设、社会建设的各方面和全过程，</w:t>
      </w:r>
      <w:r>
        <w:rPr>
          <w:rFonts w:hint="default" w:ascii="Times New Roman" w:hAnsi="Times New Roman" w:eastAsia="方正仿宋_GBK" w:cs="Times New Roman"/>
          <w:color w:val="auto"/>
          <w:sz w:val="28"/>
          <w:szCs w:val="28"/>
          <w:shd w:val="clear" w:color="auto" w:fill="auto"/>
          <w:lang w:val="en-US" w:eastAsia="zh-CN"/>
        </w:rPr>
        <w:t>并</w:t>
      </w:r>
      <w:r>
        <w:rPr>
          <w:rFonts w:hint="default" w:ascii="Times New Roman" w:hAnsi="Times New Roman" w:eastAsia="方正仿宋_GBK" w:cs="Times New Roman"/>
          <w:color w:val="auto"/>
          <w:sz w:val="28"/>
          <w:szCs w:val="28"/>
          <w:shd w:val="clear" w:color="auto" w:fill="auto"/>
          <w:lang w:eastAsia="zh-CN"/>
        </w:rPr>
        <w:t>将生态文明建设写入党章，生态文明建设发生历史性变革，取得历史性成就。党的十九大进一步把“坚持人与自然和谐共生”作为新时代中国特色社会主义建设的基本方略之一，提出生态文明建设是中华民族永续发展的千年大计、人与自然是生命共同体等重要论断，并将“绿水青山就是金山银山”的发展理念细化为多方面的具体部署，把生态环境根本好转、建设美丽中国作为社会主义现代化的目标之一。</w:t>
      </w:r>
      <w:r>
        <w:rPr>
          <w:rFonts w:hint="default" w:ascii="Times New Roman" w:hAnsi="Times New Roman" w:eastAsia="方正仿宋_GBK" w:cs="Times New Roman"/>
          <w:color w:val="auto"/>
          <w:sz w:val="28"/>
          <w:szCs w:val="28"/>
          <w:shd w:val="clear" w:color="auto" w:fill="auto"/>
          <w:lang w:val="en-US" w:eastAsia="zh-CN"/>
        </w:rPr>
        <w:t>党的二十大报告中专门针对推动绿色发展，促进人与自然和谐共生，作出了新谋划新部署。</w:t>
      </w:r>
      <w:r>
        <w:rPr>
          <w:rFonts w:hint="default" w:ascii="Times New Roman" w:hAnsi="Times New Roman" w:eastAsia="方正仿宋_GBK" w:cs="Times New Roman"/>
          <w:color w:val="auto"/>
          <w:sz w:val="28"/>
          <w:szCs w:val="28"/>
          <w:shd w:val="clear" w:color="auto" w:fill="auto"/>
          <w:lang w:eastAsia="zh-CN"/>
        </w:rPr>
        <w:t>2018年3月生态文明被写入宪法，拥有了强有力的法律效力。2018年5月，在全国生态环境保护大会上，提出并确立了习近平生态文明思想，为新时代生态文明建设提供了根本遵循。2019年，党的十九届四中全会将生态文明制度体系作为坚持和完善中国特色社会主义制度的重要组成部分，生态文明四梁八柱性质的制度体系基本形成。2020年，党的十九届五中全会强调要“坚持绿水青山就是金山银山理念”“促进经济社会发展全面绿色转型，建设人与自然和谐共生的现代化”，对深入实施可持续发展战略、完善生态文明领域统筹协调机制、加快推进绿色低碳发展等作出重要部署，为推进生态文明建设、共筑美丽中国注入强大动力。2021年11月，中</w:t>
      </w:r>
      <w:r>
        <w:rPr>
          <w:rFonts w:hint="eastAsia" w:ascii="Times New Roman" w:hAnsi="Times New Roman" w:eastAsia="方正仿宋_GBK" w:cs="Times New Roman"/>
          <w:color w:val="auto"/>
          <w:sz w:val="28"/>
          <w:szCs w:val="28"/>
          <w:shd w:val="clear" w:color="auto" w:fill="auto"/>
          <w:lang w:eastAsia="zh-CN"/>
        </w:rPr>
        <w:t>中共中央、国务院</w:t>
      </w:r>
      <w:r>
        <w:rPr>
          <w:rFonts w:hint="default" w:ascii="Times New Roman" w:hAnsi="Times New Roman" w:eastAsia="方正仿宋_GBK" w:cs="Times New Roman"/>
          <w:color w:val="auto"/>
          <w:sz w:val="28"/>
          <w:szCs w:val="28"/>
          <w:shd w:val="clear" w:color="auto" w:fill="auto"/>
          <w:lang w:eastAsia="zh-CN"/>
        </w:rPr>
        <w:t>发的《关于深入打好污染防治攻坚战的意见》明确，深入打好污染防治攻坚战，紧盯污染防治重点领域和关键环节，促进生态环境质量持续改善，有利于推动生态文明建设实现新进步，朝着美丽中国建设目标前行。</w:t>
      </w:r>
      <w:r>
        <w:rPr>
          <w:rFonts w:hint="default" w:ascii="Times New Roman" w:hAnsi="Times New Roman" w:eastAsia="方正仿宋_GBK" w:cs="Times New Roman"/>
          <w:color w:val="auto"/>
          <w:sz w:val="28"/>
          <w:szCs w:val="28"/>
          <w:shd w:val="clear" w:color="auto" w:fill="auto"/>
          <w:lang w:val="en-US" w:eastAsia="zh-CN"/>
        </w:rPr>
        <w:t>2022年10月，在中国共产党第二十次全国代表大会上，习近平总书记指出，尊重自然、顺应自然、保护自然，是全面建设社会主义现代化国家的内在要求，必须牢固树立和践行绿水青山就是金山银山的理念，站在人与自然和谐共生的高度谋划发展，要推进美丽中国建设，坚持山水林田湖草沙一体化保护和系统治理，统筹产业结构调整、污染治理、生态保护、应对气候变化，协同推进降碳、减污、扩绿、增长，推进生态优先、节约集约、绿色低碳发展。</w:t>
      </w:r>
    </w:p>
    <w:p w14:paraId="10937CFF">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方正仿宋_GBK" w:cs="Times New Roman"/>
          <w:color w:val="FF0000"/>
          <w:sz w:val="28"/>
          <w:szCs w:val="28"/>
          <w:shd w:val="clear" w:color="auto" w:fill="auto"/>
          <w:lang w:eastAsia="zh-CN"/>
        </w:rPr>
      </w:pPr>
      <w:r>
        <w:rPr>
          <w:rFonts w:hint="default" w:ascii="Times New Roman" w:hAnsi="Times New Roman" w:eastAsia="方正仿宋_GBK" w:cs="Times New Roman"/>
          <w:color w:val="auto"/>
          <w:sz w:val="28"/>
          <w:szCs w:val="28"/>
          <w:shd w:val="clear" w:color="auto" w:fill="auto"/>
          <w:lang w:eastAsia="zh-CN"/>
        </w:rPr>
        <w:t>生态文明示范建设是深入贯彻落实习近平生态文明思想的重要</w:t>
      </w:r>
      <w:r>
        <w:rPr>
          <w:rFonts w:hint="default" w:ascii="Times New Roman" w:hAnsi="Times New Roman" w:eastAsia="方正仿宋_GBK" w:cs="Times New Roman"/>
          <w:color w:val="auto"/>
          <w:sz w:val="28"/>
          <w:szCs w:val="28"/>
          <w:shd w:val="clear" w:color="auto" w:fill="auto"/>
          <w:lang w:val="en-US" w:eastAsia="zh-CN"/>
        </w:rPr>
        <w:t>内容</w:t>
      </w:r>
      <w:r>
        <w:rPr>
          <w:rFonts w:hint="default" w:ascii="Times New Roman" w:hAnsi="Times New Roman" w:eastAsia="方正仿宋_GBK" w:cs="Times New Roman"/>
          <w:color w:val="auto"/>
          <w:sz w:val="28"/>
          <w:szCs w:val="28"/>
          <w:shd w:val="clear" w:color="auto" w:fill="auto"/>
          <w:lang w:eastAsia="zh-CN"/>
        </w:rPr>
        <w:t>，是加强生态环境保护、推进环境领域治理体系和治理能力现代化的重要抓手，是践行新发展理念、推进高质量发展的重要载体。2013年，出台了《关于大力推进生态文明建设示范区工作的意见》</w:t>
      </w:r>
      <w:r>
        <w:rPr>
          <w:rFonts w:hint="eastAsia" w:ascii="Times New Roman" w:hAnsi="Times New Roman" w:eastAsia="方正仿宋_GBK" w:cs="Times New Roman"/>
          <w:color w:val="auto"/>
          <w:sz w:val="28"/>
          <w:szCs w:val="28"/>
          <w:shd w:val="clear" w:color="auto" w:fill="auto"/>
          <w:lang w:eastAsia="zh-CN"/>
        </w:rPr>
        <w:t>（</w:t>
      </w:r>
      <w:r>
        <w:rPr>
          <w:rFonts w:hint="default" w:ascii="Times New Roman" w:hAnsi="Times New Roman" w:eastAsia="方正仿宋_GBK" w:cs="Times New Roman"/>
          <w:color w:val="auto"/>
          <w:sz w:val="28"/>
          <w:szCs w:val="28"/>
          <w:shd w:val="clear" w:color="auto" w:fill="auto"/>
          <w:lang w:eastAsia="zh-CN"/>
        </w:rPr>
        <w:t>环发〔2013〕121号</w:t>
      </w:r>
      <w:r>
        <w:rPr>
          <w:rFonts w:hint="eastAsia" w:ascii="Times New Roman" w:hAnsi="Times New Roman" w:eastAsia="方正仿宋_GBK" w:cs="Times New Roman"/>
          <w:color w:val="auto"/>
          <w:sz w:val="28"/>
          <w:szCs w:val="28"/>
          <w:shd w:val="clear" w:color="auto" w:fill="auto"/>
          <w:lang w:eastAsia="zh-CN"/>
        </w:rPr>
        <w:t>）</w:t>
      </w:r>
      <w:r>
        <w:rPr>
          <w:rFonts w:hint="default" w:ascii="Times New Roman" w:hAnsi="Times New Roman" w:eastAsia="方正仿宋_GBK" w:cs="Times New Roman"/>
          <w:color w:val="auto"/>
          <w:sz w:val="28"/>
          <w:szCs w:val="28"/>
          <w:shd w:val="clear" w:color="auto" w:fill="auto"/>
          <w:lang w:eastAsia="zh-CN"/>
        </w:rPr>
        <w:t>，2016年正式发布《国家生态文明建设示范区管理规程</w:t>
      </w:r>
      <w:r>
        <w:rPr>
          <w:rFonts w:hint="eastAsia" w:ascii="Times New Roman" w:hAnsi="Times New Roman" w:eastAsia="方正仿宋_GBK" w:cs="Times New Roman"/>
          <w:color w:val="auto"/>
          <w:sz w:val="28"/>
          <w:szCs w:val="28"/>
          <w:shd w:val="clear" w:color="auto" w:fill="auto"/>
          <w:lang w:eastAsia="zh-CN"/>
        </w:rPr>
        <w:t>（</w:t>
      </w:r>
      <w:r>
        <w:rPr>
          <w:rFonts w:hint="default" w:ascii="Times New Roman" w:hAnsi="Times New Roman" w:eastAsia="方正仿宋_GBK" w:cs="Times New Roman"/>
          <w:color w:val="auto"/>
          <w:sz w:val="28"/>
          <w:szCs w:val="28"/>
          <w:shd w:val="clear" w:color="auto" w:fill="auto"/>
          <w:lang w:eastAsia="zh-CN"/>
        </w:rPr>
        <w:t>试行</w:t>
      </w:r>
      <w:r>
        <w:rPr>
          <w:rFonts w:hint="eastAsia" w:ascii="Times New Roman" w:hAnsi="Times New Roman" w:eastAsia="方正仿宋_GBK" w:cs="Times New Roman"/>
          <w:color w:val="auto"/>
          <w:sz w:val="28"/>
          <w:szCs w:val="28"/>
          <w:shd w:val="clear" w:color="auto" w:fill="auto"/>
          <w:lang w:eastAsia="zh-CN"/>
        </w:rPr>
        <w:t>）</w:t>
      </w:r>
      <w:r>
        <w:rPr>
          <w:rFonts w:hint="default" w:ascii="Times New Roman" w:hAnsi="Times New Roman" w:eastAsia="方正仿宋_GBK" w:cs="Times New Roman"/>
          <w:color w:val="auto"/>
          <w:sz w:val="28"/>
          <w:szCs w:val="28"/>
          <w:shd w:val="clear" w:color="auto" w:fill="auto"/>
          <w:lang w:eastAsia="zh-CN"/>
        </w:rPr>
        <w:t>》《国家生态文明建设示范县、市指标</w:t>
      </w:r>
      <w:r>
        <w:rPr>
          <w:rFonts w:hint="eastAsia" w:ascii="Times New Roman" w:hAnsi="Times New Roman" w:eastAsia="方正仿宋_GBK" w:cs="Times New Roman"/>
          <w:color w:val="auto"/>
          <w:sz w:val="28"/>
          <w:szCs w:val="28"/>
          <w:shd w:val="clear" w:color="auto" w:fill="auto"/>
          <w:lang w:eastAsia="zh-CN"/>
        </w:rPr>
        <w:t>（</w:t>
      </w:r>
      <w:r>
        <w:rPr>
          <w:rFonts w:hint="default" w:ascii="Times New Roman" w:hAnsi="Times New Roman" w:eastAsia="方正仿宋_GBK" w:cs="Times New Roman"/>
          <w:color w:val="auto"/>
          <w:sz w:val="28"/>
          <w:szCs w:val="28"/>
          <w:shd w:val="clear" w:color="auto" w:fill="auto"/>
          <w:lang w:eastAsia="zh-CN"/>
        </w:rPr>
        <w:t>试行</w:t>
      </w:r>
      <w:r>
        <w:rPr>
          <w:rFonts w:hint="eastAsia" w:ascii="Times New Roman" w:hAnsi="Times New Roman" w:eastAsia="方正仿宋_GBK" w:cs="Times New Roman"/>
          <w:color w:val="auto"/>
          <w:sz w:val="28"/>
          <w:szCs w:val="28"/>
          <w:shd w:val="clear" w:color="auto" w:fill="auto"/>
          <w:lang w:eastAsia="zh-CN"/>
        </w:rPr>
        <w:t>）</w:t>
      </w:r>
      <w:r>
        <w:rPr>
          <w:rFonts w:hint="default" w:ascii="Times New Roman" w:hAnsi="Times New Roman" w:eastAsia="方正仿宋_GBK" w:cs="Times New Roman"/>
          <w:color w:val="auto"/>
          <w:sz w:val="28"/>
          <w:szCs w:val="28"/>
          <w:shd w:val="clear" w:color="auto" w:fill="auto"/>
          <w:lang w:eastAsia="zh-CN"/>
        </w:rPr>
        <w:t>》</w:t>
      </w:r>
      <w:r>
        <w:rPr>
          <w:rFonts w:hint="eastAsia" w:ascii="Times New Roman" w:hAnsi="Times New Roman" w:eastAsia="方正仿宋_GBK" w:cs="Times New Roman"/>
          <w:color w:val="auto"/>
          <w:sz w:val="28"/>
          <w:szCs w:val="28"/>
          <w:shd w:val="clear" w:color="auto" w:fill="auto"/>
          <w:lang w:eastAsia="zh-CN"/>
        </w:rPr>
        <w:t>（</w:t>
      </w:r>
      <w:r>
        <w:rPr>
          <w:rFonts w:hint="default" w:ascii="Times New Roman" w:hAnsi="Times New Roman" w:eastAsia="方正仿宋_GBK" w:cs="Times New Roman"/>
          <w:color w:val="auto"/>
          <w:sz w:val="28"/>
          <w:szCs w:val="28"/>
          <w:shd w:val="clear" w:color="auto" w:fill="auto"/>
          <w:lang w:eastAsia="zh-CN"/>
        </w:rPr>
        <w:t>环生态〔2016〕4号</w:t>
      </w:r>
      <w:r>
        <w:rPr>
          <w:rFonts w:hint="eastAsia" w:ascii="Times New Roman" w:hAnsi="Times New Roman" w:eastAsia="方正仿宋_GBK" w:cs="Times New Roman"/>
          <w:color w:val="auto"/>
          <w:sz w:val="28"/>
          <w:szCs w:val="28"/>
          <w:shd w:val="clear" w:color="auto" w:fill="auto"/>
          <w:lang w:eastAsia="zh-CN"/>
        </w:rPr>
        <w:t>）</w:t>
      </w:r>
      <w:r>
        <w:rPr>
          <w:rFonts w:hint="default" w:ascii="Times New Roman" w:hAnsi="Times New Roman" w:eastAsia="方正仿宋_GBK" w:cs="Times New Roman"/>
          <w:color w:val="auto"/>
          <w:sz w:val="28"/>
          <w:szCs w:val="28"/>
          <w:shd w:val="clear" w:color="auto" w:fill="auto"/>
          <w:lang w:eastAsia="zh-CN"/>
        </w:rPr>
        <w:t>。2019年9月，生态环境部印发了《关于印发</w:t>
      </w:r>
      <w:r>
        <w:rPr>
          <w:rFonts w:hint="eastAsia" w:ascii="Times New Roman" w:hAnsi="Times New Roman" w:eastAsia="方正仿宋_GBK" w:cs="Times New Roman"/>
          <w:color w:val="auto"/>
          <w:sz w:val="28"/>
          <w:szCs w:val="28"/>
          <w:shd w:val="clear" w:color="auto" w:fill="auto"/>
          <w:lang w:eastAsia="zh-CN"/>
        </w:rPr>
        <w:t>〈</w:t>
      </w:r>
      <w:r>
        <w:rPr>
          <w:rFonts w:hint="default" w:ascii="Times New Roman" w:hAnsi="Times New Roman" w:eastAsia="方正仿宋_GBK" w:cs="Times New Roman"/>
          <w:color w:val="auto"/>
          <w:sz w:val="28"/>
          <w:szCs w:val="28"/>
          <w:shd w:val="clear" w:color="auto" w:fill="auto"/>
          <w:lang w:eastAsia="zh-CN"/>
        </w:rPr>
        <w:t>国家生态文明建设示范市县建设指标</w:t>
      </w:r>
      <w:r>
        <w:rPr>
          <w:rFonts w:hint="eastAsia" w:ascii="Times New Roman" w:hAnsi="Times New Roman" w:eastAsia="方正仿宋_GBK" w:cs="Times New Roman"/>
          <w:color w:val="auto"/>
          <w:sz w:val="28"/>
          <w:szCs w:val="28"/>
          <w:shd w:val="clear" w:color="auto" w:fill="auto"/>
          <w:lang w:eastAsia="zh-CN"/>
        </w:rPr>
        <w:t>〉〈</w:t>
      </w:r>
      <w:r>
        <w:rPr>
          <w:rFonts w:hint="default" w:ascii="Times New Roman" w:hAnsi="Times New Roman" w:eastAsia="方正仿宋_GBK" w:cs="Times New Roman"/>
          <w:color w:val="auto"/>
          <w:sz w:val="28"/>
          <w:szCs w:val="28"/>
          <w:shd w:val="clear" w:color="auto" w:fill="auto"/>
          <w:lang w:eastAsia="zh-CN"/>
        </w:rPr>
        <w:t>国家生态文明建设示范市县管理规程</w:t>
      </w:r>
      <w:r>
        <w:rPr>
          <w:rFonts w:hint="eastAsia" w:ascii="Times New Roman" w:hAnsi="Times New Roman" w:eastAsia="方正仿宋_GBK" w:cs="Times New Roman"/>
          <w:color w:val="auto"/>
          <w:sz w:val="28"/>
          <w:szCs w:val="28"/>
          <w:shd w:val="clear" w:color="auto" w:fill="auto"/>
          <w:lang w:eastAsia="zh-CN"/>
        </w:rPr>
        <w:t>〉</w:t>
      </w:r>
      <w:r>
        <w:rPr>
          <w:rFonts w:hint="default" w:ascii="Times New Roman" w:hAnsi="Times New Roman" w:eastAsia="方正仿宋_GBK" w:cs="Times New Roman"/>
          <w:color w:val="auto"/>
          <w:sz w:val="28"/>
          <w:szCs w:val="28"/>
          <w:shd w:val="clear" w:color="auto" w:fill="auto"/>
          <w:lang w:eastAsia="zh-CN"/>
        </w:rPr>
        <w:t>和</w:t>
      </w:r>
      <w:r>
        <w:rPr>
          <w:rFonts w:hint="eastAsia" w:ascii="Times New Roman" w:hAnsi="Times New Roman" w:eastAsia="方正仿宋_GBK" w:cs="Times New Roman"/>
          <w:color w:val="auto"/>
          <w:sz w:val="28"/>
          <w:szCs w:val="28"/>
          <w:shd w:val="clear" w:color="auto" w:fill="auto"/>
          <w:lang w:eastAsia="zh-CN"/>
        </w:rPr>
        <w:t>〈</w:t>
      </w:r>
      <w:r>
        <w:rPr>
          <w:rFonts w:hint="default" w:ascii="Times New Roman" w:hAnsi="Times New Roman" w:eastAsia="方正仿宋_GBK" w:cs="Times New Roman"/>
          <w:color w:val="auto"/>
          <w:sz w:val="28"/>
          <w:szCs w:val="28"/>
          <w:shd w:val="clear" w:color="auto" w:fill="auto"/>
          <w:lang w:eastAsia="zh-CN"/>
        </w:rPr>
        <w:t>“绿水青山就是金山银山”实践创新基地建设管理规程</w:t>
      </w:r>
      <w:r>
        <w:rPr>
          <w:rFonts w:hint="eastAsia" w:ascii="Times New Roman" w:hAnsi="Times New Roman" w:eastAsia="方正仿宋_GBK" w:cs="Times New Roman"/>
          <w:color w:val="auto"/>
          <w:sz w:val="28"/>
          <w:szCs w:val="28"/>
          <w:shd w:val="clear" w:color="auto" w:fill="auto"/>
          <w:lang w:eastAsia="zh-CN"/>
        </w:rPr>
        <w:t>（</w:t>
      </w:r>
      <w:r>
        <w:rPr>
          <w:rFonts w:hint="default" w:ascii="Times New Roman" w:hAnsi="Times New Roman" w:eastAsia="方正仿宋_GBK" w:cs="Times New Roman"/>
          <w:color w:val="auto"/>
          <w:sz w:val="28"/>
          <w:szCs w:val="28"/>
          <w:shd w:val="clear" w:color="auto" w:fill="auto"/>
          <w:lang w:eastAsia="zh-CN"/>
        </w:rPr>
        <w:t>试行</w:t>
      </w:r>
      <w:r>
        <w:rPr>
          <w:rFonts w:hint="eastAsia" w:ascii="Times New Roman" w:hAnsi="Times New Roman" w:eastAsia="方正仿宋_GBK" w:cs="Times New Roman"/>
          <w:color w:val="auto"/>
          <w:sz w:val="28"/>
          <w:szCs w:val="28"/>
          <w:shd w:val="clear" w:color="auto" w:fill="auto"/>
          <w:lang w:eastAsia="zh-CN"/>
        </w:rPr>
        <w:t>）〉</w:t>
      </w:r>
      <w:r>
        <w:rPr>
          <w:rFonts w:hint="default" w:ascii="Times New Roman" w:hAnsi="Times New Roman" w:eastAsia="方正仿宋_GBK" w:cs="Times New Roman"/>
          <w:color w:val="auto"/>
          <w:sz w:val="28"/>
          <w:szCs w:val="28"/>
          <w:shd w:val="clear" w:color="auto" w:fill="auto"/>
          <w:lang w:eastAsia="zh-CN"/>
        </w:rPr>
        <w:t>的通知》</w:t>
      </w:r>
      <w:r>
        <w:rPr>
          <w:rFonts w:hint="eastAsia" w:ascii="Times New Roman" w:hAnsi="Times New Roman" w:eastAsia="方正仿宋_GBK" w:cs="Times New Roman"/>
          <w:color w:val="auto"/>
          <w:sz w:val="28"/>
          <w:szCs w:val="28"/>
          <w:shd w:val="clear" w:color="auto" w:fill="auto"/>
          <w:lang w:eastAsia="zh-CN"/>
        </w:rPr>
        <w:t>（</w:t>
      </w:r>
      <w:r>
        <w:rPr>
          <w:rFonts w:hint="default" w:ascii="Times New Roman" w:hAnsi="Times New Roman" w:eastAsia="方正仿宋_GBK" w:cs="Times New Roman"/>
          <w:color w:val="auto"/>
          <w:sz w:val="28"/>
          <w:szCs w:val="28"/>
          <w:shd w:val="clear" w:color="auto" w:fill="auto"/>
          <w:lang w:eastAsia="zh-CN"/>
        </w:rPr>
        <w:t>环办生态函〔2019〕76号</w:t>
      </w:r>
      <w:r>
        <w:rPr>
          <w:rFonts w:hint="eastAsia" w:ascii="Times New Roman" w:hAnsi="Times New Roman" w:eastAsia="方正仿宋_GBK" w:cs="Times New Roman"/>
          <w:color w:val="auto"/>
          <w:sz w:val="28"/>
          <w:szCs w:val="28"/>
          <w:shd w:val="clear" w:color="auto" w:fill="auto"/>
          <w:lang w:eastAsia="zh-CN"/>
        </w:rPr>
        <w:t>）</w:t>
      </w:r>
      <w:r>
        <w:rPr>
          <w:rFonts w:hint="default" w:ascii="Times New Roman" w:hAnsi="Times New Roman" w:eastAsia="方正仿宋_GBK" w:cs="Times New Roman"/>
          <w:color w:val="auto"/>
          <w:sz w:val="28"/>
          <w:szCs w:val="28"/>
          <w:shd w:val="clear" w:color="auto" w:fill="auto"/>
          <w:lang w:eastAsia="zh-CN"/>
        </w:rPr>
        <w:t>，2021年7月，生态环境部印发了《关于开展第五批国家生态文明建设示范区和“绿水青山就是金山银山”实践创新基地遴选工作的通知》</w:t>
      </w:r>
      <w:r>
        <w:rPr>
          <w:rFonts w:hint="eastAsia" w:ascii="Times New Roman" w:hAnsi="Times New Roman" w:eastAsia="方正仿宋_GBK" w:cs="Times New Roman"/>
          <w:color w:val="auto"/>
          <w:sz w:val="28"/>
          <w:szCs w:val="28"/>
          <w:shd w:val="clear" w:color="auto" w:fill="auto"/>
          <w:lang w:eastAsia="zh-CN"/>
        </w:rPr>
        <w:t>（</w:t>
      </w:r>
      <w:r>
        <w:rPr>
          <w:rFonts w:hint="default" w:ascii="Times New Roman" w:hAnsi="Times New Roman" w:eastAsia="方正仿宋_GBK" w:cs="Times New Roman"/>
          <w:color w:val="auto"/>
          <w:sz w:val="28"/>
          <w:szCs w:val="28"/>
          <w:shd w:val="clear" w:color="auto" w:fill="auto"/>
          <w:lang w:eastAsia="zh-CN"/>
        </w:rPr>
        <w:t>环办生态函〔2021〕353号</w:t>
      </w:r>
      <w:r>
        <w:rPr>
          <w:rFonts w:hint="eastAsia" w:ascii="Times New Roman" w:hAnsi="Times New Roman" w:eastAsia="方正仿宋_GBK" w:cs="Times New Roman"/>
          <w:color w:val="auto"/>
          <w:sz w:val="28"/>
          <w:szCs w:val="28"/>
          <w:shd w:val="clear" w:color="auto" w:fill="auto"/>
          <w:lang w:eastAsia="zh-CN"/>
        </w:rPr>
        <w:t>）</w:t>
      </w:r>
      <w:r>
        <w:rPr>
          <w:rFonts w:hint="default" w:ascii="Times New Roman" w:hAnsi="Times New Roman" w:eastAsia="方正仿宋_GBK" w:cs="Times New Roman"/>
          <w:color w:val="auto"/>
          <w:sz w:val="28"/>
          <w:szCs w:val="28"/>
          <w:shd w:val="clear" w:color="auto" w:fill="auto"/>
          <w:lang w:eastAsia="zh-CN"/>
        </w:rPr>
        <w:t>，对国家生态文明建设示范区进行了指标修订。目前已组织遴选并命名了</w:t>
      </w:r>
      <w:r>
        <w:rPr>
          <w:rFonts w:hint="default" w:ascii="Times New Roman" w:hAnsi="Times New Roman" w:eastAsia="方正仿宋_GBK" w:cs="Times New Roman"/>
          <w:color w:val="auto"/>
          <w:sz w:val="28"/>
          <w:szCs w:val="28"/>
          <w:shd w:val="clear" w:color="auto" w:fill="auto"/>
          <w:lang w:val="en-US" w:eastAsia="zh-CN"/>
        </w:rPr>
        <w:t>六</w:t>
      </w:r>
      <w:r>
        <w:rPr>
          <w:rFonts w:hint="default" w:ascii="Times New Roman" w:hAnsi="Times New Roman" w:eastAsia="方正仿宋_GBK" w:cs="Times New Roman"/>
          <w:color w:val="auto"/>
          <w:sz w:val="28"/>
          <w:szCs w:val="28"/>
          <w:shd w:val="clear" w:color="auto" w:fill="auto"/>
          <w:lang w:eastAsia="zh-CN"/>
        </w:rPr>
        <w:t>批国家生态文明建设示范区和“绿水青山就是金山银山”实践创新基地，培育了一批践行习近平生态文明思想的典型示范样板，发挥了典型引领、示范带动的良好作用。</w:t>
      </w:r>
    </w:p>
    <w:p w14:paraId="2E306398">
      <w:pPr>
        <w:pStyle w:val="5"/>
        <w:spacing w:before="120" w:after="120" w:line="360" w:lineRule="auto"/>
        <w:ind w:firstLine="0" w:firstLineChars="0"/>
        <w:rPr>
          <w:rFonts w:eastAsia="仿宋"/>
          <w:snapToGrid w:val="0"/>
          <w:color w:val="auto"/>
          <w:sz w:val="28"/>
        </w:rPr>
      </w:pPr>
      <w:bookmarkStart w:id="26" w:name="_Toc12945"/>
      <w:bookmarkStart w:id="27" w:name="_Toc112155750"/>
      <w:bookmarkStart w:id="28" w:name="_Toc24832"/>
      <w:r>
        <w:rPr>
          <w:rFonts w:eastAsia="仿宋"/>
          <w:snapToGrid w:val="0"/>
          <w:color w:val="auto"/>
          <w:sz w:val="28"/>
        </w:rPr>
        <w:t>1.1.</w:t>
      </w:r>
      <w:r>
        <w:rPr>
          <w:rFonts w:hint="eastAsia" w:eastAsia="仿宋"/>
          <w:snapToGrid w:val="0"/>
          <w:color w:val="auto"/>
          <w:sz w:val="28"/>
          <w:lang w:val="en-US" w:eastAsia="zh-CN"/>
        </w:rPr>
        <w:t>2</w:t>
      </w:r>
      <w:r>
        <w:rPr>
          <w:rFonts w:eastAsia="仿宋"/>
          <w:snapToGrid w:val="0"/>
          <w:color w:val="auto"/>
          <w:sz w:val="28"/>
        </w:rPr>
        <w:t>云南省高度重视生态文明建设</w:t>
      </w:r>
      <w:bookmarkEnd w:id="26"/>
      <w:bookmarkEnd w:id="27"/>
      <w:bookmarkEnd w:id="28"/>
    </w:p>
    <w:p w14:paraId="67B67E34">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Times New Roman"/>
          <w:color w:val="auto"/>
          <w:sz w:val="28"/>
          <w:szCs w:val="28"/>
          <w:shd w:val="clear" w:color="auto" w:fill="auto"/>
          <w:lang w:eastAsia="zh-CN"/>
        </w:rPr>
      </w:pPr>
      <w:r>
        <w:rPr>
          <w:rFonts w:hint="eastAsia" w:ascii="Times New Roman" w:hAnsi="Times New Roman" w:eastAsia="方正仿宋_GBK" w:cs="Times New Roman"/>
          <w:color w:val="auto"/>
          <w:sz w:val="28"/>
          <w:szCs w:val="28"/>
          <w:shd w:val="clear" w:color="auto" w:fill="auto"/>
          <w:lang w:eastAsia="zh-CN"/>
        </w:rPr>
        <w:t>党的十八大以来习近平总书记两次考察云南，发表重要讲话、作出系列重要指示批示。2015年1月习近平总书记考察云南，对云南的发展提出了“一个跨越”“三个定位”和“五个着力”的要求，明确提出云南要“努力成为全国生态文明建设排头兵”的战略定位。2020年l月，习近平总书记再次亲临云南考察，殷切希望云南正确认识和把握在全国发展大局中的地位和作用，坚持新发展理念，不断增强边疆民族地区治理能力，保障和改善民生，践行初心使命，努力在建设我国民族团结进步示范区、生态文明建设排头兵、面向南亚东南亚辐射中心上不断取得新进展，谱写好中国梦的云南篇章。为全面贯彻党的十八大、十九大和十九届历次全会精神，认真贯彻落实习近平总书记系列重要讲话和考察云南重要讲话精神，统筹推进“五位一体”总体布局、协调推进“四个全面”战略布局，深化“绿水青山就是金山银山”的战略思想，坚持新发展理念，按照高质量发展要求，紧盯生态文明建设排头兵战略目标，云南省高度重视生态文明建设，先后印发了《中共云南省委云南省人民政府关于争当生态文明建设排头兵的决定》（云发〔2013〕11号）、《中共云南省委关于深入贯彻落实习近平总书记考察云南重要讲话精神闯出跨越式发展路子的决定》（云发〔2015〕9号）、《中共云南省委云南省人民政府关于努力成为生态文明建设排头兵的实施意见》（云发〔2015〕23号）、《关于贯彻落实生态文明体制改革总体方案的实施意见》（云发〔2016〕22号）、《中共云南省委办公厅云南省人民政府办公厅〈关于努力将云南建设成为中国最美丽省份的指导意见〉》（2019年），全面提升云南省生态文明建设水平。在《中共云南省委云南省人民政府关于全面加强生态环境保护坚决打好污染防治攻坚战的实施意见》（云发〔2018〕16号）中也明确要求加快推进省级生态文明建设示范区创建，大力开展绿水青山就是金山银山实践创新基地建设活动。《云南省创建生态文明建设排头兵促进条例》（云政规〔2021〕2号）明确提出县级以上人民政府应当组织开展生态文明建设示范创建活动。近年来，云南省把生态文明建设示范创建作为践行习近平生态文明思想和习近平总书记考察云南重要讲话精神的具体举措，作为深入推进生态文明排头兵建设、建成中国最美丽省份、筑牢我国西南生态安全屏障的重要抓手全力推进，按照省级引导、地方自愿、党政主导、社会参与、因地制宜、突出特色、注重实效、持续推进的原则，扎实开展各项工作，并取得积极成效。截至目前，全省16个州（市）、129个县（市、区）均开展了示范创建工作。累计有</w:t>
      </w:r>
      <w:r>
        <w:rPr>
          <w:rFonts w:hint="eastAsia" w:ascii="Times New Roman" w:hAnsi="Times New Roman" w:eastAsia="方正仿宋_GBK" w:cs="Times New Roman"/>
          <w:color w:val="auto"/>
          <w:sz w:val="28"/>
          <w:szCs w:val="28"/>
          <w:shd w:val="clear" w:color="auto" w:fill="auto"/>
          <w:lang w:val="en-US" w:eastAsia="zh-CN"/>
        </w:rPr>
        <w:t>15</w:t>
      </w:r>
      <w:r>
        <w:rPr>
          <w:rFonts w:hint="eastAsia" w:ascii="Times New Roman" w:hAnsi="Times New Roman" w:eastAsia="方正仿宋_GBK" w:cs="Times New Roman"/>
          <w:color w:val="auto"/>
          <w:sz w:val="28"/>
          <w:szCs w:val="28"/>
          <w:shd w:val="clear" w:color="auto" w:fill="auto"/>
          <w:lang w:eastAsia="zh-CN"/>
        </w:rPr>
        <w:t>个州市、县被授予国家生态文明建设示范区荣誉称号，</w:t>
      </w:r>
      <w:r>
        <w:rPr>
          <w:rFonts w:hint="eastAsia" w:ascii="Times New Roman" w:hAnsi="Times New Roman" w:eastAsia="方正仿宋_GBK" w:cs="Times New Roman"/>
          <w:color w:val="auto"/>
          <w:sz w:val="28"/>
          <w:szCs w:val="28"/>
          <w:shd w:val="clear" w:color="auto" w:fill="auto"/>
          <w:lang w:val="en-US" w:eastAsia="zh-CN"/>
        </w:rPr>
        <w:t>7</w:t>
      </w:r>
      <w:r>
        <w:rPr>
          <w:rFonts w:hint="eastAsia" w:ascii="Times New Roman" w:hAnsi="Times New Roman" w:eastAsia="方正仿宋_GBK" w:cs="Times New Roman"/>
          <w:color w:val="auto"/>
          <w:sz w:val="28"/>
          <w:szCs w:val="28"/>
          <w:shd w:val="clear" w:color="auto" w:fill="auto"/>
          <w:lang w:eastAsia="zh-CN"/>
        </w:rPr>
        <w:t>个地区被命名为“绿水青山就是金山银山”实践创新基地；1个省级生态文明州、21个省级生态文明县（市、区）和615个省级生态文明乡（镇、街道）获得省人民政府命名。</w:t>
      </w:r>
    </w:p>
    <w:p w14:paraId="78930932">
      <w:pPr>
        <w:pStyle w:val="5"/>
        <w:spacing w:before="120" w:after="120" w:line="360" w:lineRule="auto"/>
        <w:ind w:firstLine="0" w:firstLineChars="0"/>
        <w:rPr>
          <w:rFonts w:eastAsia="仿宋"/>
          <w:snapToGrid w:val="0"/>
          <w:color w:val="auto"/>
          <w:sz w:val="28"/>
        </w:rPr>
      </w:pPr>
      <w:bookmarkStart w:id="29" w:name="_Toc8845"/>
      <w:bookmarkStart w:id="30" w:name="_Toc112155751"/>
      <w:bookmarkStart w:id="31" w:name="_Toc24248"/>
      <w:r>
        <w:rPr>
          <w:rFonts w:eastAsia="仿宋"/>
          <w:snapToGrid w:val="0"/>
          <w:color w:val="auto"/>
          <w:sz w:val="28"/>
        </w:rPr>
        <w:t>1.1.</w:t>
      </w:r>
      <w:r>
        <w:rPr>
          <w:rFonts w:hint="eastAsia" w:eastAsia="仿宋"/>
          <w:snapToGrid w:val="0"/>
          <w:color w:val="auto"/>
          <w:sz w:val="28"/>
          <w:lang w:val="en-US" w:eastAsia="zh-CN"/>
        </w:rPr>
        <w:t>3玉溪市</w:t>
      </w:r>
      <w:r>
        <w:rPr>
          <w:rFonts w:eastAsia="仿宋"/>
          <w:snapToGrid w:val="0"/>
          <w:color w:val="auto"/>
          <w:sz w:val="28"/>
        </w:rPr>
        <w:t>积极推进生态文明建设</w:t>
      </w:r>
      <w:bookmarkEnd w:id="29"/>
      <w:bookmarkEnd w:id="30"/>
      <w:bookmarkEnd w:id="31"/>
    </w:p>
    <w:p w14:paraId="69D107FF">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方正仿宋_GBK" w:cs="Times New Roman"/>
          <w:color w:val="auto"/>
          <w:sz w:val="28"/>
          <w:szCs w:val="28"/>
          <w:shd w:val="clear" w:color="auto" w:fill="auto"/>
          <w:lang w:eastAsia="zh-CN"/>
        </w:rPr>
      </w:pPr>
      <w:r>
        <w:rPr>
          <w:rFonts w:hint="eastAsia" w:ascii="Times New Roman" w:hAnsi="Times New Roman" w:eastAsia="方正仿宋_GBK" w:cs="Times New Roman"/>
          <w:color w:val="auto"/>
          <w:sz w:val="28"/>
          <w:szCs w:val="28"/>
          <w:shd w:val="clear" w:color="auto" w:fill="auto"/>
          <w:lang w:eastAsia="zh-CN"/>
        </w:rPr>
        <w:t>为深入贯彻落实习近平生态文明思想和考察云南重要讲话近年来，玉溪市坚持把学习贯彻习近平生态文明思想和习近平总书记考察云南重要讲话精神纳入各级党委（党组）重要学习内容，在市委常委会、市政府常务会及市委理论学习中心组专题学习中，多次学习研究相关议题，每年向人大常委会报告生态环境状况和环境保护目标完成情况。市委、市政府把生态环境保护贯穿“绿色发展、工业强市、共同富裕”三大核心战略全局全过程，积极探索打造“一极两区”。建立党政主要领导任主任（组长）的生态环境保护委员会、生态环境保护督察工作领导小组等议事协调机构，全面加强对生态环境保护工作的领导。编印《玉溪市“十四五”生态建设和环境保护规划》，系统部署生态保护和修复、污染防治等重点任务。印发《玉溪市市级有关部门和单位生态环境保护责任清单》《玉溪市关于构建现代环境治理体系的工作分工方案》，将生态环境保护责任落实情况纳入全市各级各部门领导班子及成员年度考核内容，“党政同责、一岗双责”体系得到加强。在中央、省生态环境保护督察反馈问题整改过程中，玉溪市成立书记、市长任组长的整改领导小组，动真碰硬狠抓问题整改，切实把督察压力转化为治理动力，在践行作风革命效能革命过程中持续深化“玉溪之变”，坚决扛牢扛实生态环境保护政治责任。如今，各级党委、政府和部门共抓“大保护”的工作格局基本形成，群众的生态环保意识明显增强，绿水青山就是金山银山的理念成为玉溪人民的共识。通过深化生态文明体制改革，各地践行“两山”理论，推进生态文明建设步履坚实，</w:t>
      </w:r>
      <w:r>
        <w:rPr>
          <w:rFonts w:hint="default" w:ascii="Times New Roman" w:hAnsi="Times New Roman" w:eastAsia="方正仿宋_GBK" w:cs="Times New Roman"/>
          <w:color w:val="auto"/>
          <w:sz w:val="28"/>
          <w:szCs w:val="28"/>
          <w:shd w:val="clear" w:color="auto" w:fill="auto"/>
          <w:lang w:val="en-US" w:eastAsia="zh-CN"/>
        </w:rPr>
        <w:t>截至2021年，玉溪市</w:t>
      </w:r>
      <w:r>
        <w:rPr>
          <w:rFonts w:hint="default" w:ascii="Times New Roman" w:hAnsi="Times New Roman" w:eastAsia="方正仿宋_GBK" w:cs="Times New Roman"/>
          <w:color w:val="auto"/>
          <w:sz w:val="28"/>
          <w:szCs w:val="28"/>
          <w:shd w:val="clear" w:color="auto" w:fill="auto"/>
          <w:lang w:eastAsia="zh-CN"/>
        </w:rPr>
        <w:t>华宁、新平、峨山3个县被命名为省级生态文明县，华宁县被生态环境部命名为第二批国家生态文明建设示范县，获得命名的国家级生态乡（镇）4个、省级生态文明乡（镇、街道）62个、市级生态村538个。</w:t>
      </w:r>
    </w:p>
    <w:p w14:paraId="04C375F5">
      <w:pPr>
        <w:pStyle w:val="5"/>
        <w:spacing w:before="120" w:after="120" w:line="360" w:lineRule="auto"/>
        <w:ind w:firstLine="0" w:firstLineChars="0"/>
        <w:rPr>
          <w:rFonts w:eastAsia="仿宋"/>
          <w:snapToGrid w:val="0"/>
          <w:color w:val="auto"/>
          <w:sz w:val="28"/>
        </w:rPr>
      </w:pPr>
      <w:bookmarkStart w:id="32" w:name="_Toc6894"/>
      <w:bookmarkStart w:id="33" w:name="_Toc112155752"/>
      <w:r>
        <w:rPr>
          <w:rFonts w:eastAsia="仿宋"/>
          <w:snapToGrid w:val="0"/>
          <w:color w:val="auto"/>
          <w:sz w:val="28"/>
        </w:rPr>
        <w:t>1.1.</w:t>
      </w:r>
      <w:r>
        <w:rPr>
          <w:rFonts w:hint="eastAsia" w:eastAsia="仿宋"/>
          <w:snapToGrid w:val="0"/>
          <w:color w:val="auto"/>
          <w:sz w:val="28"/>
          <w:lang w:val="en-US" w:eastAsia="zh-CN"/>
        </w:rPr>
        <w:t>4</w:t>
      </w:r>
      <w:r>
        <w:rPr>
          <w:rFonts w:hint="eastAsia" w:eastAsia="仿宋"/>
          <w:snapToGrid w:val="0"/>
          <w:color w:val="auto"/>
          <w:sz w:val="28"/>
          <w:lang w:eastAsia="zh-CN"/>
        </w:rPr>
        <w:t>新平县</w:t>
      </w:r>
      <w:r>
        <w:rPr>
          <w:rFonts w:hint="eastAsia" w:eastAsia="仿宋"/>
          <w:snapToGrid w:val="0"/>
          <w:color w:val="auto"/>
          <w:sz w:val="28"/>
          <w:lang w:val="en-US" w:eastAsia="zh-CN"/>
        </w:rPr>
        <w:t>持续</w:t>
      </w:r>
      <w:r>
        <w:rPr>
          <w:rFonts w:eastAsia="仿宋"/>
          <w:snapToGrid w:val="0"/>
          <w:color w:val="auto"/>
          <w:sz w:val="28"/>
        </w:rPr>
        <w:t>推动生态文明建设</w:t>
      </w:r>
      <w:bookmarkEnd w:id="32"/>
      <w:bookmarkEnd w:id="33"/>
    </w:p>
    <w:p w14:paraId="1A26CD02">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方正仿宋_GBK" w:cs="Times New Roman"/>
          <w:color w:val="auto"/>
          <w:sz w:val="28"/>
          <w:szCs w:val="28"/>
          <w:shd w:val="clear" w:color="auto" w:fill="auto"/>
          <w:lang w:eastAsia="zh-CN"/>
        </w:rPr>
      </w:pPr>
      <w:r>
        <w:rPr>
          <w:rFonts w:hint="default" w:ascii="Times New Roman" w:hAnsi="Times New Roman" w:eastAsia="方正仿宋_GBK" w:cs="Times New Roman"/>
          <w:color w:val="auto"/>
          <w:sz w:val="28"/>
          <w:szCs w:val="28"/>
          <w:shd w:val="clear" w:color="auto" w:fill="auto"/>
          <w:lang w:eastAsia="zh-CN"/>
        </w:rPr>
        <w:t>党的十八大以来，新平县进一步厘清思路、找准定位、明确方向、突出重点，推动</w:t>
      </w:r>
      <w:r>
        <w:rPr>
          <w:rFonts w:hint="default" w:ascii="Times New Roman" w:hAnsi="Times New Roman" w:eastAsia="方正仿宋_GBK" w:cs="Times New Roman"/>
          <w:color w:val="auto"/>
          <w:sz w:val="28"/>
          <w:szCs w:val="28"/>
          <w:shd w:val="clear" w:color="auto" w:fill="auto"/>
          <w:lang w:val="en-US" w:eastAsia="zh-CN"/>
        </w:rPr>
        <w:t>新平</w:t>
      </w:r>
      <w:r>
        <w:rPr>
          <w:rFonts w:hint="default" w:ascii="Times New Roman" w:hAnsi="Times New Roman" w:eastAsia="方正仿宋_GBK" w:cs="Times New Roman"/>
          <w:color w:val="auto"/>
          <w:sz w:val="28"/>
          <w:szCs w:val="28"/>
          <w:shd w:val="clear" w:color="auto" w:fill="auto"/>
          <w:lang w:eastAsia="zh-CN"/>
        </w:rPr>
        <w:t>深度融入国家、云南省和</w:t>
      </w:r>
      <w:r>
        <w:rPr>
          <w:rFonts w:hint="default" w:ascii="Times New Roman" w:hAnsi="Times New Roman" w:eastAsia="方正仿宋_GBK" w:cs="Times New Roman"/>
          <w:color w:val="auto"/>
          <w:sz w:val="28"/>
          <w:szCs w:val="28"/>
          <w:shd w:val="clear" w:color="auto" w:fill="auto"/>
          <w:lang w:val="en-US" w:eastAsia="zh-CN"/>
        </w:rPr>
        <w:t>玉溪市</w:t>
      </w:r>
      <w:r>
        <w:rPr>
          <w:rFonts w:hint="default" w:ascii="Times New Roman" w:hAnsi="Times New Roman" w:eastAsia="方正仿宋_GBK" w:cs="Times New Roman"/>
          <w:color w:val="auto"/>
          <w:sz w:val="28"/>
          <w:szCs w:val="28"/>
          <w:shd w:val="clear" w:color="auto" w:fill="auto"/>
          <w:lang w:eastAsia="zh-CN"/>
        </w:rPr>
        <w:t>的发展大局。全面贯彻落实党的十九</w:t>
      </w:r>
      <w:r>
        <w:rPr>
          <w:rFonts w:hint="default" w:ascii="Times New Roman" w:hAnsi="Times New Roman" w:eastAsia="方正仿宋_GBK" w:cs="Times New Roman"/>
          <w:color w:val="auto"/>
          <w:sz w:val="28"/>
          <w:szCs w:val="28"/>
          <w:shd w:val="clear" w:color="auto" w:fill="auto"/>
          <w:lang w:val="en-US" w:eastAsia="zh-CN"/>
        </w:rPr>
        <w:t>大、二十大</w:t>
      </w:r>
      <w:r>
        <w:rPr>
          <w:rFonts w:hint="default" w:ascii="Times New Roman" w:hAnsi="Times New Roman" w:eastAsia="方正仿宋_GBK" w:cs="Times New Roman"/>
          <w:color w:val="auto"/>
          <w:sz w:val="28"/>
          <w:szCs w:val="28"/>
          <w:shd w:val="clear" w:color="auto" w:fill="auto"/>
          <w:lang w:eastAsia="zh-CN"/>
        </w:rPr>
        <w:t>精神、习近平总书记系列重要讲话和考察云南重要讲话精神，紧紧围绕“五位一体”总体布局和“四个全面”战略布局，牢固树立“绿水青山就是金山银山”和“保护生态环境就是保护生产力、改善生态环境就是发展生产力”的理念，贯彻落实创新、协调、</w:t>
      </w:r>
      <w:r>
        <w:rPr>
          <w:rFonts w:hint="eastAsia" w:ascii="Times New Roman" w:hAnsi="Times New Roman" w:eastAsia="方正仿宋_GBK" w:cs="Times New Roman"/>
          <w:color w:val="auto"/>
          <w:sz w:val="28"/>
          <w:szCs w:val="28"/>
          <w:shd w:val="clear" w:color="auto" w:fill="auto"/>
          <w:lang w:eastAsia="zh-CN"/>
        </w:rPr>
        <w:t>绿色、开放、共享的新发展理念</w:t>
      </w:r>
      <w:r>
        <w:rPr>
          <w:rFonts w:hint="default" w:ascii="Times New Roman" w:hAnsi="Times New Roman" w:eastAsia="方正仿宋_GBK" w:cs="Times New Roman"/>
          <w:color w:val="auto"/>
          <w:sz w:val="28"/>
          <w:szCs w:val="28"/>
          <w:shd w:val="clear" w:color="auto" w:fill="auto"/>
          <w:lang w:eastAsia="zh-CN"/>
        </w:rPr>
        <w:t>，将生态文明建设摆在全局工作的突出位置，统筹推进经济建设、政治建设、文化建设、社会建设、生态文明建设，始终坚持生态优先、绿色发展，把生态示范创建作为生态文明建设的重要载体，在城乡建设中抓好生态，在优化环境中提升生态，不断加大生态环境保护和建设力度，努力为建设最美云南和国家生态文明建设排头兵贡献砚山力量。2013年初开展了《新平彝族傣族自治县生态县建设规划（2012年</w:t>
      </w:r>
      <w:r>
        <w:rPr>
          <w:rFonts w:hint="eastAsia" w:ascii="Times New Roman" w:hAnsi="Times New Roman" w:eastAsia="方正仿宋_GBK" w:cs="Times New Roman"/>
          <w:color w:val="auto"/>
          <w:sz w:val="28"/>
          <w:szCs w:val="28"/>
          <w:shd w:val="clear" w:color="auto" w:fill="auto"/>
          <w:lang w:eastAsia="zh-CN"/>
        </w:rPr>
        <w:t>—</w:t>
      </w:r>
      <w:r>
        <w:rPr>
          <w:rFonts w:hint="default" w:ascii="Times New Roman" w:hAnsi="Times New Roman" w:eastAsia="方正仿宋_GBK" w:cs="Times New Roman"/>
          <w:color w:val="auto"/>
          <w:sz w:val="28"/>
          <w:szCs w:val="28"/>
          <w:shd w:val="clear" w:color="auto" w:fill="auto"/>
          <w:lang w:eastAsia="zh-CN"/>
        </w:rPr>
        <w:t>2020年）》</w:t>
      </w:r>
      <w:r>
        <w:rPr>
          <w:rFonts w:hint="eastAsia" w:ascii="Times New Roman" w:hAnsi="Times New Roman" w:eastAsia="方正仿宋_GBK" w:cs="Times New Roman"/>
          <w:color w:val="auto"/>
          <w:sz w:val="28"/>
          <w:szCs w:val="28"/>
          <w:shd w:val="clear" w:color="auto" w:fill="auto"/>
          <w:lang w:val="en-US" w:eastAsia="zh-CN"/>
        </w:rPr>
        <w:t>编制工作</w:t>
      </w:r>
      <w:r>
        <w:rPr>
          <w:rFonts w:hint="default" w:ascii="Times New Roman" w:hAnsi="Times New Roman" w:eastAsia="方正仿宋_GBK" w:cs="Times New Roman"/>
          <w:color w:val="auto"/>
          <w:sz w:val="28"/>
          <w:szCs w:val="28"/>
          <w:shd w:val="clear" w:color="auto" w:fill="auto"/>
          <w:lang w:eastAsia="zh-CN"/>
        </w:rPr>
        <w:t>，</w:t>
      </w:r>
      <w:r>
        <w:rPr>
          <w:rFonts w:hint="eastAsia" w:ascii="Times New Roman" w:hAnsi="Times New Roman" w:eastAsia="方正仿宋_GBK" w:cs="Times New Roman"/>
          <w:color w:val="auto"/>
          <w:sz w:val="28"/>
          <w:szCs w:val="28"/>
          <w:shd w:val="clear" w:color="auto" w:fill="auto"/>
          <w:lang w:val="en-US" w:eastAsia="zh-CN"/>
        </w:rPr>
        <w:t>并于</w:t>
      </w:r>
      <w:r>
        <w:rPr>
          <w:rFonts w:hint="default" w:ascii="Times New Roman" w:hAnsi="Times New Roman" w:eastAsia="方正仿宋_GBK" w:cs="Times New Roman"/>
          <w:color w:val="auto"/>
          <w:sz w:val="28"/>
          <w:szCs w:val="28"/>
          <w:shd w:val="clear" w:color="auto" w:fill="auto"/>
          <w:lang w:eastAsia="zh-CN"/>
        </w:rPr>
        <w:t>2013年10月31日由新平县第十六届人民代表大会常务委员会第9次会议组织审议并批准实施。2013年12月20日新平县人民政府办公室发布了《关于印发新平生态县创建工作实施方案的通知》（新政办发〔2013〕259号），</w:t>
      </w:r>
      <w:r>
        <w:rPr>
          <w:rFonts w:hint="eastAsia" w:ascii="Times New Roman" w:hAnsi="Times New Roman" w:eastAsia="方正仿宋_GBK" w:cs="Times New Roman"/>
          <w:color w:val="auto"/>
          <w:sz w:val="28"/>
          <w:szCs w:val="28"/>
          <w:shd w:val="clear" w:color="auto" w:fill="auto"/>
          <w:lang w:val="en-US" w:eastAsia="zh-CN"/>
        </w:rPr>
        <w:t>全面启动</w:t>
      </w:r>
      <w:r>
        <w:rPr>
          <w:rFonts w:hint="default" w:ascii="Times New Roman" w:hAnsi="Times New Roman" w:eastAsia="方正仿宋_GBK" w:cs="Times New Roman"/>
          <w:color w:val="auto"/>
          <w:sz w:val="28"/>
          <w:szCs w:val="28"/>
          <w:shd w:val="clear" w:color="auto" w:fill="auto"/>
          <w:lang w:eastAsia="zh-CN"/>
        </w:rPr>
        <w:t>实施新平县创建生态文明县各项工作。在县委、县政府高度重视和大力支持下，2017年3月3日，新平荣获省人民政府命名的省级生态文明县称号，成为云南省第二批被命名的省生态文明县（市、区）之一。201</w:t>
      </w:r>
      <w:r>
        <w:rPr>
          <w:rFonts w:hint="eastAsia" w:ascii="Times New Roman" w:hAnsi="Times New Roman" w:eastAsia="方正仿宋_GBK" w:cs="Times New Roman"/>
          <w:color w:val="auto"/>
          <w:sz w:val="28"/>
          <w:szCs w:val="28"/>
          <w:shd w:val="clear" w:color="auto" w:fill="auto"/>
          <w:lang w:val="en-US" w:eastAsia="zh-CN"/>
        </w:rPr>
        <w:t>8</w:t>
      </w:r>
      <w:r>
        <w:rPr>
          <w:rFonts w:hint="default" w:ascii="Times New Roman" w:hAnsi="Times New Roman" w:eastAsia="方正仿宋_GBK" w:cs="Times New Roman"/>
          <w:color w:val="auto"/>
          <w:sz w:val="28"/>
          <w:szCs w:val="28"/>
          <w:shd w:val="clear" w:color="auto" w:fill="auto"/>
          <w:lang w:eastAsia="zh-CN"/>
        </w:rPr>
        <w:t>年开展了《新平国家生态文明建设示范县规划（2017</w:t>
      </w:r>
      <w:r>
        <w:rPr>
          <w:rFonts w:hint="eastAsia" w:ascii="Times New Roman" w:hAnsi="Times New Roman" w:eastAsia="方正仿宋_GBK" w:cs="Times New Roman"/>
          <w:color w:val="auto"/>
          <w:sz w:val="28"/>
          <w:szCs w:val="28"/>
          <w:shd w:val="clear" w:color="auto" w:fill="auto"/>
          <w:lang w:eastAsia="zh-CN"/>
        </w:rPr>
        <w:t>—</w:t>
      </w:r>
      <w:r>
        <w:rPr>
          <w:rFonts w:hint="default" w:ascii="Times New Roman" w:hAnsi="Times New Roman" w:eastAsia="方正仿宋_GBK" w:cs="Times New Roman"/>
          <w:color w:val="auto"/>
          <w:sz w:val="28"/>
          <w:szCs w:val="28"/>
          <w:shd w:val="clear" w:color="auto" w:fill="auto"/>
          <w:lang w:eastAsia="zh-CN"/>
        </w:rPr>
        <w:t>2020年）》编制工作，并于2019年4月印发实施。</w:t>
      </w:r>
      <w:r>
        <w:rPr>
          <w:rFonts w:hint="eastAsia" w:ascii="Times New Roman" w:hAnsi="Times New Roman" w:eastAsia="方正仿宋_GBK" w:cs="Times New Roman"/>
          <w:color w:val="auto"/>
          <w:sz w:val="28"/>
          <w:szCs w:val="28"/>
          <w:shd w:val="clear" w:color="auto" w:fill="auto"/>
          <w:lang w:eastAsia="zh-CN"/>
        </w:rPr>
        <w:t>截至目前</w:t>
      </w:r>
      <w:r>
        <w:rPr>
          <w:rFonts w:hint="eastAsia" w:ascii="Times New Roman" w:hAnsi="Times New Roman" w:eastAsia="方正仿宋_GBK" w:cs="Times New Roman"/>
          <w:color w:val="auto"/>
          <w:sz w:val="28"/>
          <w:szCs w:val="28"/>
          <w:shd w:val="clear" w:color="auto" w:fill="auto"/>
          <w:lang w:val="en-US" w:eastAsia="zh-CN"/>
        </w:rPr>
        <w:t>，</w:t>
      </w:r>
      <w:r>
        <w:rPr>
          <w:rFonts w:hint="default" w:ascii="Times New Roman" w:hAnsi="Times New Roman" w:eastAsia="方正仿宋_GBK" w:cs="Times New Roman"/>
          <w:color w:val="auto"/>
          <w:sz w:val="28"/>
          <w:szCs w:val="28"/>
          <w:shd w:val="clear" w:color="auto" w:fill="auto"/>
          <w:lang w:eastAsia="zh-CN"/>
        </w:rPr>
        <w:t>全县认定国家森林乡村1个、省级森林乡村25个，创建省级绿色学校18所、绿色社区7个、环境教育基地2个，荣获省级生态文明县称号，桂山被命名为国家级生态文明乡镇。爱国卫生“7个专项行动”和农村人居环境整治深入开展，10个乡镇、105个村被命名为省卫生乡镇、卫生村，上榜省级美丽村庄3个。</w:t>
      </w:r>
    </w:p>
    <w:p w14:paraId="2B553B38">
      <w:pPr>
        <w:pStyle w:val="4"/>
        <w:spacing w:before="260" w:after="260" w:line="276" w:lineRule="auto"/>
        <w:ind w:firstLine="0"/>
        <w:rPr>
          <w:rFonts w:ascii="Times New Roman" w:hAnsi="Times New Roman" w:eastAsia="仿宋" w:cs="Times New Roman"/>
          <w:color w:val="auto"/>
          <w:sz w:val="32"/>
        </w:rPr>
      </w:pPr>
      <w:bookmarkStart w:id="34" w:name="_Toc103590068"/>
      <w:bookmarkStart w:id="35" w:name="_Toc24892"/>
      <w:r>
        <w:rPr>
          <w:rFonts w:ascii="Times New Roman" w:hAnsi="Times New Roman" w:eastAsia="仿宋" w:cs="Times New Roman"/>
          <w:color w:val="auto"/>
          <w:sz w:val="32"/>
        </w:rPr>
        <w:t>1.2规划意义</w:t>
      </w:r>
      <w:bookmarkEnd w:id="34"/>
      <w:bookmarkEnd w:id="35"/>
    </w:p>
    <w:p w14:paraId="062B5918">
      <w:pPr>
        <w:pStyle w:val="5"/>
        <w:spacing w:before="120" w:after="120" w:line="360" w:lineRule="auto"/>
        <w:ind w:firstLine="0" w:firstLineChars="0"/>
        <w:rPr>
          <w:rFonts w:eastAsia="仿宋"/>
          <w:snapToGrid w:val="0"/>
          <w:color w:val="auto"/>
          <w:sz w:val="28"/>
        </w:rPr>
      </w:pPr>
      <w:bookmarkStart w:id="36" w:name="_Toc103590069"/>
      <w:bookmarkStart w:id="37" w:name="_Toc9903"/>
      <w:r>
        <w:rPr>
          <w:rFonts w:eastAsia="仿宋"/>
          <w:snapToGrid w:val="0"/>
          <w:color w:val="auto"/>
          <w:sz w:val="28"/>
        </w:rPr>
        <w:t>1.2.1</w:t>
      </w:r>
      <w:bookmarkEnd w:id="36"/>
      <w:r>
        <w:rPr>
          <w:rFonts w:eastAsia="仿宋"/>
          <w:snapToGrid w:val="0"/>
          <w:color w:val="auto"/>
          <w:sz w:val="28"/>
          <w:lang w:val="en-US" w:eastAsia="zh-CN"/>
        </w:rPr>
        <w:t>促进区域绿色发展</w:t>
      </w:r>
      <w:bookmarkEnd w:id="37"/>
    </w:p>
    <w:p w14:paraId="68E83664">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方正仿宋_GBK" w:cs="Times New Roman"/>
          <w:color w:val="auto"/>
          <w:sz w:val="28"/>
          <w:szCs w:val="28"/>
          <w:shd w:val="clear" w:color="auto" w:fill="auto"/>
          <w:lang w:eastAsia="zh-CN"/>
        </w:rPr>
      </w:pPr>
      <w:r>
        <w:rPr>
          <w:rFonts w:hint="default" w:ascii="Times New Roman" w:hAnsi="Times New Roman" w:eastAsia="方正仿宋_GBK" w:cs="Times New Roman"/>
          <w:color w:val="auto"/>
          <w:sz w:val="28"/>
          <w:szCs w:val="28"/>
          <w:shd w:val="clear" w:color="auto" w:fill="auto"/>
          <w:lang w:eastAsia="zh-CN"/>
        </w:rPr>
        <w:t>《规划》基于</w:t>
      </w:r>
      <w:r>
        <w:rPr>
          <w:rFonts w:hint="eastAsia" w:ascii="Times New Roman" w:hAnsi="Times New Roman" w:eastAsia="方正仿宋_GBK" w:cs="Times New Roman"/>
          <w:color w:val="auto"/>
          <w:sz w:val="28"/>
          <w:szCs w:val="28"/>
          <w:shd w:val="clear" w:color="auto" w:fill="auto"/>
          <w:lang w:eastAsia="zh-CN"/>
        </w:rPr>
        <w:t>新平</w:t>
      </w:r>
      <w:r>
        <w:rPr>
          <w:rFonts w:hint="default" w:ascii="Times New Roman" w:hAnsi="Times New Roman" w:eastAsia="方正仿宋_GBK" w:cs="Times New Roman"/>
          <w:color w:val="auto"/>
          <w:sz w:val="28"/>
          <w:szCs w:val="28"/>
          <w:shd w:val="clear" w:color="auto" w:fill="auto"/>
          <w:lang w:eastAsia="zh-CN"/>
        </w:rPr>
        <w:t>实际，在开展生态环境与经济发展现状和趋势分析的基础上，明确生态文明建设的目标，全面谋划未来一个时期优化国土空间、加快产业转型升级、促进能源资源节约、加强生态建设和环境保护、培育生态文化和创新生态文明制度等生态文明建设重点工作，以创建生态文明建设示范区为抓手，逐步补齐</w:t>
      </w:r>
      <w:r>
        <w:rPr>
          <w:rFonts w:hint="eastAsia" w:ascii="Times New Roman" w:hAnsi="Times New Roman" w:eastAsia="方正仿宋_GBK" w:cs="Times New Roman"/>
          <w:color w:val="auto"/>
          <w:sz w:val="28"/>
          <w:szCs w:val="28"/>
          <w:shd w:val="clear" w:color="auto" w:fill="auto"/>
          <w:lang w:eastAsia="zh-CN"/>
        </w:rPr>
        <w:t>新平县</w:t>
      </w:r>
      <w:r>
        <w:rPr>
          <w:rFonts w:hint="default" w:ascii="Times New Roman" w:hAnsi="Times New Roman" w:eastAsia="方正仿宋_GBK" w:cs="Times New Roman"/>
          <w:color w:val="auto"/>
          <w:sz w:val="28"/>
          <w:szCs w:val="28"/>
          <w:shd w:val="clear" w:color="auto" w:fill="auto"/>
          <w:lang w:eastAsia="zh-CN"/>
        </w:rPr>
        <w:t>生态文明建设的短板。《规划》的实施，将进一步加强对区域能耗、水耗、大气和水污染物排放强度的约束，强化资源节约与循环利用，对重点产业的生态转型提出明确可行的操作方案和技术措施，促进园区循环化改造，提升清洁化生产水平，将为全面、系统解决生态环境问题、资源和能源消耗等提供支持，优化产业发展格局，促进</w:t>
      </w:r>
      <w:r>
        <w:rPr>
          <w:rFonts w:hint="eastAsia" w:ascii="Times New Roman" w:hAnsi="Times New Roman" w:eastAsia="方正仿宋_GBK" w:cs="Times New Roman"/>
          <w:color w:val="auto"/>
          <w:sz w:val="28"/>
          <w:szCs w:val="28"/>
          <w:shd w:val="clear" w:color="auto" w:fill="auto"/>
          <w:lang w:eastAsia="zh-CN"/>
        </w:rPr>
        <w:t>新平县</w:t>
      </w:r>
      <w:r>
        <w:rPr>
          <w:rFonts w:hint="default" w:ascii="Times New Roman" w:hAnsi="Times New Roman" w:eastAsia="方正仿宋_GBK" w:cs="Times New Roman"/>
          <w:color w:val="auto"/>
          <w:sz w:val="28"/>
          <w:szCs w:val="28"/>
          <w:shd w:val="clear" w:color="auto" w:fill="auto"/>
          <w:lang w:eastAsia="zh-CN"/>
        </w:rPr>
        <w:t>产业转型升级，推动产业生态化，构建绿色发展的现代产业体系，减轻现阶段经济下行的压力，使环境优势转化为经济优势，实现社会、经济和环境的协调发展。</w:t>
      </w:r>
    </w:p>
    <w:p w14:paraId="0AE0344E">
      <w:pPr>
        <w:pStyle w:val="5"/>
        <w:spacing w:before="120" w:after="120" w:line="360" w:lineRule="auto"/>
        <w:ind w:firstLine="0" w:firstLineChars="0"/>
        <w:rPr>
          <w:rFonts w:eastAsia="仿宋"/>
          <w:snapToGrid w:val="0"/>
          <w:color w:val="auto"/>
          <w:sz w:val="28"/>
        </w:rPr>
      </w:pPr>
      <w:bookmarkStart w:id="38" w:name="_Toc12715"/>
      <w:r>
        <w:rPr>
          <w:rFonts w:eastAsia="仿宋"/>
          <w:snapToGrid w:val="0"/>
          <w:color w:val="auto"/>
          <w:sz w:val="28"/>
        </w:rPr>
        <w:t>1.2.</w:t>
      </w:r>
      <w:r>
        <w:rPr>
          <w:rFonts w:hint="eastAsia" w:eastAsia="仿宋"/>
          <w:snapToGrid w:val="0"/>
          <w:color w:val="auto"/>
          <w:sz w:val="28"/>
          <w:lang w:val="en-US" w:eastAsia="zh-CN"/>
        </w:rPr>
        <w:t>2</w:t>
      </w:r>
      <w:r>
        <w:rPr>
          <w:rFonts w:eastAsia="仿宋"/>
          <w:snapToGrid w:val="0"/>
          <w:color w:val="auto"/>
          <w:sz w:val="28"/>
        </w:rPr>
        <w:t>推进产城人融合发展</w:t>
      </w:r>
      <w:bookmarkEnd w:id="38"/>
    </w:p>
    <w:p w14:paraId="37EC4AA1">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方正仿宋_GBK" w:cs="Times New Roman"/>
          <w:color w:val="auto"/>
          <w:sz w:val="28"/>
          <w:szCs w:val="28"/>
          <w:shd w:val="clear" w:color="auto" w:fill="auto"/>
          <w:lang w:eastAsia="zh-CN"/>
        </w:rPr>
      </w:pPr>
      <w:r>
        <w:rPr>
          <w:rFonts w:hint="eastAsia" w:ascii="Times New Roman" w:hAnsi="Times New Roman" w:eastAsia="方正仿宋_GBK" w:cs="Times New Roman"/>
          <w:color w:val="auto"/>
          <w:sz w:val="28"/>
          <w:szCs w:val="28"/>
          <w:shd w:val="clear" w:color="auto" w:fill="auto"/>
          <w:lang w:eastAsia="zh-CN"/>
        </w:rPr>
        <w:t>新平县</w:t>
      </w:r>
      <w:r>
        <w:rPr>
          <w:rFonts w:hint="default" w:ascii="Times New Roman" w:hAnsi="Times New Roman" w:eastAsia="方正仿宋_GBK" w:cs="Times New Roman"/>
          <w:color w:val="auto"/>
          <w:sz w:val="28"/>
          <w:szCs w:val="28"/>
          <w:shd w:val="clear" w:color="auto" w:fill="auto"/>
          <w:lang w:eastAsia="zh-CN"/>
        </w:rPr>
        <w:t>交通、区位优越，产业相对集中，发展潜力较大，《规划》的实施将推动</w:t>
      </w:r>
      <w:r>
        <w:rPr>
          <w:rFonts w:hint="eastAsia" w:ascii="Times New Roman" w:hAnsi="Times New Roman" w:eastAsia="方正仿宋_GBK" w:cs="Times New Roman"/>
          <w:color w:val="auto"/>
          <w:sz w:val="28"/>
          <w:szCs w:val="28"/>
          <w:shd w:val="clear" w:color="auto" w:fill="auto"/>
          <w:lang w:eastAsia="zh-CN"/>
        </w:rPr>
        <w:t>新平县</w:t>
      </w:r>
      <w:r>
        <w:rPr>
          <w:rFonts w:hint="default" w:ascii="Times New Roman" w:hAnsi="Times New Roman" w:eastAsia="方正仿宋_GBK" w:cs="Times New Roman"/>
          <w:color w:val="auto"/>
          <w:sz w:val="28"/>
          <w:szCs w:val="28"/>
          <w:shd w:val="clear" w:color="auto" w:fill="auto"/>
          <w:lang w:eastAsia="zh-CN"/>
        </w:rPr>
        <w:t>生态文明建设进入更高层次，推动传统产业转型升级，突出延链补链强链，推动产业绿色发展，加快建设陆港型物流枢纽，大力发展先进制造配套产业和新型物流产业，打造产城融合示范区。通过抓好产业、片区、服务三大提升，精准引办一批用地集约、效益好、税收高的产业项目，不断培育壮大物流、电商等新业态、新模式，发挥产业带动作用，以产兴城，以城带产，产城联动，融合发展，推动现代产业、创新人才、高端要素向城区集聚，提高城市能级，以产业集聚为基础，引导乡镇强化特色定位，有效扩大就业容量，构建区域协同发展新格局。</w:t>
      </w:r>
      <w:bookmarkStart w:id="39" w:name="_Toc98890301"/>
    </w:p>
    <w:p w14:paraId="27939CAB">
      <w:pPr>
        <w:pStyle w:val="5"/>
        <w:spacing w:before="120" w:after="120" w:line="360" w:lineRule="auto"/>
        <w:ind w:firstLine="0" w:firstLineChars="0"/>
        <w:rPr>
          <w:rFonts w:eastAsia="仿宋"/>
          <w:snapToGrid w:val="0"/>
          <w:color w:val="auto"/>
          <w:sz w:val="28"/>
        </w:rPr>
      </w:pPr>
      <w:bookmarkStart w:id="40" w:name="_Toc20841"/>
      <w:r>
        <w:rPr>
          <w:rFonts w:eastAsia="仿宋"/>
          <w:snapToGrid w:val="0"/>
          <w:color w:val="auto"/>
          <w:sz w:val="28"/>
        </w:rPr>
        <w:t>1.2.</w:t>
      </w:r>
      <w:r>
        <w:rPr>
          <w:rFonts w:hint="eastAsia" w:eastAsia="仿宋"/>
          <w:snapToGrid w:val="0"/>
          <w:color w:val="auto"/>
          <w:sz w:val="28"/>
          <w:lang w:val="en-US" w:eastAsia="zh-CN"/>
        </w:rPr>
        <w:t>3</w:t>
      </w:r>
      <w:r>
        <w:rPr>
          <w:rFonts w:eastAsia="仿宋"/>
          <w:snapToGrid w:val="0"/>
          <w:color w:val="auto"/>
          <w:sz w:val="28"/>
        </w:rPr>
        <w:t>推动</w:t>
      </w:r>
      <w:r>
        <w:rPr>
          <w:rFonts w:hint="eastAsia" w:eastAsia="仿宋"/>
          <w:snapToGrid w:val="0"/>
          <w:color w:val="auto"/>
          <w:sz w:val="28"/>
        </w:rPr>
        <w:t>“</w:t>
      </w:r>
      <w:r>
        <w:rPr>
          <w:rFonts w:hint="eastAsia" w:eastAsia="仿宋"/>
          <w:snapToGrid w:val="0"/>
          <w:color w:val="auto"/>
          <w:sz w:val="28"/>
          <w:lang w:val="en-US" w:eastAsia="zh-CN"/>
        </w:rPr>
        <w:t>大美</w:t>
      </w:r>
      <w:r>
        <w:rPr>
          <w:rFonts w:hint="eastAsia" w:eastAsia="仿宋"/>
          <w:snapToGrid w:val="0"/>
          <w:color w:val="auto"/>
          <w:sz w:val="28"/>
          <w:lang w:eastAsia="zh-CN"/>
        </w:rPr>
        <w:t>新平</w:t>
      </w:r>
      <w:r>
        <w:rPr>
          <w:rFonts w:hint="eastAsia" w:eastAsia="仿宋"/>
          <w:snapToGrid w:val="0"/>
          <w:color w:val="auto"/>
          <w:sz w:val="28"/>
        </w:rPr>
        <w:t>”</w:t>
      </w:r>
      <w:r>
        <w:rPr>
          <w:rFonts w:eastAsia="仿宋"/>
          <w:snapToGrid w:val="0"/>
          <w:color w:val="auto"/>
          <w:sz w:val="28"/>
        </w:rPr>
        <w:t>宜居之城建设</w:t>
      </w:r>
      <w:bookmarkEnd w:id="40"/>
    </w:p>
    <w:p w14:paraId="753A3359">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Times New Roman"/>
          <w:color w:val="auto"/>
          <w:sz w:val="28"/>
          <w:szCs w:val="28"/>
          <w:shd w:val="clear" w:color="auto" w:fill="auto"/>
          <w:lang w:eastAsia="zh-CN"/>
        </w:rPr>
      </w:pPr>
      <w:r>
        <w:rPr>
          <w:rFonts w:hint="eastAsia" w:ascii="Times New Roman" w:hAnsi="Times New Roman" w:eastAsia="方正仿宋_GBK" w:cs="Times New Roman"/>
          <w:color w:val="auto"/>
          <w:sz w:val="28"/>
          <w:szCs w:val="28"/>
          <w:shd w:val="clear" w:color="auto" w:fill="auto"/>
          <w:lang w:eastAsia="zh-CN"/>
        </w:rPr>
        <w:t>良好生态环境是最普惠的民生福祉，《规划》通过生态制度、生态空间、生态经济、生态环境、生态生活和生态文化等六大体系建设，推进生态文明建设纵深发展，持续深入推进“</w:t>
      </w:r>
      <w:r>
        <w:rPr>
          <w:rFonts w:hint="eastAsia" w:ascii="Times New Roman" w:hAnsi="Times New Roman" w:eastAsia="方正仿宋_GBK" w:cs="Times New Roman"/>
          <w:color w:val="auto"/>
          <w:sz w:val="28"/>
          <w:szCs w:val="28"/>
          <w:shd w:val="clear" w:color="auto" w:fill="auto"/>
          <w:lang w:val="en-US" w:eastAsia="zh-CN"/>
        </w:rPr>
        <w:t>大美</w:t>
      </w:r>
      <w:r>
        <w:rPr>
          <w:rFonts w:hint="eastAsia" w:ascii="Times New Roman" w:hAnsi="Times New Roman" w:eastAsia="方正仿宋_GBK" w:cs="Times New Roman"/>
          <w:color w:val="auto"/>
          <w:sz w:val="28"/>
          <w:szCs w:val="28"/>
          <w:shd w:val="clear" w:color="auto" w:fill="auto"/>
          <w:lang w:eastAsia="zh-CN"/>
        </w:rPr>
        <w:t>新平”建设和“绿美新平”行动，推进新平县国土全域绿化美化，持续改善生态环境质量，加快</w:t>
      </w:r>
      <w:r>
        <w:rPr>
          <w:rFonts w:hint="eastAsia" w:ascii="Times New Roman" w:hAnsi="Times New Roman" w:eastAsia="方正仿宋_GBK" w:cs="Times New Roman"/>
          <w:color w:val="auto"/>
          <w:sz w:val="28"/>
          <w:szCs w:val="28"/>
          <w:shd w:val="clear" w:color="auto" w:fill="auto"/>
          <w:lang w:val="en-US" w:eastAsia="zh-CN"/>
        </w:rPr>
        <w:t>全县</w:t>
      </w:r>
      <w:r>
        <w:rPr>
          <w:rFonts w:hint="eastAsia" w:ascii="Times New Roman" w:hAnsi="Times New Roman" w:eastAsia="方正仿宋_GBK" w:cs="Times New Roman"/>
          <w:color w:val="auto"/>
          <w:sz w:val="28"/>
          <w:szCs w:val="28"/>
          <w:shd w:val="clear" w:color="auto" w:fill="auto"/>
          <w:lang w:eastAsia="zh-CN"/>
        </w:rPr>
        <w:t>环境基础设施建设，持续改善人居环境，培育全民绿色低碳生活方式，传承和弘扬优秀文化，全面提升城市发展质量和宜居品质，健全城乡融合发展体制机制，推动城乡一体化发展，优化资源配置。《规划》的实施将推动“</w:t>
      </w:r>
      <w:r>
        <w:rPr>
          <w:rFonts w:hint="eastAsia" w:ascii="Times New Roman" w:hAnsi="Times New Roman" w:eastAsia="方正仿宋_GBK" w:cs="Times New Roman"/>
          <w:color w:val="auto"/>
          <w:sz w:val="28"/>
          <w:szCs w:val="28"/>
          <w:shd w:val="clear" w:color="auto" w:fill="auto"/>
          <w:lang w:val="en-US" w:eastAsia="zh-CN"/>
        </w:rPr>
        <w:t>大美</w:t>
      </w:r>
      <w:r>
        <w:rPr>
          <w:rFonts w:hint="eastAsia" w:ascii="Times New Roman" w:hAnsi="Times New Roman" w:eastAsia="方正仿宋_GBK" w:cs="Times New Roman"/>
          <w:color w:val="auto"/>
          <w:sz w:val="28"/>
          <w:szCs w:val="28"/>
          <w:shd w:val="clear" w:color="auto" w:fill="auto"/>
          <w:lang w:eastAsia="zh-CN"/>
        </w:rPr>
        <w:t>新平”宜居之城建设，增进民生福祉，不断提升全</w:t>
      </w:r>
      <w:r>
        <w:rPr>
          <w:rFonts w:hint="eastAsia" w:ascii="Times New Roman" w:hAnsi="Times New Roman" w:eastAsia="方正仿宋_GBK" w:cs="Times New Roman"/>
          <w:color w:val="auto"/>
          <w:sz w:val="28"/>
          <w:szCs w:val="28"/>
          <w:shd w:val="clear" w:color="auto" w:fill="auto"/>
          <w:lang w:val="en-US" w:eastAsia="zh-CN"/>
        </w:rPr>
        <w:t>县</w:t>
      </w:r>
      <w:r>
        <w:rPr>
          <w:rFonts w:hint="eastAsia" w:ascii="Times New Roman" w:hAnsi="Times New Roman" w:eastAsia="方正仿宋_GBK" w:cs="Times New Roman"/>
          <w:color w:val="auto"/>
          <w:sz w:val="28"/>
          <w:szCs w:val="28"/>
          <w:shd w:val="clear" w:color="auto" w:fill="auto"/>
          <w:lang w:eastAsia="zh-CN"/>
        </w:rPr>
        <w:t>经济发展水平，不断实现人民对美好生活的向往，提升公众对生态文明的参与度和满意度，使生态文明建设成为人民群众生活改善的增长点，实现生态文明的共建共享。</w:t>
      </w:r>
    </w:p>
    <w:p w14:paraId="5C922E4E">
      <w:pPr>
        <w:adjustRightInd w:val="0"/>
        <w:snapToGrid w:val="0"/>
        <w:spacing w:line="520" w:lineRule="exact"/>
        <w:rPr>
          <w:rFonts w:ascii="Times New Roman" w:hAnsi="Times New Roman" w:eastAsia="仿宋" w:cs="Times New Roman"/>
          <w:color w:val="FF0000"/>
        </w:rPr>
      </w:pPr>
    </w:p>
    <w:p w14:paraId="261663BD">
      <w:pPr>
        <w:rPr>
          <w:rFonts w:ascii="Times New Roman" w:hAnsi="Times New Roman" w:eastAsia="仿宋" w:cs="Times New Roman"/>
          <w:color w:val="FF0000"/>
          <w:sz w:val="44"/>
        </w:rPr>
      </w:pPr>
      <w:r>
        <w:rPr>
          <w:rFonts w:ascii="Times New Roman" w:hAnsi="Times New Roman" w:eastAsia="仿宋" w:cs="Times New Roman"/>
          <w:color w:val="FF0000"/>
          <w:sz w:val="44"/>
        </w:rPr>
        <w:br w:type="page"/>
      </w:r>
    </w:p>
    <w:p w14:paraId="7BBBF5F5">
      <w:pPr>
        <w:pStyle w:val="3"/>
        <w:spacing w:before="0" w:after="0" w:line="276" w:lineRule="auto"/>
        <w:jc w:val="center"/>
        <w:rPr>
          <w:rFonts w:ascii="Times New Roman" w:hAnsi="Times New Roman" w:eastAsia="仿宋" w:cs="Times New Roman"/>
          <w:color w:val="auto"/>
          <w:sz w:val="44"/>
        </w:rPr>
      </w:pPr>
      <w:bookmarkStart w:id="41" w:name="_Toc30731"/>
      <w:r>
        <w:rPr>
          <w:rFonts w:ascii="Times New Roman" w:hAnsi="Times New Roman" w:eastAsia="仿宋" w:cs="Times New Roman"/>
          <w:color w:val="auto"/>
          <w:sz w:val="44"/>
        </w:rPr>
        <w:t>2建设基础</w:t>
      </w:r>
      <w:bookmarkEnd w:id="39"/>
      <w:bookmarkEnd w:id="41"/>
    </w:p>
    <w:p w14:paraId="32A8D6C2">
      <w:pPr>
        <w:pStyle w:val="4"/>
        <w:spacing w:before="260" w:after="260" w:line="276" w:lineRule="auto"/>
        <w:ind w:firstLine="0"/>
        <w:rPr>
          <w:rFonts w:ascii="Times New Roman" w:hAnsi="Times New Roman" w:eastAsia="仿宋" w:cs="Times New Roman"/>
          <w:color w:val="auto"/>
          <w:sz w:val="32"/>
          <w:lang w:val="en-US" w:eastAsia="zh-CN"/>
        </w:rPr>
      </w:pPr>
      <w:bookmarkStart w:id="42" w:name="_Toc23234"/>
      <w:bookmarkStart w:id="43" w:name="_Toc112155759"/>
      <w:bookmarkStart w:id="44" w:name="_Toc514661230"/>
      <w:bookmarkStart w:id="45" w:name="_Toc35697719"/>
      <w:bookmarkStart w:id="46" w:name="_Toc9516072"/>
      <w:r>
        <w:rPr>
          <w:rFonts w:ascii="Times New Roman" w:hAnsi="Times New Roman" w:eastAsia="仿宋" w:cs="Times New Roman"/>
          <w:color w:val="auto"/>
          <w:sz w:val="32"/>
          <w:lang w:val="en-US" w:eastAsia="zh-CN"/>
        </w:rPr>
        <w:t>2.1区域概况</w:t>
      </w:r>
      <w:bookmarkEnd w:id="42"/>
      <w:bookmarkEnd w:id="43"/>
      <w:bookmarkEnd w:id="44"/>
      <w:bookmarkEnd w:id="45"/>
      <w:bookmarkEnd w:id="46"/>
    </w:p>
    <w:p w14:paraId="4DA30B28">
      <w:pPr>
        <w:pStyle w:val="5"/>
        <w:spacing w:before="120" w:after="120" w:line="360" w:lineRule="auto"/>
        <w:ind w:firstLine="0" w:firstLineChars="0"/>
        <w:rPr>
          <w:rFonts w:eastAsia="仿宋"/>
          <w:snapToGrid w:val="0"/>
          <w:color w:val="auto"/>
          <w:sz w:val="28"/>
          <w:lang w:val="en-US" w:eastAsia="zh-CN"/>
        </w:rPr>
      </w:pPr>
      <w:bookmarkStart w:id="47" w:name="_Toc112155760"/>
      <w:bookmarkStart w:id="48" w:name="_Toc35697720"/>
      <w:bookmarkStart w:id="49" w:name="_Toc9516073"/>
      <w:bookmarkStart w:id="50" w:name="_Toc514661231"/>
      <w:bookmarkStart w:id="51" w:name="_Toc13883"/>
      <w:r>
        <w:rPr>
          <w:rFonts w:eastAsia="仿宋"/>
          <w:snapToGrid w:val="0"/>
          <w:color w:val="auto"/>
          <w:sz w:val="28"/>
          <w:lang w:val="en-US" w:eastAsia="zh-CN"/>
        </w:rPr>
        <w:t>2.1.1自然地理状况</w:t>
      </w:r>
      <w:bookmarkEnd w:id="47"/>
      <w:bookmarkEnd w:id="48"/>
      <w:bookmarkEnd w:id="49"/>
      <w:bookmarkEnd w:id="50"/>
      <w:bookmarkEnd w:id="51"/>
    </w:p>
    <w:p w14:paraId="6361E594">
      <w:pPr>
        <w:pStyle w:val="6"/>
        <w:bidi w:val="0"/>
        <w:rPr>
          <w:rFonts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2.1.1.1地理位置</w:t>
      </w:r>
    </w:p>
    <w:p w14:paraId="5EF166D5">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Times New Roman"/>
          <w:color w:val="auto"/>
          <w:sz w:val="28"/>
          <w:szCs w:val="28"/>
          <w:shd w:val="clear" w:color="auto" w:fill="auto"/>
          <w:lang w:val="en-US" w:eastAsia="zh-CN"/>
        </w:rPr>
      </w:pPr>
      <w:r>
        <w:rPr>
          <w:rFonts w:hint="eastAsia" w:ascii="Times New Roman" w:hAnsi="Times New Roman" w:eastAsia="方正仿宋_GBK" w:cs="Times New Roman"/>
          <w:color w:val="auto"/>
          <w:sz w:val="28"/>
          <w:szCs w:val="28"/>
          <w:shd w:val="clear" w:color="auto" w:fill="auto"/>
          <w:lang w:val="en-US" w:eastAsia="zh-CN"/>
        </w:rPr>
        <w:t>新平彝族傣族自治县位于云南省中部偏西南，玉溪市西部，北纬23°38′15″～24°26′05″，东经101°16′30″～102°16′50″之间。东与峨山县毗邻，东南与元江县和红河州石屏县相连，西与普洱市镇沅县接壤，西南与普洱市墨江县相连，北隔绿汁江与楚雄州双柏县相望。县人民政府驻地桂山街道，海拔1480米，距省会昆明180公里，距玉溪市政府驻地红塔区90公里。全县国土总面积4223平方千米，占玉溪总面积的27.6%，其中山地面积占98%。</w:t>
      </w:r>
    </w:p>
    <w:p w14:paraId="472A38D6">
      <w:pPr>
        <w:pStyle w:val="6"/>
        <w:bidi w:val="0"/>
        <w:rPr>
          <w:rFonts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2.1.1.2地形地貌</w:t>
      </w:r>
    </w:p>
    <w:p w14:paraId="3EF40C30">
      <w:pPr>
        <w:pageBreakBefore w:val="0"/>
        <w:widowControl/>
        <w:kinsoku/>
        <w:wordWrap/>
        <w:overflowPunct/>
        <w:autoSpaceDE/>
        <w:autoSpaceDN/>
        <w:bidi w:val="0"/>
        <w:adjustRightInd w:val="0"/>
        <w:snapToGrid w:val="0"/>
        <w:spacing w:line="500" w:lineRule="exact"/>
        <w:ind w:firstLine="560" w:firstLineChars="200"/>
        <w:textAlignment w:val="auto"/>
        <w:rPr>
          <w:rFonts w:hint="eastAsia" w:ascii="Times New Roman" w:hAnsi="Times New Roman" w:eastAsia="方正仿宋_GBK" w:cs="Times New Roman"/>
          <w:color w:val="auto"/>
          <w:sz w:val="32"/>
          <w:szCs w:val="32"/>
          <w:lang w:eastAsia="zh-CN"/>
        </w:rPr>
      </w:pPr>
      <w:r>
        <w:rPr>
          <w:rFonts w:hint="eastAsia" w:ascii="Times New Roman" w:hAnsi="Times New Roman" w:eastAsia="方正仿宋_GBK" w:cs="Times New Roman"/>
          <w:color w:val="auto"/>
          <w:sz w:val="28"/>
          <w:szCs w:val="28"/>
          <w:shd w:val="clear" w:color="auto" w:fill="auto"/>
          <w:lang w:val="en-US" w:eastAsia="zh-CN"/>
        </w:rPr>
        <w:t>新平县地质构造复杂，县境内河流切割较深，“V”型谷发育明显，地表崎岖，河流纵横，山高谷深，山区和河谷坝区区别明显，是典型的深切割中山地貌。地势西北高，东南低。红河自西北向东南斜贯而下，将县境分为东西两片，东面主要山峰有鲁奎山、磨盘山等，山脉走向为南北走向；西面为哀牢山区，主要山峰有大磨岩山、冒耳山等，山脉走向为西北至东南。境内最高海拔哀牢山主峰大磨岩山3165.9m，最低海拔漠沙镇阿迭村422m，相对高差2743.9m。地貌为山地和盆地两种主要类型，其中山区面积占总土地面积的98%，坝区面积占国土面积的2%。</w:t>
      </w:r>
    </w:p>
    <w:p w14:paraId="45CEE735">
      <w:pPr>
        <w:pStyle w:val="6"/>
        <w:bidi w:val="0"/>
        <w:rPr>
          <w:rFonts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2.1.1.3河流水系</w:t>
      </w:r>
    </w:p>
    <w:p w14:paraId="02E4DE36">
      <w:pPr>
        <w:pageBreakBefore w:val="0"/>
        <w:widowControl/>
        <w:kinsoku/>
        <w:wordWrap/>
        <w:overflowPunct/>
        <w:autoSpaceDE/>
        <w:autoSpaceDN/>
        <w:bidi w:val="0"/>
        <w:adjustRightInd w:val="0"/>
        <w:snapToGrid w:val="0"/>
        <w:spacing w:line="500" w:lineRule="exact"/>
        <w:ind w:firstLine="560" w:firstLineChars="200"/>
        <w:textAlignment w:val="auto"/>
        <w:rPr>
          <w:rFonts w:hint="eastAsia" w:ascii="Times New Roman" w:hAnsi="Times New Roman" w:eastAsia="方正仿宋_GBK" w:cs="Times New Roman"/>
          <w:color w:val="auto"/>
          <w:sz w:val="28"/>
          <w:szCs w:val="28"/>
          <w:shd w:val="clear" w:color="auto" w:fill="auto"/>
          <w:lang w:val="en-US" w:eastAsia="zh-CN"/>
        </w:rPr>
      </w:pPr>
      <w:r>
        <w:rPr>
          <w:rFonts w:hint="eastAsia" w:ascii="Times New Roman" w:hAnsi="Times New Roman" w:eastAsia="方正仿宋_GBK" w:cs="Times New Roman"/>
          <w:color w:val="auto"/>
          <w:sz w:val="28"/>
          <w:szCs w:val="28"/>
          <w:shd w:val="clear" w:color="auto" w:fill="auto"/>
          <w:lang w:val="en-US" w:eastAsia="zh-CN"/>
        </w:rPr>
        <w:t>新平县境内有大小河流32条，除班东河与麻大街河为李仙江水系外，其他均属元江水系。元江入新平县境内称戛洒江、漠沙江。流经新平县者竜、水塘、老厂、戛洒、漠沙等乡镇，沿哀牢山东麓斜贯县境，其中：三江口以上有两源，分别为石洋江、绿汁江，中段称戛洒江，河口大桥以下称漠沙江，并于漠沙阿迭村向西注入元江县境。因河床比降缓，县境内113.7km的流程，落差仅134m，平均比降1.1‰，元江流域面积9989km²，县境内流域面积3981.3km²。沿江两岸较大支流有绿汁江、大春河、棉花河、比里河、困龙河、南恩河、峨德河、丫味河（十里河）、西尼河、马龙河、蚌岗河、挖窖河等。</w:t>
      </w:r>
    </w:p>
    <w:p w14:paraId="2FEEA883">
      <w:pPr>
        <w:pStyle w:val="6"/>
        <w:bidi w:val="0"/>
        <w:rPr>
          <w:rFonts w:hint="eastAsia"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2.1.1.4土壤</w:t>
      </w:r>
      <w:r>
        <w:rPr>
          <w:rFonts w:hint="eastAsia" w:ascii="Times New Roman" w:hAnsi="Times New Roman" w:eastAsia="仿宋" w:cs="Times New Roman"/>
          <w:b/>
          <w:bCs/>
          <w:snapToGrid w:val="0"/>
          <w:color w:val="auto"/>
          <w:kern w:val="2"/>
          <w:sz w:val="28"/>
          <w:szCs w:val="32"/>
          <w:lang w:val="en-US" w:eastAsia="zh-CN" w:bidi="ar-SA"/>
        </w:rPr>
        <w:t>植被</w:t>
      </w:r>
    </w:p>
    <w:p w14:paraId="739A0682">
      <w:pPr>
        <w:pageBreakBefore w:val="0"/>
        <w:widowControl/>
        <w:kinsoku/>
        <w:wordWrap/>
        <w:overflowPunct/>
        <w:autoSpaceDE/>
        <w:autoSpaceDN/>
        <w:bidi w:val="0"/>
        <w:adjustRightInd w:val="0"/>
        <w:snapToGrid w:val="0"/>
        <w:spacing w:line="500" w:lineRule="exact"/>
        <w:ind w:firstLine="560" w:firstLineChars="200"/>
        <w:textAlignment w:val="auto"/>
        <w:rPr>
          <w:rFonts w:hint="eastAsia" w:ascii="Times New Roman" w:hAnsi="Times New Roman" w:eastAsia="方正仿宋_GBK" w:cs="Times New Roman"/>
          <w:color w:val="auto"/>
          <w:sz w:val="28"/>
          <w:szCs w:val="28"/>
          <w:shd w:val="clear" w:color="auto" w:fill="auto"/>
          <w:lang w:val="en-US" w:eastAsia="zh-CN"/>
        </w:rPr>
      </w:pPr>
      <w:r>
        <w:rPr>
          <w:rFonts w:hint="eastAsia" w:ascii="Times New Roman" w:hAnsi="Times New Roman" w:eastAsia="方正仿宋_GBK" w:cs="Times New Roman"/>
          <w:color w:val="auto"/>
          <w:sz w:val="28"/>
          <w:szCs w:val="28"/>
          <w:shd w:val="clear" w:color="auto" w:fill="auto"/>
          <w:lang w:val="en-US" w:eastAsia="zh-CN"/>
        </w:rPr>
        <w:t>县境内生物资源十分丰富，森林覆盖率达64.60％，已知有高等植物219科，762属，1402种。全县最具有代表性的是：哀牢山自然保护区覆盖着面积较大的原始亚热带中山湿性常绿阔叶林；元江以东是云南松为主要乔木树种的暖性森林植被；平掌谷麻江一带是思毛松为代表的暖热性森林植被；红河谷两岸是以木棉为主要树种的干热河谷稀树灌木草丛植被。广阔的山区生物资源物产丰富，盛产茶叶、木耳、笋丝及品种丰富的野生菌。戛洒、漠沙沿江两岸属热带地区，盛产水稻、甘蔗、香蕉、芒果、菠萝、荔枝等水果。药用植物主要有：菌芋、青羊参、露水草、茯苓、草乌、紫党参、散血丹、何首乌、龙胆草、刺桐等。</w:t>
      </w:r>
    </w:p>
    <w:p w14:paraId="09F2A0D0">
      <w:pPr>
        <w:pageBreakBefore w:val="0"/>
        <w:widowControl/>
        <w:kinsoku/>
        <w:wordWrap/>
        <w:overflowPunct/>
        <w:autoSpaceDE/>
        <w:autoSpaceDN/>
        <w:bidi w:val="0"/>
        <w:adjustRightInd w:val="0"/>
        <w:snapToGrid w:val="0"/>
        <w:spacing w:line="500" w:lineRule="exact"/>
        <w:ind w:firstLine="560" w:firstLineChars="200"/>
        <w:textAlignment w:val="auto"/>
        <w:rPr>
          <w:rFonts w:hint="eastAsia" w:ascii="Times New Roman" w:hAnsi="Times New Roman" w:eastAsia="方正仿宋_GBK" w:cs="Times New Roman"/>
          <w:color w:val="auto"/>
          <w:sz w:val="28"/>
          <w:szCs w:val="28"/>
          <w:shd w:val="clear" w:color="auto" w:fill="auto"/>
          <w:lang w:val="en-US" w:eastAsia="zh-CN"/>
        </w:rPr>
      </w:pPr>
      <w:r>
        <w:rPr>
          <w:rFonts w:hint="eastAsia" w:ascii="Times New Roman" w:hAnsi="Times New Roman" w:eastAsia="方正仿宋_GBK" w:cs="Times New Roman"/>
          <w:color w:val="auto"/>
          <w:sz w:val="28"/>
          <w:szCs w:val="28"/>
          <w:shd w:val="clear" w:color="auto" w:fill="auto"/>
          <w:lang w:val="en-US" w:eastAsia="zh-CN"/>
        </w:rPr>
        <w:t>据新平土壤普查资料，全县土壤划分为燥红土、赤红壤、红壤、黄棕壤、棕壤、亚高山草甸土、紫色土和水稻土8个土类，13个亚类25个土属54个土种。由于历次造山运动的变迁，境内山高谷深，气候复杂，土壤的分布不仅有区域性的变化，还有更为明显的垂直地带性分布。</w:t>
      </w:r>
    </w:p>
    <w:p w14:paraId="4A51024C">
      <w:pPr>
        <w:pStyle w:val="6"/>
        <w:bidi w:val="0"/>
        <w:rPr>
          <w:rFonts w:hint="eastAsia"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2.1.1.</w:t>
      </w:r>
      <w:r>
        <w:rPr>
          <w:rFonts w:hint="eastAsia" w:ascii="Times New Roman" w:hAnsi="Times New Roman" w:eastAsia="仿宋" w:cs="Times New Roman"/>
          <w:b/>
          <w:bCs/>
          <w:snapToGrid w:val="0"/>
          <w:color w:val="auto"/>
          <w:kern w:val="2"/>
          <w:sz w:val="28"/>
          <w:szCs w:val="32"/>
          <w:lang w:val="en-US" w:eastAsia="zh-CN" w:bidi="ar-SA"/>
        </w:rPr>
        <w:t>5</w:t>
      </w:r>
      <w:r>
        <w:rPr>
          <w:rFonts w:ascii="Times New Roman" w:hAnsi="Times New Roman" w:eastAsia="仿宋" w:cs="Times New Roman"/>
          <w:b/>
          <w:bCs/>
          <w:snapToGrid w:val="0"/>
          <w:color w:val="auto"/>
          <w:kern w:val="2"/>
          <w:sz w:val="28"/>
          <w:szCs w:val="32"/>
          <w:lang w:val="en-US" w:eastAsia="zh-CN" w:bidi="ar-SA"/>
        </w:rPr>
        <w:t>气候</w:t>
      </w:r>
      <w:r>
        <w:rPr>
          <w:rFonts w:hint="eastAsia" w:ascii="Times New Roman" w:hAnsi="Times New Roman" w:eastAsia="仿宋" w:cs="Times New Roman"/>
          <w:b/>
          <w:bCs/>
          <w:snapToGrid w:val="0"/>
          <w:color w:val="auto"/>
          <w:kern w:val="2"/>
          <w:sz w:val="28"/>
          <w:szCs w:val="32"/>
          <w:lang w:val="en-US" w:eastAsia="zh-CN" w:bidi="ar-SA"/>
        </w:rPr>
        <w:t>气象</w:t>
      </w:r>
    </w:p>
    <w:p w14:paraId="11C7F64E">
      <w:pPr>
        <w:pageBreakBefore w:val="0"/>
        <w:widowControl/>
        <w:kinsoku/>
        <w:wordWrap/>
        <w:overflowPunct/>
        <w:autoSpaceDE/>
        <w:autoSpaceDN/>
        <w:bidi w:val="0"/>
        <w:adjustRightInd w:val="0"/>
        <w:snapToGrid w:val="0"/>
        <w:spacing w:line="500" w:lineRule="exact"/>
        <w:ind w:firstLine="560" w:firstLineChars="200"/>
        <w:textAlignment w:val="auto"/>
        <w:rPr>
          <w:rFonts w:hint="eastAsia" w:ascii="Times New Roman" w:hAnsi="Times New Roman" w:eastAsia="方正仿宋_GBK" w:cs="Times New Roman"/>
          <w:color w:val="auto"/>
          <w:sz w:val="28"/>
          <w:szCs w:val="28"/>
          <w:shd w:val="clear" w:color="auto" w:fill="auto"/>
          <w:lang w:val="en-US" w:eastAsia="zh-CN"/>
        </w:rPr>
      </w:pPr>
      <w:r>
        <w:rPr>
          <w:rFonts w:hint="eastAsia" w:ascii="Times New Roman" w:hAnsi="Times New Roman" w:eastAsia="方正仿宋_GBK" w:cs="Times New Roman"/>
          <w:color w:val="auto"/>
          <w:sz w:val="28"/>
          <w:szCs w:val="28"/>
          <w:shd w:val="clear" w:color="auto" w:fill="auto"/>
          <w:lang w:val="en-US" w:eastAsia="zh-CN"/>
        </w:rPr>
        <w:t>新平县紧邻云南省气候分界线哀牢山以东，属中亚热带气候，由于地形复杂，高差悬殊，又可分为河谷高温区、半山暖温区和高山寒温区3个气候区域，河谷高温区为海拔在1300m以下区域，其特点是地势平缓，气候炎热干燥，少霜冻，年均气温23℃，降水量小于900mm，为全季水稻、甘蔗、蔬菜及亚热带水果的主产区，素有“天然温室”之称；半山暖温区为海拔1300m－1900之间区域，年均气温17.4℃，年降水量900mm－1100mm，适宜于粮食作物和油菜、烤烟等经济作物生长；高山寒温区为海拔超过1900m以上区域，年均气温15℃，年降水量超过1200mm－2000mm，气候冷凉，雨量充沛，有大片的原始森林和广阔的荒山草地，生态保持较好，具有发展珍稀药材、经济林木、畜牧业及旅游业等自然优势。</w:t>
      </w:r>
    </w:p>
    <w:p w14:paraId="39C12F74">
      <w:pPr>
        <w:pageBreakBefore w:val="0"/>
        <w:widowControl/>
        <w:kinsoku/>
        <w:wordWrap/>
        <w:overflowPunct/>
        <w:autoSpaceDE/>
        <w:autoSpaceDN/>
        <w:bidi w:val="0"/>
        <w:adjustRightInd w:val="0"/>
        <w:snapToGrid w:val="0"/>
        <w:spacing w:line="500" w:lineRule="exact"/>
        <w:ind w:firstLine="560" w:firstLineChars="200"/>
        <w:textAlignment w:val="auto"/>
        <w:rPr>
          <w:rFonts w:hint="eastAsia" w:ascii="Times New Roman" w:hAnsi="Times New Roman" w:eastAsia="方正仿宋_GBK" w:cs="Times New Roman"/>
          <w:color w:val="auto"/>
          <w:sz w:val="28"/>
          <w:szCs w:val="28"/>
          <w:shd w:val="clear" w:color="auto" w:fill="auto"/>
          <w:lang w:val="en-US" w:eastAsia="zh-CN"/>
        </w:rPr>
      </w:pPr>
      <w:r>
        <w:rPr>
          <w:rFonts w:hint="eastAsia" w:ascii="Times New Roman" w:hAnsi="Times New Roman" w:eastAsia="方正仿宋_GBK" w:cs="Times New Roman"/>
          <w:color w:val="auto"/>
          <w:sz w:val="28"/>
          <w:szCs w:val="28"/>
          <w:shd w:val="clear" w:color="auto" w:fill="auto"/>
          <w:lang w:val="en-US" w:eastAsia="zh-CN"/>
        </w:rPr>
        <w:t>县境每年</w:t>
      </w:r>
      <w:r>
        <w:rPr>
          <w:rFonts w:hint="default" w:ascii="Times New Roman" w:hAnsi="Times New Roman" w:eastAsia="方正仿宋_GBK" w:cs="Times New Roman"/>
          <w:color w:val="auto"/>
          <w:sz w:val="28"/>
          <w:szCs w:val="28"/>
          <w:shd w:val="clear" w:color="auto" w:fill="auto"/>
          <w:lang w:val="en-US" w:eastAsia="zh-CN"/>
        </w:rPr>
        <w:t>11</w:t>
      </w:r>
      <w:r>
        <w:rPr>
          <w:rFonts w:hint="eastAsia" w:ascii="Times New Roman" w:hAnsi="Times New Roman" w:eastAsia="方正仿宋_GBK" w:cs="Times New Roman"/>
          <w:color w:val="auto"/>
          <w:sz w:val="28"/>
          <w:szCs w:val="28"/>
          <w:shd w:val="clear" w:color="auto" w:fill="auto"/>
          <w:lang w:val="en-US" w:eastAsia="zh-CN"/>
        </w:rPr>
        <w:t>月至次年</w:t>
      </w:r>
      <w:r>
        <w:rPr>
          <w:rFonts w:hint="default" w:ascii="Times New Roman" w:hAnsi="Times New Roman" w:eastAsia="方正仿宋_GBK" w:cs="Times New Roman"/>
          <w:color w:val="auto"/>
          <w:sz w:val="28"/>
          <w:szCs w:val="28"/>
          <w:shd w:val="clear" w:color="auto" w:fill="auto"/>
          <w:lang w:val="en-US" w:eastAsia="zh-CN"/>
        </w:rPr>
        <w:t>4</w:t>
      </w:r>
      <w:r>
        <w:rPr>
          <w:rFonts w:hint="eastAsia" w:ascii="Times New Roman" w:hAnsi="Times New Roman" w:eastAsia="方正仿宋_GBK" w:cs="Times New Roman"/>
          <w:color w:val="auto"/>
          <w:sz w:val="28"/>
          <w:szCs w:val="28"/>
          <w:shd w:val="clear" w:color="auto" w:fill="auto"/>
          <w:lang w:val="en-US" w:eastAsia="zh-CN"/>
        </w:rPr>
        <w:t>月，主要受热带大陆气团控制，晴朗少云，日照充足，湿度小、风速大，气候温暖干燥，</w:t>
      </w:r>
      <w:r>
        <w:rPr>
          <w:rFonts w:hint="default" w:ascii="Times New Roman" w:hAnsi="Times New Roman" w:eastAsia="方正仿宋_GBK" w:cs="Times New Roman"/>
          <w:color w:val="auto"/>
          <w:sz w:val="28"/>
          <w:szCs w:val="28"/>
          <w:shd w:val="clear" w:color="auto" w:fill="auto"/>
          <w:lang w:val="en-US" w:eastAsia="zh-CN"/>
        </w:rPr>
        <w:t>5</w:t>
      </w:r>
      <w:r>
        <w:rPr>
          <w:rFonts w:hint="eastAsia" w:ascii="Times New Roman" w:hAnsi="Times New Roman" w:eastAsia="方正仿宋_GBK" w:cs="Times New Roman"/>
          <w:color w:val="auto"/>
          <w:sz w:val="28"/>
          <w:szCs w:val="28"/>
          <w:shd w:val="clear" w:color="auto" w:fill="auto"/>
          <w:lang w:val="en-US" w:eastAsia="zh-CN"/>
        </w:rPr>
        <w:t>～</w:t>
      </w:r>
      <w:r>
        <w:rPr>
          <w:rFonts w:hint="default" w:ascii="Times New Roman" w:hAnsi="Times New Roman" w:eastAsia="方正仿宋_GBK" w:cs="Times New Roman"/>
          <w:color w:val="auto"/>
          <w:sz w:val="28"/>
          <w:szCs w:val="28"/>
          <w:shd w:val="clear" w:color="auto" w:fill="auto"/>
          <w:lang w:val="en-US" w:eastAsia="zh-CN"/>
        </w:rPr>
        <w:t>10</w:t>
      </w:r>
      <w:r>
        <w:rPr>
          <w:rFonts w:hint="eastAsia" w:ascii="Times New Roman" w:hAnsi="Times New Roman" w:eastAsia="方正仿宋_GBK" w:cs="Times New Roman"/>
          <w:color w:val="auto"/>
          <w:sz w:val="28"/>
          <w:szCs w:val="28"/>
          <w:shd w:val="clear" w:color="auto" w:fill="auto"/>
          <w:lang w:val="en-US" w:eastAsia="zh-CN"/>
        </w:rPr>
        <w:t>月由于受带有大量水汽的西南季风的影响而为雨季，湿热、多雨，日照相对较少。因海拔高低悬殊，立体气候明显，具有冬无严寒、夏无酷暑、雨量集中、干湿季分明、雨热同期、干凉同步、四季之分不明显的特点。全县多年平均气温</w:t>
      </w:r>
      <w:r>
        <w:rPr>
          <w:rFonts w:hint="default" w:ascii="Times New Roman" w:hAnsi="Times New Roman" w:eastAsia="方正仿宋_GBK" w:cs="Times New Roman"/>
          <w:color w:val="auto"/>
          <w:sz w:val="28"/>
          <w:szCs w:val="28"/>
          <w:shd w:val="clear" w:color="auto" w:fill="auto"/>
          <w:lang w:val="en-US" w:eastAsia="zh-CN"/>
        </w:rPr>
        <w:t>17.3℃</w:t>
      </w:r>
      <w:r>
        <w:rPr>
          <w:rFonts w:hint="eastAsia" w:ascii="Times New Roman" w:hAnsi="Times New Roman" w:eastAsia="方正仿宋_GBK" w:cs="Times New Roman"/>
          <w:color w:val="auto"/>
          <w:sz w:val="28"/>
          <w:szCs w:val="28"/>
          <w:shd w:val="clear" w:color="auto" w:fill="auto"/>
          <w:lang w:val="en-US" w:eastAsia="zh-CN"/>
        </w:rPr>
        <w:t>，年平均降雨量</w:t>
      </w:r>
      <w:r>
        <w:rPr>
          <w:rFonts w:hint="default" w:ascii="Times New Roman" w:hAnsi="Times New Roman" w:eastAsia="方正仿宋_GBK" w:cs="Times New Roman"/>
          <w:color w:val="auto"/>
          <w:sz w:val="28"/>
          <w:szCs w:val="28"/>
          <w:shd w:val="clear" w:color="auto" w:fill="auto"/>
          <w:lang w:val="en-US" w:eastAsia="zh-CN"/>
        </w:rPr>
        <w:t>966.6mm</w:t>
      </w:r>
      <w:r>
        <w:rPr>
          <w:rFonts w:hint="eastAsia" w:ascii="Times New Roman" w:hAnsi="Times New Roman" w:eastAsia="方正仿宋_GBK" w:cs="Times New Roman"/>
          <w:color w:val="auto"/>
          <w:sz w:val="28"/>
          <w:szCs w:val="28"/>
          <w:shd w:val="clear" w:color="auto" w:fill="auto"/>
          <w:lang w:val="en-US" w:eastAsia="zh-CN"/>
        </w:rPr>
        <w:t>，年平均日照时数</w:t>
      </w:r>
      <w:r>
        <w:rPr>
          <w:rFonts w:hint="default" w:ascii="Times New Roman" w:hAnsi="Times New Roman" w:eastAsia="方正仿宋_GBK" w:cs="Times New Roman"/>
          <w:color w:val="auto"/>
          <w:sz w:val="28"/>
          <w:szCs w:val="28"/>
          <w:shd w:val="clear" w:color="auto" w:fill="auto"/>
          <w:lang w:val="en-US" w:eastAsia="zh-CN"/>
        </w:rPr>
        <w:t>2323.5</w:t>
      </w:r>
      <w:r>
        <w:rPr>
          <w:rFonts w:hint="eastAsia" w:ascii="Times New Roman" w:hAnsi="Times New Roman" w:eastAsia="方正仿宋_GBK" w:cs="Times New Roman"/>
          <w:color w:val="auto"/>
          <w:sz w:val="28"/>
          <w:szCs w:val="28"/>
          <w:shd w:val="clear" w:color="auto" w:fill="auto"/>
          <w:lang w:val="en-US" w:eastAsia="zh-CN"/>
        </w:rPr>
        <w:t>小时，无霜期</w:t>
      </w:r>
      <w:r>
        <w:rPr>
          <w:rFonts w:hint="default" w:ascii="Times New Roman" w:hAnsi="Times New Roman" w:eastAsia="方正仿宋_GBK" w:cs="Times New Roman"/>
          <w:color w:val="auto"/>
          <w:sz w:val="28"/>
          <w:szCs w:val="28"/>
          <w:shd w:val="clear" w:color="auto" w:fill="auto"/>
          <w:lang w:val="en-US" w:eastAsia="zh-CN"/>
        </w:rPr>
        <w:t>312</w:t>
      </w:r>
      <w:r>
        <w:rPr>
          <w:rFonts w:hint="eastAsia" w:ascii="Times New Roman" w:hAnsi="Times New Roman" w:eastAsia="方正仿宋_GBK" w:cs="Times New Roman"/>
          <w:color w:val="auto"/>
          <w:sz w:val="28"/>
          <w:szCs w:val="28"/>
          <w:shd w:val="clear" w:color="auto" w:fill="auto"/>
          <w:lang w:val="en-US" w:eastAsia="zh-CN"/>
        </w:rPr>
        <w:t>天。</w:t>
      </w:r>
    </w:p>
    <w:p w14:paraId="5E508A10">
      <w:pPr>
        <w:keepNext/>
        <w:keepLines/>
        <w:pageBreakBefore w:val="0"/>
        <w:widowControl w:val="0"/>
        <w:kinsoku/>
        <w:wordWrap/>
        <w:overflowPunct/>
        <w:autoSpaceDE/>
        <w:autoSpaceDN/>
        <w:bidi w:val="0"/>
        <w:spacing w:before="260" w:after="260" w:line="500" w:lineRule="exact"/>
        <w:jc w:val="both"/>
        <w:textAlignment w:val="auto"/>
        <w:outlineLvl w:val="2"/>
        <w:rPr>
          <w:rFonts w:ascii="Times New Roman" w:hAnsi="Times New Roman" w:eastAsia="方正仿宋_GBK" w:cs="Times New Roman"/>
          <w:b/>
          <w:bCs/>
          <w:color w:val="auto"/>
          <w:kern w:val="2"/>
          <w:sz w:val="28"/>
          <w:szCs w:val="28"/>
          <w:lang w:val="en-US" w:eastAsia="zh-CN" w:bidi="ar-SA"/>
        </w:rPr>
      </w:pPr>
      <w:bookmarkStart w:id="52" w:name="_Toc17059"/>
      <w:bookmarkStart w:id="53" w:name="_Toc112155761"/>
      <w:r>
        <w:rPr>
          <w:rFonts w:ascii="Times New Roman" w:hAnsi="Times New Roman" w:eastAsia="方正仿宋_GBK" w:cs="Times New Roman"/>
          <w:b/>
          <w:bCs/>
          <w:color w:val="auto"/>
          <w:kern w:val="2"/>
          <w:sz w:val="28"/>
          <w:szCs w:val="28"/>
          <w:lang w:val="en-US" w:eastAsia="zh-CN" w:bidi="ar-SA"/>
        </w:rPr>
        <w:t>2.1.2社会概况</w:t>
      </w:r>
      <w:bookmarkEnd w:id="52"/>
      <w:bookmarkEnd w:id="53"/>
    </w:p>
    <w:p w14:paraId="6C1D1237">
      <w:pPr>
        <w:pStyle w:val="6"/>
        <w:bidi w:val="0"/>
        <w:rPr>
          <w:rFonts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2.1.2.1行政区划</w:t>
      </w:r>
    </w:p>
    <w:p w14:paraId="53E99F16">
      <w:pPr>
        <w:pageBreakBefore w:val="0"/>
        <w:widowControl/>
        <w:kinsoku/>
        <w:wordWrap/>
        <w:overflowPunct/>
        <w:autoSpaceDE/>
        <w:autoSpaceDN/>
        <w:bidi w:val="0"/>
        <w:adjustRightInd w:val="0"/>
        <w:snapToGrid w:val="0"/>
        <w:spacing w:line="500" w:lineRule="exact"/>
        <w:ind w:firstLine="560" w:firstLineChars="200"/>
        <w:textAlignment w:val="auto"/>
        <w:rPr>
          <w:rFonts w:hint="eastAsia" w:ascii="Times New Roman" w:hAnsi="Times New Roman" w:eastAsia="方正仿宋_GBK" w:cs="Times New Roman"/>
          <w:color w:val="auto"/>
          <w:sz w:val="28"/>
          <w:szCs w:val="28"/>
          <w:shd w:val="clear" w:color="auto" w:fill="auto"/>
          <w:lang w:val="en-US" w:eastAsia="zh-CN"/>
        </w:rPr>
      </w:pPr>
      <w:r>
        <w:rPr>
          <w:rFonts w:hint="eastAsia" w:ascii="Times New Roman" w:hAnsi="Times New Roman" w:eastAsia="方正仿宋_GBK" w:cs="Times New Roman"/>
          <w:color w:val="auto"/>
          <w:sz w:val="28"/>
          <w:szCs w:val="28"/>
          <w:shd w:val="clear" w:color="auto" w:fill="auto"/>
          <w:lang w:val="en-US" w:eastAsia="zh-CN"/>
        </w:rPr>
        <w:t>新平县辖2街道、4镇、6乡，桂山街道办事处、古城街道办事处、扬武镇、漠沙镇、戛洒镇、水塘镇及平甸乡、新化乡、老厂乡、建兴乡、平掌乡、者竜乡，共设村（居）民委员会124个，村（居）民小组1483个，县人民政府驻桂山街道办事处。</w:t>
      </w:r>
    </w:p>
    <w:p w14:paraId="4CC14D78">
      <w:pPr>
        <w:pStyle w:val="6"/>
        <w:bidi w:val="0"/>
        <w:rPr>
          <w:rFonts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2.1.2.2社会状况</w:t>
      </w:r>
    </w:p>
    <w:p w14:paraId="38887466">
      <w:pPr>
        <w:pageBreakBefore w:val="0"/>
        <w:widowControl/>
        <w:kinsoku/>
        <w:wordWrap/>
        <w:overflowPunct/>
        <w:autoSpaceDE/>
        <w:autoSpaceDN/>
        <w:bidi w:val="0"/>
        <w:adjustRightInd w:val="0"/>
        <w:snapToGrid w:val="0"/>
        <w:spacing w:line="500" w:lineRule="exact"/>
        <w:ind w:firstLine="560" w:firstLineChars="200"/>
        <w:textAlignment w:val="auto"/>
        <w:rPr>
          <w:rFonts w:hint="eastAsia" w:ascii="Times New Roman" w:hAnsi="Times New Roman" w:eastAsia="方正仿宋_GBK" w:cs="Times New Roman"/>
          <w:color w:val="auto"/>
          <w:sz w:val="28"/>
          <w:szCs w:val="28"/>
          <w:shd w:val="clear" w:color="auto" w:fill="auto"/>
          <w:lang w:val="en-US" w:eastAsia="zh-CN"/>
        </w:rPr>
      </w:pPr>
      <w:r>
        <w:rPr>
          <w:rFonts w:hint="eastAsia" w:ascii="Times New Roman" w:hAnsi="Times New Roman" w:eastAsia="方正仿宋_GBK" w:cs="Times New Roman"/>
          <w:color w:val="auto"/>
          <w:sz w:val="28"/>
          <w:szCs w:val="28"/>
          <w:shd w:val="clear" w:color="auto" w:fill="auto"/>
          <w:lang w:val="en-US" w:eastAsia="zh-CN"/>
        </w:rPr>
        <w:t>人口：全县总人口（常住人口）为262771人。各乡（镇、街道）中，常住人口超过3万人的有桂山街道、漠沙镇、戛洒镇，在1万人至3万人之间的有古城街道、扬武镇、水塘镇、新化乡、建兴乡、老厂乡，不到1万人的有平甸乡、者竜乡、平掌乡。全县人口中，汉族人口为79462人，占总人口的30.24%；各少数民族人口为183309人，占总人口的69.76%，其中：彝族人口为126468人，占总人口的48.13%，傣族人口为36818人，占总人口的14.01%。全县常住人口城镇化率由2017年的39.24%提高到2021年的40.24%。</w:t>
      </w:r>
    </w:p>
    <w:p w14:paraId="5D0E6DDF">
      <w:pPr>
        <w:pageBreakBefore w:val="0"/>
        <w:widowControl/>
        <w:kinsoku/>
        <w:wordWrap/>
        <w:overflowPunct/>
        <w:autoSpaceDE/>
        <w:autoSpaceDN/>
        <w:bidi w:val="0"/>
        <w:adjustRightInd w:val="0"/>
        <w:snapToGrid w:val="0"/>
        <w:spacing w:line="500" w:lineRule="exact"/>
        <w:ind w:firstLine="560" w:firstLineChars="200"/>
        <w:textAlignment w:val="auto"/>
        <w:rPr>
          <w:rFonts w:hint="eastAsia" w:ascii="Times New Roman" w:hAnsi="Times New Roman" w:eastAsia="方正仿宋_GBK" w:cs="Times New Roman"/>
          <w:color w:val="auto"/>
          <w:sz w:val="28"/>
          <w:szCs w:val="28"/>
          <w:shd w:val="clear" w:color="auto" w:fill="auto"/>
          <w:lang w:val="en-US" w:eastAsia="zh-CN"/>
        </w:rPr>
      </w:pPr>
      <w:r>
        <w:rPr>
          <w:rFonts w:hint="eastAsia" w:ascii="Times New Roman" w:hAnsi="Times New Roman" w:eastAsia="方正仿宋_GBK" w:cs="Times New Roman"/>
          <w:color w:val="auto"/>
          <w:sz w:val="28"/>
          <w:szCs w:val="28"/>
          <w:shd w:val="clear" w:color="auto" w:fill="auto"/>
          <w:lang w:val="en-US" w:eastAsia="zh-CN"/>
        </w:rPr>
        <w:t>居民生活：2021年，新平县完成地区生产总值243.8亿元，同比增长10.9%；三次产业结构比优化为14.7:40.2:45.1。2017年、2019年、2020年荣获省级“县域跨越发展先进县”称号，2018年被列为全省“县域经济发展10强县”，综合实力稳居全省29个少数民族自治县前列。</w:t>
      </w:r>
    </w:p>
    <w:p w14:paraId="4746ABB6">
      <w:pPr>
        <w:pStyle w:val="6"/>
        <w:bidi w:val="0"/>
        <w:rPr>
          <w:rFonts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2.1.2.</w:t>
      </w:r>
      <w:r>
        <w:rPr>
          <w:rFonts w:hint="eastAsia" w:ascii="Times New Roman" w:hAnsi="Times New Roman" w:eastAsia="仿宋" w:cs="Times New Roman"/>
          <w:b/>
          <w:bCs/>
          <w:snapToGrid w:val="0"/>
          <w:color w:val="auto"/>
          <w:kern w:val="2"/>
          <w:sz w:val="28"/>
          <w:szCs w:val="32"/>
          <w:lang w:val="en-US" w:eastAsia="zh-CN" w:bidi="ar-SA"/>
        </w:rPr>
        <w:t>4</w:t>
      </w:r>
      <w:r>
        <w:rPr>
          <w:rFonts w:ascii="Times New Roman" w:hAnsi="Times New Roman" w:eastAsia="仿宋" w:cs="Times New Roman"/>
          <w:b/>
          <w:bCs/>
          <w:snapToGrid w:val="0"/>
          <w:color w:val="auto"/>
          <w:kern w:val="2"/>
          <w:sz w:val="28"/>
          <w:szCs w:val="32"/>
          <w:lang w:val="en-US" w:eastAsia="zh-CN" w:bidi="ar-SA"/>
        </w:rPr>
        <w:t>民族概况</w:t>
      </w:r>
    </w:p>
    <w:p w14:paraId="6D63B70A">
      <w:pPr>
        <w:pageBreakBefore w:val="0"/>
        <w:widowControl/>
        <w:kinsoku/>
        <w:wordWrap/>
        <w:overflowPunct/>
        <w:autoSpaceDE/>
        <w:autoSpaceDN/>
        <w:bidi w:val="0"/>
        <w:adjustRightInd w:val="0"/>
        <w:snapToGrid w:val="0"/>
        <w:spacing w:line="500" w:lineRule="exact"/>
        <w:ind w:firstLine="560" w:firstLineChars="200"/>
        <w:textAlignment w:val="auto"/>
        <w:rPr>
          <w:rFonts w:hint="eastAsia" w:ascii="Times New Roman" w:hAnsi="Times New Roman" w:eastAsia="方正仿宋_GBK" w:cs="Times New Roman"/>
          <w:color w:val="auto"/>
          <w:sz w:val="28"/>
          <w:szCs w:val="28"/>
          <w:shd w:val="clear" w:color="auto" w:fill="auto"/>
          <w:lang w:val="en-US" w:eastAsia="zh-CN"/>
        </w:rPr>
      </w:pPr>
      <w:r>
        <w:rPr>
          <w:rFonts w:hint="eastAsia" w:ascii="Times New Roman" w:hAnsi="Times New Roman" w:eastAsia="方正仿宋_GBK" w:cs="Times New Roman"/>
          <w:color w:val="auto"/>
          <w:sz w:val="28"/>
          <w:szCs w:val="28"/>
          <w:shd w:val="clear" w:color="auto" w:fill="auto"/>
          <w:lang w:val="en-US" w:eastAsia="zh-CN"/>
        </w:rPr>
        <w:t>新平是一个民族文化富集、地域风情浓郁的地方。民族文化底蕴丰厚而古朴，民族风情多姿多彩，是中国最大的花腰傣聚居地。世代居住着彝族、傣族、哈尼、拉祜、回、苗等</w:t>
      </w:r>
      <w:r>
        <w:rPr>
          <w:rFonts w:hint="default" w:ascii="Times New Roman" w:hAnsi="Times New Roman" w:eastAsia="方正仿宋_GBK" w:cs="Times New Roman"/>
          <w:color w:val="auto"/>
          <w:sz w:val="28"/>
          <w:szCs w:val="28"/>
          <w:shd w:val="clear" w:color="auto" w:fill="auto"/>
          <w:lang w:val="en-US" w:eastAsia="zh-CN"/>
        </w:rPr>
        <w:t>17</w:t>
      </w:r>
      <w:r>
        <w:rPr>
          <w:rFonts w:hint="eastAsia" w:ascii="Times New Roman" w:hAnsi="Times New Roman" w:eastAsia="方正仿宋_GBK" w:cs="Times New Roman"/>
          <w:color w:val="auto"/>
          <w:sz w:val="28"/>
          <w:szCs w:val="28"/>
          <w:shd w:val="clear" w:color="auto" w:fill="auto"/>
          <w:lang w:val="en-US" w:eastAsia="zh-CN"/>
        </w:rPr>
        <w:t>个民族，少数民族人口占</w:t>
      </w:r>
      <w:r>
        <w:rPr>
          <w:rFonts w:hint="default" w:ascii="Times New Roman" w:hAnsi="Times New Roman" w:eastAsia="方正仿宋_GBK" w:cs="Times New Roman"/>
          <w:color w:val="auto"/>
          <w:sz w:val="28"/>
          <w:szCs w:val="28"/>
          <w:shd w:val="clear" w:color="auto" w:fill="auto"/>
          <w:lang w:val="en-US" w:eastAsia="zh-CN"/>
        </w:rPr>
        <w:t>66.9%</w:t>
      </w:r>
      <w:r>
        <w:rPr>
          <w:rFonts w:hint="eastAsia" w:ascii="Times New Roman" w:hAnsi="Times New Roman" w:eastAsia="方正仿宋_GBK" w:cs="Times New Roman"/>
          <w:color w:val="auto"/>
          <w:sz w:val="28"/>
          <w:szCs w:val="28"/>
          <w:shd w:val="clear" w:color="auto" w:fill="auto"/>
          <w:lang w:val="en-US" w:eastAsia="zh-CN"/>
        </w:rPr>
        <w:t>。</w:t>
      </w:r>
    </w:p>
    <w:p w14:paraId="0583EE93">
      <w:pPr>
        <w:pStyle w:val="6"/>
        <w:bidi w:val="0"/>
        <w:rPr>
          <w:rFonts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2.1.2.</w:t>
      </w:r>
      <w:r>
        <w:rPr>
          <w:rFonts w:hint="eastAsia" w:ascii="Times New Roman" w:hAnsi="Times New Roman" w:eastAsia="仿宋" w:cs="Times New Roman"/>
          <w:b/>
          <w:bCs/>
          <w:snapToGrid w:val="0"/>
          <w:color w:val="auto"/>
          <w:kern w:val="2"/>
          <w:sz w:val="28"/>
          <w:szCs w:val="32"/>
          <w:lang w:val="en-US" w:eastAsia="zh-CN" w:bidi="ar-SA"/>
        </w:rPr>
        <w:t>5</w:t>
      </w:r>
      <w:r>
        <w:rPr>
          <w:rFonts w:ascii="Times New Roman" w:hAnsi="Times New Roman" w:eastAsia="仿宋" w:cs="Times New Roman"/>
          <w:b/>
          <w:bCs/>
          <w:snapToGrid w:val="0"/>
          <w:color w:val="auto"/>
          <w:kern w:val="2"/>
          <w:sz w:val="28"/>
          <w:szCs w:val="32"/>
          <w:lang w:val="en-US" w:eastAsia="zh-CN" w:bidi="ar-SA"/>
        </w:rPr>
        <w:t>基础设施建设</w:t>
      </w:r>
    </w:p>
    <w:p w14:paraId="5027B068">
      <w:pPr>
        <w:pageBreakBefore w:val="0"/>
        <w:widowControl/>
        <w:kinsoku/>
        <w:wordWrap/>
        <w:overflowPunct/>
        <w:autoSpaceDE/>
        <w:autoSpaceDN/>
        <w:bidi w:val="0"/>
        <w:adjustRightInd w:val="0"/>
        <w:snapToGrid w:val="0"/>
        <w:spacing w:line="500" w:lineRule="exact"/>
        <w:ind w:firstLine="560" w:firstLineChars="200"/>
        <w:textAlignment w:val="auto"/>
        <w:rPr>
          <w:rFonts w:hint="eastAsia" w:ascii="Times New Roman" w:hAnsi="Times New Roman" w:eastAsia="方正仿宋_GBK" w:cs="Times New Roman"/>
          <w:color w:val="auto"/>
          <w:sz w:val="28"/>
          <w:szCs w:val="28"/>
          <w:shd w:val="clear" w:color="auto" w:fill="auto"/>
          <w:lang w:val="en-US" w:eastAsia="zh-CN"/>
        </w:rPr>
      </w:pPr>
      <w:r>
        <w:rPr>
          <w:rFonts w:hint="eastAsia" w:ascii="Times New Roman" w:hAnsi="Times New Roman" w:eastAsia="方正仿宋_GBK" w:cs="Times New Roman"/>
          <w:color w:val="auto"/>
          <w:sz w:val="28"/>
          <w:szCs w:val="28"/>
          <w:shd w:val="clear" w:color="auto" w:fill="auto"/>
          <w:lang w:val="en-US" w:eastAsia="zh-CN"/>
        </w:rPr>
        <w:t>近年来，新平县全力抓好以“五网”为重点的基础设施建设，不断优化发展环境，夯实发展基础。交通网固定资产投资呈跨越式增长，是“十二五”的5.4倍，中老铁路新平段、大戛高速、墨临高速新平段建成通车，建制村公路硬化率、通客车率、通邮率均达100%，公路通车里程达5698公里，被评为“四好农村路”省级示范县。全域现代化水网建设精准发力，洋发城水库扩建、西水东调中线输水工程稳步实施，阿者河、洋芋山水库开工建设，完成农村饮水巩固提升工程56件，县城和新化集镇水厂扩建抗旱应急抢险工程、漠沙灌区节水配套改造项目主体完工，农村供水综合水价改革顺利推进，群众用水安全有效保障，完成马鞍山水库、横山水库、新化供水一体化等56件各类蓄水工程及717件人饮工程建设，年供水能力达3379万立方米。电网建设持续优化，改建10千伏线路244.5千米、400伏线路119.9千米，建成110千伏变电站2座，哈科迪、向阳山风电场投产发电。物流网络加快发展，建成戛洒新寨农特产品交易中心项目二期，试点新平互联网+智慧物流项目试运营，仙福集团配套物流园区、金茂仓储物流中心启动建设，者竜等3个加油站和大戛高速新平服务区投入使用，“电商+快递+N”服务新业态取得新成效。信息基础设施日渐完善，改建4G基站232座，投入使用5G基站58座。信息网、物流网扩面提质，被列为云品出滇、品牌兴县示范县。</w:t>
      </w:r>
    </w:p>
    <w:p w14:paraId="390C448D">
      <w:pPr>
        <w:pStyle w:val="5"/>
        <w:pageBreakBefore w:val="0"/>
        <w:kinsoku/>
        <w:wordWrap/>
        <w:overflowPunct/>
        <w:autoSpaceDE/>
        <w:autoSpaceDN/>
        <w:bidi w:val="0"/>
        <w:spacing w:before="120" w:after="120" w:line="500" w:lineRule="exact"/>
        <w:ind w:firstLine="0" w:firstLineChars="0"/>
        <w:textAlignment w:val="auto"/>
        <w:rPr>
          <w:rFonts w:eastAsia="仿宋"/>
          <w:snapToGrid w:val="0"/>
          <w:color w:val="auto"/>
          <w:sz w:val="28"/>
          <w:szCs w:val="28"/>
        </w:rPr>
      </w:pPr>
      <w:bookmarkStart w:id="54" w:name="_Toc991"/>
      <w:r>
        <w:rPr>
          <w:rFonts w:eastAsia="仿宋"/>
          <w:snapToGrid w:val="0"/>
          <w:color w:val="auto"/>
          <w:sz w:val="28"/>
          <w:szCs w:val="28"/>
        </w:rPr>
        <w:t>2.1.3经济状况</w:t>
      </w:r>
      <w:bookmarkEnd w:id="54"/>
    </w:p>
    <w:p w14:paraId="43666DEA">
      <w:pPr>
        <w:pStyle w:val="6"/>
        <w:bidi w:val="0"/>
        <w:rPr>
          <w:rFonts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2.1.3.1经济总量</w:t>
      </w:r>
    </w:p>
    <w:p w14:paraId="7184B2C7">
      <w:pPr>
        <w:keepNext w:val="0"/>
        <w:keepLines w:val="0"/>
        <w:pageBreakBefore w:val="0"/>
        <w:kinsoku/>
        <w:wordWrap/>
        <w:overflowPunct/>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2021年，新平县实现地区生产总值2437517万元，按可比价计算比上年增长10.9%。其中：第一产业增加值340711万元，增长9.9%；第二产业增加值1009678万元，增长7.1%；第三产业增加值1087128万元，增长14.8%。三次产业结构由上年的14.1:41.8:44.1调整为14.0:41.4:44.6，一、二、三产业分别拉动GDP增长1.4、3.0和6.5个百分点，对GDP增长的贡献率分别为12.8%、27.3%和59.8%。实现非公经济增加值1178317万元，按可比价计算比上年增长11.8%，占全县生产总值的48.3%，比上年提高0.8个百分点。全县规模以上固定资产投资比上年增长15.9%，其中：第一产业增长36.1%，第二产业下降4.8%，第三产业增长23.9%。城镇常住居民人均可支配收入达45812元，增长9.2%；农村常住居民人均可支配收入达17602元，增长11.0%。</w:t>
      </w:r>
    </w:p>
    <w:p w14:paraId="5C9D2A9C">
      <w:pPr>
        <w:pStyle w:val="6"/>
        <w:bidi w:val="0"/>
        <w:rPr>
          <w:rFonts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2.1.3.2产业结构</w:t>
      </w:r>
    </w:p>
    <w:p w14:paraId="47EBAB20">
      <w:pPr>
        <w:keepNext w:val="0"/>
        <w:keepLines w:val="0"/>
        <w:pageBreakBefore w:val="0"/>
        <w:kinsoku/>
        <w:wordWrap/>
        <w:overflowPunct/>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围绕红河谷—绿汁江热区产业经济带建设深入开展，大力推动高原特色农业向集约化、规模化、产业化、专业化方向发展，持续流转土地，建成高标准农田，培育区级以上重点农业龙头企业，打造“绿色食品牌”产业基地，褚橙被评为云南“十大名果”，被列为国家现代农业示范区、国家级有机产品认证示范创建区、国家级农业绿色发展先行区、全国科普示范县、云南省农产品主产区和特色产业发展先进县、云南省“一县一业（柑橘）”特色县、云南省第一批高原特色农业示范县。</w:t>
      </w:r>
    </w:p>
    <w:p w14:paraId="12C686C4">
      <w:pPr>
        <w:keepNext w:val="0"/>
        <w:keepLines w:val="0"/>
        <w:pageBreakBefore w:val="0"/>
        <w:kinsoku/>
        <w:wordWrap/>
        <w:overflowPunct/>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深入推进工业强区战略，不断优化“一园三片区”规划布局和产业细分，快速推进大红山两矿智能化矿山建设、铁矿二道河矿段100万吨采选和400万吨二期采选工程，完成铁矿高效节能磨矿技改项，在全省率先启动仙福公司钢铁产能置换项目。关闭淘汰了扬武富明砖厂、新化光辉红砖厂等县域粘土烧结砖生产企业，引进恒泰透水砖、新粤蒸汽加压砖等新型墙体材料生产线；力高公司正在开展车间制造智能化改造，以先进的设备替代传统手工和人工组装，提高产品质量和生产效率，降低物耗，节约人工成本。加快推进生物资源加工业发展，泰润酱菜扩建项目、东绿20万吨选果生产线、云南果速公司水果分选厂、醉花腰白酒果酒生产等项目相继竣工投产。新平工业园区跻身“云南省10强工业园区”，仙福集团排名全省百强非公企业第2位、制造业第1位，初步形成以现代矿冶业、加工制造业、生物资源加工业为主的新型工业体系。</w:t>
      </w:r>
    </w:p>
    <w:p w14:paraId="6B8E4AB7">
      <w:pPr>
        <w:keepNext w:val="0"/>
        <w:keepLines w:val="0"/>
        <w:pageBreakBefore w:val="0"/>
        <w:kinsoku/>
        <w:wordWrap/>
        <w:overflowPunct/>
        <w:autoSpaceDE/>
        <w:autoSpaceDN/>
        <w:bidi w:val="0"/>
        <w:spacing w:line="500" w:lineRule="exact"/>
        <w:ind w:firstLine="560" w:firstLineChars="200"/>
        <w:textAlignment w:val="auto"/>
        <w:rPr>
          <w:rFonts w:hint="default" w:ascii="Times New Roman" w:hAnsi="Times New Roman" w:eastAsia="方正仿宋_GBK" w:cs="Times New Roman"/>
          <w:b w:val="0"/>
          <w:bCs w:val="0"/>
          <w:color w:val="auto"/>
          <w:sz w:val="28"/>
          <w:szCs w:val="28"/>
          <w:lang w:val="en-US" w:eastAsia="zh-CN"/>
        </w:rPr>
      </w:pPr>
      <w:r>
        <w:rPr>
          <w:rFonts w:hint="default" w:ascii="Times New Roman" w:hAnsi="Times New Roman" w:eastAsia="方正仿宋_GBK" w:cs="Times New Roman"/>
          <w:b w:val="0"/>
          <w:bCs w:val="0"/>
          <w:color w:val="auto"/>
          <w:sz w:val="28"/>
          <w:szCs w:val="28"/>
          <w:lang w:val="en-US" w:eastAsia="zh-CN"/>
        </w:rPr>
        <w:t>新平县制定出台了《新平县旅游产业转型升级发展三年行动计划》《新平县创建国家全域旅游示范区重点工作任务任分解》等政策文件，完成《新平县全域旅游发展规划（2018—2030年）》编制，构建一地、双极、三区、四环、五带、六重点的总体发展思路，以“风情花腰傣神秘哀牢山”为定位，持续推进全域旅游创建工作。成功创建磨盘山樱花庄园</w:t>
      </w:r>
      <w:r>
        <w:rPr>
          <w:rFonts w:hint="eastAsia" w:ascii="Times New Roman" w:hAnsi="Times New Roman" w:eastAsia="方正仿宋_GBK" w:cs="Times New Roman"/>
          <w:b w:val="0"/>
          <w:bCs w:val="0"/>
          <w:color w:val="auto"/>
          <w:sz w:val="28"/>
          <w:szCs w:val="28"/>
          <w:lang w:val="en-US" w:eastAsia="zh-CN"/>
        </w:rPr>
        <w:t>4A</w:t>
      </w:r>
      <w:r>
        <w:rPr>
          <w:rFonts w:hint="default" w:ascii="Times New Roman" w:hAnsi="Times New Roman" w:eastAsia="方正仿宋_GBK" w:cs="Times New Roman"/>
          <w:b w:val="0"/>
          <w:bCs w:val="0"/>
          <w:color w:val="auto"/>
          <w:sz w:val="28"/>
          <w:szCs w:val="28"/>
          <w:lang w:val="en-US" w:eastAsia="zh-CN"/>
        </w:rPr>
        <w:t>景区、哀牢山石门峡</w:t>
      </w:r>
      <w:r>
        <w:rPr>
          <w:rFonts w:hint="eastAsia" w:ascii="Times New Roman" w:hAnsi="Times New Roman" w:eastAsia="方正仿宋_GBK" w:cs="Times New Roman"/>
          <w:b w:val="0"/>
          <w:bCs w:val="0"/>
          <w:color w:val="auto"/>
          <w:sz w:val="28"/>
          <w:szCs w:val="28"/>
          <w:lang w:val="en-US" w:eastAsia="zh-CN"/>
        </w:rPr>
        <w:t>3A</w:t>
      </w:r>
      <w:r>
        <w:rPr>
          <w:rFonts w:hint="default" w:ascii="Times New Roman" w:hAnsi="Times New Roman" w:eastAsia="方正仿宋_GBK" w:cs="Times New Roman"/>
          <w:b w:val="0"/>
          <w:bCs w:val="0"/>
          <w:color w:val="auto"/>
          <w:sz w:val="28"/>
          <w:szCs w:val="28"/>
          <w:lang w:val="en-US" w:eastAsia="zh-CN"/>
        </w:rPr>
        <w:t>景区，完成全县旅游交通标识、戛洒特色小镇旅游标识系统建设。全力推进“旅游厕所革命”，完成旅游厕所建设45座，实现重点旅游目的地</w:t>
      </w:r>
      <w:r>
        <w:rPr>
          <w:rFonts w:hint="eastAsia" w:ascii="Times New Roman" w:hAnsi="Times New Roman" w:eastAsia="方正仿宋_GBK" w:cs="Times New Roman"/>
          <w:b w:val="0"/>
          <w:bCs w:val="0"/>
          <w:color w:val="auto"/>
          <w:sz w:val="28"/>
          <w:szCs w:val="28"/>
          <w:lang w:val="en-US" w:eastAsia="zh-CN"/>
        </w:rPr>
        <w:t>A</w:t>
      </w:r>
      <w:r>
        <w:rPr>
          <w:rFonts w:hint="default" w:ascii="Times New Roman" w:hAnsi="Times New Roman" w:eastAsia="方正仿宋_GBK" w:cs="Times New Roman"/>
          <w:b w:val="0"/>
          <w:bCs w:val="0"/>
          <w:color w:val="auto"/>
          <w:sz w:val="28"/>
          <w:szCs w:val="28"/>
          <w:lang w:val="en-US" w:eastAsia="zh-CN"/>
        </w:rPr>
        <w:t>级厕所全覆盖。大力推进智慧旅游建设，结合“一部手机游云南”工作，建立“风情花腰傣神秘哀牢山”新平旅游公众号、“旅游新平”官微，提供方便快捷的旅游信息查询服务。接待游客能力提档升级，建成树几山舍、花腰田间、外滩豪生酒店等一批半山酒店，引进杭州开元森泊、汇达文旅等一批文旅运营企业，旅游服务逐步迈向专业化、市场化路子。2021年接待游客567.78万人次，实现旅游总收入528092.74万元，新平县文化旅游产业呈现出蓬勃发展态势，游客人次持续增加，文化和旅游经济持续增长。</w:t>
      </w:r>
    </w:p>
    <w:p w14:paraId="06B770BB">
      <w:pPr>
        <w:pStyle w:val="6"/>
        <w:bidi w:val="0"/>
        <w:rPr>
          <w:rFonts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2.1.3.3产业布局</w:t>
      </w:r>
    </w:p>
    <w:p w14:paraId="5E366258">
      <w:pPr>
        <w:keepNext w:val="0"/>
        <w:keepLines w:val="0"/>
        <w:pageBreakBefore w:val="0"/>
        <w:kinsoku/>
        <w:wordWrap/>
        <w:overflowPunct/>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农业布局方面，新平县按照省、市大力发展高原特色农业和高端食品基地建设的决策部署，持续深入打造世界一流“绿色食品牌”，抓好一、二、三产业的融合发展，全县初步形成了河谷地区以柑橘、芒果、香蕉、冬早蔬菜为主的优势产业带，山区以中药材、核桃、茶叶为主的优势产业带；特色农业逐步向优势区域集中，初步形成了原料基地、龙头企业、产业园区三者相互配套完善，布局合理的产业格局。</w:t>
      </w:r>
    </w:p>
    <w:p w14:paraId="1C4882D3">
      <w:pPr>
        <w:keepNext w:val="0"/>
        <w:keepLines w:val="0"/>
        <w:pageBreakBefore w:val="0"/>
        <w:kinsoku/>
        <w:wordWrap/>
        <w:overflowPunct/>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工业布局方面，近年来新平县不断践行新发展理念，融入新发展格局，充分发挥园区产业特色和聚集发展优势，实施全产业链重塑，推动产业集群化发展。目前，新平工业园区面积33.45平方公里，范围为桂山、扬武、戛洒3个片区共5个区块。产业选择主导产业：矿冶（矿产资源采选及精深加工），辅助产业：生物资源加工、装备制造。园区定位：桂山片区为生物资源加工和资源综合利用集聚的产城融合区；扬武片区为矿冶联动装备制造的循环经济集群区；戛洒片区打造矿冶和生物资源加工的循环经济集群区。逐渐形成以矿冶（矿产资源采选及精深加工）为主导产业，以生物资源加工、装备制造为辅助产业，以生产性服务业为配套的产业布局。</w:t>
      </w:r>
    </w:p>
    <w:p w14:paraId="79C01417">
      <w:pPr>
        <w:keepNext w:val="0"/>
        <w:keepLines w:val="0"/>
        <w:pageBreakBefore w:val="0"/>
        <w:kinsoku/>
        <w:wordWrap/>
        <w:overflowPunct/>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服务业布局方面，新平县积极围绕工作机制、市场秩序、政策文件等，着力抓组织领导，完善体制规划引领；围绕提升服务能力、提档升级接待游客能力等，抓基础建设，夯实旅游发展根基；围绕“以文促旅、以旅兴文”“以节造势、以节引人”发展思路，抓产品建设，丰富新平旅游业态；坚持“风情花腰傣，神秘哀牢山”总体形象定位，主打“花腰傣之乡”品牌不动摇，抓市场营销，提升新平旅游知名度和美誉度。先后荣获国家全域旅游示范区创建单位、中国天然氧吧、中国最美休闲度假旅游名县、中国最具特色生态旅游名县等荣誉称号，被国家地理杂志评为“中国最浪漫栖居地”。</w:t>
      </w:r>
    </w:p>
    <w:p w14:paraId="253FBBEF">
      <w:pPr>
        <w:pStyle w:val="5"/>
        <w:pageBreakBefore w:val="0"/>
        <w:kinsoku/>
        <w:wordWrap/>
        <w:overflowPunct/>
        <w:autoSpaceDE/>
        <w:autoSpaceDN/>
        <w:bidi w:val="0"/>
        <w:spacing w:before="120" w:after="120" w:line="500" w:lineRule="exact"/>
        <w:ind w:firstLine="0" w:firstLineChars="0"/>
        <w:textAlignment w:val="auto"/>
        <w:rPr>
          <w:rFonts w:eastAsia="仿宋"/>
          <w:snapToGrid w:val="0"/>
          <w:color w:val="auto"/>
          <w:sz w:val="28"/>
          <w:szCs w:val="28"/>
          <w:lang w:val="en-US" w:eastAsia="zh-CN"/>
        </w:rPr>
      </w:pPr>
      <w:bookmarkStart w:id="55" w:name="_Toc1024"/>
      <w:r>
        <w:rPr>
          <w:rFonts w:eastAsia="仿宋"/>
          <w:snapToGrid w:val="0"/>
          <w:color w:val="auto"/>
          <w:sz w:val="28"/>
          <w:szCs w:val="28"/>
          <w:lang w:val="en-US" w:eastAsia="zh-CN"/>
        </w:rPr>
        <w:t>2.1.4主要资源状况</w:t>
      </w:r>
      <w:bookmarkEnd w:id="55"/>
    </w:p>
    <w:p w14:paraId="75FAD722">
      <w:pPr>
        <w:pStyle w:val="6"/>
        <w:bidi w:val="0"/>
        <w:rPr>
          <w:rFonts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2.1.4.1水资源</w:t>
      </w:r>
    </w:p>
    <w:p w14:paraId="110672AF">
      <w:pPr>
        <w:keepNext w:val="0"/>
        <w:keepLines w:val="0"/>
        <w:pageBreakBefore w:val="0"/>
        <w:kinsoku/>
        <w:wordWrap/>
        <w:overflowPunct/>
        <w:autoSpaceDE/>
        <w:autoSpaceDN/>
        <w:bidi w:val="0"/>
        <w:spacing w:line="500" w:lineRule="exact"/>
        <w:ind w:firstLine="560" w:firstLineChars="200"/>
        <w:jc w:val="both"/>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新平县境内多年平均地表水资源总量为18.21亿m³，人均水资源量6578m³/人，全部耕地亩均水资源量2118 m/亩。全县入境水资源量37.747亿m³，主要是来自红河、绿汁江输入37.093亿m³，来自峨山的小河底河输入0.654亿m³；从全县出境的水量为55.786亿m³。依据《云南省水利厅关于印发云南省水资源红黄绿分区管理办法（试行）的通知》（云水资源〔2016〕39号）规定，新平县水资源开发利用率小于20%、用水总量在总量控制目标的95%以下，属于用水总量管理绿区。</w:t>
      </w:r>
    </w:p>
    <w:p w14:paraId="464B4EA8">
      <w:pPr>
        <w:keepNext w:val="0"/>
        <w:keepLines w:val="0"/>
        <w:pageBreakBefore w:val="0"/>
        <w:kinsoku/>
        <w:wordWrap/>
        <w:overflowPunct/>
        <w:autoSpaceDE/>
        <w:autoSpaceDN/>
        <w:bidi w:val="0"/>
        <w:spacing w:line="500" w:lineRule="exact"/>
        <w:ind w:firstLine="560" w:firstLineChars="200"/>
        <w:jc w:val="both"/>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全县水资源总量为18.21亿立方米，水能资源理论蕴藏量127.22万KW，可开发利用装机容量52.36万KW，主要分布在红河（戛洒江段）、挖窖河、大春河、竹箐河、十里河、南恩河、麻羊河等流域。</w:t>
      </w:r>
    </w:p>
    <w:p w14:paraId="03DD019D">
      <w:pPr>
        <w:pStyle w:val="6"/>
        <w:bidi w:val="0"/>
        <w:rPr>
          <w:rFonts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2.1.4.2森林资源</w:t>
      </w:r>
    </w:p>
    <w:p w14:paraId="6498E525">
      <w:pPr>
        <w:keepNext w:val="0"/>
        <w:keepLines w:val="0"/>
        <w:pageBreakBefore w:val="0"/>
        <w:kinsoku/>
        <w:wordWrap/>
        <w:overflowPunct/>
        <w:autoSpaceDE/>
        <w:autoSpaceDN/>
        <w:bidi w:val="0"/>
        <w:spacing w:line="500" w:lineRule="exact"/>
        <w:ind w:firstLine="560" w:firstLineChars="200"/>
        <w:jc w:val="both"/>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依据《云南省2020年森林资源主要指标监测报告》，新平县国土面积423703公顷，林地面积345742.4939公顷。全县森林面积314835.6191公顷，森林覆盖率73.66%，其中有林地245832.2394公顷；疏林地面积322.1932公顷；灌木林地面积53104.7816公顷；未成林造林地面积1325.9985公顷；无立木林地面积1613.5679公顷；宜林地面积1130.6139公顷；辅助生产林地面积24.7695公顷；非林地面积114841.6438公顷。公益林地面积34580.1179公顷，蓄积4977473公顷；商品林地面积555.1202公顷，蓄积10566m³。</w:t>
      </w:r>
    </w:p>
    <w:p w14:paraId="50603FF7">
      <w:pPr>
        <w:pStyle w:val="6"/>
        <w:bidi w:val="0"/>
        <w:rPr>
          <w:rFonts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w:t>
      </w:r>
      <w:r>
        <w:rPr>
          <w:rFonts w:hint="eastAsia" w:ascii="Times New Roman" w:hAnsi="Times New Roman" w:eastAsia="仿宋" w:cs="Times New Roman"/>
          <w:b/>
          <w:bCs/>
          <w:snapToGrid w:val="0"/>
          <w:color w:val="auto"/>
          <w:kern w:val="2"/>
          <w:sz w:val="28"/>
          <w:szCs w:val="32"/>
          <w:lang w:val="en-US" w:eastAsia="zh-CN" w:bidi="ar-SA"/>
        </w:rPr>
        <w:t>4</w:t>
      </w:r>
      <w:r>
        <w:rPr>
          <w:rFonts w:ascii="Times New Roman" w:hAnsi="Times New Roman" w:eastAsia="仿宋" w:cs="Times New Roman"/>
          <w:b/>
          <w:bCs/>
          <w:snapToGrid w:val="0"/>
          <w:color w:val="auto"/>
          <w:kern w:val="2"/>
          <w:sz w:val="28"/>
          <w:szCs w:val="32"/>
          <w:lang w:val="en-US" w:eastAsia="zh-CN" w:bidi="ar-SA"/>
        </w:rPr>
        <w:t>.3旅游文化资源</w:t>
      </w:r>
    </w:p>
    <w:p w14:paraId="48C0BC3E">
      <w:pPr>
        <w:keepNext w:val="0"/>
        <w:keepLines w:val="0"/>
        <w:pageBreakBefore w:val="0"/>
        <w:kinsoku/>
        <w:wordWrap/>
        <w:overflowPunct/>
        <w:autoSpaceDE/>
        <w:autoSpaceDN/>
        <w:bidi w:val="0"/>
        <w:spacing w:line="500" w:lineRule="exact"/>
        <w:ind w:firstLine="560" w:firstLineChars="200"/>
        <w:jc w:val="both"/>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新平县是滇中地区旅游资源富聚地，旅游资源景系完整，类型多样，景型覆盖面广，尤以生态、民风民俗类型的景型突出。县内红河谷是具有一定国际影响力的云南独有的花腰傣聚居区，哀牢山以禀赋独特的生物多样性生态资源而闻名中外，哀牢山原始自然生态环境、红河谷花腰傣民族风情和磨盘山国家森林公园共同构成新平县旅游资源的主体，与玉溪市其他县、区比较具有较强的互补性。至2021年底，全县共有A级景区7个，其中，4A级景区1个、3A级景区3个、2A级景区3个；具有一定规模的餐饮经营户556家、餐位7.9万个；住宿经营户318家、床位1.6万张（其中，星级酒店7家；星级乡村旅游接待点41户）；旅行社网点11家；综合文化站12个、农家书屋132个；不可移动文物保护单位共14处；非物质文化遗产保护项目名录119项，代表性传承人101人。</w:t>
      </w:r>
    </w:p>
    <w:p w14:paraId="54006D7D">
      <w:pPr>
        <w:pStyle w:val="6"/>
        <w:bidi w:val="0"/>
        <w:rPr>
          <w:rFonts w:hint="eastAsia"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w:t>
      </w:r>
      <w:r>
        <w:rPr>
          <w:rFonts w:hint="eastAsia" w:ascii="Times New Roman" w:hAnsi="Times New Roman" w:eastAsia="仿宋" w:cs="Times New Roman"/>
          <w:b/>
          <w:bCs/>
          <w:snapToGrid w:val="0"/>
          <w:color w:val="auto"/>
          <w:kern w:val="2"/>
          <w:sz w:val="28"/>
          <w:szCs w:val="32"/>
          <w:lang w:val="en-US" w:eastAsia="zh-CN" w:bidi="ar-SA"/>
        </w:rPr>
        <w:t>4</w:t>
      </w:r>
      <w:r>
        <w:rPr>
          <w:rFonts w:ascii="Times New Roman" w:hAnsi="Times New Roman" w:eastAsia="仿宋" w:cs="Times New Roman"/>
          <w:b/>
          <w:bCs/>
          <w:snapToGrid w:val="0"/>
          <w:color w:val="auto"/>
          <w:kern w:val="2"/>
          <w:sz w:val="28"/>
          <w:szCs w:val="32"/>
          <w:lang w:val="en-US" w:eastAsia="zh-CN" w:bidi="ar-SA"/>
        </w:rPr>
        <w:t>.4土地资源</w:t>
      </w:r>
    </w:p>
    <w:p w14:paraId="1F35F69B">
      <w:pPr>
        <w:pageBreakBefore w:val="0"/>
        <w:kinsoku/>
        <w:wordWrap/>
        <w:topLinePunct/>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color w:val="auto"/>
          <w:sz w:val="30"/>
          <w:szCs w:val="30"/>
        </w:rPr>
      </w:pPr>
      <w:r>
        <w:rPr>
          <w:rFonts w:hint="eastAsia" w:ascii="Times New Roman" w:hAnsi="Times New Roman" w:eastAsia="方正仿宋_GBK" w:cs="方正仿宋_GBK"/>
          <w:b w:val="0"/>
          <w:bCs w:val="0"/>
          <w:color w:val="auto"/>
          <w:sz w:val="28"/>
          <w:szCs w:val="28"/>
          <w:lang w:val="en-US" w:eastAsia="zh-CN"/>
        </w:rPr>
        <w:t>县内土地资源丰富，在海拔1300米以下范围内，有农业综合开发后备资源76.2万亩，占全县总面积的12.0%，多分布于红河流域的宽谷地带及其支流流域的丘陵谷地，其特征是气候炎热干燥，少霜冻，为全县水稻、甘蔗、冬早蔬菜及亚热带水果主产区；在海拔1300～1900米地区，有农业综合开发后备资源117.6万亩，占全县总面积的18.5%，是玉米、水稻、烤烟的主产区；在海拔1900米以上区域，有农业综合开发后备资源30.1万亩，占全县总面积的4.7%，有大量的原始森林和高山草地，具有发展珍稀药材、经济林木、畜牧业及旅游业等自然优势；有可耕地69万亩、林地353万亩、牧草地126万亩、水域16万亩、交通用地7万亩、其他用地62万亩。</w:t>
      </w:r>
    </w:p>
    <w:p w14:paraId="594DEC63">
      <w:pPr>
        <w:pStyle w:val="6"/>
        <w:bidi w:val="0"/>
        <w:rPr>
          <w:rFonts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w:t>
      </w:r>
      <w:r>
        <w:rPr>
          <w:rFonts w:hint="eastAsia" w:ascii="Times New Roman" w:hAnsi="Times New Roman" w:eastAsia="仿宋" w:cs="Times New Roman"/>
          <w:b/>
          <w:bCs/>
          <w:snapToGrid w:val="0"/>
          <w:color w:val="auto"/>
          <w:kern w:val="2"/>
          <w:sz w:val="28"/>
          <w:szCs w:val="32"/>
          <w:lang w:val="en-US" w:eastAsia="zh-CN" w:bidi="ar-SA"/>
        </w:rPr>
        <w:t>4</w:t>
      </w:r>
      <w:r>
        <w:rPr>
          <w:rFonts w:ascii="Times New Roman" w:hAnsi="Times New Roman" w:eastAsia="仿宋" w:cs="Times New Roman"/>
          <w:b/>
          <w:bCs/>
          <w:snapToGrid w:val="0"/>
          <w:color w:val="auto"/>
          <w:kern w:val="2"/>
          <w:sz w:val="28"/>
          <w:szCs w:val="32"/>
          <w:lang w:val="en-US" w:eastAsia="zh-CN" w:bidi="ar-SA"/>
        </w:rPr>
        <w:t>.5矿产资源</w:t>
      </w:r>
    </w:p>
    <w:p w14:paraId="5D637E3A">
      <w:pPr>
        <w:pageBreakBefore w:val="0"/>
        <w:kinsoku/>
        <w:wordWrap/>
        <w:topLinePunct/>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color w:val="auto"/>
          <w:sz w:val="28"/>
          <w:szCs w:val="28"/>
        </w:rPr>
      </w:pPr>
      <w:r>
        <w:rPr>
          <w:rFonts w:hint="eastAsia" w:ascii="Times New Roman" w:hAnsi="Times New Roman" w:eastAsia="方正仿宋_GBK" w:cs="方正仿宋_GBK"/>
          <w:color w:val="auto"/>
          <w:sz w:val="28"/>
          <w:szCs w:val="28"/>
        </w:rPr>
        <w:t>新平县矿产资源种类和总资源储量位居玉溪市前列，拥有全国著名的大红山铁铜多金属矿床和全省有名的鲁奎山铁矿床。已发现矿种37余种（含伴生矿种），占云南省已发现矿种的26%，有各类矿床、矿点、矿化点97处，已探明金属矿有金、银、铜、铁、铬、镍、钴、铅、锌、铂、钯等，非金属矿产有煤、石灰石、白云石、蛇纹石、石膏、石棉、滑石、大理石等。铁矿石资源储量5.44亿吨、铜金属资源储量147.80万吨，分别占全市探明资源储量的82.98%和57.4%，约占全省铁矿石储量的三分之一和铜金属资源储量的四分之一；保有铅锌金属资源储量10835.16吨，</w:t>
      </w:r>
      <w:r>
        <w:rPr>
          <w:rFonts w:hint="eastAsia" w:ascii="Times New Roman" w:hAnsi="Times New Roman" w:eastAsia="方正仿宋_GBK" w:cs="方正仿宋_GBK"/>
          <w:color w:val="auto"/>
          <w:sz w:val="28"/>
          <w:szCs w:val="28"/>
          <w:lang w:eastAsia="zh-CN"/>
        </w:rPr>
        <w:t>金属资源</w:t>
      </w:r>
      <w:r>
        <w:rPr>
          <w:rFonts w:hint="eastAsia" w:ascii="Times New Roman" w:hAnsi="Times New Roman" w:eastAsia="方正仿宋_GBK" w:cs="方正仿宋_GBK"/>
          <w:color w:val="auto"/>
          <w:sz w:val="28"/>
          <w:szCs w:val="28"/>
        </w:rPr>
        <w:t>储量18784千克，铂族金属资源储量1142千克，银金属资源储量145吨，镍、钴金属资源储量4612.14吨，煤炭资源储量2103.54万吨，大理石资源储量673万立方米。</w:t>
      </w:r>
    </w:p>
    <w:p w14:paraId="750ED508">
      <w:pPr>
        <w:pStyle w:val="5"/>
        <w:pageBreakBefore w:val="0"/>
        <w:kinsoku/>
        <w:wordWrap/>
        <w:autoSpaceDE/>
        <w:autoSpaceDN/>
        <w:bidi w:val="0"/>
        <w:spacing w:before="120" w:after="120" w:line="500" w:lineRule="exact"/>
        <w:ind w:firstLine="0" w:firstLineChars="0"/>
        <w:textAlignment w:val="auto"/>
        <w:rPr>
          <w:rFonts w:eastAsia="仿宋"/>
          <w:snapToGrid w:val="0"/>
          <w:color w:val="auto"/>
          <w:sz w:val="28"/>
          <w:szCs w:val="28"/>
        </w:rPr>
      </w:pPr>
      <w:bookmarkStart w:id="56" w:name="_Toc4755"/>
      <w:r>
        <w:rPr>
          <w:rFonts w:eastAsia="仿宋"/>
          <w:snapToGrid w:val="0"/>
          <w:color w:val="auto"/>
          <w:sz w:val="28"/>
          <w:szCs w:val="28"/>
        </w:rPr>
        <w:t>2.1.5生态环境状况</w:t>
      </w:r>
      <w:bookmarkEnd w:id="56"/>
    </w:p>
    <w:p w14:paraId="147E87BC">
      <w:pPr>
        <w:pStyle w:val="6"/>
        <w:bidi w:val="0"/>
        <w:rPr>
          <w:rFonts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2.1.5.1水环境质量</w:t>
      </w:r>
    </w:p>
    <w:p w14:paraId="429DEB5E">
      <w:pPr>
        <w:keepNext w:val="0"/>
        <w:keepLines w:val="0"/>
        <w:pageBreakBefore w:val="0"/>
        <w:widowControl/>
        <w:kinsoku/>
        <w:wordWrap/>
        <w:topLinePunct w:val="0"/>
        <w:autoSpaceDE/>
        <w:autoSpaceDN/>
        <w:bidi w:val="0"/>
        <w:spacing w:line="500" w:lineRule="exact"/>
        <w:ind w:firstLine="592" w:firstLineChars="200"/>
        <w:textAlignment w:val="auto"/>
        <w:rPr>
          <w:rFonts w:hint="eastAsia" w:ascii="Times New Roman" w:hAnsi="Times New Roman" w:eastAsia="方正仿宋_GBK" w:cs="方正仿宋_GBK"/>
          <w:i w:val="0"/>
          <w:caps w:val="0"/>
          <w:color w:val="auto"/>
          <w:spacing w:val="8"/>
          <w:kern w:val="0"/>
          <w:sz w:val="28"/>
          <w:szCs w:val="28"/>
          <w:shd w:val="clear" w:color="auto" w:fill="FFFFFF"/>
          <w:lang w:val="en-US" w:eastAsia="zh-CN" w:bidi="ar-SA"/>
        </w:rPr>
      </w:pPr>
      <w:r>
        <w:rPr>
          <w:rFonts w:hint="eastAsia" w:ascii="Times New Roman" w:hAnsi="Times New Roman" w:eastAsia="方正仿宋_GBK" w:cs="方正仿宋_GBK"/>
          <w:i w:val="0"/>
          <w:caps w:val="0"/>
          <w:color w:val="auto"/>
          <w:spacing w:val="8"/>
          <w:kern w:val="0"/>
          <w:sz w:val="28"/>
          <w:szCs w:val="28"/>
          <w:shd w:val="clear" w:color="auto" w:fill="FFFFFF"/>
          <w:lang w:val="en-US" w:eastAsia="zh-CN" w:bidi="ar-SA"/>
        </w:rPr>
        <w:t>（1）地表水</w:t>
      </w:r>
    </w:p>
    <w:p w14:paraId="7794B015">
      <w:pPr>
        <w:pStyle w:val="2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val="0"/>
        <w:topLinePunct w:val="0"/>
        <w:autoSpaceDE/>
        <w:autoSpaceDN/>
        <w:bidi w:val="0"/>
        <w:adjustRightInd w:val="0"/>
        <w:snapToGrid w:val="0"/>
        <w:spacing w:before="0" w:beforeAutospacing="0" w:after="0" w:afterAutospacing="0" w:line="500" w:lineRule="exact"/>
        <w:ind w:left="0" w:right="0" w:firstLine="592" w:firstLineChars="200"/>
        <w:jc w:val="both"/>
        <w:textAlignment w:val="auto"/>
        <w:rPr>
          <w:rFonts w:hint="eastAsia" w:ascii="Times New Roman" w:hAnsi="Times New Roman" w:eastAsia="方正仿宋_GBK" w:cs="方正仿宋_GBK"/>
          <w:i w:val="0"/>
          <w:caps w:val="0"/>
          <w:color w:val="auto"/>
          <w:spacing w:val="8"/>
          <w:kern w:val="0"/>
          <w:sz w:val="28"/>
          <w:szCs w:val="28"/>
          <w:shd w:val="clear" w:color="auto" w:fill="FFFFFF"/>
          <w:lang w:val="en-US" w:eastAsia="zh-CN" w:bidi="ar-SA"/>
        </w:rPr>
      </w:pPr>
      <w:r>
        <w:rPr>
          <w:rFonts w:hint="eastAsia" w:ascii="Times New Roman" w:hAnsi="Times New Roman" w:eastAsia="方正仿宋_GBK" w:cs="宋体"/>
          <w:b w:val="0"/>
          <w:bCs w:val="0"/>
          <w:i w:val="0"/>
          <w:caps w:val="0"/>
          <w:color w:val="auto"/>
          <w:spacing w:val="8"/>
          <w:kern w:val="0"/>
          <w:sz w:val="28"/>
          <w:szCs w:val="28"/>
          <w:shd w:val="clear" w:color="auto" w:fill="FFFFFF"/>
          <w:lang w:val="en-US" w:eastAsia="zh-CN" w:bidi="ar-SA"/>
        </w:rPr>
        <w:t>“十三五”期间，新平县境内共有1个国控断面（三江口），2个省控</w:t>
      </w:r>
      <w:r>
        <w:rPr>
          <w:rFonts w:hint="eastAsia" w:ascii="Times New Roman" w:hAnsi="Times New Roman" w:eastAsia="方正仿宋_GBK" w:cs="方正仿宋_GBK"/>
          <w:i w:val="0"/>
          <w:caps w:val="0"/>
          <w:color w:val="auto"/>
          <w:spacing w:val="8"/>
          <w:kern w:val="0"/>
          <w:sz w:val="28"/>
          <w:szCs w:val="28"/>
          <w:shd w:val="clear" w:color="auto" w:fill="FFFFFF"/>
          <w:lang w:val="en-US" w:eastAsia="zh-CN" w:bidi="ar-SA"/>
        </w:rPr>
        <w:t>考核断面</w:t>
      </w:r>
      <w:r>
        <w:rPr>
          <w:rFonts w:hint="eastAsia" w:ascii="Times New Roman" w:hAnsi="Times New Roman" w:eastAsia="方正仿宋_GBK" w:cs="宋体"/>
          <w:b w:val="0"/>
          <w:bCs w:val="0"/>
          <w:i w:val="0"/>
          <w:caps w:val="0"/>
          <w:color w:val="auto"/>
          <w:spacing w:val="8"/>
          <w:kern w:val="0"/>
          <w:sz w:val="28"/>
          <w:szCs w:val="28"/>
          <w:shd w:val="clear" w:color="auto" w:fill="FFFFFF"/>
          <w:lang w:val="en-US" w:eastAsia="zh-CN" w:bidi="ar-SA"/>
        </w:rPr>
        <w:t>（居拉里大桥、南媷），3个监测断面水质均达到或优于Ⅲ类，水功能区达标率100%</w:t>
      </w:r>
      <w:r>
        <w:rPr>
          <w:rFonts w:hint="eastAsia" w:ascii="Times New Roman" w:hAnsi="Times New Roman" w:eastAsia="方正仿宋_GBK" w:cs="方正仿宋_GBK"/>
          <w:i w:val="0"/>
          <w:caps w:val="0"/>
          <w:color w:val="auto"/>
          <w:spacing w:val="8"/>
          <w:kern w:val="0"/>
          <w:sz w:val="28"/>
          <w:szCs w:val="28"/>
          <w:shd w:val="clear" w:color="auto" w:fill="FFFFFF"/>
          <w:lang w:val="en-US" w:eastAsia="zh-CN" w:bidi="ar-SA"/>
        </w:rPr>
        <w:t>。2021年，新平县主要河流为小河底河、戛洒江和平甸河，包括1个国家考核断面（化念水库（小河底河）），3个省控考核断面（他拉河水库、居拉里大桥、南薅），4个监测断面水质稳定达到或优于地表水环境质量Ⅲ类标准，达到了功能区划要求及考核目标要求，断面水质达标率为100%。新平县境内无劣Ⅴ类水体。新平县2017—2021年河流（湖库）断面水质情况见表2.1.5-1。</w:t>
      </w:r>
    </w:p>
    <w:p w14:paraId="0B2FFAB0">
      <w:pPr>
        <w:adjustRightInd w:val="0"/>
        <w:snapToGrid w:val="0"/>
        <w:spacing w:line="400" w:lineRule="exact"/>
        <w:jc w:val="center"/>
      </w:pPr>
      <w:r>
        <w:rPr>
          <w:rFonts w:ascii="Times New Roman" w:hAnsi="Times New Roman" w:eastAsia="方正仿宋_GBK" w:cs="Times New Roman"/>
          <w:b/>
          <w:color w:val="auto"/>
          <w:sz w:val="28"/>
          <w:szCs w:val="28"/>
        </w:rPr>
        <w:t>表2.1.5</w:t>
      </w:r>
      <w:r>
        <w:rPr>
          <w:rFonts w:hint="eastAsia" w:ascii="Times New Roman" w:hAnsi="Times New Roman" w:eastAsia="方正仿宋_GBK" w:cs="Times New Roman"/>
          <w:b/>
          <w:color w:val="auto"/>
          <w:sz w:val="28"/>
          <w:szCs w:val="28"/>
          <w:lang w:val="en-US" w:eastAsia="zh-CN"/>
        </w:rPr>
        <w:t>.1</w:t>
      </w:r>
      <w:r>
        <w:rPr>
          <w:rFonts w:ascii="Times New Roman" w:hAnsi="Times New Roman" w:eastAsia="方正仿宋_GBK" w:cs="Times New Roman"/>
          <w:b/>
          <w:color w:val="auto"/>
          <w:sz w:val="28"/>
          <w:szCs w:val="28"/>
        </w:rPr>
        <w:t xml:space="preserve">-1 </w:t>
      </w:r>
      <w:r>
        <w:rPr>
          <w:rFonts w:hint="eastAsia" w:ascii="Times New Roman" w:hAnsi="Times New Roman" w:eastAsia="方正仿宋_GBK" w:cs="Times New Roman"/>
          <w:b/>
          <w:color w:val="auto"/>
          <w:sz w:val="28"/>
          <w:szCs w:val="28"/>
          <w:lang w:val="en-US" w:eastAsia="zh-CN"/>
        </w:rPr>
        <w:t>2017—</w:t>
      </w:r>
      <w:r>
        <w:rPr>
          <w:rFonts w:ascii="Times New Roman" w:hAnsi="Times New Roman" w:eastAsia="方正仿宋_GBK" w:cs="Times New Roman"/>
          <w:b/>
          <w:color w:val="auto"/>
          <w:sz w:val="28"/>
          <w:szCs w:val="28"/>
        </w:rPr>
        <w:t>202</w:t>
      </w:r>
      <w:r>
        <w:rPr>
          <w:rFonts w:hint="eastAsia" w:ascii="Times New Roman" w:hAnsi="Times New Roman" w:eastAsia="方正仿宋_GBK" w:cs="Times New Roman"/>
          <w:b/>
          <w:color w:val="auto"/>
          <w:sz w:val="28"/>
          <w:szCs w:val="28"/>
          <w:lang w:val="en-US" w:eastAsia="zh-CN"/>
        </w:rPr>
        <w:t>1</w:t>
      </w:r>
      <w:r>
        <w:rPr>
          <w:rFonts w:ascii="Times New Roman" w:hAnsi="Times New Roman" w:eastAsia="方正仿宋_GBK" w:cs="Times New Roman"/>
          <w:b/>
          <w:color w:val="auto"/>
          <w:sz w:val="28"/>
          <w:szCs w:val="28"/>
        </w:rPr>
        <w:t>年</w:t>
      </w:r>
      <w:r>
        <w:rPr>
          <w:rFonts w:hint="eastAsia" w:ascii="Times New Roman" w:hAnsi="Times New Roman" w:eastAsia="方正仿宋_GBK" w:cs="Times New Roman"/>
          <w:b/>
          <w:color w:val="auto"/>
          <w:sz w:val="28"/>
          <w:szCs w:val="28"/>
          <w:lang w:val="en-US" w:eastAsia="zh-CN"/>
        </w:rPr>
        <w:t>新平县</w:t>
      </w:r>
      <w:r>
        <w:rPr>
          <w:rFonts w:ascii="Times New Roman" w:hAnsi="Times New Roman" w:eastAsia="方正仿宋_GBK" w:cs="Times New Roman"/>
          <w:b/>
          <w:color w:val="auto"/>
          <w:sz w:val="28"/>
          <w:szCs w:val="28"/>
        </w:rPr>
        <w:t>主要断面水质状况统计表</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108" w:type="dxa"/>
          <w:bottom w:w="0" w:type="dxa"/>
          <w:right w:w="108" w:type="dxa"/>
        </w:tblCellMar>
      </w:tblPr>
      <w:tblGrid>
        <w:gridCol w:w="496"/>
        <w:gridCol w:w="650"/>
        <w:gridCol w:w="715"/>
        <w:gridCol w:w="630"/>
        <w:gridCol w:w="690"/>
        <w:gridCol w:w="731"/>
        <w:gridCol w:w="731"/>
        <w:gridCol w:w="731"/>
        <w:gridCol w:w="731"/>
        <w:gridCol w:w="731"/>
        <w:gridCol w:w="1686"/>
      </w:tblGrid>
      <w:tr w14:paraId="3B545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12" w:hRule="atLeast"/>
          <w:jc w:val="center"/>
        </w:trPr>
        <w:tc>
          <w:tcPr>
            <w:tcW w:w="0" w:type="auto"/>
            <w:vMerge w:val="restart"/>
            <w:shd w:val="clear" w:color="auto" w:fill="FFFFFF" w:themeFill="background1"/>
            <w:vAlign w:val="center"/>
          </w:tcPr>
          <w:p w14:paraId="20258080">
            <w:pPr>
              <w:widowControl/>
              <w:spacing w:line="360" w:lineRule="auto"/>
              <w:jc w:val="center"/>
              <w:rPr>
                <w:rFonts w:hint="default" w:ascii="Times New Roman" w:hAnsi="Times New Roman" w:eastAsia="方正仿宋_GBK" w:cs="Times New Roman"/>
                <w:b/>
                <w:bCs/>
                <w:color w:val="auto"/>
                <w:sz w:val="22"/>
                <w:szCs w:val="18"/>
                <w:lang w:val="en-US" w:eastAsia="zh-CN"/>
              </w:rPr>
            </w:pPr>
            <w:r>
              <w:rPr>
                <w:rFonts w:hint="eastAsia" w:ascii="Times New Roman" w:hAnsi="Times New Roman" w:eastAsia="方正仿宋_GBK" w:cs="Times New Roman"/>
                <w:b/>
                <w:bCs/>
                <w:color w:val="auto"/>
                <w:sz w:val="22"/>
                <w:szCs w:val="18"/>
                <w:lang w:val="en-US" w:eastAsia="zh-CN"/>
              </w:rPr>
              <w:t>序号</w:t>
            </w:r>
          </w:p>
        </w:tc>
        <w:tc>
          <w:tcPr>
            <w:tcW w:w="0" w:type="auto"/>
            <w:vMerge w:val="restart"/>
            <w:shd w:val="clear" w:color="auto" w:fill="FFFFFF" w:themeFill="background1"/>
            <w:vAlign w:val="center"/>
          </w:tcPr>
          <w:p w14:paraId="7C525DC3">
            <w:pPr>
              <w:widowControl/>
              <w:spacing w:line="360" w:lineRule="auto"/>
              <w:jc w:val="center"/>
              <w:rPr>
                <w:rFonts w:ascii="Times New Roman" w:hAnsi="Times New Roman" w:eastAsia="方正仿宋_GBK" w:cs="Times New Roman"/>
                <w:b/>
                <w:bCs/>
                <w:color w:val="auto"/>
                <w:sz w:val="22"/>
                <w:szCs w:val="18"/>
              </w:rPr>
            </w:pPr>
            <w:r>
              <w:rPr>
                <w:rFonts w:ascii="Times New Roman" w:hAnsi="Times New Roman" w:eastAsia="方正仿宋_GBK" w:cs="Times New Roman"/>
                <w:b/>
                <w:bCs/>
                <w:color w:val="auto"/>
                <w:sz w:val="22"/>
                <w:szCs w:val="18"/>
              </w:rPr>
              <w:t>所在河流</w:t>
            </w:r>
          </w:p>
        </w:tc>
        <w:tc>
          <w:tcPr>
            <w:tcW w:w="0" w:type="auto"/>
            <w:vMerge w:val="restart"/>
            <w:shd w:val="clear" w:color="auto" w:fill="FFFFFF" w:themeFill="background1"/>
            <w:vAlign w:val="center"/>
          </w:tcPr>
          <w:p w14:paraId="2C7916F2">
            <w:pPr>
              <w:widowControl/>
              <w:spacing w:line="360" w:lineRule="auto"/>
              <w:jc w:val="center"/>
              <w:rPr>
                <w:rFonts w:ascii="Times New Roman" w:hAnsi="Times New Roman" w:eastAsia="方正仿宋_GBK" w:cs="Times New Roman"/>
                <w:b/>
                <w:bCs/>
                <w:color w:val="auto"/>
                <w:sz w:val="22"/>
                <w:szCs w:val="18"/>
              </w:rPr>
            </w:pPr>
            <w:r>
              <w:rPr>
                <w:rFonts w:ascii="Times New Roman" w:hAnsi="Times New Roman" w:eastAsia="方正仿宋_GBK" w:cs="Times New Roman"/>
                <w:b/>
                <w:bCs/>
                <w:color w:val="auto"/>
                <w:sz w:val="22"/>
                <w:szCs w:val="18"/>
              </w:rPr>
              <w:t>断面名称</w:t>
            </w:r>
          </w:p>
        </w:tc>
        <w:tc>
          <w:tcPr>
            <w:tcW w:w="0" w:type="auto"/>
            <w:vMerge w:val="restart"/>
            <w:shd w:val="clear" w:color="auto" w:fill="FFFFFF" w:themeFill="background1"/>
            <w:vAlign w:val="center"/>
          </w:tcPr>
          <w:p w14:paraId="4F172254">
            <w:pPr>
              <w:widowControl/>
              <w:spacing w:line="360" w:lineRule="auto"/>
              <w:jc w:val="center"/>
              <w:rPr>
                <w:rFonts w:ascii="Times New Roman" w:hAnsi="Times New Roman" w:eastAsia="方正仿宋_GBK" w:cs="Times New Roman"/>
                <w:b/>
                <w:bCs/>
                <w:color w:val="auto"/>
                <w:sz w:val="22"/>
                <w:szCs w:val="18"/>
              </w:rPr>
            </w:pPr>
            <w:r>
              <w:rPr>
                <w:rFonts w:ascii="Times New Roman" w:hAnsi="Times New Roman" w:eastAsia="方正仿宋_GBK" w:cs="Times New Roman"/>
                <w:b/>
                <w:bCs/>
                <w:color w:val="auto"/>
                <w:sz w:val="22"/>
                <w:szCs w:val="18"/>
              </w:rPr>
              <w:t>断面属性</w:t>
            </w:r>
          </w:p>
        </w:tc>
        <w:tc>
          <w:tcPr>
            <w:tcW w:w="0" w:type="auto"/>
            <w:vMerge w:val="restart"/>
            <w:shd w:val="clear" w:color="auto" w:fill="FFFFFF" w:themeFill="background1"/>
            <w:vAlign w:val="center"/>
          </w:tcPr>
          <w:p w14:paraId="63D8A8AC">
            <w:pPr>
              <w:widowControl/>
              <w:spacing w:line="360" w:lineRule="auto"/>
              <w:jc w:val="center"/>
              <w:rPr>
                <w:rFonts w:ascii="Times New Roman" w:hAnsi="Times New Roman" w:eastAsia="方正仿宋_GBK" w:cs="Times New Roman"/>
                <w:b/>
                <w:bCs/>
                <w:color w:val="auto"/>
                <w:sz w:val="22"/>
                <w:szCs w:val="18"/>
              </w:rPr>
            </w:pPr>
            <w:r>
              <w:rPr>
                <w:rFonts w:ascii="Times New Roman" w:hAnsi="Times New Roman" w:eastAsia="方正仿宋_GBK" w:cs="Times New Roman"/>
                <w:b/>
                <w:bCs/>
                <w:color w:val="auto"/>
                <w:sz w:val="22"/>
                <w:szCs w:val="18"/>
              </w:rPr>
              <w:t>水环境功能</w:t>
            </w:r>
          </w:p>
        </w:tc>
        <w:tc>
          <w:tcPr>
            <w:tcW w:w="0" w:type="auto"/>
            <w:gridSpan w:val="5"/>
            <w:shd w:val="clear" w:color="auto" w:fill="FFFFFF" w:themeFill="background1"/>
            <w:vAlign w:val="center"/>
          </w:tcPr>
          <w:p w14:paraId="6DC81856">
            <w:pPr>
              <w:widowControl/>
              <w:spacing w:line="360" w:lineRule="auto"/>
              <w:jc w:val="center"/>
              <w:rPr>
                <w:rFonts w:hint="default" w:ascii="Times New Roman" w:hAnsi="Times New Roman" w:eastAsia="方正仿宋_GBK" w:cs="Times New Roman"/>
                <w:b/>
                <w:bCs/>
                <w:color w:val="auto"/>
                <w:sz w:val="22"/>
                <w:szCs w:val="18"/>
                <w:lang w:val="en-US" w:eastAsia="zh-CN"/>
              </w:rPr>
            </w:pPr>
            <w:r>
              <w:rPr>
                <w:rFonts w:hint="eastAsia" w:ascii="Times New Roman" w:hAnsi="Times New Roman" w:eastAsia="方正仿宋_GBK" w:cs="Times New Roman"/>
                <w:b/>
                <w:bCs/>
                <w:color w:val="auto"/>
                <w:sz w:val="22"/>
                <w:szCs w:val="18"/>
                <w:lang w:val="en-US" w:eastAsia="zh-CN"/>
              </w:rPr>
              <w:t>水质类别</w:t>
            </w:r>
          </w:p>
        </w:tc>
        <w:tc>
          <w:tcPr>
            <w:tcW w:w="0" w:type="auto"/>
            <w:vMerge w:val="restart"/>
            <w:shd w:val="clear" w:color="auto" w:fill="FFFFFF" w:themeFill="background1"/>
            <w:vAlign w:val="center"/>
          </w:tcPr>
          <w:p w14:paraId="784AC86D">
            <w:pPr>
              <w:widowControl/>
              <w:spacing w:line="360" w:lineRule="auto"/>
              <w:jc w:val="center"/>
              <w:rPr>
                <w:rFonts w:hint="default" w:ascii="Times New Roman" w:hAnsi="Times New Roman" w:eastAsia="方正仿宋_GBK" w:cs="Times New Roman"/>
                <w:b/>
                <w:bCs/>
                <w:color w:val="auto"/>
                <w:sz w:val="22"/>
                <w:szCs w:val="18"/>
                <w:lang w:val="en-US" w:eastAsia="zh-CN"/>
              </w:rPr>
            </w:pPr>
            <w:r>
              <w:rPr>
                <w:rFonts w:hint="eastAsia" w:ascii="Times New Roman" w:hAnsi="Times New Roman" w:eastAsia="方正仿宋_GBK" w:cs="Times New Roman"/>
                <w:b/>
                <w:bCs/>
                <w:color w:val="auto"/>
                <w:sz w:val="22"/>
                <w:szCs w:val="18"/>
                <w:lang w:val="en-US" w:eastAsia="zh-CN"/>
              </w:rPr>
              <w:t>备注</w:t>
            </w:r>
          </w:p>
        </w:tc>
      </w:tr>
      <w:tr w14:paraId="443F5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0" w:hRule="atLeast"/>
          <w:jc w:val="center"/>
        </w:trPr>
        <w:tc>
          <w:tcPr>
            <w:tcW w:w="0" w:type="auto"/>
            <w:vMerge w:val="continue"/>
            <w:shd w:val="clear" w:color="auto" w:fill="FFFFFF" w:themeFill="background1"/>
            <w:vAlign w:val="center"/>
          </w:tcPr>
          <w:p w14:paraId="6095A7EA">
            <w:pPr>
              <w:widowControl/>
              <w:spacing w:line="360" w:lineRule="auto"/>
              <w:jc w:val="center"/>
              <w:rPr>
                <w:rFonts w:ascii="Times New Roman" w:hAnsi="Times New Roman" w:eastAsia="方正仿宋_GBK" w:cs="Times New Roman"/>
                <w:b/>
                <w:bCs/>
                <w:color w:val="auto"/>
                <w:sz w:val="22"/>
                <w:szCs w:val="18"/>
              </w:rPr>
            </w:pPr>
          </w:p>
        </w:tc>
        <w:tc>
          <w:tcPr>
            <w:tcW w:w="0" w:type="auto"/>
            <w:vMerge w:val="continue"/>
            <w:shd w:val="clear" w:color="auto" w:fill="FFFFFF" w:themeFill="background1"/>
            <w:vAlign w:val="center"/>
          </w:tcPr>
          <w:p w14:paraId="0205E555">
            <w:pPr>
              <w:widowControl/>
              <w:spacing w:line="360" w:lineRule="auto"/>
              <w:jc w:val="center"/>
              <w:rPr>
                <w:rFonts w:ascii="Times New Roman" w:hAnsi="Times New Roman" w:eastAsia="方正仿宋_GBK" w:cs="Times New Roman"/>
                <w:b/>
                <w:bCs/>
                <w:color w:val="auto"/>
                <w:sz w:val="22"/>
                <w:szCs w:val="18"/>
              </w:rPr>
            </w:pPr>
          </w:p>
        </w:tc>
        <w:tc>
          <w:tcPr>
            <w:tcW w:w="0" w:type="auto"/>
            <w:vMerge w:val="continue"/>
            <w:shd w:val="clear" w:color="auto" w:fill="FFFFFF" w:themeFill="background1"/>
            <w:vAlign w:val="center"/>
          </w:tcPr>
          <w:p w14:paraId="47ED9AAF">
            <w:pPr>
              <w:widowControl/>
              <w:spacing w:line="360" w:lineRule="auto"/>
              <w:jc w:val="center"/>
              <w:rPr>
                <w:rFonts w:ascii="Times New Roman" w:hAnsi="Times New Roman" w:eastAsia="方正仿宋_GBK" w:cs="Times New Roman"/>
                <w:b/>
                <w:bCs/>
                <w:color w:val="auto"/>
                <w:sz w:val="22"/>
                <w:szCs w:val="18"/>
              </w:rPr>
            </w:pPr>
          </w:p>
        </w:tc>
        <w:tc>
          <w:tcPr>
            <w:tcW w:w="0" w:type="auto"/>
            <w:vMerge w:val="continue"/>
            <w:shd w:val="clear" w:color="auto" w:fill="FFFFFF" w:themeFill="background1"/>
            <w:vAlign w:val="center"/>
          </w:tcPr>
          <w:p w14:paraId="7CBB03BE">
            <w:pPr>
              <w:widowControl/>
              <w:spacing w:line="360" w:lineRule="auto"/>
              <w:jc w:val="center"/>
              <w:rPr>
                <w:rFonts w:ascii="Times New Roman" w:hAnsi="Times New Roman" w:eastAsia="方正仿宋_GBK" w:cs="Times New Roman"/>
                <w:b/>
                <w:bCs/>
                <w:color w:val="auto"/>
                <w:sz w:val="22"/>
                <w:szCs w:val="18"/>
              </w:rPr>
            </w:pPr>
          </w:p>
        </w:tc>
        <w:tc>
          <w:tcPr>
            <w:tcW w:w="0" w:type="auto"/>
            <w:vMerge w:val="continue"/>
            <w:shd w:val="clear" w:color="auto" w:fill="FFFFFF" w:themeFill="background1"/>
            <w:vAlign w:val="center"/>
          </w:tcPr>
          <w:p w14:paraId="58531BE9">
            <w:pPr>
              <w:widowControl/>
              <w:spacing w:line="360" w:lineRule="auto"/>
              <w:jc w:val="center"/>
              <w:rPr>
                <w:rFonts w:ascii="Times New Roman" w:hAnsi="Times New Roman" w:eastAsia="方正仿宋_GBK" w:cs="Times New Roman"/>
                <w:b/>
                <w:bCs/>
                <w:color w:val="auto"/>
                <w:sz w:val="22"/>
                <w:szCs w:val="18"/>
              </w:rPr>
            </w:pPr>
          </w:p>
        </w:tc>
        <w:tc>
          <w:tcPr>
            <w:tcW w:w="0" w:type="auto"/>
            <w:shd w:val="clear" w:color="auto" w:fill="FFFFFF" w:themeFill="background1"/>
            <w:vAlign w:val="center"/>
          </w:tcPr>
          <w:p w14:paraId="55A3B1E5">
            <w:pPr>
              <w:widowControl/>
              <w:spacing w:line="360" w:lineRule="auto"/>
              <w:jc w:val="center"/>
              <w:rPr>
                <w:rFonts w:hint="default" w:ascii="Times New Roman" w:hAnsi="Times New Roman" w:eastAsia="方正仿宋_GBK" w:cs="Times New Roman"/>
                <w:b/>
                <w:bCs/>
                <w:color w:val="auto"/>
                <w:sz w:val="22"/>
                <w:szCs w:val="18"/>
                <w:lang w:val="en-US" w:eastAsia="zh-CN"/>
              </w:rPr>
            </w:pPr>
            <w:r>
              <w:rPr>
                <w:rFonts w:hint="eastAsia" w:ascii="Times New Roman" w:hAnsi="Times New Roman" w:eastAsia="方正仿宋_GBK" w:cs="Times New Roman"/>
                <w:b/>
                <w:bCs/>
                <w:color w:val="auto"/>
                <w:sz w:val="22"/>
                <w:szCs w:val="18"/>
                <w:lang w:val="en-US" w:eastAsia="zh-CN"/>
              </w:rPr>
              <w:t>2017年</w:t>
            </w:r>
          </w:p>
        </w:tc>
        <w:tc>
          <w:tcPr>
            <w:tcW w:w="0" w:type="auto"/>
            <w:shd w:val="clear" w:color="auto" w:fill="FFFFFF" w:themeFill="background1"/>
            <w:vAlign w:val="center"/>
          </w:tcPr>
          <w:p w14:paraId="75558587">
            <w:pPr>
              <w:widowControl/>
              <w:spacing w:line="360" w:lineRule="auto"/>
              <w:jc w:val="center"/>
              <w:rPr>
                <w:rFonts w:hint="default" w:ascii="Times New Roman" w:hAnsi="Times New Roman" w:eastAsia="方正仿宋_GBK" w:cs="Times New Roman"/>
                <w:b/>
                <w:bCs/>
                <w:color w:val="auto"/>
                <w:sz w:val="22"/>
                <w:szCs w:val="18"/>
                <w:lang w:val="en-US" w:eastAsia="zh-CN"/>
              </w:rPr>
            </w:pPr>
            <w:r>
              <w:rPr>
                <w:rFonts w:hint="eastAsia" w:ascii="Times New Roman" w:hAnsi="Times New Roman" w:eastAsia="方正仿宋_GBK" w:cs="Times New Roman"/>
                <w:b/>
                <w:bCs/>
                <w:color w:val="auto"/>
                <w:sz w:val="22"/>
                <w:szCs w:val="18"/>
                <w:lang w:val="en-US" w:eastAsia="zh-CN"/>
              </w:rPr>
              <w:t>2018年</w:t>
            </w:r>
          </w:p>
        </w:tc>
        <w:tc>
          <w:tcPr>
            <w:tcW w:w="0" w:type="auto"/>
            <w:shd w:val="clear" w:color="auto" w:fill="FFFFFF" w:themeFill="background1"/>
            <w:vAlign w:val="center"/>
          </w:tcPr>
          <w:p w14:paraId="11407D22">
            <w:pPr>
              <w:widowControl/>
              <w:spacing w:line="360" w:lineRule="auto"/>
              <w:jc w:val="center"/>
              <w:rPr>
                <w:rFonts w:hint="default" w:ascii="Times New Roman" w:hAnsi="Times New Roman" w:eastAsia="方正仿宋_GBK" w:cs="Times New Roman"/>
                <w:b/>
                <w:bCs/>
                <w:color w:val="auto"/>
                <w:sz w:val="22"/>
                <w:szCs w:val="18"/>
                <w:lang w:val="en-US" w:eastAsia="zh-CN"/>
              </w:rPr>
            </w:pPr>
            <w:r>
              <w:rPr>
                <w:rFonts w:hint="eastAsia" w:ascii="Times New Roman" w:hAnsi="Times New Roman" w:eastAsia="方正仿宋_GBK" w:cs="Times New Roman"/>
                <w:b/>
                <w:bCs/>
                <w:color w:val="auto"/>
                <w:sz w:val="22"/>
                <w:szCs w:val="18"/>
                <w:lang w:val="en-US" w:eastAsia="zh-CN"/>
              </w:rPr>
              <w:t>2019年</w:t>
            </w:r>
          </w:p>
        </w:tc>
        <w:tc>
          <w:tcPr>
            <w:tcW w:w="0" w:type="auto"/>
            <w:shd w:val="clear" w:color="auto" w:fill="FFFFFF" w:themeFill="background1"/>
            <w:vAlign w:val="center"/>
          </w:tcPr>
          <w:p w14:paraId="48614C70">
            <w:pPr>
              <w:widowControl/>
              <w:spacing w:line="360" w:lineRule="auto"/>
              <w:jc w:val="center"/>
              <w:rPr>
                <w:rFonts w:hint="default" w:ascii="Times New Roman" w:hAnsi="Times New Roman" w:eastAsia="方正仿宋_GBK" w:cs="Times New Roman"/>
                <w:b/>
                <w:bCs/>
                <w:color w:val="auto"/>
                <w:sz w:val="22"/>
                <w:szCs w:val="18"/>
                <w:lang w:val="en-US" w:eastAsia="zh-CN"/>
              </w:rPr>
            </w:pPr>
            <w:r>
              <w:rPr>
                <w:rFonts w:hint="eastAsia" w:ascii="Times New Roman" w:hAnsi="Times New Roman" w:eastAsia="方正仿宋_GBK" w:cs="Times New Roman"/>
                <w:b/>
                <w:bCs/>
                <w:color w:val="auto"/>
                <w:sz w:val="22"/>
                <w:szCs w:val="18"/>
                <w:lang w:val="en-US" w:eastAsia="zh-CN"/>
              </w:rPr>
              <w:t>2020年</w:t>
            </w:r>
          </w:p>
        </w:tc>
        <w:tc>
          <w:tcPr>
            <w:tcW w:w="0" w:type="auto"/>
            <w:shd w:val="clear" w:color="auto" w:fill="FFFFFF" w:themeFill="background1"/>
            <w:vAlign w:val="center"/>
          </w:tcPr>
          <w:p w14:paraId="6B035653">
            <w:pPr>
              <w:widowControl/>
              <w:spacing w:line="360" w:lineRule="auto"/>
              <w:jc w:val="center"/>
              <w:rPr>
                <w:rFonts w:hint="default" w:ascii="Times New Roman" w:hAnsi="Times New Roman" w:eastAsia="方正仿宋_GBK" w:cs="Times New Roman"/>
                <w:b/>
                <w:bCs/>
                <w:color w:val="auto"/>
                <w:sz w:val="22"/>
                <w:szCs w:val="18"/>
                <w:lang w:val="en-US" w:eastAsia="zh-CN"/>
              </w:rPr>
            </w:pPr>
            <w:r>
              <w:rPr>
                <w:rFonts w:hint="eastAsia" w:ascii="Times New Roman" w:hAnsi="Times New Roman" w:eastAsia="方正仿宋_GBK" w:cs="Times New Roman"/>
                <w:b/>
                <w:bCs/>
                <w:color w:val="auto"/>
                <w:sz w:val="22"/>
                <w:szCs w:val="18"/>
                <w:lang w:val="en-US" w:eastAsia="zh-CN"/>
              </w:rPr>
              <w:t>2021年</w:t>
            </w:r>
          </w:p>
        </w:tc>
        <w:tc>
          <w:tcPr>
            <w:tcW w:w="0" w:type="auto"/>
            <w:vMerge w:val="continue"/>
            <w:shd w:val="clear" w:color="auto" w:fill="FFFFFF" w:themeFill="background1"/>
            <w:vAlign w:val="center"/>
          </w:tcPr>
          <w:p w14:paraId="20586DA1">
            <w:pPr>
              <w:widowControl/>
              <w:spacing w:line="360" w:lineRule="auto"/>
              <w:jc w:val="center"/>
              <w:rPr>
                <w:rFonts w:hint="eastAsia" w:ascii="Times New Roman" w:hAnsi="Times New Roman" w:eastAsia="方正仿宋_GBK" w:cs="Times New Roman"/>
                <w:b/>
                <w:bCs/>
                <w:color w:val="auto"/>
                <w:sz w:val="22"/>
                <w:szCs w:val="18"/>
                <w:lang w:val="en-US" w:eastAsia="zh-CN"/>
              </w:rPr>
            </w:pPr>
          </w:p>
        </w:tc>
      </w:tr>
      <w:tr w14:paraId="27E40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0" w:type="auto"/>
            <w:shd w:val="clear" w:color="auto" w:fill="FFFFFF" w:themeFill="background1"/>
            <w:vAlign w:val="center"/>
          </w:tcPr>
          <w:p w14:paraId="06765658">
            <w:pPr>
              <w:adjustRightInd w:val="0"/>
              <w:snapToGrid w:val="0"/>
              <w:spacing w:line="400" w:lineRule="exact"/>
              <w:jc w:val="center"/>
              <w:rPr>
                <w:rFonts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rPr>
              <w:t>1</w:t>
            </w:r>
          </w:p>
        </w:tc>
        <w:tc>
          <w:tcPr>
            <w:tcW w:w="0" w:type="auto"/>
            <w:shd w:val="clear" w:color="auto" w:fill="FFFFFF" w:themeFill="background1"/>
            <w:vAlign w:val="center"/>
          </w:tcPr>
          <w:p w14:paraId="34A0347A">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ascii="Times New Roman" w:hAnsi="Times New Roman" w:eastAsia="方正仿宋_GBK" w:cs="Times New Roman"/>
                <w:color w:val="auto"/>
                <w:sz w:val="24"/>
                <w:szCs w:val="20"/>
              </w:rPr>
              <w:t>小河底河</w:t>
            </w:r>
          </w:p>
        </w:tc>
        <w:tc>
          <w:tcPr>
            <w:tcW w:w="0" w:type="auto"/>
            <w:shd w:val="clear" w:color="auto" w:fill="FFFFFF" w:themeFill="background1"/>
            <w:vAlign w:val="center"/>
          </w:tcPr>
          <w:p w14:paraId="19BEBB04">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化念河水库</w:t>
            </w:r>
          </w:p>
        </w:tc>
        <w:tc>
          <w:tcPr>
            <w:tcW w:w="0" w:type="auto"/>
            <w:shd w:val="clear" w:color="auto" w:fill="FFFFFF" w:themeFill="background1"/>
            <w:vAlign w:val="center"/>
          </w:tcPr>
          <w:p w14:paraId="23A5EEE6">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国控</w:t>
            </w:r>
          </w:p>
        </w:tc>
        <w:tc>
          <w:tcPr>
            <w:tcW w:w="0" w:type="auto"/>
            <w:shd w:val="clear" w:color="auto" w:fill="FFFFFF" w:themeFill="background1"/>
            <w:vAlign w:val="center"/>
          </w:tcPr>
          <w:p w14:paraId="626BF04A">
            <w:pPr>
              <w:adjustRightInd w:val="0"/>
              <w:snapToGrid w:val="0"/>
              <w:spacing w:line="400" w:lineRule="exact"/>
              <w:jc w:val="center"/>
              <w:rPr>
                <w:rFonts w:hint="eastAsia" w:ascii="Times New Roman" w:hAnsi="Times New Roman" w:eastAsia="方正仿宋_GBK" w:cs="Times New Roman"/>
                <w:color w:val="auto"/>
                <w:sz w:val="24"/>
                <w:szCs w:val="20"/>
              </w:rPr>
            </w:pPr>
            <w:r>
              <w:rPr>
                <w:rFonts w:hint="eastAsia" w:ascii="Times New Roman" w:hAnsi="Times New Roman" w:eastAsia="方正仿宋_GBK" w:cs="Times New Roman"/>
                <w:color w:val="auto"/>
                <w:sz w:val="24"/>
                <w:szCs w:val="20"/>
              </w:rPr>
              <w:t>Ⅲ类</w:t>
            </w:r>
          </w:p>
        </w:tc>
        <w:tc>
          <w:tcPr>
            <w:tcW w:w="0" w:type="auto"/>
            <w:shd w:val="clear" w:color="auto" w:fill="FFFFFF" w:themeFill="background1"/>
            <w:vAlign w:val="center"/>
          </w:tcPr>
          <w:p w14:paraId="2FF72CFC">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w:t>
            </w:r>
          </w:p>
        </w:tc>
        <w:tc>
          <w:tcPr>
            <w:tcW w:w="0" w:type="auto"/>
            <w:shd w:val="clear" w:color="auto" w:fill="FFFFFF" w:themeFill="background1"/>
            <w:vAlign w:val="center"/>
          </w:tcPr>
          <w:p w14:paraId="5C690091">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w:t>
            </w:r>
          </w:p>
        </w:tc>
        <w:tc>
          <w:tcPr>
            <w:tcW w:w="0" w:type="auto"/>
            <w:shd w:val="clear" w:color="auto" w:fill="FFFFFF" w:themeFill="background1"/>
            <w:vAlign w:val="center"/>
          </w:tcPr>
          <w:p w14:paraId="76D8D9AD">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w:t>
            </w:r>
          </w:p>
        </w:tc>
        <w:tc>
          <w:tcPr>
            <w:tcW w:w="0" w:type="auto"/>
            <w:shd w:val="clear" w:color="auto" w:fill="FFFFFF" w:themeFill="background1"/>
            <w:vAlign w:val="center"/>
          </w:tcPr>
          <w:p w14:paraId="02C61F53">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w:t>
            </w:r>
          </w:p>
        </w:tc>
        <w:tc>
          <w:tcPr>
            <w:tcW w:w="0" w:type="auto"/>
            <w:shd w:val="clear" w:color="auto" w:fill="FFFFFF" w:themeFill="background1"/>
            <w:vAlign w:val="center"/>
          </w:tcPr>
          <w:p w14:paraId="1EF7CE2B">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rPr>
              <w:t>Ⅱ类</w:t>
            </w:r>
          </w:p>
        </w:tc>
        <w:tc>
          <w:tcPr>
            <w:tcW w:w="0" w:type="auto"/>
            <w:shd w:val="clear" w:color="auto" w:fill="FFFFFF" w:themeFill="background1"/>
            <w:vAlign w:val="center"/>
          </w:tcPr>
          <w:p w14:paraId="71D4AC94">
            <w:pPr>
              <w:adjustRightInd w:val="0"/>
              <w:snapToGrid w:val="0"/>
              <w:spacing w:line="400" w:lineRule="exact"/>
              <w:jc w:val="center"/>
              <w:rPr>
                <w:rFonts w:hint="eastAsia" w:ascii="Times New Roman" w:hAnsi="Times New Roman" w:eastAsia="方正仿宋_GBK" w:cs="Times New Roman"/>
                <w:color w:val="auto"/>
                <w:sz w:val="24"/>
                <w:szCs w:val="20"/>
              </w:rPr>
            </w:pPr>
          </w:p>
        </w:tc>
      </w:tr>
      <w:tr w14:paraId="68C13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vMerge w:val="restart"/>
            <w:shd w:val="clear" w:color="auto" w:fill="FFFFFF" w:themeFill="background1"/>
            <w:vAlign w:val="center"/>
          </w:tcPr>
          <w:p w14:paraId="488226B1">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rPr>
              <w:t>2</w:t>
            </w:r>
          </w:p>
        </w:tc>
        <w:tc>
          <w:tcPr>
            <w:tcW w:w="0" w:type="auto"/>
            <w:vMerge w:val="restart"/>
            <w:shd w:val="clear" w:color="auto" w:fill="FFFFFF" w:themeFill="background1"/>
            <w:vAlign w:val="center"/>
          </w:tcPr>
          <w:p w14:paraId="7FE6CEEC">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rPr>
              <w:t>平甸河</w:t>
            </w:r>
          </w:p>
        </w:tc>
        <w:tc>
          <w:tcPr>
            <w:tcW w:w="0" w:type="auto"/>
            <w:shd w:val="clear" w:color="auto" w:fill="FFFFFF" w:themeFill="background1"/>
            <w:vAlign w:val="center"/>
          </w:tcPr>
          <w:p w14:paraId="35D98E5F">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他拉河水库</w:t>
            </w:r>
          </w:p>
        </w:tc>
        <w:tc>
          <w:tcPr>
            <w:tcW w:w="0" w:type="auto"/>
            <w:shd w:val="clear" w:color="auto" w:fill="FFFFFF" w:themeFill="background1"/>
            <w:vAlign w:val="center"/>
          </w:tcPr>
          <w:p w14:paraId="7A2AA52C">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省控</w:t>
            </w:r>
          </w:p>
        </w:tc>
        <w:tc>
          <w:tcPr>
            <w:tcW w:w="0" w:type="auto"/>
            <w:shd w:val="clear" w:color="auto" w:fill="FFFFFF" w:themeFill="background1"/>
            <w:vAlign w:val="center"/>
          </w:tcPr>
          <w:p w14:paraId="28579F6B">
            <w:pPr>
              <w:adjustRightInd w:val="0"/>
              <w:snapToGrid w:val="0"/>
              <w:spacing w:line="400" w:lineRule="exact"/>
              <w:jc w:val="center"/>
              <w:rPr>
                <w:rFonts w:hint="eastAsia" w:ascii="Times New Roman" w:hAnsi="Times New Roman" w:eastAsia="方正仿宋_GBK" w:cs="Times New Roman"/>
                <w:color w:val="auto"/>
                <w:sz w:val="24"/>
                <w:szCs w:val="20"/>
              </w:rPr>
            </w:pPr>
            <w:r>
              <w:rPr>
                <w:rFonts w:hint="eastAsia" w:ascii="Times New Roman" w:hAnsi="Times New Roman" w:eastAsia="方正仿宋_GBK" w:cs="Times New Roman"/>
                <w:color w:val="auto"/>
                <w:sz w:val="24"/>
                <w:szCs w:val="20"/>
              </w:rPr>
              <w:t>Ⅲ类</w:t>
            </w:r>
          </w:p>
        </w:tc>
        <w:tc>
          <w:tcPr>
            <w:tcW w:w="0" w:type="auto"/>
            <w:shd w:val="clear" w:color="auto" w:fill="FFFFFF" w:themeFill="background1"/>
            <w:vAlign w:val="center"/>
          </w:tcPr>
          <w:p w14:paraId="42C246DA">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w:t>
            </w:r>
          </w:p>
        </w:tc>
        <w:tc>
          <w:tcPr>
            <w:tcW w:w="0" w:type="auto"/>
            <w:shd w:val="clear" w:color="auto" w:fill="FFFFFF" w:themeFill="background1"/>
            <w:vAlign w:val="center"/>
          </w:tcPr>
          <w:p w14:paraId="7647374A">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w:t>
            </w:r>
          </w:p>
        </w:tc>
        <w:tc>
          <w:tcPr>
            <w:tcW w:w="0" w:type="auto"/>
            <w:shd w:val="clear" w:color="auto" w:fill="FFFFFF" w:themeFill="background1"/>
            <w:vAlign w:val="center"/>
          </w:tcPr>
          <w:p w14:paraId="46561A3C">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w:t>
            </w:r>
          </w:p>
        </w:tc>
        <w:tc>
          <w:tcPr>
            <w:tcW w:w="0" w:type="auto"/>
            <w:shd w:val="clear" w:color="auto" w:fill="FFFFFF" w:themeFill="background1"/>
            <w:vAlign w:val="center"/>
          </w:tcPr>
          <w:p w14:paraId="487E829E">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w:t>
            </w:r>
          </w:p>
        </w:tc>
        <w:tc>
          <w:tcPr>
            <w:tcW w:w="0" w:type="auto"/>
            <w:shd w:val="clear" w:color="auto" w:fill="FFFFFF" w:themeFill="background1"/>
            <w:vAlign w:val="center"/>
          </w:tcPr>
          <w:p w14:paraId="21B9F1F6">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rPr>
              <w:t>Ⅲ类</w:t>
            </w:r>
          </w:p>
        </w:tc>
        <w:tc>
          <w:tcPr>
            <w:tcW w:w="0" w:type="auto"/>
            <w:shd w:val="clear" w:color="auto" w:fill="FFFFFF" w:themeFill="background1"/>
            <w:vAlign w:val="center"/>
          </w:tcPr>
          <w:p w14:paraId="66265F5B">
            <w:pPr>
              <w:adjustRightInd w:val="0"/>
              <w:snapToGrid w:val="0"/>
              <w:spacing w:line="400" w:lineRule="exact"/>
              <w:jc w:val="center"/>
              <w:rPr>
                <w:rFonts w:hint="eastAsia" w:ascii="Times New Roman" w:hAnsi="Times New Roman" w:eastAsia="方正仿宋_GBK" w:cs="Times New Roman"/>
                <w:color w:val="auto"/>
                <w:sz w:val="24"/>
                <w:szCs w:val="20"/>
              </w:rPr>
            </w:pPr>
          </w:p>
        </w:tc>
      </w:tr>
      <w:tr w14:paraId="3A31E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0" w:type="auto"/>
            <w:vMerge w:val="continue"/>
            <w:shd w:val="clear" w:color="auto" w:fill="FFFFFF" w:themeFill="background1"/>
            <w:vAlign w:val="center"/>
          </w:tcPr>
          <w:p w14:paraId="6D962E45">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p>
        </w:tc>
        <w:tc>
          <w:tcPr>
            <w:tcW w:w="0" w:type="auto"/>
            <w:vMerge w:val="continue"/>
            <w:shd w:val="clear" w:color="auto" w:fill="FFFFFF" w:themeFill="background1"/>
            <w:vAlign w:val="center"/>
          </w:tcPr>
          <w:p w14:paraId="76561E55">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p>
        </w:tc>
        <w:tc>
          <w:tcPr>
            <w:tcW w:w="0" w:type="auto"/>
            <w:shd w:val="clear" w:color="auto" w:fill="FFFFFF" w:themeFill="background1"/>
            <w:vAlign w:val="center"/>
          </w:tcPr>
          <w:p w14:paraId="2B13A339">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居拉里大桥</w:t>
            </w:r>
          </w:p>
        </w:tc>
        <w:tc>
          <w:tcPr>
            <w:tcW w:w="0" w:type="auto"/>
            <w:shd w:val="clear" w:color="auto" w:fill="FFFFFF" w:themeFill="background1"/>
            <w:vAlign w:val="center"/>
          </w:tcPr>
          <w:p w14:paraId="27170687">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省控</w:t>
            </w:r>
          </w:p>
        </w:tc>
        <w:tc>
          <w:tcPr>
            <w:tcW w:w="0" w:type="auto"/>
            <w:shd w:val="clear" w:color="auto" w:fill="FFFFFF" w:themeFill="background1"/>
            <w:vAlign w:val="center"/>
          </w:tcPr>
          <w:p w14:paraId="69A3CCB5">
            <w:pPr>
              <w:adjustRightInd w:val="0"/>
              <w:snapToGrid w:val="0"/>
              <w:spacing w:line="400" w:lineRule="exact"/>
              <w:jc w:val="center"/>
              <w:rPr>
                <w:rFonts w:hint="eastAsia" w:ascii="Times New Roman" w:hAnsi="Times New Roman" w:eastAsia="方正仿宋_GBK" w:cs="Times New Roman"/>
                <w:color w:val="auto"/>
                <w:sz w:val="24"/>
                <w:szCs w:val="20"/>
              </w:rPr>
            </w:pPr>
            <w:r>
              <w:rPr>
                <w:rFonts w:hint="eastAsia" w:ascii="Times New Roman" w:hAnsi="Times New Roman" w:eastAsia="方正仿宋_GBK" w:cs="Times New Roman"/>
                <w:color w:val="auto"/>
                <w:sz w:val="24"/>
                <w:szCs w:val="20"/>
              </w:rPr>
              <w:t>Ⅲ类</w:t>
            </w:r>
          </w:p>
        </w:tc>
        <w:tc>
          <w:tcPr>
            <w:tcW w:w="0" w:type="auto"/>
            <w:shd w:val="clear" w:color="auto" w:fill="FFFFFF" w:themeFill="background1"/>
            <w:vAlign w:val="center"/>
          </w:tcPr>
          <w:p w14:paraId="62D44C31">
            <w:pPr>
              <w:adjustRightInd w:val="0"/>
              <w:snapToGrid w:val="0"/>
              <w:spacing w:line="400" w:lineRule="exact"/>
              <w:jc w:val="center"/>
              <w:rPr>
                <w:rFonts w:hint="eastAsia" w:ascii="Times New Roman" w:hAnsi="Times New Roman" w:eastAsia="方正仿宋_GBK" w:cs="Times New Roman"/>
                <w:color w:val="auto"/>
                <w:sz w:val="24"/>
                <w:szCs w:val="20"/>
              </w:rPr>
            </w:pPr>
            <w:r>
              <w:rPr>
                <w:rFonts w:hint="eastAsia" w:ascii="Times New Roman" w:hAnsi="Times New Roman" w:eastAsia="方正仿宋_GBK" w:cs="Times New Roman"/>
                <w:color w:val="auto"/>
                <w:sz w:val="24"/>
                <w:szCs w:val="20"/>
                <w:lang w:val="en-US" w:eastAsia="zh-CN"/>
              </w:rPr>
              <w:t>Ⅱ类</w:t>
            </w:r>
          </w:p>
        </w:tc>
        <w:tc>
          <w:tcPr>
            <w:tcW w:w="0" w:type="auto"/>
            <w:shd w:val="clear" w:color="auto" w:fill="FFFFFF" w:themeFill="background1"/>
            <w:vAlign w:val="center"/>
          </w:tcPr>
          <w:p w14:paraId="6EB097A1">
            <w:pPr>
              <w:adjustRightInd w:val="0"/>
              <w:snapToGrid w:val="0"/>
              <w:spacing w:line="400" w:lineRule="exact"/>
              <w:jc w:val="center"/>
              <w:rPr>
                <w:rFonts w:hint="eastAsia" w:ascii="Times New Roman" w:hAnsi="Times New Roman" w:eastAsia="方正仿宋_GBK" w:cs="Times New Roman"/>
                <w:color w:val="auto"/>
                <w:sz w:val="24"/>
                <w:szCs w:val="20"/>
              </w:rPr>
            </w:pPr>
            <w:r>
              <w:rPr>
                <w:rFonts w:hint="eastAsia" w:ascii="Times New Roman" w:hAnsi="Times New Roman" w:eastAsia="方正仿宋_GBK" w:cs="Times New Roman"/>
                <w:color w:val="auto"/>
                <w:sz w:val="24"/>
                <w:szCs w:val="20"/>
                <w:lang w:val="en-US" w:eastAsia="zh-CN"/>
              </w:rPr>
              <w:t>Ⅲ类</w:t>
            </w:r>
          </w:p>
        </w:tc>
        <w:tc>
          <w:tcPr>
            <w:tcW w:w="0" w:type="auto"/>
            <w:shd w:val="clear" w:color="auto" w:fill="FFFFFF" w:themeFill="background1"/>
            <w:vAlign w:val="center"/>
          </w:tcPr>
          <w:p w14:paraId="1AAFA3B5">
            <w:pPr>
              <w:adjustRightInd w:val="0"/>
              <w:snapToGrid w:val="0"/>
              <w:spacing w:line="400" w:lineRule="exact"/>
              <w:jc w:val="center"/>
              <w:rPr>
                <w:rFonts w:hint="eastAsia" w:ascii="Times New Roman" w:hAnsi="Times New Roman" w:eastAsia="方正仿宋_GBK" w:cs="Times New Roman"/>
                <w:color w:val="auto"/>
                <w:sz w:val="24"/>
                <w:szCs w:val="20"/>
              </w:rPr>
            </w:pPr>
            <w:r>
              <w:rPr>
                <w:rFonts w:hint="eastAsia" w:ascii="Times New Roman" w:hAnsi="Times New Roman" w:eastAsia="方正仿宋_GBK" w:cs="Times New Roman"/>
                <w:color w:val="auto"/>
                <w:sz w:val="24"/>
                <w:szCs w:val="20"/>
                <w:lang w:val="en-US" w:eastAsia="zh-CN"/>
              </w:rPr>
              <w:t>Ⅲ类</w:t>
            </w:r>
          </w:p>
        </w:tc>
        <w:tc>
          <w:tcPr>
            <w:tcW w:w="0" w:type="auto"/>
            <w:shd w:val="clear" w:color="auto" w:fill="FFFFFF" w:themeFill="background1"/>
            <w:vAlign w:val="center"/>
          </w:tcPr>
          <w:p w14:paraId="35299181">
            <w:pPr>
              <w:adjustRightInd w:val="0"/>
              <w:snapToGrid w:val="0"/>
              <w:spacing w:line="400" w:lineRule="exact"/>
              <w:jc w:val="center"/>
              <w:rPr>
                <w:rFonts w:hint="eastAsia" w:ascii="Times New Roman" w:hAnsi="Times New Roman" w:eastAsia="方正仿宋_GBK" w:cs="Times New Roman"/>
                <w:color w:val="auto"/>
                <w:sz w:val="24"/>
                <w:szCs w:val="20"/>
              </w:rPr>
            </w:pPr>
            <w:r>
              <w:rPr>
                <w:rFonts w:hint="eastAsia" w:ascii="Times New Roman" w:hAnsi="Times New Roman" w:eastAsia="方正仿宋_GBK" w:cs="Times New Roman"/>
                <w:color w:val="auto"/>
                <w:sz w:val="24"/>
                <w:szCs w:val="20"/>
                <w:lang w:val="en-US" w:eastAsia="zh-CN"/>
              </w:rPr>
              <w:t>Ⅲ类</w:t>
            </w:r>
          </w:p>
        </w:tc>
        <w:tc>
          <w:tcPr>
            <w:tcW w:w="0" w:type="auto"/>
            <w:shd w:val="clear" w:color="auto" w:fill="FFFFFF" w:themeFill="background1"/>
            <w:vAlign w:val="center"/>
          </w:tcPr>
          <w:p w14:paraId="6C0B6F14">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rPr>
              <w:t>Ⅱ类</w:t>
            </w:r>
          </w:p>
        </w:tc>
        <w:tc>
          <w:tcPr>
            <w:tcW w:w="0" w:type="auto"/>
            <w:shd w:val="clear" w:color="auto" w:fill="FFFFFF" w:themeFill="background1"/>
            <w:vAlign w:val="center"/>
          </w:tcPr>
          <w:p w14:paraId="6DE510B0">
            <w:pPr>
              <w:adjustRightInd w:val="0"/>
              <w:snapToGrid w:val="0"/>
              <w:spacing w:line="400" w:lineRule="exact"/>
              <w:jc w:val="center"/>
              <w:rPr>
                <w:rFonts w:hint="eastAsia" w:ascii="Times New Roman" w:hAnsi="Times New Roman" w:eastAsia="方正仿宋_GBK" w:cs="Times New Roman"/>
                <w:color w:val="auto"/>
                <w:sz w:val="24"/>
                <w:szCs w:val="20"/>
              </w:rPr>
            </w:pPr>
          </w:p>
        </w:tc>
      </w:tr>
      <w:tr w14:paraId="17DED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0" w:type="auto"/>
            <w:vMerge w:val="restart"/>
            <w:shd w:val="clear" w:color="auto" w:fill="FFFFFF" w:themeFill="background1"/>
            <w:vAlign w:val="center"/>
          </w:tcPr>
          <w:p w14:paraId="4C687A63">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w:t>
            </w:r>
          </w:p>
        </w:tc>
        <w:tc>
          <w:tcPr>
            <w:tcW w:w="0" w:type="auto"/>
            <w:vMerge w:val="restart"/>
            <w:shd w:val="clear" w:color="auto" w:fill="FFFFFF" w:themeFill="background1"/>
            <w:vAlign w:val="center"/>
          </w:tcPr>
          <w:p w14:paraId="725CEA29">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rPr>
              <w:t>戛洒江</w:t>
            </w:r>
          </w:p>
        </w:tc>
        <w:tc>
          <w:tcPr>
            <w:tcW w:w="0" w:type="auto"/>
            <w:shd w:val="clear" w:color="auto" w:fill="FFFFFF" w:themeFill="background1"/>
            <w:vAlign w:val="center"/>
          </w:tcPr>
          <w:p w14:paraId="1C283CEC">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南媷</w:t>
            </w:r>
          </w:p>
        </w:tc>
        <w:tc>
          <w:tcPr>
            <w:tcW w:w="0" w:type="auto"/>
            <w:shd w:val="clear" w:color="auto" w:fill="FFFFFF" w:themeFill="background1"/>
            <w:vAlign w:val="center"/>
          </w:tcPr>
          <w:p w14:paraId="0D4C15D7">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省控</w:t>
            </w:r>
          </w:p>
        </w:tc>
        <w:tc>
          <w:tcPr>
            <w:tcW w:w="0" w:type="auto"/>
            <w:shd w:val="clear" w:color="auto" w:fill="FFFFFF" w:themeFill="background1"/>
            <w:vAlign w:val="center"/>
          </w:tcPr>
          <w:p w14:paraId="2114DF6D">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rPr>
              <w:t>Ⅲ类</w:t>
            </w:r>
          </w:p>
        </w:tc>
        <w:tc>
          <w:tcPr>
            <w:tcW w:w="0" w:type="auto"/>
            <w:shd w:val="clear" w:color="auto" w:fill="FFFFFF" w:themeFill="background1"/>
            <w:vAlign w:val="center"/>
          </w:tcPr>
          <w:p w14:paraId="53C17CDB">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Ⅱ类</w:t>
            </w:r>
          </w:p>
        </w:tc>
        <w:tc>
          <w:tcPr>
            <w:tcW w:w="0" w:type="auto"/>
            <w:shd w:val="clear" w:color="auto" w:fill="FFFFFF" w:themeFill="background1"/>
            <w:vAlign w:val="center"/>
          </w:tcPr>
          <w:p w14:paraId="3F11877D">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Ⅲ类</w:t>
            </w:r>
          </w:p>
        </w:tc>
        <w:tc>
          <w:tcPr>
            <w:tcW w:w="0" w:type="auto"/>
            <w:shd w:val="clear" w:color="auto" w:fill="FFFFFF" w:themeFill="background1"/>
            <w:vAlign w:val="center"/>
          </w:tcPr>
          <w:p w14:paraId="7728ECC0">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Ⅲ类</w:t>
            </w:r>
          </w:p>
        </w:tc>
        <w:tc>
          <w:tcPr>
            <w:tcW w:w="0" w:type="auto"/>
            <w:shd w:val="clear" w:color="auto" w:fill="FFFFFF" w:themeFill="background1"/>
            <w:vAlign w:val="center"/>
          </w:tcPr>
          <w:p w14:paraId="4083F56F">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Ⅱ类</w:t>
            </w:r>
          </w:p>
        </w:tc>
        <w:tc>
          <w:tcPr>
            <w:tcW w:w="0" w:type="auto"/>
            <w:shd w:val="clear" w:color="auto" w:fill="FFFFFF" w:themeFill="background1"/>
            <w:vAlign w:val="center"/>
          </w:tcPr>
          <w:p w14:paraId="07F5452B">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Ⅱ类</w:t>
            </w:r>
          </w:p>
        </w:tc>
        <w:tc>
          <w:tcPr>
            <w:tcW w:w="0" w:type="auto"/>
            <w:shd w:val="clear" w:color="auto" w:fill="FFFFFF" w:themeFill="background1"/>
            <w:vAlign w:val="center"/>
          </w:tcPr>
          <w:p w14:paraId="781D52E7">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p>
        </w:tc>
      </w:tr>
      <w:tr w14:paraId="3EA3B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0" w:hRule="atLeast"/>
          <w:jc w:val="center"/>
        </w:trPr>
        <w:tc>
          <w:tcPr>
            <w:tcW w:w="0" w:type="auto"/>
            <w:vMerge w:val="continue"/>
            <w:shd w:val="clear" w:color="auto" w:fill="FFFFFF" w:themeFill="background1"/>
            <w:vAlign w:val="center"/>
          </w:tcPr>
          <w:p w14:paraId="57C90763">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p>
        </w:tc>
        <w:tc>
          <w:tcPr>
            <w:tcW w:w="0" w:type="auto"/>
            <w:vMerge w:val="continue"/>
            <w:shd w:val="clear" w:color="auto" w:fill="FFFFFF" w:themeFill="background1"/>
            <w:vAlign w:val="center"/>
          </w:tcPr>
          <w:p w14:paraId="4F7ADD78">
            <w:pPr>
              <w:adjustRightInd w:val="0"/>
              <w:snapToGrid w:val="0"/>
              <w:spacing w:line="400" w:lineRule="exact"/>
              <w:jc w:val="center"/>
              <w:rPr>
                <w:rFonts w:hint="eastAsia" w:ascii="Times New Roman" w:hAnsi="Times New Roman" w:eastAsia="方正仿宋_GBK" w:cs="Times New Roman"/>
                <w:color w:val="auto"/>
                <w:sz w:val="24"/>
                <w:szCs w:val="20"/>
              </w:rPr>
            </w:pPr>
          </w:p>
        </w:tc>
        <w:tc>
          <w:tcPr>
            <w:tcW w:w="0" w:type="auto"/>
            <w:shd w:val="clear" w:color="auto" w:fill="FFFFFF" w:themeFill="background1"/>
            <w:vAlign w:val="center"/>
          </w:tcPr>
          <w:p w14:paraId="211ABAB6">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三江口</w:t>
            </w:r>
          </w:p>
        </w:tc>
        <w:tc>
          <w:tcPr>
            <w:tcW w:w="0" w:type="auto"/>
            <w:shd w:val="clear" w:color="auto" w:fill="FFFFFF" w:themeFill="background1"/>
            <w:vAlign w:val="center"/>
          </w:tcPr>
          <w:p w14:paraId="2D44996D">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国控</w:t>
            </w:r>
          </w:p>
        </w:tc>
        <w:tc>
          <w:tcPr>
            <w:tcW w:w="0" w:type="auto"/>
            <w:shd w:val="clear" w:color="auto" w:fill="FFFFFF" w:themeFill="background1"/>
            <w:vAlign w:val="center"/>
          </w:tcPr>
          <w:p w14:paraId="5D95A2E4">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Ⅱ类</w:t>
            </w:r>
          </w:p>
        </w:tc>
        <w:tc>
          <w:tcPr>
            <w:tcW w:w="0" w:type="auto"/>
            <w:shd w:val="clear" w:color="auto" w:fill="FFFFFF" w:themeFill="background1"/>
            <w:vAlign w:val="center"/>
          </w:tcPr>
          <w:p w14:paraId="6A6BB529">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Ⅱ类</w:t>
            </w:r>
          </w:p>
        </w:tc>
        <w:tc>
          <w:tcPr>
            <w:tcW w:w="0" w:type="auto"/>
            <w:shd w:val="clear" w:color="auto" w:fill="FFFFFF" w:themeFill="background1"/>
            <w:vAlign w:val="center"/>
          </w:tcPr>
          <w:p w14:paraId="421BDE4E">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Ⅲ类</w:t>
            </w:r>
          </w:p>
        </w:tc>
        <w:tc>
          <w:tcPr>
            <w:tcW w:w="0" w:type="auto"/>
            <w:shd w:val="clear" w:color="auto" w:fill="FFFFFF" w:themeFill="background1"/>
            <w:vAlign w:val="center"/>
          </w:tcPr>
          <w:p w14:paraId="6C28D9D9">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Ⅲ类</w:t>
            </w:r>
          </w:p>
        </w:tc>
        <w:tc>
          <w:tcPr>
            <w:tcW w:w="0" w:type="auto"/>
            <w:shd w:val="clear" w:color="auto" w:fill="FFFFFF" w:themeFill="background1"/>
            <w:vAlign w:val="center"/>
          </w:tcPr>
          <w:p w14:paraId="6161CBCE">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Ⅱ类</w:t>
            </w:r>
          </w:p>
        </w:tc>
        <w:tc>
          <w:tcPr>
            <w:tcW w:w="0" w:type="auto"/>
            <w:shd w:val="clear" w:color="auto" w:fill="FFFFFF" w:themeFill="background1"/>
            <w:vAlign w:val="center"/>
          </w:tcPr>
          <w:p w14:paraId="277C37FE">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w:t>
            </w:r>
          </w:p>
        </w:tc>
        <w:tc>
          <w:tcPr>
            <w:tcW w:w="0" w:type="auto"/>
            <w:shd w:val="clear" w:color="auto" w:fill="FFFFFF" w:themeFill="background1"/>
            <w:vAlign w:val="center"/>
          </w:tcPr>
          <w:p w14:paraId="264C5C43">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2021年已调整，不再为新平县考核断面</w:t>
            </w:r>
          </w:p>
        </w:tc>
      </w:tr>
    </w:tbl>
    <w:p w14:paraId="5C0D0A5C">
      <w:pPr>
        <w:keepNext w:val="0"/>
        <w:keepLines w:val="0"/>
        <w:pageBreakBefore w:val="0"/>
        <w:widowControl/>
        <w:kinsoku/>
        <w:wordWrap/>
        <w:overflowPunct/>
        <w:topLinePunct w:val="0"/>
        <w:autoSpaceDE/>
        <w:autoSpaceDN/>
        <w:bidi w:val="0"/>
        <w:adjustRightInd/>
        <w:snapToGrid/>
        <w:spacing w:line="500" w:lineRule="exact"/>
        <w:ind w:firstLine="632" w:firstLineChars="200"/>
        <w:textAlignment w:val="auto"/>
        <w:rPr>
          <w:rFonts w:hint="eastAsia" w:ascii="Times New Roman" w:hAnsi="Times New Roman" w:eastAsia="方正仿宋_GBK" w:cs="方正仿宋_GBK"/>
          <w:i w:val="0"/>
          <w:caps w:val="0"/>
          <w:color w:val="auto"/>
          <w:spacing w:val="8"/>
          <w:kern w:val="0"/>
          <w:sz w:val="30"/>
          <w:szCs w:val="30"/>
          <w:shd w:val="clear" w:color="auto" w:fill="FFFFFF"/>
          <w:lang w:val="en-US" w:eastAsia="zh-CN" w:bidi="ar-SA"/>
        </w:rPr>
      </w:pPr>
      <w:r>
        <w:rPr>
          <w:rFonts w:hint="eastAsia" w:ascii="Times New Roman" w:hAnsi="Times New Roman" w:eastAsia="方正仿宋_GBK" w:cs="方正仿宋_GBK"/>
          <w:i w:val="0"/>
          <w:caps w:val="0"/>
          <w:color w:val="auto"/>
          <w:spacing w:val="8"/>
          <w:kern w:val="0"/>
          <w:sz w:val="30"/>
          <w:szCs w:val="30"/>
          <w:shd w:val="clear" w:color="auto" w:fill="FFFFFF"/>
          <w:lang w:val="en-US" w:eastAsia="zh-CN" w:bidi="ar-SA"/>
        </w:rPr>
        <w:t>（2）集中式饮用水源地</w:t>
      </w:r>
    </w:p>
    <w:p w14:paraId="172630F1">
      <w:pPr>
        <w:keepNext w:val="0"/>
        <w:keepLines w:val="0"/>
        <w:pageBreakBefore w:val="0"/>
        <w:widowControl/>
        <w:kinsoku/>
        <w:wordWrap/>
        <w:overflowPunct/>
        <w:topLinePunct w:val="0"/>
        <w:autoSpaceDE/>
        <w:autoSpaceDN/>
        <w:bidi w:val="0"/>
        <w:adjustRightInd/>
        <w:snapToGrid/>
        <w:spacing w:line="500" w:lineRule="exact"/>
        <w:ind w:firstLine="632" w:firstLineChars="200"/>
        <w:textAlignment w:val="auto"/>
        <w:rPr>
          <w:rFonts w:hint="eastAsia" w:ascii="Times New Roman" w:hAnsi="Times New Roman" w:eastAsia="方正仿宋_GBK" w:cs="方正仿宋_GBK"/>
          <w:i w:val="0"/>
          <w:caps w:val="0"/>
          <w:color w:val="auto"/>
          <w:spacing w:val="8"/>
          <w:kern w:val="0"/>
          <w:sz w:val="30"/>
          <w:szCs w:val="30"/>
          <w:shd w:val="clear" w:color="auto" w:fill="FFFFFF"/>
          <w:lang w:val="en-US" w:eastAsia="zh-CN" w:bidi="ar-SA"/>
        </w:rPr>
      </w:pPr>
      <w:r>
        <w:rPr>
          <w:rFonts w:hint="eastAsia" w:ascii="Times New Roman" w:hAnsi="Times New Roman" w:eastAsia="方正仿宋_GBK" w:cs="方正仿宋_GBK"/>
          <w:i w:val="0"/>
          <w:caps w:val="0"/>
          <w:color w:val="auto"/>
          <w:spacing w:val="8"/>
          <w:kern w:val="0"/>
          <w:sz w:val="30"/>
          <w:szCs w:val="30"/>
          <w:shd w:val="clear" w:color="auto" w:fill="FFFFFF"/>
          <w:lang w:val="en-US" w:eastAsia="zh-CN" w:bidi="ar-SA"/>
        </w:rPr>
        <w:t>①县级以上饮用水源地</w:t>
      </w:r>
    </w:p>
    <w:p w14:paraId="0BDA6E9F">
      <w:pPr>
        <w:keepNext w:val="0"/>
        <w:keepLines w:val="0"/>
        <w:pageBreakBefore w:val="0"/>
        <w:widowControl/>
        <w:kinsoku/>
        <w:wordWrap/>
        <w:overflowPunct/>
        <w:topLinePunct w:val="0"/>
        <w:autoSpaceDE/>
        <w:autoSpaceDN/>
        <w:bidi w:val="0"/>
        <w:adjustRightInd/>
        <w:snapToGrid/>
        <w:spacing w:line="500" w:lineRule="exact"/>
        <w:ind w:firstLine="632" w:firstLineChars="200"/>
        <w:textAlignment w:val="auto"/>
        <w:rPr>
          <w:rFonts w:hint="eastAsia" w:ascii="Times New Roman" w:hAnsi="Times New Roman" w:eastAsia="方正仿宋_GBK" w:cs="方正仿宋_GBK"/>
          <w:i w:val="0"/>
          <w:caps w:val="0"/>
          <w:color w:val="auto"/>
          <w:spacing w:val="8"/>
          <w:kern w:val="0"/>
          <w:sz w:val="30"/>
          <w:szCs w:val="30"/>
          <w:shd w:val="clear" w:color="auto" w:fill="FFFFFF"/>
          <w:lang w:val="en-US" w:eastAsia="zh-CN" w:bidi="ar-SA"/>
        </w:rPr>
      </w:pPr>
      <w:r>
        <w:rPr>
          <w:rFonts w:hint="eastAsia" w:ascii="Times New Roman" w:hAnsi="Times New Roman" w:eastAsia="方正仿宋_GBK" w:cs="方正仿宋_GBK"/>
          <w:i w:val="0"/>
          <w:caps w:val="0"/>
          <w:color w:val="auto"/>
          <w:spacing w:val="8"/>
          <w:kern w:val="0"/>
          <w:sz w:val="30"/>
          <w:szCs w:val="30"/>
          <w:shd w:val="clear" w:color="auto" w:fill="FFFFFF"/>
          <w:lang w:val="en-US" w:eastAsia="zh-CN" w:bidi="ar-SA"/>
        </w:rPr>
        <w:t>新平县境内有2个县级以上集中式饮用水水源地，分别为清水河水库和他拉河水库，根据监测结果显示，2017—2021年新平县县级以上集中式饮用水水源地各项监测指标年均值均符合《地表水环境质量标准》（GB3838-2002）表1中Ⅲ类及以上水质标准和表2、表3的优选特定项目中的标准限值，集中式饮用水源地水质达标率100%。水质现状见表</w:t>
      </w:r>
      <w:r>
        <w:rPr>
          <w:rFonts w:ascii="Times New Roman" w:hAnsi="Times New Roman" w:eastAsia="方正仿宋_GBK" w:cs="Times New Roman"/>
          <w:b/>
          <w:color w:val="auto"/>
          <w:sz w:val="28"/>
          <w:szCs w:val="28"/>
        </w:rPr>
        <w:t>2.1.5</w:t>
      </w:r>
      <w:r>
        <w:rPr>
          <w:rFonts w:hint="eastAsia" w:ascii="Times New Roman" w:hAnsi="Times New Roman" w:eastAsia="方正仿宋_GBK" w:cs="Times New Roman"/>
          <w:b/>
          <w:color w:val="auto"/>
          <w:sz w:val="28"/>
          <w:szCs w:val="28"/>
          <w:lang w:val="en-US" w:eastAsia="zh-CN"/>
        </w:rPr>
        <w:t>.1</w:t>
      </w:r>
      <w:r>
        <w:rPr>
          <w:rFonts w:hint="eastAsia" w:ascii="Times New Roman" w:hAnsi="Times New Roman" w:eastAsia="方正仿宋_GBK" w:cs="方正仿宋_GBK"/>
          <w:i w:val="0"/>
          <w:caps w:val="0"/>
          <w:color w:val="auto"/>
          <w:spacing w:val="8"/>
          <w:kern w:val="0"/>
          <w:sz w:val="30"/>
          <w:szCs w:val="30"/>
          <w:shd w:val="clear" w:color="auto" w:fill="FFFFFF"/>
          <w:lang w:val="en-US" w:eastAsia="zh-CN" w:bidi="ar-SA"/>
        </w:rPr>
        <w:t>-2所示。</w:t>
      </w:r>
    </w:p>
    <w:p w14:paraId="1319DB50">
      <w:pPr>
        <w:adjustRightInd w:val="0"/>
        <w:snapToGrid w:val="0"/>
        <w:spacing w:line="400" w:lineRule="exact"/>
        <w:jc w:val="center"/>
        <w:rPr>
          <w:rFonts w:hint="default" w:ascii="Times New Roman" w:hAnsi="Times New Roman" w:eastAsia="方正仿宋_GBK" w:cs="Times New Roman"/>
          <w:b/>
          <w:color w:val="auto"/>
          <w:sz w:val="28"/>
          <w:szCs w:val="28"/>
        </w:rPr>
      </w:pPr>
      <w:r>
        <w:rPr>
          <w:rFonts w:hint="default" w:ascii="Times New Roman" w:hAnsi="Times New Roman" w:eastAsia="方正仿宋_GBK" w:cs="Times New Roman"/>
          <w:b/>
          <w:color w:val="auto"/>
          <w:sz w:val="28"/>
          <w:szCs w:val="28"/>
        </w:rPr>
        <w:t>表</w:t>
      </w:r>
      <w:r>
        <w:rPr>
          <w:rFonts w:hint="default" w:ascii="Times New Roman" w:hAnsi="Times New Roman" w:eastAsia="方正仿宋_GBK" w:cs="Times New Roman"/>
          <w:b/>
          <w:color w:val="auto"/>
          <w:sz w:val="28"/>
          <w:szCs w:val="28"/>
          <w:lang w:val="en-US" w:eastAsia="zh-CN"/>
        </w:rPr>
        <w:t>2</w:t>
      </w:r>
      <w:r>
        <w:rPr>
          <w:rFonts w:hint="default" w:ascii="Times New Roman" w:hAnsi="Times New Roman" w:eastAsia="方正仿宋_GBK" w:cs="Times New Roman"/>
          <w:b/>
          <w:color w:val="auto"/>
          <w:sz w:val="28"/>
          <w:szCs w:val="28"/>
        </w:rPr>
        <w:t>.1.</w:t>
      </w:r>
      <w:r>
        <w:rPr>
          <w:rFonts w:hint="default" w:ascii="Times New Roman" w:hAnsi="Times New Roman" w:eastAsia="方正仿宋_GBK" w:cs="Times New Roman"/>
          <w:b/>
          <w:color w:val="auto"/>
          <w:sz w:val="28"/>
          <w:szCs w:val="28"/>
          <w:lang w:val="en-US" w:eastAsia="zh-CN"/>
        </w:rPr>
        <w:t>5</w:t>
      </w:r>
      <w:r>
        <w:rPr>
          <w:rFonts w:hint="default" w:ascii="Times New Roman" w:hAnsi="Times New Roman" w:eastAsia="方正仿宋_GBK" w:cs="Times New Roman"/>
          <w:b/>
          <w:color w:val="auto"/>
          <w:sz w:val="28"/>
          <w:szCs w:val="28"/>
        </w:rPr>
        <w:t>.1-2</w:t>
      </w:r>
      <w:r>
        <w:rPr>
          <w:rFonts w:hint="default" w:ascii="Times New Roman" w:hAnsi="Times New Roman" w:eastAsia="方正仿宋_GBK" w:cs="Times New Roman"/>
          <w:b/>
          <w:color w:val="auto"/>
          <w:sz w:val="28"/>
          <w:szCs w:val="28"/>
          <w:lang w:eastAsia="zh-CN"/>
        </w:rPr>
        <w:t>新平县</w:t>
      </w:r>
      <w:r>
        <w:rPr>
          <w:rFonts w:hint="default" w:ascii="Times New Roman" w:hAnsi="Times New Roman" w:eastAsia="方正仿宋_GBK" w:cs="Times New Roman"/>
          <w:b/>
          <w:color w:val="auto"/>
          <w:sz w:val="28"/>
          <w:szCs w:val="28"/>
        </w:rPr>
        <w:t>201</w:t>
      </w:r>
      <w:r>
        <w:rPr>
          <w:rFonts w:hint="default" w:ascii="Times New Roman" w:hAnsi="Times New Roman" w:eastAsia="方正仿宋_GBK" w:cs="Times New Roman"/>
          <w:b/>
          <w:color w:val="auto"/>
          <w:sz w:val="28"/>
          <w:szCs w:val="28"/>
          <w:lang w:val="en-US" w:eastAsia="zh-CN"/>
        </w:rPr>
        <w:t>7—</w:t>
      </w:r>
      <w:r>
        <w:rPr>
          <w:rFonts w:hint="default" w:ascii="Times New Roman" w:hAnsi="Times New Roman" w:eastAsia="方正仿宋_GBK" w:cs="Times New Roman"/>
          <w:b/>
          <w:color w:val="auto"/>
          <w:sz w:val="28"/>
          <w:szCs w:val="28"/>
        </w:rPr>
        <w:t>2021年县级以上饮用水源地水质情况表</w:t>
      </w:r>
    </w:p>
    <w:tbl>
      <w:tblPr>
        <w:tblStyle w:val="26"/>
        <w:tblW w:w="83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377"/>
        <w:gridCol w:w="809"/>
        <w:gridCol w:w="1053"/>
        <w:gridCol w:w="1062"/>
        <w:gridCol w:w="1062"/>
        <w:gridCol w:w="1062"/>
        <w:gridCol w:w="1062"/>
        <w:gridCol w:w="892"/>
      </w:tblGrid>
      <w:tr w14:paraId="2F60B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6" w:hRule="atLeast"/>
          <w:tblHeader/>
          <w:jc w:val="center"/>
        </w:trPr>
        <w:tc>
          <w:tcPr>
            <w:tcW w:w="1377" w:type="dxa"/>
            <w:vMerge w:val="restart"/>
            <w:vAlign w:val="center"/>
          </w:tcPr>
          <w:p w14:paraId="257CACC2">
            <w:pPr>
              <w:widowControl/>
              <w:spacing w:line="360" w:lineRule="auto"/>
              <w:jc w:val="center"/>
              <w:rPr>
                <w:rFonts w:hint="default" w:ascii="Times New Roman" w:hAnsi="Times New Roman" w:eastAsia="方正仿宋_GBK" w:cs="Times New Roman"/>
                <w:b/>
                <w:bCs/>
                <w:color w:val="auto"/>
                <w:sz w:val="24"/>
                <w:szCs w:val="20"/>
              </w:rPr>
            </w:pPr>
            <w:r>
              <w:rPr>
                <w:rFonts w:hint="default" w:ascii="Times New Roman" w:hAnsi="Times New Roman" w:eastAsia="方正仿宋_GBK" w:cs="Times New Roman"/>
                <w:b/>
                <w:bCs/>
                <w:color w:val="auto"/>
                <w:sz w:val="24"/>
                <w:szCs w:val="20"/>
              </w:rPr>
              <w:t>名称</w:t>
            </w:r>
          </w:p>
        </w:tc>
        <w:tc>
          <w:tcPr>
            <w:tcW w:w="809" w:type="dxa"/>
            <w:vMerge w:val="restart"/>
            <w:vAlign w:val="center"/>
          </w:tcPr>
          <w:p w14:paraId="4913E3F1">
            <w:pPr>
              <w:widowControl/>
              <w:spacing w:line="360" w:lineRule="auto"/>
              <w:jc w:val="center"/>
              <w:rPr>
                <w:rFonts w:hint="default" w:ascii="Times New Roman" w:hAnsi="Times New Roman" w:eastAsia="方正仿宋_GBK" w:cs="Times New Roman"/>
                <w:b/>
                <w:bCs/>
                <w:color w:val="auto"/>
                <w:sz w:val="24"/>
                <w:szCs w:val="20"/>
              </w:rPr>
            </w:pPr>
            <w:r>
              <w:rPr>
                <w:rFonts w:hint="default" w:ascii="Times New Roman" w:hAnsi="Times New Roman" w:eastAsia="方正仿宋_GBK" w:cs="Times New Roman"/>
                <w:b/>
                <w:bCs/>
                <w:color w:val="auto"/>
                <w:sz w:val="24"/>
                <w:szCs w:val="20"/>
              </w:rPr>
              <w:t>类别</w:t>
            </w:r>
          </w:p>
        </w:tc>
        <w:tc>
          <w:tcPr>
            <w:tcW w:w="1053" w:type="dxa"/>
            <w:vMerge w:val="restart"/>
            <w:vAlign w:val="center"/>
          </w:tcPr>
          <w:p w14:paraId="4AE97A29">
            <w:pPr>
              <w:widowControl/>
              <w:spacing w:line="360" w:lineRule="auto"/>
              <w:jc w:val="center"/>
              <w:rPr>
                <w:rFonts w:hint="default" w:ascii="Times New Roman" w:hAnsi="Times New Roman" w:eastAsia="方正仿宋_GBK" w:cs="Times New Roman"/>
                <w:b/>
                <w:bCs/>
                <w:color w:val="auto"/>
                <w:sz w:val="24"/>
                <w:szCs w:val="20"/>
              </w:rPr>
            </w:pPr>
            <w:r>
              <w:rPr>
                <w:rFonts w:hint="default" w:ascii="Times New Roman" w:hAnsi="Times New Roman" w:eastAsia="方正仿宋_GBK" w:cs="Times New Roman"/>
                <w:b/>
                <w:bCs/>
                <w:color w:val="auto"/>
                <w:sz w:val="24"/>
                <w:szCs w:val="20"/>
              </w:rPr>
              <w:t>考核目标</w:t>
            </w:r>
          </w:p>
        </w:tc>
        <w:tc>
          <w:tcPr>
            <w:tcW w:w="5140" w:type="dxa"/>
            <w:gridSpan w:val="5"/>
            <w:vAlign w:val="center"/>
          </w:tcPr>
          <w:p w14:paraId="3F13E1C7">
            <w:pPr>
              <w:widowControl/>
              <w:spacing w:line="360" w:lineRule="auto"/>
              <w:jc w:val="center"/>
              <w:rPr>
                <w:rFonts w:hint="default" w:ascii="Times New Roman" w:hAnsi="Times New Roman" w:eastAsia="方正仿宋_GBK" w:cs="Times New Roman"/>
                <w:b/>
                <w:bCs/>
                <w:color w:val="auto"/>
                <w:sz w:val="24"/>
                <w:szCs w:val="20"/>
              </w:rPr>
            </w:pPr>
            <w:r>
              <w:rPr>
                <w:rFonts w:hint="default" w:ascii="Times New Roman" w:hAnsi="Times New Roman" w:eastAsia="方正仿宋_GBK" w:cs="Times New Roman"/>
                <w:b/>
                <w:bCs/>
                <w:color w:val="auto"/>
                <w:sz w:val="24"/>
                <w:szCs w:val="20"/>
              </w:rPr>
              <w:t>水质现状</w:t>
            </w:r>
          </w:p>
        </w:tc>
      </w:tr>
      <w:tr w14:paraId="4E203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blHeader/>
          <w:jc w:val="center"/>
        </w:trPr>
        <w:tc>
          <w:tcPr>
            <w:tcW w:w="1377" w:type="dxa"/>
            <w:vMerge w:val="continue"/>
            <w:vAlign w:val="center"/>
          </w:tcPr>
          <w:p w14:paraId="2C9F9CDE">
            <w:pPr>
              <w:widowControl/>
              <w:spacing w:line="360" w:lineRule="auto"/>
              <w:jc w:val="center"/>
              <w:rPr>
                <w:rFonts w:hint="default" w:ascii="Times New Roman" w:hAnsi="Times New Roman" w:eastAsia="方正仿宋_GBK" w:cs="Times New Roman"/>
                <w:b/>
                <w:bCs/>
                <w:color w:val="auto"/>
                <w:sz w:val="24"/>
                <w:szCs w:val="20"/>
              </w:rPr>
            </w:pPr>
          </w:p>
        </w:tc>
        <w:tc>
          <w:tcPr>
            <w:tcW w:w="809" w:type="dxa"/>
            <w:vMerge w:val="continue"/>
            <w:vAlign w:val="center"/>
          </w:tcPr>
          <w:p w14:paraId="4E5C6A6C">
            <w:pPr>
              <w:widowControl/>
              <w:spacing w:line="360" w:lineRule="auto"/>
              <w:jc w:val="center"/>
              <w:rPr>
                <w:rFonts w:hint="default" w:ascii="Times New Roman" w:hAnsi="Times New Roman" w:eastAsia="方正仿宋_GBK" w:cs="Times New Roman"/>
                <w:b/>
                <w:bCs/>
                <w:color w:val="auto"/>
                <w:sz w:val="24"/>
                <w:szCs w:val="20"/>
              </w:rPr>
            </w:pPr>
          </w:p>
        </w:tc>
        <w:tc>
          <w:tcPr>
            <w:tcW w:w="1053" w:type="dxa"/>
            <w:vMerge w:val="continue"/>
            <w:vAlign w:val="center"/>
          </w:tcPr>
          <w:p w14:paraId="28C2ADC0">
            <w:pPr>
              <w:widowControl/>
              <w:spacing w:line="360" w:lineRule="auto"/>
              <w:jc w:val="center"/>
              <w:rPr>
                <w:rFonts w:hint="default" w:ascii="Times New Roman" w:hAnsi="Times New Roman" w:eastAsia="方正仿宋_GBK" w:cs="Times New Roman"/>
                <w:b/>
                <w:bCs/>
                <w:color w:val="auto"/>
                <w:sz w:val="24"/>
                <w:szCs w:val="20"/>
              </w:rPr>
            </w:pPr>
          </w:p>
        </w:tc>
        <w:tc>
          <w:tcPr>
            <w:tcW w:w="1062" w:type="dxa"/>
            <w:vAlign w:val="center"/>
          </w:tcPr>
          <w:p w14:paraId="3C695AE5">
            <w:pPr>
              <w:widowControl/>
              <w:spacing w:line="360" w:lineRule="auto"/>
              <w:jc w:val="center"/>
              <w:rPr>
                <w:rFonts w:hint="default" w:ascii="Times New Roman" w:hAnsi="Times New Roman" w:eastAsia="方正仿宋_GBK" w:cs="Times New Roman"/>
                <w:b/>
                <w:bCs/>
                <w:color w:val="auto"/>
                <w:sz w:val="24"/>
                <w:szCs w:val="20"/>
              </w:rPr>
            </w:pPr>
            <w:r>
              <w:rPr>
                <w:rFonts w:hint="default" w:ascii="Times New Roman" w:hAnsi="Times New Roman" w:eastAsia="方正仿宋_GBK" w:cs="Times New Roman"/>
                <w:b/>
                <w:bCs/>
                <w:color w:val="auto"/>
                <w:sz w:val="24"/>
                <w:szCs w:val="20"/>
              </w:rPr>
              <w:t>2017年</w:t>
            </w:r>
          </w:p>
        </w:tc>
        <w:tc>
          <w:tcPr>
            <w:tcW w:w="1062" w:type="dxa"/>
            <w:vAlign w:val="center"/>
          </w:tcPr>
          <w:p w14:paraId="651D2E39">
            <w:pPr>
              <w:widowControl/>
              <w:spacing w:line="360" w:lineRule="auto"/>
              <w:jc w:val="center"/>
              <w:rPr>
                <w:rFonts w:hint="default" w:ascii="Times New Roman" w:hAnsi="Times New Roman" w:eastAsia="方正仿宋_GBK" w:cs="Times New Roman"/>
                <w:b/>
                <w:bCs/>
                <w:color w:val="auto"/>
                <w:sz w:val="24"/>
                <w:szCs w:val="20"/>
              </w:rPr>
            </w:pPr>
            <w:r>
              <w:rPr>
                <w:rFonts w:hint="default" w:ascii="Times New Roman" w:hAnsi="Times New Roman" w:eastAsia="方正仿宋_GBK" w:cs="Times New Roman"/>
                <w:b/>
                <w:bCs/>
                <w:color w:val="auto"/>
                <w:sz w:val="24"/>
                <w:szCs w:val="20"/>
              </w:rPr>
              <w:t>2018年</w:t>
            </w:r>
          </w:p>
        </w:tc>
        <w:tc>
          <w:tcPr>
            <w:tcW w:w="1062" w:type="dxa"/>
            <w:vAlign w:val="center"/>
          </w:tcPr>
          <w:p w14:paraId="2516F6EC">
            <w:pPr>
              <w:widowControl/>
              <w:spacing w:line="360" w:lineRule="auto"/>
              <w:jc w:val="center"/>
              <w:rPr>
                <w:rFonts w:hint="default" w:ascii="Times New Roman" w:hAnsi="Times New Roman" w:eastAsia="方正仿宋_GBK" w:cs="Times New Roman"/>
                <w:b/>
                <w:bCs/>
                <w:color w:val="auto"/>
                <w:sz w:val="24"/>
                <w:szCs w:val="20"/>
              </w:rPr>
            </w:pPr>
            <w:r>
              <w:rPr>
                <w:rFonts w:hint="default" w:ascii="Times New Roman" w:hAnsi="Times New Roman" w:eastAsia="方正仿宋_GBK" w:cs="Times New Roman"/>
                <w:b/>
                <w:bCs/>
                <w:color w:val="auto"/>
                <w:sz w:val="24"/>
                <w:szCs w:val="20"/>
              </w:rPr>
              <w:t>2019年</w:t>
            </w:r>
          </w:p>
        </w:tc>
        <w:tc>
          <w:tcPr>
            <w:tcW w:w="1062" w:type="dxa"/>
            <w:vAlign w:val="center"/>
          </w:tcPr>
          <w:p w14:paraId="04C8C745">
            <w:pPr>
              <w:widowControl/>
              <w:spacing w:line="360" w:lineRule="auto"/>
              <w:jc w:val="center"/>
              <w:rPr>
                <w:rFonts w:hint="default" w:ascii="Times New Roman" w:hAnsi="Times New Roman" w:eastAsia="方正仿宋_GBK" w:cs="Times New Roman"/>
                <w:b/>
                <w:bCs/>
                <w:color w:val="auto"/>
                <w:sz w:val="24"/>
                <w:szCs w:val="20"/>
              </w:rPr>
            </w:pPr>
            <w:r>
              <w:rPr>
                <w:rFonts w:hint="default" w:ascii="Times New Roman" w:hAnsi="Times New Roman" w:eastAsia="方正仿宋_GBK" w:cs="Times New Roman"/>
                <w:b/>
                <w:bCs/>
                <w:color w:val="auto"/>
                <w:sz w:val="24"/>
                <w:szCs w:val="20"/>
              </w:rPr>
              <w:t>2020年</w:t>
            </w:r>
          </w:p>
        </w:tc>
        <w:tc>
          <w:tcPr>
            <w:tcW w:w="892" w:type="dxa"/>
            <w:vAlign w:val="center"/>
          </w:tcPr>
          <w:p w14:paraId="11D9D6EB">
            <w:pPr>
              <w:widowControl/>
              <w:spacing w:line="360" w:lineRule="auto"/>
              <w:jc w:val="center"/>
              <w:rPr>
                <w:rFonts w:hint="default" w:ascii="Times New Roman" w:hAnsi="Times New Roman" w:eastAsia="方正仿宋_GBK" w:cs="Times New Roman"/>
                <w:b/>
                <w:bCs/>
                <w:color w:val="auto"/>
                <w:sz w:val="24"/>
                <w:szCs w:val="20"/>
              </w:rPr>
            </w:pPr>
            <w:r>
              <w:rPr>
                <w:rFonts w:hint="default" w:ascii="Times New Roman" w:hAnsi="Times New Roman" w:eastAsia="方正仿宋_GBK" w:cs="Times New Roman"/>
                <w:b/>
                <w:bCs/>
                <w:color w:val="auto"/>
                <w:sz w:val="24"/>
                <w:szCs w:val="20"/>
              </w:rPr>
              <w:t>2021年</w:t>
            </w:r>
          </w:p>
        </w:tc>
      </w:tr>
      <w:tr w14:paraId="220B9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5" w:hRule="atLeast"/>
          <w:jc w:val="center"/>
        </w:trPr>
        <w:tc>
          <w:tcPr>
            <w:tcW w:w="1377" w:type="dxa"/>
            <w:vAlign w:val="center"/>
          </w:tcPr>
          <w:p w14:paraId="44D8408C">
            <w:pPr>
              <w:adjustRightInd w:val="0"/>
              <w:snapToGrid w:val="0"/>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清水河水库</w:t>
            </w:r>
          </w:p>
        </w:tc>
        <w:tc>
          <w:tcPr>
            <w:tcW w:w="809" w:type="dxa"/>
            <w:vAlign w:val="center"/>
          </w:tcPr>
          <w:p w14:paraId="5408E622">
            <w:pPr>
              <w:adjustRightInd w:val="0"/>
              <w:snapToGrid w:val="0"/>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县级</w:t>
            </w:r>
          </w:p>
        </w:tc>
        <w:tc>
          <w:tcPr>
            <w:tcW w:w="1053" w:type="dxa"/>
            <w:vAlign w:val="center"/>
          </w:tcPr>
          <w:p w14:paraId="13461C8B">
            <w:pPr>
              <w:adjustRightInd w:val="0"/>
              <w:snapToGrid w:val="0"/>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Ⅱ类</w:t>
            </w:r>
          </w:p>
        </w:tc>
        <w:tc>
          <w:tcPr>
            <w:tcW w:w="1062" w:type="dxa"/>
            <w:vAlign w:val="center"/>
          </w:tcPr>
          <w:p w14:paraId="2A9C5007">
            <w:pPr>
              <w:adjustRightInd w:val="0"/>
              <w:snapToGrid w:val="0"/>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Ⅱ类</w:t>
            </w:r>
          </w:p>
        </w:tc>
        <w:tc>
          <w:tcPr>
            <w:tcW w:w="1062" w:type="dxa"/>
            <w:vAlign w:val="center"/>
          </w:tcPr>
          <w:p w14:paraId="6B49E913">
            <w:pPr>
              <w:adjustRightInd w:val="0"/>
              <w:snapToGrid w:val="0"/>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Ⅱ类</w:t>
            </w:r>
          </w:p>
        </w:tc>
        <w:tc>
          <w:tcPr>
            <w:tcW w:w="1062" w:type="dxa"/>
            <w:vAlign w:val="center"/>
          </w:tcPr>
          <w:p w14:paraId="48619DC2">
            <w:pPr>
              <w:adjustRightInd w:val="0"/>
              <w:snapToGrid w:val="0"/>
              <w:spacing w:line="400" w:lineRule="exact"/>
              <w:jc w:val="center"/>
              <w:rPr>
                <w:rFonts w:hint="default" w:ascii="Times New Roman" w:hAnsi="Times New Roman" w:eastAsia="方正仿宋_GBK" w:cs="Times New Roman"/>
                <w:color w:val="auto"/>
                <w:szCs w:val="21"/>
              </w:rPr>
            </w:pPr>
            <w:r>
              <w:rPr>
                <w:rFonts w:hint="default" w:ascii="Times New Roman" w:hAnsi="Times New Roman" w:eastAsia="方正仿宋_GBK" w:cs="Times New Roman"/>
                <w:color w:val="auto"/>
                <w:sz w:val="24"/>
                <w:szCs w:val="20"/>
              </w:rPr>
              <w:t>Ⅱ类</w:t>
            </w:r>
          </w:p>
        </w:tc>
        <w:tc>
          <w:tcPr>
            <w:tcW w:w="1062" w:type="dxa"/>
            <w:vAlign w:val="center"/>
          </w:tcPr>
          <w:p w14:paraId="0D26CF26">
            <w:pPr>
              <w:adjustRightInd w:val="0"/>
              <w:snapToGrid w:val="0"/>
              <w:spacing w:line="400" w:lineRule="exact"/>
              <w:jc w:val="center"/>
              <w:rPr>
                <w:rFonts w:hint="default" w:ascii="Times New Roman" w:hAnsi="Times New Roman" w:eastAsia="方正仿宋_GBK" w:cs="Times New Roman"/>
                <w:color w:val="auto"/>
                <w:szCs w:val="21"/>
              </w:rPr>
            </w:pPr>
            <w:r>
              <w:rPr>
                <w:rFonts w:hint="default" w:ascii="Times New Roman" w:hAnsi="Times New Roman" w:eastAsia="方正仿宋_GBK" w:cs="Times New Roman"/>
                <w:color w:val="auto"/>
                <w:sz w:val="24"/>
                <w:szCs w:val="20"/>
              </w:rPr>
              <w:t>Ⅱ类</w:t>
            </w:r>
          </w:p>
        </w:tc>
        <w:tc>
          <w:tcPr>
            <w:tcW w:w="892" w:type="dxa"/>
            <w:vAlign w:val="center"/>
          </w:tcPr>
          <w:p w14:paraId="15EEBED8">
            <w:pPr>
              <w:adjustRightInd w:val="0"/>
              <w:snapToGrid w:val="0"/>
              <w:spacing w:line="400" w:lineRule="exact"/>
              <w:jc w:val="center"/>
              <w:rPr>
                <w:rFonts w:hint="default" w:ascii="Times New Roman" w:hAnsi="Times New Roman" w:eastAsia="方正仿宋_GBK" w:cs="Times New Roman"/>
                <w:color w:val="auto"/>
                <w:szCs w:val="21"/>
              </w:rPr>
            </w:pPr>
            <w:r>
              <w:rPr>
                <w:rFonts w:hint="default" w:ascii="Times New Roman" w:hAnsi="Times New Roman" w:eastAsia="方正仿宋_GBK" w:cs="Times New Roman"/>
                <w:color w:val="auto"/>
                <w:sz w:val="24"/>
                <w:szCs w:val="20"/>
              </w:rPr>
              <w:t>Ⅱ类</w:t>
            </w:r>
          </w:p>
        </w:tc>
      </w:tr>
      <w:tr w14:paraId="6B201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96" w:hRule="atLeast"/>
          <w:jc w:val="center"/>
        </w:trPr>
        <w:tc>
          <w:tcPr>
            <w:tcW w:w="1377" w:type="dxa"/>
            <w:vAlign w:val="center"/>
          </w:tcPr>
          <w:p w14:paraId="15471E9C">
            <w:pPr>
              <w:adjustRightInd w:val="0"/>
              <w:snapToGrid w:val="0"/>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他拉河水库</w:t>
            </w:r>
          </w:p>
        </w:tc>
        <w:tc>
          <w:tcPr>
            <w:tcW w:w="809" w:type="dxa"/>
            <w:vAlign w:val="center"/>
          </w:tcPr>
          <w:p w14:paraId="70CDF3B4">
            <w:pPr>
              <w:adjustRightInd w:val="0"/>
              <w:snapToGrid w:val="0"/>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县级</w:t>
            </w:r>
          </w:p>
        </w:tc>
        <w:tc>
          <w:tcPr>
            <w:tcW w:w="1053" w:type="dxa"/>
            <w:vAlign w:val="center"/>
          </w:tcPr>
          <w:p w14:paraId="25546B12">
            <w:pPr>
              <w:adjustRightInd w:val="0"/>
              <w:snapToGrid w:val="0"/>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Ⅱ类</w:t>
            </w:r>
          </w:p>
        </w:tc>
        <w:tc>
          <w:tcPr>
            <w:tcW w:w="1062" w:type="dxa"/>
            <w:vAlign w:val="center"/>
          </w:tcPr>
          <w:p w14:paraId="39D24FAE">
            <w:pPr>
              <w:adjustRightInd w:val="0"/>
              <w:snapToGrid w:val="0"/>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Ⅱ类</w:t>
            </w:r>
          </w:p>
        </w:tc>
        <w:tc>
          <w:tcPr>
            <w:tcW w:w="1062" w:type="dxa"/>
            <w:vAlign w:val="center"/>
          </w:tcPr>
          <w:p w14:paraId="29C91736">
            <w:pPr>
              <w:adjustRightInd w:val="0"/>
              <w:snapToGrid w:val="0"/>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Ⅱ类</w:t>
            </w:r>
          </w:p>
        </w:tc>
        <w:tc>
          <w:tcPr>
            <w:tcW w:w="1062" w:type="dxa"/>
            <w:vAlign w:val="center"/>
          </w:tcPr>
          <w:p w14:paraId="432339EC">
            <w:pPr>
              <w:adjustRightInd w:val="0"/>
              <w:snapToGrid w:val="0"/>
              <w:spacing w:line="400" w:lineRule="exact"/>
              <w:jc w:val="center"/>
              <w:rPr>
                <w:rFonts w:hint="default" w:ascii="Times New Roman" w:hAnsi="Times New Roman" w:eastAsia="方正仿宋_GBK" w:cs="Times New Roman"/>
                <w:color w:val="auto"/>
                <w:szCs w:val="21"/>
              </w:rPr>
            </w:pPr>
            <w:r>
              <w:rPr>
                <w:rFonts w:hint="default" w:ascii="Times New Roman" w:hAnsi="Times New Roman" w:eastAsia="方正仿宋_GBK" w:cs="Times New Roman"/>
                <w:color w:val="auto"/>
                <w:sz w:val="24"/>
                <w:szCs w:val="20"/>
              </w:rPr>
              <w:t>Ⅱ类</w:t>
            </w:r>
          </w:p>
        </w:tc>
        <w:tc>
          <w:tcPr>
            <w:tcW w:w="1062" w:type="dxa"/>
            <w:vAlign w:val="center"/>
          </w:tcPr>
          <w:p w14:paraId="53B2CD23">
            <w:pPr>
              <w:adjustRightInd w:val="0"/>
              <w:snapToGrid w:val="0"/>
              <w:spacing w:line="400" w:lineRule="exact"/>
              <w:jc w:val="center"/>
              <w:rPr>
                <w:rFonts w:hint="default" w:ascii="Times New Roman" w:hAnsi="Times New Roman" w:eastAsia="方正仿宋_GBK" w:cs="Times New Roman"/>
                <w:color w:val="auto"/>
                <w:szCs w:val="21"/>
              </w:rPr>
            </w:pPr>
            <w:r>
              <w:rPr>
                <w:rFonts w:hint="default" w:ascii="Times New Roman" w:hAnsi="Times New Roman" w:eastAsia="方正仿宋_GBK" w:cs="Times New Roman"/>
                <w:color w:val="auto"/>
                <w:sz w:val="24"/>
                <w:szCs w:val="20"/>
              </w:rPr>
              <w:t>Ⅱ类</w:t>
            </w:r>
          </w:p>
        </w:tc>
        <w:tc>
          <w:tcPr>
            <w:tcW w:w="892" w:type="dxa"/>
            <w:vAlign w:val="center"/>
          </w:tcPr>
          <w:p w14:paraId="6A874253">
            <w:pPr>
              <w:adjustRightInd w:val="0"/>
              <w:snapToGrid w:val="0"/>
              <w:spacing w:line="400" w:lineRule="exact"/>
              <w:jc w:val="center"/>
              <w:rPr>
                <w:rFonts w:hint="default" w:ascii="Times New Roman" w:hAnsi="Times New Roman" w:eastAsia="方正仿宋_GBK" w:cs="Times New Roman"/>
                <w:color w:val="auto"/>
                <w:szCs w:val="21"/>
              </w:rPr>
            </w:pPr>
            <w:r>
              <w:rPr>
                <w:rFonts w:hint="default" w:ascii="Times New Roman" w:hAnsi="Times New Roman" w:eastAsia="方正仿宋_GBK" w:cs="Times New Roman"/>
                <w:color w:val="auto"/>
                <w:sz w:val="24"/>
                <w:szCs w:val="20"/>
              </w:rPr>
              <w:t>Ⅱ类</w:t>
            </w:r>
          </w:p>
        </w:tc>
      </w:tr>
    </w:tbl>
    <w:p w14:paraId="13F853EB">
      <w:pPr>
        <w:keepNext w:val="0"/>
        <w:keepLines w:val="0"/>
        <w:pageBreakBefore w:val="0"/>
        <w:widowControl/>
        <w:kinsoku/>
        <w:wordWrap/>
        <w:overflowPunct/>
        <w:topLinePunct w:val="0"/>
        <w:autoSpaceDE/>
        <w:autoSpaceDN/>
        <w:bidi w:val="0"/>
        <w:adjustRightInd/>
        <w:snapToGrid/>
        <w:spacing w:line="500" w:lineRule="exact"/>
        <w:ind w:firstLine="592" w:firstLineChars="200"/>
        <w:textAlignment w:val="auto"/>
        <w:rPr>
          <w:rFonts w:hint="default" w:ascii="Times New Roman" w:hAnsi="Times New Roman" w:eastAsia="方正仿宋_GBK" w:cs="方正仿宋_GBK"/>
          <w:i w:val="0"/>
          <w:caps w:val="0"/>
          <w:color w:val="auto"/>
          <w:spacing w:val="8"/>
          <w:kern w:val="0"/>
          <w:sz w:val="28"/>
          <w:szCs w:val="28"/>
          <w:shd w:val="clear" w:color="auto" w:fill="FFFFFF"/>
          <w:lang w:val="en-US" w:eastAsia="zh-CN" w:bidi="ar-SA"/>
        </w:rPr>
      </w:pPr>
      <w:r>
        <w:rPr>
          <w:rFonts w:hint="default" w:ascii="Times New Roman" w:hAnsi="Times New Roman" w:eastAsia="方正仿宋_GBK" w:cs="方正仿宋_GBK"/>
          <w:i w:val="0"/>
          <w:caps w:val="0"/>
          <w:color w:val="auto"/>
          <w:spacing w:val="8"/>
          <w:kern w:val="0"/>
          <w:sz w:val="28"/>
          <w:szCs w:val="28"/>
          <w:shd w:val="clear" w:color="auto" w:fill="FFFFFF"/>
          <w:lang w:val="en-US" w:eastAsia="zh-CN" w:bidi="ar-SA"/>
        </w:rPr>
        <w:t>②乡镇饮用水源地</w:t>
      </w:r>
    </w:p>
    <w:p w14:paraId="2E2F3C89">
      <w:pPr>
        <w:keepNext w:val="0"/>
        <w:keepLines w:val="0"/>
        <w:pageBreakBefore w:val="0"/>
        <w:widowControl/>
        <w:kinsoku/>
        <w:wordWrap/>
        <w:overflowPunct/>
        <w:topLinePunct w:val="0"/>
        <w:autoSpaceDE/>
        <w:autoSpaceDN/>
        <w:bidi w:val="0"/>
        <w:adjustRightInd/>
        <w:snapToGrid/>
        <w:spacing w:line="500" w:lineRule="exact"/>
        <w:ind w:firstLine="592" w:firstLineChars="200"/>
        <w:textAlignment w:val="auto"/>
        <w:rPr>
          <w:rFonts w:hint="default" w:ascii="Times New Roman" w:hAnsi="Times New Roman" w:eastAsia="方正仿宋_GBK" w:cs="方正仿宋_GBK"/>
          <w:i w:val="0"/>
          <w:caps w:val="0"/>
          <w:color w:val="auto"/>
          <w:spacing w:val="8"/>
          <w:kern w:val="0"/>
          <w:sz w:val="28"/>
          <w:szCs w:val="28"/>
          <w:shd w:val="clear" w:color="auto" w:fill="FFFFFF"/>
          <w:lang w:val="en-US" w:eastAsia="zh-CN" w:bidi="ar-SA"/>
        </w:rPr>
      </w:pPr>
      <w:r>
        <w:rPr>
          <w:rFonts w:hint="default" w:ascii="Times New Roman" w:hAnsi="Times New Roman" w:eastAsia="方正仿宋_GBK" w:cs="方正仿宋_GBK"/>
          <w:i w:val="0"/>
          <w:caps w:val="0"/>
          <w:color w:val="auto"/>
          <w:spacing w:val="8"/>
          <w:kern w:val="0"/>
          <w:sz w:val="28"/>
          <w:szCs w:val="28"/>
          <w:shd w:val="clear" w:color="auto" w:fill="FFFFFF"/>
          <w:lang w:val="en-US" w:eastAsia="zh-CN" w:bidi="ar-SA"/>
        </w:rPr>
        <w:t>新平县共划定15个乡镇级饮用水水源地和4个“千吨万人”饮用</w:t>
      </w:r>
      <w:r>
        <w:rPr>
          <w:rFonts w:hint="default" w:ascii="Times New Roman" w:hAnsi="Times New Roman" w:eastAsia="方正仿宋_GBK" w:cs="方正仿宋_GBK"/>
          <w:i w:val="0"/>
          <w:caps w:val="0"/>
          <w:color w:val="auto"/>
          <w:spacing w:val="8"/>
          <w:kern w:val="0"/>
          <w:sz w:val="28"/>
          <w:szCs w:val="28"/>
          <w:highlight w:val="none"/>
          <w:shd w:val="clear" w:color="auto" w:fill="FFFFFF"/>
          <w:lang w:val="en-US" w:eastAsia="zh-CN" w:bidi="ar-SA"/>
        </w:rPr>
        <w:t>水源地，</w:t>
      </w:r>
      <w:r>
        <w:rPr>
          <w:rFonts w:hint="default" w:ascii="Times New Roman" w:hAnsi="Times New Roman" w:eastAsia="方正仿宋_GBK" w:cs="Times New Roman"/>
          <w:i w:val="0"/>
          <w:caps w:val="0"/>
          <w:color w:val="auto"/>
          <w:spacing w:val="8"/>
          <w:kern w:val="0"/>
          <w:sz w:val="30"/>
          <w:szCs w:val="30"/>
          <w:highlight w:val="none"/>
          <w:shd w:val="clear" w:color="auto" w:fill="FFFFFF"/>
          <w:lang w:val="en-US" w:eastAsia="zh-CN" w:bidi="ar-SA"/>
        </w:rPr>
        <w:t>目前15个水源地均完成保护区划定方案并获得</w:t>
      </w:r>
      <w:r>
        <w:rPr>
          <w:rFonts w:hint="eastAsia" w:ascii="Times New Roman" w:hAnsi="Times New Roman" w:eastAsia="方正仿宋_GBK" w:cs="Times New Roman"/>
          <w:i w:val="0"/>
          <w:caps w:val="0"/>
          <w:color w:val="auto"/>
          <w:spacing w:val="8"/>
          <w:kern w:val="0"/>
          <w:sz w:val="30"/>
          <w:szCs w:val="30"/>
          <w:highlight w:val="none"/>
          <w:shd w:val="clear" w:color="auto" w:fill="FFFFFF"/>
          <w:lang w:val="en-US" w:eastAsia="zh-CN" w:bidi="ar-SA"/>
        </w:rPr>
        <w:t>上级部门批复</w:t>
      </w:r>
      <w:r>
        <w:rPr>
          <w:rFonts w:hint="default" w:ascii="Times New Roman" w:hAnsi="Times New Roman" w:eastAsia="方正仿宋_GBK" w:cs="Times New Roman"/>
          <w:i w:val="0"/>
          <w:caps w:val="0"/>
          <w:color w:val="auto"/>
          <w:spacing w:val="8"/>
          <w:kern w:val="0"/>
          <w:sz w:val="30"/>
          <w:szCs w:val="30"/>
          <w:highlight w:val="none"/>
          <w:shd w:val="clear" w:color="auto" w:fill="FFFFFF"/>
          <w:lang w:val="en-US" w:eastAsia="zh-CN" w:bidi="ar-SA"/>
        </w:rPr>
        <w:t>。</w:t>
      </w:r>
      <w:r>
        <w:rPr>
          <w:rFonts w:hint="default" w:ascii="Times New Roman" w:hAnsi="Times New Roman" w:eastAsia="方正仿宋_GBK" w:cs="方正仿宋_GBK"/>
          <w:i w:val="0"/>
          <w:caps w:val="0"/>
          <w:color w:val="auto"/>
          <w:spacing w:val="8"/>
          <w:kern w:val="0"/>
          <w:sz w:val="28"/>
          <w:szCs w:val="28"/>
          <w:highlight w:val="none"/>
          <w:shd w:val="clear" w:color="auto" w:fill="FFFFFF"/>
          <w:lang w:val="en-US" w:eastAsia="zh-CN" w:bidi="ar-SA"/>
        </w:rPr>
        <w:t>新平县每年对供水人口在千人及以上的农村集中式饮用水源地水质进行水质监</w:t>
      </w:r>
      <w:r>
        <w:rPr>
          <w:rFonts w:hint="default" w:ascii="Times New Roman" w:hAnsi="Times New Roman" w:eastAsia="方正仿宋_GBK" w:cs="方正仿宋_GBK"/>
          <w:i w:val="0"/>
          <w:caps w:val="0"/>
          <w:color w:val="auto"/>
          <w:spacing w:val="8"/>
          <w:kern w:val="0"/>
          <w:sz w:val="28"/>
          <w:szCs w:val="28"/>
          <w:shd w:val="clear" w:color="auto" w:fill="FFFFFF"/>
          <w:lang w:val="en-US" w:eastAsia="zh-CN" w:bidi="ar-SA"/>
        </w:rPr>
        <w:t>测，2017</w:t>
      </w:r>
      <w:r>
        <w:rPr>
          <w:rFonts w:hint="eastAsia" w:ascii="Times New Roman" w:hAnsi="Times New Roman" w:eastAsia="方正仿宋_GBK" w:cs="方正仿宋_GBK"/>
          <w:i w:val="0"/>
          <w:caps w:val="0"/>
          <w:color w:val="auto"/>
          <w:spacing w:val="8"/>
          <w:kern w:val="0"/>
          <w:sz w:val="28"/>
          <w:szCs w:val="28"/>
          <w:shd w:val="clear" w:color="auto" w:fill="FFFFFF"/>
          <w:lang w:val="en-US" w:eastAsia="zh-CN" w:bidi="ar-SA"/>
        </w:rPr>
        <w:t>—</w:t>
      </w:r>
      <w:r>
        <w:rPr>
          <w:rFonts w:hint="default" w:ascii="Times New Roman" w:hAnsi="Times New Roman" w:eastAsia="方正仿宋_GBK" w:cs="方正仿宋_GBK"/>
          <w:i w:val="0"/>
          <w:caps w:val="0"/>
          <w:color w:val="auto"/>
          <w:spacing w:val="8"/>
          <w:kern w:val="0"/>
          <w:sz w:val="28"/>
          <w:szCs w:val="28"/>
          <w:shd w:val="clear" w:color="auto" w:fill="FFFFFF"/>
          <w:lang w:val="en-US" w:eastAsia="zh-CN" w:bidi="ar-SA"/>
        </w:rPr>
        <w:t>2021年，根据检测报告显示，新平15个乡镇级饮用水水源地及4个“千吨万人”饮用水源地水质均达到Ⅲ类水质标准限值。2017</w:t>
      </w:r>
      <w:r>
        <w:rPr>
          <w:rFonts w:hint="eastAsia" w:ascii="Times New Roman" w:hAnsi="Times New Roman" w:eastAsia="方正仿宋_GBK" w:cs="方正仿宋_GBK"/>
          <w:i w:val="0"/>
          <w:caps w:val="0"/>
          <w:color w:val="auto"/>
          <w:spacing w:val="8"/>
          <w:kern w:val="0"/>
          <w:sz w:val="28"/>
          <w:szCs w:val="28"/>
          <w:shd w:val="clear" w:color="auto" w:fill="FFFFFF"/>
          <w:lang w:val="en-US" w:eastAsia="zh-CN" w:bidi="ar-SA"/>
        </w:rPr>
        <w:t>—</w:t>
      </w:r>
      <w:r>
        <w:rPr>
          <w:rFonts w:hint="default" w:ascii="Times New Roman" w:hAnsi="Times New Roman" w:eastAsia="方正仿宋_GBK" w:cs="方正仿宋_GBK"/>
          <w:i w:val="0"/>
          <w:caps w:val="0"/>
          <w:color w:val="auto"/>
          <w:spacing w:val="8"/>
          <w:kern w:val="0"/>
          <w:sz w:val="28"/>
          <w:szCs w:val="28"/>
          <w:shd w:val="clear" w:color="auto" w:fill="FFFFFF"/>
          <w:lang w:val="en-US" w:eastAsia="zh-CN" w:bidi="ar-SA"/>
        </w:rPr>
        <w:t>2021年新平县“千吨万人”饮用水水源水质状况见表2.1.5.1-</w:t>
      </w:r>
      <w:r>
        <w:rPr>
          <w:rFonts w:hint="eastAsia" w:ascii="Times New Roman" w:hAnsi="Times New Roman" w:eastAsia="方正仿宋_GBK" w:cs="方正仿宋_GBK"/>
          <w:i w:val="0"/>
          <w:caps w:val="0"/>
          <w:color w:val="auto"/>
          <w:spacing w:val="8"/>
          <w:kern w:val="0"/>
          <w:sz w:val="28"/>
          <w:szCs w:val="28"/>
          <w:shd w:val="clear" w:color="auto" w:fill="FFFFFF"/>
          <w:lang w:val="en-US" w:eastAsia="zh-CN" w:bidi="ar-SA"/>
        </w:rPr>
        <w:t>3</w:t>
      </w:r>
      <w:r>
        <w:rPr>
          <w:rFonts w:hint="default" w:ascii="Times New Roman" w:hAnsi="Times New Roman" w:eastAsia="方正仿宋_GBK" w:cs="方正仿宋_GBK"/>
          <w:i w:val="0"/>
          <w:caps w:val="0"/>
          <w:color w:val="auto"/>
          <w:spacing w:val="8"/>
          <w:kern w:val="0"/>
          <w:sz w:val="28"/>
          <w:szCs w:val="28"/>
          <w:shd w:val="clear" w:color="auto" w:fill="FFFFFF"/>
          <w:lang w:val="en-US" w:eastAsia="zh-CN" w:bidi="ar-SA"/>
        </w:rPr>
        <w:t>。</w:t>
      </w:r>
    </w:p>
    <w:p w14:paraId="7BF5365D">
      <w:pPr>
        <w:adjustRightInd w:val="0"/>
        <w:snapToGrid w:val="0"/>
        <w:spacing w:line="400" w:lineRule="exact"/>
        <w:jc w:val="center"/>
        <w:rPr>
          <w:rFonts w:hint="default" w:ascii="Times New Roman" w:hAnsi="Times New Roman" w:eastAsia="方正仿宋_GBK" w:cs="Times New Roman"/>
          <w:b/>
          <w:color w:val="auto"/>
          <w:sz w:val="28"/>
          <w:szCs w:val="28"/>
        </w:rPr>
      </w:pPr>
      <w:r>
        <w:rPr>
          <w:rFonts w:hint="default" w:ascii="Times New Roman" w:hAnsi="Times New Roman" w:eastAsia="方正仿宋_GBK" w:cs="Times New Roman"/>
          <w:b/>
          <w:color w:val="auto"/>
          <w:sz w:val="28"/>
          <w:szCs w:val="28"/>
        </w:rPr>
        <w:t>表</w:t>
      </w:r>
      <w:r>
        <w:rPr>
          <w:rFonts w:hint="default" w:ascii="Times New Roman" w:hAnsi="Times New Roman" w:eastAsia="方正仿宋_GBK" w:cs="Times New Roman"/>
          <w:b/>
          <w:color w:val="auto"/>
          <w:sz w:val="28"/>
          <w:szCs w:val="28"/>
          <w:lang w:val="en-US" w:eastAsia="zh-CN"/>
        </w:rPr>
        <w:t>2</w:t>
      </w:r>
      <w:r>
        <w:rPr>
          <w:rFonts w:hint="default" w:ascii="Times New Roman" w:hAnsi="Times New Roman" w:eastAsia="方正仿宋_GBK" w:cs="Times New Roman"/>
          <w:b/>
          <w:color w:val="auto"/>
          <w:sz w:val="28"/>
          <w:szCs w:val="28"/>
        </w:rPr>
        <w:t>.1.</w:t>
      </w:r>
      <w:r>
        <w:rPr>
          <w:rFonts w:hint="default" w:ascii="Times New Roman" w:hAnsi="Times New Roman" w:eastAsia="方正仿宋_GBK" w:cs="Times New Roman"/>
          <w:b/>
          <w:color w:val="auto"/>
          <w:sz w:val="28"/>
          <w:szCs w:val="28"/>
          <w:lang w:val="en-US" w:eastAsia="zh-CN"/>
        </w:rPr>
        <w:t>5</w:t>
      </w:r>
      <w:r>
        <w:rPr>
          <w:rFonts w:hint="default" w:ascii="Times New Roman" w:hAnsi="Times New Roman" w:eastAsia="方正仿宋_GBK" w:cs="Times New Roman"/>
          <w:b/>
          <w:color w:val="auto"/>
          <w:sz w:val="28"/>
          <w:szCs w:val="28"/>
        </w:rPr>
        <w:t>.1-</w:t>
      </w:r>
      <w:r>
        <w:rPr>
          <w:rFonts w:hint="eastAsia" w:ascii="Times New Roman" w:hAnsi="Times New Roman" w:eastAsia="方正仿宋_GBK" w:cs="Times New Roman"/>
          <w:b/>
          <w:color w:val="auto"/>
          <w:sz w:val="28"/>
          <w:szCs w:val="28"/>
          <w:lang w:val="en-US" w:eastAsia="zh-CN"/>
        </w:rPr>
        <w:t>3</w:t>
      </w:r>
      <w:r>
        <w:rPr>
          <w:rFonts w:hint="default" w:ascii="Times New Roman" w:hAnsi="Times New Roman" w:eastAsia="方正仿宋_GBK" w:cs="Times New Roman"/>
          <w:b/>
          <w:color w:val="auto"/>
          <w:sz w:val="28"/>
          <w:szCs w:val="28"/>
          <w:lang w:val="en-US" w:eastAsia="zh-CN"/>
        </w:rPr>
        <w:t xml:space="preserve"> </w:t>
      </w:r>
      <w:r>
        <w:rPr>
          <w:rFonts w:hint="eastAsia" w:ascii="Times New Roman" w:hAnsi="Times New Roman" w:eastAsia="方正仿宋_GBK" w:cs="Times New Roman"/>
          <w:b/>
          <w:color w:val="auto"/>
          <w:sz w:val="28"/>
          <w:szCs w:val="28"/>
          <w:lang w:val="en-US" w:eastAsia="zh-CN"/>
        </w:rPr>
        <w:t xml:space="preserve"> </w:t>
      </w:r>
      <w:r>
        <w:rPr>
          <w:rFonts w:hint="default" w:ascii="Times New Roman" w:hAnsi="Times New Roman" w:eastAsia="方正仿宋_GBK" w:cs="Times New Roman"/>
          <w:b/>
          <w:color w:val="auto"/>
          <w:sz w:val="28"/>
          <w:szCs w:val="28"/>
          <w:lang w:eastAsia="zh-CN"/>
        </w:rPr>
        <w:t>新平县</w:t>
      </w:r>
      <w:r>
        <w:rPr>
          <w:rFonts w:hint="default" w:ascii="Times New Roman" w:hAnsi="Times New Roman" w:eastAsia="方正仿宋_GBK" w:cs="Times New Roman"/>
          <w:b/>
          <w:color w:val="auto"/>
          <w:sz w:val="28"/>
          <w:szCs w:val="28"/>
        </w:rPr>
        <w:t>“千吨万人”饮用水源地</w:t>
      </w:r>
      <w:r>
        <w:rPr>
          <w:rFonts w:hint="default" w:ascii="Times New Roman" w:hAnsi="Times New Roman" w:eastAsia="方正仿宋_GBK" w:cs="Times New Roman"/>
          <w:b/>
          <w:color w:val="auto"/>
          <w:sz w:val="28"/>
          <w:szCs w:val="28"/>
          <w:lang w:val="en-US" w:eastAsia="zh-CN"/>
        </w:rPr>
        <w:t>2017</w:t>
      </w:r>
      <w:r>
        <w:rPr>
          <w:rFonts w:hint="eastAsia" w:ascii="Times New Roman" w:hAnsi="Times New Roman" w:eastAsia="方正仿宋_GBK" w:cs="Times New Roman"/>
          <w:b/>
          <w:color w:val="auto"/>
          <w:sz w:val="28"/>
          <w:szCs w:val="28"/>
          <w:lang w:val="en-US" w:eastAsia="zh-CN"/>
        </w:rPr>
        <w:t>—</w:t>
      </w:r>
      <w:r>
        <w:rPr>
          <w:rFonts w:hint="default" w:ascii="Times New Roman" w:hAnsi="Times New Roman" w:eastAsia="方正仿宋_GBK" w:cs="Times New Roman"/>
          <w:b/>
          <w:color w:val="auto"/>
          <w:sz w:val="28"/>
          <w:szCs w:val="28"/>
        </w:rPr>
        <w:t>202</w:t>
      </w:r>
      <w:r>
        <w:rPr>
          <w:rFonts w:hint="default" w:ascii="Times New Roman" w:hAnsi="Times New Roman" w:eastAsia="方正仿宋_GBK" w:cs="Times New Roman"/>
          <w:b/>
          <w:color w:val="auto"/>
          <w:sz w:val="28"/>
          <w:szCs w:val="28"/>
          <w:lang w:val="en-US" w:eastAsia="zh-CN"/>
        </w:rPr>
        <w:t>1</w:t>
      </w:r>
      <w:r>
        <w:rPr>
          <w:rFonts w:hint="default" w:ascii="Times New Roman" w:hAnsi="Times New Roman" w:eastAsia="方正仿宋_GBK" w:cs="Times New Roman"/>
          <w:b/>
          <w:color w:val="auto"/>
          <w:sz w:val="28"/>
          <w:szCs w:val="28"/>
        </w:rPr>
        <w:t>年水质情况表</w:t>
      </w:r>
    </w:p>
    <w:tbl>
      <w:tblPr>
        <w:tblStyle w:val="25"/>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91"/>
        <w:gridCol w:w="847"/>
        <w:gridCol w:w="825"/>
        <w:gridCol w:w="938"/>
        <w:gridCol w:w="1099"/>
        <w:gridCol w:w="1086"/>
        <w:gridCol w:w="961"/>
        <w:gridCol w:w="1071"/>
        <w:gridCol w:w="1195"/>
      </w:tblGrid>
      <w:tr w14:paraId="145D39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1" w:hRule="exact"/>
        </w:trPr>
        <w:tc>
          <w:tcPr>
            <w:tcW w:w="175" w:type="pct"/>
            <w:vMerge w:val="restart"/>
            <w:tcBorders>
              <w:tl2br w:val="nil"/>
              <w:tr2bl w:val="nil"/>
            </w:tcBorders>
            <w:vAlign w:val="center"/>
          </w:tcPr>
          <w:p w14:paraId="7930643F">
            <w:pPr>
              <w:widowControl/>
              <w:spacing w:line="360" w:lineRule="auto"/>
              <w:jc w:val="center"/>
              <w:rPr>
                <w:rFonts w:hint="default" w:ascii="Times New Roman" w:hAnsi="Times New Roman" w:eastAsia="方正仿宋_GBK" w:cs="Times New Roman"/>
                <w:b/>
                <w:bCs/>
                <w:color w:val="auto"/>
                <w:sz w:val="24"/>
                <w:szCs w:val="20"/>
                <w:lang w:val="en-US" w:eastAsia="zh-CN"/>
              </w:rPr>
            </w:pPr>
            <w:r>
              <w:rPr>
                <w:rFonts w:hint="default" w:ascii="Times New Roman" w:hAnsi="Times New Roman" w:eastAsia="方正仿宋_GBK" w:cs="Times New Roman"/>
                <w:b/>
                <w:bCs/>
                <w:color w:val="auto"/>
                <w:sz w:val="24"/>
                <w:szCs w:val="20"/>
                <w:lang w:val="en-US" w:eastAsia="zh-CN"/>
              </w:rPr>
              <w:t>序号</w:t>
            </w:r>
          </w:p>
        </w:tc>
        <w:tc>
          <w:tcPr>
            <w:tcW w:w="509" w:type="pct"/>
            <w:vMerge w:val="restart"/>
            <w:tcBorders>
              <w:tl2br w:val="nil"/>
              <w:tr2bl w:val="nil"/>
            </w:tcBorders>
            <w:vAlign w:val="center"/>
          </w:tcPr>
          <w:p w14:paraId="19988097">
            <w:pPr>
              <w:widowControl/>
              <w:spacing w:line="360" w:lineRule="auto"/>
              <w:jc w:val="center"/>
              <w:rPr>
                <w:rFonts w:hint="default" w:ascii="Times New Roman" w:hAnsi="Times New Roman" w:eastAsia="方正仿宋_GBK" w:cs="Times New Roman"/>
                <w:b/>
                <w:bCs/>
                <w:color w:val="auto"/>
                <w:sz w:val="24"/>
                <w:szCs w:val="20"/>
                <w:lang w:val="en-US" w:eastAsia="zh-CN"/>
              </w:rPr>
            </w:pPr>
            <w:r>
              <w:rPr>
                <w:rFonts w:hint="default" w:ascii="Times New Roman" w:hAnsi="Times New Roman" w:eastAsia="方正仿宋_GBK" w:cs="Times New Roman"/>
                <w:b/>
                <w:bCs/>
                <w:color w:val="auto"/>
                <w:sz w:val="24"/>
                <w:szCs w:val="20"/>
                <w:lang w:val="en-US" w:eastAsia="zh-CN"/>
              </w:rPr>
              <w:t>乡镇</w:t>
            </w:r>
          </w:p>
        </w:tc>
        <w:tc>
          <w:tcPr>
            <w:tcW w:w="496" w:type="pct"/>
            <w:vMerge w:val="restart"/>
            <w:tcBorders>
              <w:tl2br w:val="nil"/>
              <w:tr2bl w:val="nil"/>
            </w:tcBorders>
            <w:vAlign w:val="center"/>
          </w:tcPr>
          <w:p w14:paraId="773F9BD5">
            <w:pPr>
              <w:widowControl/>
              <w:spacing w:line="360" w:lineRule="auto"/>
              <w:jc w:val="center"/>
              <w:rPr>
                <w:rFonts w:hint="default" w:ascii="Times New Roman" w:hAnsi="Times New Roman" w:eastAsia="方正仿宋_GBK" w:cs="Times New Roman"/>
                <w:b/>
                <w:bCs/>
                <w:color w:val="auto"/>
                <w:sz w:val="24"/>
                <w:szCs w:val="20"/>
                <w:lang w:val="en-US" w:eastAsia="zh-CN"/>
              </w:rPr>
            </w:pPr>
            <w:r>
              <w:rPr>
                <w:rFonts w:hint="default" w:ascii="Times New Roman" w:hAnsi="Times New Roman" w:eastAsia="方正仿宋_GBK" w:cs="Times New Roman"/>
                <w:b/>
                <w:bCs/>
                <w:color w:val="auto"/>
                <w:sz w:val="24"/>
                <w:szCs w:val="20"/>
                <w:lang w:val="en-US" w:eastAsia="zh-CN"/>
              </w:rPr>
              <w:t>水源地名称</w:t>
            </w:r>
          </w:p>
        </w:tc>
        <w:tc>
          <w:tcPr>
            <w:tcW w:w="564" w:type="pct"/>
            <w:vMerge w:val="restart"/>
            <w:tcBorders>
              <w:tl2br w:val="nil"/>
              <w:tr2bl w:val="nil"/>
            </w:tcBorders>
            <w:vAlign w:val="center"/>
          </w:tcPr>
          <w:p w14:paraId="647407D9">
            <w:pPr>
              <w:widowControl/>
              <w:spacing w:line="360" w:lineRule="auto"/>
              <w:jc w:val="center"/>
              <w:rPr>
                <w:rFonts w:hint="default" w:ascii="Times New Roman" w:hAnsi="Times New Roman" w:eastAsia="方正仿宋_GBK" w:cs="Times New Roman"/>
                <w:b/>
                <w:bCs/>
                <w:color w:val="auto"/>
                <w:sz w:val="24"/>
                <w:szCs w:val="20"/>
                <w:lang w:val="en-US" w:eastAsia="zh-CN"/>
              </w:rPr>
            </w:pPr>
            <w:r>
              <w:rPr>
                <w:rFonts w:hint="default" w:ascii="Times New Roman" w:hAnsi="Times New Roman" w:eastAsia="方正仿宋_GBK" w:cs="Times New Roman"/>
                <w:b/>
                <w:bCs/>
                <w:color w:val="auto"/>
                <w:sz w:val="24"/>
                <w:szCs w:val="20"/>
                <w:lang w:val="en-US" w:eastAsia="zh-CN"/>
              </w:rPr>
              <w:t>水环境功能类别</w:t>
            </w:r>
          </w:p>
        </w:tc>
        <w:tc>
          <w:tcPr>
            <w:tcW w:w="3254" w:type="pct"/>
            <w:gridSpan w:val="5"/>
            <w:tcBorders>
              <w:tl2br w:val="nil"/>
              <w:tr2bl w:val="nil"/>
            </w:tcBorders>
            <w:vAlign w:val="center"/>
          </w:tcPr>
          <w:p w14:paraId="643B994F">
            <w:pPr>
              <w:widowControl/>
              <w:spacing w:line="360" w:lineRule="auto"/>
              <w:jc w:val="center"/>
              <w:rPr>
                <w:rFonts w:hint="default" w:ascii="Times New Roman" w:hAnsi="Times New Roman" w:eastAsia="方正仿宋_GBK" w:cs="Times New Roman"/>
                <w:b/>
                <w:bCs/>
                <w:color w:val="auto"/>
                <w:sz w:val="24"/>
                <w:szCs w:val="20"/>
                <w:lang w:val="en-US" w:eastAsia="zh-CN"/>
              </w:rPr>
            </w:pPr>
            <w:r>
              <w:rPr>
                <w:rFonts w:hint="default" w:ascii="Times New Roman" w:hAnsi="Times New Roman" w:eastAsia="方正仿宋_GBK" w:cs="Times New Roman"/>
                <w:b/>
                <w:bCs/>
                <w:color w:val="auto"/>
                <w:sz w:val="24"/>
                <w:szCs w:val="20"/>
                <w:lang w:val="en-US" w:eastAsia="zh-CN"/>
              </w:rPr>
              <w:t>水质现状</w:t>
            </w:r>
          </w:p>
        </w:tc>
      </w:tr>
      <w:tr w14:paraId="070F7D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1" w:hRule="exact"/>
        </w:trPr>
        <w:tc>
          <w:tcPr>
            <w:tcW w:w="175" w:type="pct"/>
            <w:vMerge w:val="continue"/>
            <w:tcBorders>
              <w:tl2br w:val="nil"/>
              <w:tr2bl w:val="nil"/>
            </w:tcBorders>
            <w:vAlign w:val="center"/>
          </w:tcPr>
          <w:p w14:paraId="2AE96F38">
            <w:pPr>
              <w:widowControl/>
              <w:spacing w:line="360" w:lineRule="auto"/>
              <w:jc w:val="center"/>
              <w:rPr>
                <w:rFonts w:hint="default" w:ascii="Times New Roman" w:hAnsi="Times New Roman" w:eastAsia="方正仿宋_GBK" w:cs="Times New Roman"/>
                <w:b/>
                <w:bCs/>
                <w:color w:val="auto"/>
                <w:sz w:val="24"/>
                <w:szCs w:val="20"/>
                <w:lang w:val="en-US" w:eastAsia="zh-CN"/>
              </w:rPr>
            </w:pPr>
          </w:p>
        </w:tc>
        <w:tc>
          <w:tcPr>
            <w:tcW w:w="509" w:type="pct"/>
            <w:vMerge w:val="continue"/>
            <w:tcBorders>
              <w:tl2br w:val="nil"/>
              <w:tr2bl w:val="nil"/>
            </w:tcBorders>
            <w:vAlign w:val="center"/>
          </w:tcPr>
          <w:p w14:paraId="68FFC0F4">
            <w:pPr>
              <w:widowControl/>
              <w:spacing w:line="360" w:lineRule="auto"/>
              <w:jc w:val="center"/>
              <w:rPr>
                <w:rFonts w:hint="default" w:ascii="Times New Roman" w:hAnsi="Times New Roman" w:eastAsia="方正仿宋_GBK" w:cs="Times New Roman"/>
                <w:b/>
                <w:bCs/>
                <w:color w:val="auto"/>
                <w:sz w:val="24"/>
                <w:szCs w:val="20"/>
                <w:lang w:val="en-US" w:eastAsia="zh-CN"/>
              </w:rPr>
            </w:pPr>
          </w:p>
        </w:tc>
        <w:tc>
          <w:tcPr>
            <w:tcW w:w="496" w:type="pct"/>
            <w:vMerge w:val="continue"/>
            <w:tcBorders>
              <w:tl2br w:val="nil"/>
              <w:tr2bl w:val="nil"/>
            </w:tcBorders>
            <w:vAlign w:val="center"/>
          </w:tcPr>
          <w:p w14:paraId="70E24A60">
            <w:pPr>
              <w:widowControl/>
              <w:spacing w:line="360" w:lineRule="auto"/>
              <w:jc w:val="center"/>
              <w:rPr>
                <w:rFonts w:hint="default" w:ascii="Times New Roman" w:hAnsi="Times New Roman" w:eastAsia="方正仿宋_GBK" w:cs="Times New Roman"/>
                <w:b/>
                <w:bCs/>
                <w:color w:val="auto"/>
                <w:sz w:val="24"/>
                <w:szCs w:val="20"/>
                <w:lang w:val="en-US" w:eastAsia="zh-CN"/>
              </w:rPr>
            </w:pPr>
          </w:p>
        </w:tc>
        <w:tc>
          <w:tcPr>
            <w:tcW w:w="564" w:type="pct"/>
            <w:vMerge w:val="continue"/>
            <w:tcBorders>
              <w:tl2br w:val="nil"/>
              <w:tr2bl w:val="nil"/>
            </w:tcBorders>
            <w:vAlign w:val="center"/>
          </w:tcPr>
          <w:p w14:paraId="20795E74">
            <w:pPr>
              <w:widowControl/>
              <w:spacing w:line="360" w:lineRule="auto"/>
              <w:jc w:val="center"/>
              <w:rPr>
                <w:rFonts w:hint="default" w:ascii="Times New Roman" w:hAnsi="Times New Roman" w:eastAsia="方正仿宋_GBK" w:cs="Times New Roman"/>
                <w:b/>
                <w:bCs/>
                <w:color w:val="auto"/>
                <w:sz w:val="24"/>
                <w:szCs w:val="20"/>
                <w:lang w:val="en-US" w:eastAsia="zh-CN"/>
              </w:rPr>
            </w:pPr>
          </w:p>
        </w:tc>
        <w:tc>
          <w:tcPr>
            <w:tcW w:w="661" w:type="pct"/>
            <w:tcBorders>
              <w:tl2br w:val="nil"/>
              <w:tr2bl w:val="nil"/>
            </w:tcBorders>
            <w:vAlign w:val="center"/>
          </w:tcPr>
          <w:p w14:paraId="2165E120">
            <w:pPr>
              <w:widowControl/>
              <w:spacing w:line="360" w:lineRule="auto"/>
              <w:jc w:val="center"/>
              <w:rPr>
                <w:rFonts w:hint="default" w:ascii="Times New Roman" w:hAnsi="Times New Roman" w:eastAsia="方正仿宋_GBK" w:cs="Times New Roman"/>
                <w:b/>
                <w:bCs/>
                <w:color w:val="auto"/>
                <w:sz w:val="24"/>
                <w:szCs w:val="20"/>
                <w:lang w:val="en-US" w:eastAsia="zh-CN"/>
              </w:rPr>
            </w:pPr>
            <w:r>
              <w:rPr>
                <w:rFonts w:hint="default" w:ascii="Times New Roman" w:hAnsi="Times New Roman" w:eastAsia="方正仿宋_GBK" w:cs="Times New Roman"/>
                <w:b/>
                <w:bCs/>
                <w:color w:val="auto"/>
                <w:sz w:val="24"/>
                <w:szCs w:val="20"/>
                <w:lang w:val="en-US" w:eastAsia="zh-CN"/>
              </w:rPr>
              <w:t>2017年</w:t>
            </w:r>
          </w:p>
        </w:tc>
        <w:tc>
          <w:tcPr>
            <w:tcW w:w="653" w:type="pct"/>
            <w:tcBorders>
              <w:tl2br w:val="nil"/>
              <w:tr2bl w:val="nil"/>
            </w:tcBorders>
            <w:vAlign w:val="center"/>
          </w:tcPr>
          <w:p w14:paraId="490DDDBC">
            <w:pPr>
              <w:widowControl/>
              <w:spacing w:line="360" w:lineRule="auto"/>
              <w:jc w:val="center"/>
              <w:rPr>
                <w:rFonts w:hint="default" w:ascii="Times New Roman" w:hAnsi="Times New Roman" w:eastAsia="方正仿宋_GBK" w:cs="Times New Roman"/>
                <w:b/>
                <w:bCs/>
                <w:color w:val="auto"/>
                <w:sz w:val="24"/>
                <w:szCs w:val="20"/>
                <w:lang w:val="en-US" w:eastAsia="zh-CN"/>
              </w:rPr>
            </w:pPr>
            <w:r>
              <w:rPr>
                <w:rFonts w:hint="default" w:ascii="Times New Roman" w:hAnsi="Times New Roman" w:eastAsia="方正仿宋_GBK" w:cs="Times New Roman"/>
                <w:b/>
                <w:bCs/>
                <w:color w:val="auto"/>
                <w:sz w:val="24"/>
                <w:szCs w:val="20"/>
                <w:lang w:val="en-US" w:eastAsia="zh-CN"/>
              </w:rPr>
              <w:t>2018年</w:t>
            </w:r>
          </w:p>
        </w:tc>
        <w:tc>
          <w:tcPr>
            <w:tcW w:w="578" w:type="pct"/>
            <w:tcBorders>
              <w:tl2br w:val="nil"/>
              <w:tr2bl w:val="nil"/>
            </w:tcBorders>
            <w:vAlign w:val="center"/>
          </w:tcPr>
          <w:p w14:paraId="1F48DE15">
            <w:pPr>
              <w:widowControl/>
              <w:spacing w:line="360" w:lineRule="auto"/>
              <w:jc w:val="center"/>
              <w:rPr>
                <w:rFonts w:hint="default" w:ascii="Times New Roman" w:hAnsi="Times New Roman" w:eastAsia="方正仿宋_GBK" w:cs="Times New Roman"/>
                <w:b/>
                <w:bCs/>
                <w:color w:val="auto"/>
                <w:sz w:val="24"/>
                <w:szCs w:val="20"/>
                <w:lang w:val="en-US" w:eastAsia="zh-CN"/>
              </w:rPr>
            </w:pPr>
            <w:r>
              <w:rPr>
                <w:rFonts w:hint="default" w:ascii="Times New Roman" w:hAnsi="Times New Roman" w:eastAsia="方正仿宋_GBK" w:cs="Times New Roman"/>
                <w:b/>
                <w:bCs/>
                <w:color w:val="auto"/>
                <w:sz w:val="24"/>
                <w:szCs w:val="20"/>
                <w:lang w:val="en-US" w:eastAsia="zh-CN"/>
              </w:rPr>
              <w:t>2019年</w:t>
            </w:r>
          </w:p>
        </w:tc>
        <w:tc>
          <w:tcPr>
            <w:tcW w:w="644" w:type="pct"/>
            <w:tcBorders>
              <w:tl2br w:val="nil"/>
              <w:tr2bl w:val="nil"/>
            </w:tcBorders>
            <w:vAlign w:val="center"/>
          </w:tcPr>
          <w:p w14:paraId="1C9BC6A5">
            <w:pPr>
              <w:widowControl/>
              <w:spacing w:line="360" w:lineRule="auto"/>
              <w:jc w:val="center"/>
              <w:rPr>
                <w:rFonts w:hint="default" w:ascii="Times New Roman" w:hAnsi="Times New Roman" w:eastAsia="方正仿宋_GBK" w:cs="Times New Roman"/>
                <w:b/>
                <w:bCs/>
                <w:color w:val="auto"/>
                <w:sz w:val="24"/>
                <w:szCs w:val="20"/>
                <w:lang w:val="en-US" w:eastAsia="zh-CN"/>
              </w:rPr>
            </w:pPr>
            <w:r>
              <w:rPr>
                <w:rFonts w:hint="default" w:ascii="Times New Roman" w:hAnsi="Times New Roman" w:eastAsia="方正仿宋_GBK" w:cs="Times New Roman"/>
                <w:b/>
                <w:bCs/>
                <w:color w:val="auto"/>
                <w:sz w:val="24"/>
                <w:szCs w:val="20"/>
                <w:lang w:val="en-US" w:eastAsia="zh-CN"/>
              </w:rPr>
              <w:t>2020年</w:t>
            </w:r>
          </w:p>
        </w:tc>
        <w:tc>
          <w:tcPr>
            <w:tcW w:w="717" w:type="pct"/>
            <w:tcBorders>
              <w:tl2br w:val="nil"/>
              <w:tr2bl w:val="nil"/>
            </w:tcBorders>
            <w:vAlign w:val="center"/>
          </w:tcPr>
          <w:p w14:paraId="1028BBA1">
            <w:pPr>
              <w:widowControl/>
              <w:spacing w:line="360" w:lineRule="auto"/>
              <w:jc w:val="center"/>
              <w:rPr>
                <w:rFonts w:hint="default" w:ascii="Times New Roman" w:hAnsi="Times New Roman" w:eastAsia="方正仿宋_GBK" w:cs="Times New Roman"/>
                <w:b/>
                <w:bCs/>
                <w:color w:val="auto"/>
                <w:sz w:val="24"/>
                <w:szCs w:val="20"/>
                <w:lang w:val="en-US" w:eastAsia="zh-CN"/>
              </w:rPr>
            </w:pPr>
            <w:r>
              <w:rPr>
                <w:rFonts w:hint="default" w:ascii="Times New Roman" w:hAnsi="Times New Roman" w:eastAsia="方正仿宋_GBK" w:cs="Times New Roman"/>
                <w:b/>
                <w:bCs/>
                <w:color w:val="auto"/>
                <w:sz w:val="24"/>
                <w:szCs w:val="20"/>
                <w:lang w:val="en-US" w:eastAsia="zh-CN"/>
              </w:rPr>
              <w:t>2021年</w:t>
            </w:r>
          </w:p>
        </w:tc>
      </w:tr>
      <w:tr w14:paraId="3D1ED2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4" w:hRule="exact"/>
        </w:trPr>
        <w:tc>
          <w:tcPr>
            <w:tcW w:w="175" w:type="pct"/>
            <w:tcBorders>
              <w:tl2br w:val="nil"/>
              <w:tr2bl w:val="nil"/>
            </w:tcBorders>
            <w:vAlign w:val="center"/>
          </w:tcPr>
          <w:p w14:paraId="2A85AB8C">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1</w:t>
            </w:r>
          </w:p>
        </w:tc>
        <w:tc>
          <w:tcPr>
            <w:tcW w:w="509" w:type="pct"/>
            <w:tcBorders>
              <w:tl2br w:val="nil"/>
              <w:tr2bl w:val="nil"/>
            </w:tcBorders>
            <w:vAlign w:val="center"/>
          </w:tcPr>
          <w:p w14:paraId="59198C60">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漠沙镇</w:t>
            </w:r>
          </w:p>
        </w:tc>
        <w:tc>
          <w:tcPr>
            <w:tcW w:w="496" w:type="pct"/>
            <w:tcBorders>
              <w:tl2br w:val="nil"/>
              <w:tr2bl w:val="nil"/>
            </w:tcBorders>
            <w:vAlign w:val="center"/>
          </w:tcPr>
          <w:p w14:paraId="613FF236">
            <w:pPr>
              <w:pStyle w:val="23"/>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方正仿宋_GBK" w:cs="Times New Roman"/>
                <w:color w:val="auto"/>
                <w:kern w:val="2"/>
                <w:sz w:val="24"/>
                <w:szCs w:val="20"/>
                <w:lang w:val="en-US" w:eastAsia="zh-CN" w:bidi="ar-SA"/>
              </w:rPr>
            </w:pPr>
            <w:r>
              <w:rPr>
                <w:rFonts w:hint="default" w:ascii="Times New Roman" w:hAnsi="Times New Roman" w:eastAsia="方正仿宋_GBK" w:cs="Times New Roman"/>
                <w:color w:val="auto"/>
                <w:kern w:val="2"/>
                <w:sz w:val="24"/>
                <w:szCs w:val="20"/>
                <w:lang w:val="en-US" w:eastAsia="zh-CN" w:bidi="ar-SA"/>
              </w:rPr>
              <w:t>洋发城水库</w:t>
            </w:r>
          </w:p>
        </w:tc>
        <w:tc>
          <w:tcPr>
            <w:tcW w:w="564" w:type="pct"/>
            <w:tcBorders>
              <w:tl2br w:val="nil"/>
              <w:tr2bl w:val="nil"/>
            </w:tcBorders>
            <w:vAlign w:val="center"/>
          </w:tcPr>
          <w:p w14:paraId="73515E35">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Ⅱ类</w:t>
            </w:r>
          </w:p>
        </w:tc>
        <w:tc>
          <w:tcPr>
            <w:tcW w:w="661" w:type="pct"/>
            <w:tcBorders>
              <w:tl2br w:val="nil"/>
              <w:tr2bl w:val="nil"/>
            </w:tcBorders>
            <w:vAlign w:val="center"/>
          </w:tcPr>
          <w:p w14:paraId="3DED38CA">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Ⅱ类</w:t>
            </w:r>
          </w:p>
        </w:tc>
        <w:tc>
          <w:tcPr>
            <w:tcW w:w="653" w:type="pct"/>
            <w:tcBorders>
              <w:tl2br w:val="nil"/>
              <w:tr2bl w:val="nil"/>
            </w:tcBorders>
            <w:vAlign w:val="center"/>
          </w:tcPr>
          <w:p w14:paraId="43EF083F">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Ⅱ类</w:t>
            </w:r>
          </w:p>
        </w:tc>
        <w:tc>
          <w:tcPr>
            <w:tcW w:w="578" w:type="pct"/>
            <w:tcBorders>
              <w:tl2br w:val="nil"/>
              <w:tr2bl w:val="nil"/>
            </w:tcBorders>
            <w:vAlign w:val="center"/>
          </w:tcPr>
          <w:p w14:paraId="576F2144">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Ⅱ类</w:t>
            </w:r>
          </w:p>
        </w:tc>
        <w:tc>
          <w:tcPr>
            <w:tcW w:w="644" w:type="pct"/>
            <w:tcBorders>
              <w:tl2br w:val="nil"/>
              <w:tr2bl w:val="nil"/>
            </w:tcBorders>
            <w:vAlign w:val="center"/>
          </w:tcPr>
          <w:p w14:paraId="424C0866">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Ⅱ类</w:t>
            </w:r>
          </w:p>
        </w:tc>
        <w:tc>
          <w:tcPr>
            <w:tcW w:w="717" w:type="pct"/>
            <w:tcBorders>
              <w:tl2br w:val="nil"/>
              <w:tr2bl w:val="nil"/>
            </w:tcBorders>
            <w:vAlign w:val="center"/>
          </w:tcPr>
          <w:p w14:paraId="0C9396E1">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Ⅱ类</w:t>
            </w:r>
          </w:p>
        </w:tc>
      </w:tr>
      <w:tr w14:paraId="1FE423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exact"/>
        </w:trPr>
        <w:tc>
          <w:tcPr>
            <w:tcW w:w="175" w:type="pct"/>
            <w:tcBorders>
              <w:tl2br w:val="nil"/>
              <w:tr2bl w:val="nil"/>
            </w:tcBorders>
            <w:vAlign w:val="center"/>
          </w:tcPr>
          <w:p w14:paraId="335915B0">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2</w:t>
            </w:r>
          </w:p>
        </w:tc>
        <w:tc>
          <w:tcPr>
            <w:tcW w:w="509" w:type="pct"/>
            <w:tcBorders>
              <w:tl2br w:val="nil"/>
              <w:tr2bl w:val="nil"/>
            </w:tcBorders>
            <w:vAlign w:val="center"/>
          </w:tcPr>
          <w:p w14:paraId="23CD62E2">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漠沙镇</w:t>
            </w:r>
          </w:p>
        </w:tc>
        <w:tc>
          <w:tcPr>
            <w:tcW w:w="496" w:type="pct"/>
            <w:tcBorders>
              <w:tl2br w:val="nil"/>
              <w:tr2bl w:val="nil"/>
            </w:tcBorders>
            <w:vAlign w:val="center"/>
          </w:tcPr>
          <w:p w14:paraId="3104C51C">
            <w:pPr>
              <w:pStyle w:val="23"/>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方正仿宋_GBK" w:cs="Times New Roman"/>
                <w:color w:val="auto"/>
                <w:kern w:val="2"/>
                <w:sz w:val="24"/>
                <w:szCs w:val="20"/>
                <w:lang w:val="en-US" w:eastAsia="zh-CN" w:bidi="ar-SA"/>
              </w:rPr>
            </w:pPr>
            <w:r>
              <w:rPr>
                <w:rFonts w:hint="default" w:ascii="Times New Roman" w:hAnsi="Times New Roman" w:eastAsia="方正仿宋_GBK" w:cs="Times New Roman"/>
                <w:color w:val="auto"/>
                <w:kern w:val="2"/>
                <w:sz w:val="24"/>
                <w:szCs w:val="20"/>
                <w:lang w:val="en-US" w:eastAsia="zh-CN" w:bidi="ar-SA"/>
              </w:rPr>
              <w:t>光山河水库</w:t>
            </w:r>
          </w:p>
        </w:tc>
        <w:tc>
          <w:tcPr>
            <w:tcW w:w="564" w:type="pct"/>
            <w:tcBorders>
              <w:tl2br w:val="nil"/>
              <w:tr2bl w:val="nil"/>
            </w:tcBorders>
            <w:vAlign w:val="center"/>
          </w:tcPr>
          <w:p w14:paraId="00A7C1B5">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Ⅱ类</w:t>
            </w:r>
          </w:p>
        </w:tc>
        <w:tc>
          <w:tcPr>
            <w:tcW w:w="661" w:type="pct"/>
            <w:tcBorders>
              <w:tl2br w:val="nil"/>
              <w:tr2bl w:val="nil"/>
            </w:tcBorders>
            <w:vAlign w:val="center"/>
          </w:tcPr>
          <w:p w14:paraId="37696D41">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Ⅱ类</w:t>
            </w:r>
          </w:p>
        </w:tc>
        <w:tc>
          <w:tcPr>
            <w:tcW w:w="653" w:type="pct"/>
            <w:tcBorders>
              <w:tl2br w:val="nil"/>
              <w:tr2bl w:val="nil"/>
            </w:tcBorders>
            <w:vAlign w:val="center"/>
          </w:tcPr>
          <w:p w14:paraId="7C52D6D3">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Ⅰ类</w:t>
            </w:r>
          </w:p>
        </w:tc>
        <w:tc>
          <w:tcPr>
            <w:tcW w:w="578" w:type="pct"/>
            <w:tcBorders>
              <w:tl2br w:val="nil"/>
              <w:tr2bl w:val="nil"/>
            </w:tcBorders>
            <w:vAlign w:val="center"/>
          </w:tcPr>
          <w:p w14:paraId="534F3CC8">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Ⅱ类</w:t>
            </w:r>
          </w:p>
        </w:tc>
        <w:tc>
          <w:tcPr>
            <w:tcW w:w="644" w:type="pct"/>
            <w:tcBorders>
              <w:tl2br w:val="nil"/>
              <w:tr2bl w:val="nil"/>
            </w:tcBorders>
            <w:vAlign w:val="center"/>
          </w:tcPr>
          <w:p w14:paraId="17081F41">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Ⅱ类</w:t>
            </w:r>
          </w:p>
        </w:tc>
        <w:tc>
          <w:tcPr>
            <w:tcW w:w="717" w:type="pct"/>
            <w:tcBorders>
              <w:tl2br w:val="nil"/>
              <w:tr2bl w:val="nil"/>
            </w:tcBorders>
            <w:vAlign w:val="center"/>
          </w:tcPr>
          <w:p w14:paraId="538991FF">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Ⅱ类</w:t>
            </w:r>
          </w:p>
        </w:tc>
      </w:tr>
      <w:tr w14:paraId="6F4D25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4" w:hRule="exact"/>
        </w:trPr>
        <w:tc>
          <w:tcPr>
            <w:tcW w:w="175" w:type="pct"/>
            <w:tcBorders>
              <w:tl2br w:val="nil"/>
              <w:tr2bl w:val="nil"/>
            </w:tcBorders>
          </w:tcPr>
          <w:p w14:paraId="2E6BB54F">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3</w:t>
            </w:r>
          </w:p>
        </w:tc>
        <w:tc>
          <w:tcPr>
            <w:tcW w:w="509" w:type="pct"/>
            <w:tcBorders>
              <w:tl2br w:val="nil"/>
              <w:tr2bl w:val="nil"/>
            </w:tcBorders>
            <w:vAlign w:val="center"/>
          </w:tcPr>
          <w:p w14:paraId="084A5791">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戛洒镇</w:t>
            </w:r>
          </w:p>
        </w:tc>
        <w:tc>
          <w:tcPr>
            <w:tcW w:w="496" w:type="pct"/>
            <w:tcBorders>
              <w:tl2br w:val="nil"/>
              <w:tr2bl w:val="nil"/>
            </w:tcBorders>
            <w:vAlign w:val="center"/>
          </w:tcPr>
          <w:p w14:paraId="6B659F29">
            <w:pPr>
              <w:pStyle w:val="23"/>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方正仿宋_GBK" w:cs="Times New Roman"/>
                <w:color w:val="auto"/>
                <w:kern w:val="2"/>
                <w:sz w:val="24"/>
                <w:szCs w:val="20"/>
                <w:lang w:val="en-US" w:eastAsia="zh-CN" w:bidi="ar-SA"/>
              </w:rPr>
            </w:pPr>
            <w:r>
              <w:rPr>
                <w:rFonts w:hint="default" w:ascii="Times New Roman" w:hAnsi="Times New Roman" w:eastAsia="方正仿宋_GBK" w:cs="Times New Roman"/>
                <w:color w:val="auto"/>
                <w:kern w:val="2"/>
                <w:sz w:val="24"/>
                <w:szCs w:val="20"/>
                <w:lang w:val="en-US" w:eastAsia="zh-CN" w:bidi="ar-SA"/>
              </w:rPr>
              <w:t>南恩河</w:t>
            </w:r>
          </w:p>
        </w:tc>
        <w:tc>
          <w:tcPr>
            <w:tcW w:w="564" w:type="pct"/>
            <w:tcBorders>
              <w:tl2br w:val="nil"/>
              <w:tr2bl w:val="nil"/>
            </w:tcBorders>
            <w:vAlign w:val="center"/>
          </w:tcPr>
          <w:p w14:paraId="4B9E55BF">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Ⅱ类</w:t>
            </w:r>
          </w:p>
        </w:tc>
        <w:tc>
          <w:tcPr>
            <w:tcW w:w="661" w:type="pct"/>
            <w:tcBorders>
              <w:tl2br w:val="nil"/>
              <w:tr2bl w:val="nil"/>
            </w:tcBorders>
            <w:vAlign w:val="center"/>
          </w:tcPr>
          <w:p w14:paraId="4F302A69">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Ⅴ类（粪大肠菌群）</w:t>
            </w:r>
          </w:p>
        </w:tc>
        <w:tc>
          <w:tcPr>
            <w:tcW w:w="653" w:type="pct"/>
            <w:tcBorders>
              <w:tl2br w:val="nil"/>
              <w:tr2bl w:val="nil"/>
            </w:tcBorders>
            <w:vAlign w:val="center"/>
          </w:tcPr>
          <w:p w14:paraId="4945C546">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Ⅱ类</w:t>
            </w:r>
          </w:p>
        </w:tc>
        <w:tc>
          <w:tcPr>
            <w:tcW w:w="578" w:type="pct"/>
            <w:tcBorders>
              <w:tl2br w:val="nil"/>
              <w:tr2bl w:val="nil"/>
            </w:tcBorders>
            <w:vAlign w:val="center"/>
          </w:tcPr>
          <w:p w14:paraId="08C9FD2D">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Ⅱ类</w:t>
            </w:r>
          </w:p>
        </w:tc>
        <w:tc>
          <w:tcPr>
            <w:tcW w:w="644" w:type="pct"/>
            <w:tcBorders>
              <w:tl2br w:val="nil"/>
              <w:tr2bl w:val="nil"/>
            </w:tcBorders>
            <w:vAlign w:val="center"/>
          </w:tcPr>
          <w:p w14:paraId="5847DA2B">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Ⅱ类</w:t>
            </w:r>
          </w:p>
        </w:tc>
        <w:tc>
          <w:tcPr>
            <w:tcW w:w="717" w:type="pct"/>
            <w:tcBorders>
              <w:tl2br w:val="nil"/>
              <w:tr2bl w:val="nil"/>
            </w:tcBorders>
            <w:vAlign w:val="center"/>
          </w:tcPr>
          <w:p w14:paraId="1FA81F0D">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Ⅱ类</w:t>
            </w:r>
          </w:p>
        </w:tc>
      </w:tr>
      <w:tr w14:paraId="773F85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3" w:hRule="exact"/>
        </w:trPr>
        <w:tc>
          <w:tcPr>
            <w:tcW w:w="175" w:type="pct"/>
            <w:tcBorders>
              <w:tl2br w:val="nil"/>
              <w:tr2bl w:val="nil"/>
            </w:tcBorders>
          </w:tcPr>
          <w:p w14:paraId="3FB6A7D9">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4</w:t>
            </w:r>
          </w:p>
        </w:tc>
        <w:tc>
          <w:tcPr>
            <w:tcW w:w="509" w:type="pct"/>
            <w:tcBorders>
              <w:tl2br w:val="nil"/>
              <w:tr2bl w:val="nil"/>
            </w:tcBorders>
            <w:vAlign w:val="center"/>
          </w:tcPr>
          <w:p w14:paraId="6F8EA134">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戛洒镇</w:t>
            </w:r>
          </w:p>
        </w:tc>
        <w:tc>
          <w:tcPr>
            <w:tcW w:w="496" w:type="pct"/>
            <w:tcBorders>
              <w:tl2br w:val="nil"/>
              <w:tr2bl w:val="nil"/>
            </w:tcBorders>
            <w:vAlign w:val="center"/>
          </w:tcPr>
          <w:p w14:paraId="224DCADD">
            <w:pPr>
              <w:pStyle w:val="23"/>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方正仿宋_GBK" w:cs="Times New Roman"/>
                <w:color w:val="auto"/>
                <w:kern w:val="2"/>
                <w:sz w:val="24"/>
                <w:szCs w:val="20"/>
                <w:lang w:val="en-US" w:eastAsia="zh-CN" w:bidi="ar-SA"/>
              </w:rPr>
            </w:pPr>
            <w:r>
              <w:rPr>
                <w:rFonts w:hint="default" w:ascii="Times New Roman" w:hAnsi="Times New Roman" w:eastAsia="方正仿宋_GBK" w:cs="Times New Roman"/>
                <w:color w:val="auto"/>
                <w:kern w:val="2"/>
                <w:sz w:val="24"/>
                <w:szCs w:val="20"/>
                <w:lang w:val="en-US" w:eastAsia="zh-CN" w:bidi="ar-SA"/>
              </w:rPr>
              <w:t>达哈河</w:t>
            </w:r>
          </w:p>
        </w:tc>
        <w:tc>
          <w:tcPr>
            <w:tcW w:w="564" w:type="pct"/>
            <w:tcBorders>
              <w:tl2br w:val="nil"/>
              <w:tr2bl w:val="nil"/>
            </w:tcBorders>
            <w:vAlign w:val="center"/>
          </w:tcPr>
          <w:p w14:paraId="0B0C1A60">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Ⅱ类</w:t>
            </w:r>
          </w:p>
        </w:tc>
        <w:tc>
          <w:tcPr>
            <w:tcW w:w="661" w:type="pct"/>
            <w:tcBorders>
              <w:tl2br w:val="nil"/>
              <w:tr2bl w:val="nil"/>
            </w:tcBorders>
            <w:vAlign w:val="center"/>
          </w:tcPr>
          <w:p w14:paraId="02F43926">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Ⅲ（粪大肠菌群）</w:t>
            </w:r>
          </w:p>
        </w:tc>
        <w:tc>
          <w:tcPr>
            <w:tcW w:w="653" w:type="pct"/>
            <w:tcBorders>
              <w:tl2br w:val="nil"/>
              <w:tr2bl w:val="nil"/>
            </w:tcBorders>
            <w:vAlign w:val="center"/>
          </w:tcPr>
          <w:p w14:paraId="493CC8C8">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Ⅱ类</w:t>
            </w:r>
          </w:p>
        </w:tc>
        <w:tc>
          <w:tcPr>
            <w:tcW w:w="578" w:type="pct"/>
            <w:tcBorders>
              <w:tl2br w:val="nil"/>
              <w:tr2bl w:val="nil"/>
            </w:tcBorders>
            <w:vAlign w:val="center"/>
          </w:tcPr>
          <w:p w14:paraId="57E07ED2">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Ⅱ类</w:t>
            </w:r>
          </w:p>
        </w:tc>
        <w:tc>
          <w:tcPr>
            <w:tcW w:w="644" w:type="pct"/>
            <w:tcBorders>
              <w:tl2br w:val="nil"/>
              <w:tr2bl w:val="nil"/>
            </w:tcBorders>
            <w:vAlign w:val="center"/>
          </w:tcPr>
          <w:p w14:paraId="7281C3B0">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Ⅱ类</w:t>
            </w:r>
          </w:p>
        </w:tc>
        <w:tc>
          <w:tcPr>
            <w:tcW w:w="717" w:type="pct"/>
            <w:tcBorders>
              <w:tl2br w:val="nil"/>
              <w:tr2bl w:val="nil"/>
            </w:tcBorders>
            <w:vAlign w:val="center"/>
          </w:tcPr>
          <w:p w14:paraId="0F0F291E">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Ⅱ类</w:t>
            </w:r>
          </w:p>
        </w:tc>
      </w:tr>
    </w:tbl>
    <w:p w14:paraId="0285BE73">
      <w:pPr>
        <w:pStyle w:val="6"/>
        <w:bidi w:val="0"/>
        <w:rPr>
          <w:rFonts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2.1.5.2环境空气质量</w:t>
      </w:r>
    </w:p>
    <w:p w14:paraId="444F08EE">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Times New Roman"/>
          <w:b w:val="0"/>
          <w:bCs w:val="0"/>
          <w:color w:val="auto"/>
          <w:sz w:val="28"/>
          <w:szCs w:val="28"/>
          <w:highlight w:val="none"/>
          <w:lang w:val="en-US" w:eastAsia="zh-CN"/>
        </w:rPr>
      </w:pPr>
      <w:r>
        <w:rPr>
          <w:rFonts w:hint="eastAsia" w:ascii="Times New Roman" w:hAnsi="Times New Roman" w:eastAsia="方正仿宋_GBK" w:cs="方正仿宋_GBK"/>
          <w:b w:val="0"/>
          <w:bCs w:val="0"/>
          <w:color w:val="auto"/>
          <w:sz w:val="28"/>
          <w:szCs w:val="28"/>
          <w:lang w:val="en-US" w:eastAsia="zh-CN"/>
        </w:rPr>
        <w:t>新平县环境空气自动监测站于2016年11月6日通过验收，正式运行，位于新平县新平一小。监测项目为PM</w:t>
      </w:r>
      <w:r>
        <w:rPr>
          <w:rFonts w:hint="eastAsia" w:ascii="Times New Roman" w:hAnsi="Times New Roman" w:eastAsia="方正仿宋_GBK" w:cs="方正仿宋_GBK"/>
          <w:b w:val="0"/>
          <w:bCs w:val="0"/>
          <w:color w:val="auto"/>
          <w:sz w:val="28"/>
          <w:szCs w:val="28"/>
          <w:vertAlign w:val="subscript"/>
          <w:lang w:val="en-US" w:eastAsia="zh-CN"/>
        </w:rPr>
        <w:t>10</w:t>
      </w:r>
      <w:r>
        <w:rPr>
          <w:rFonts w:hint="eastAsia" w:ascii="Times New Roman" w:hAnsi="Times New Roman" w:eastAsia="方正仿宋_GBK" w:cs="方正仿宋_GBK"/>
          <w:b w:val="0"/>
          <w:bCs w:val="0"/>
          <w:color w:val="auto"/>
          <w:sz w:val="28"/>
          <w:szCs w:val="28"/>
          <w:lang w:val="en-US" w:eastAsia="zh-CN"/>
        </w:rPr>
        <w:t>、PM</w:t>
      </w:r>
      <w:r>
        <w:rPr>
          <w:rFonts w:hint="eastAsia" w:ascii="Times New Roman" w:hAnsi="Times New Roman" w:eastAsia="方正仿宋_GBK" w:cs="方正仿宋_GBK"/>
          <w:b w:val="0"/>
          <w:bCs w:val="0"/>
          <w:color w:val="auto"/>
          <w:sz w:val="28"/>
          <w:szCs w:val="28"/>
          <w:vertAlign w:val="subscript"/>
          <w:lang w:val="en-US" w:eastAsia="zh-CN"/>
        </w:rPr>
        <w:t>2.5</w:t>
      </w:r>
      <w:r>
        <w:rPr>
          <w:rFonts w:hint="eastAsia" w:ascii="Times New Roman" w:hAnsi="Times New Roman" w:eastAsia="方正仿宋_GBK" w:cs="方正仿宋_GBK"/>
          <w:b w:val="0"/>
          <w:bCs w:val="0"/>
          <w:color w:val="auto"/>
          <w:sz w:val="28"/>
          <w:szCs w:val="28"/>
          <w:lang w:val="en-US" w:eastAsia="zh-CN"/>
        </w:rPr>
        <w:t>、臭氧、一氧化碳、二氧化硫、二氧化氮（含一氧化氮）、气温、气压、风速、湿度、风向等。2017—2021年，新平县环境空</w:t>
      </w:r>
      <w:r>
        <w:rPr>
          <w:rFonts w:hint="default" w:ascii="Times New Roman" w:hAnsi="Times New Roman" w:eastAsia="方正仿宋_GBK" w:cs="Times New Roman"/>
          <w:b w:val="0"/>
          <w:bCs w:val="0"/>
          <w:color w:val="auto"/>
          <w:sz w:val="28"/>
          <w:szCs w:val="28"/>
          <w:lang w:val="en-US" w:eastAsia="zh-CN"/>
        </w:rPr>
        <w:t>气优良率保持在98.6%～100%之间。根据2017</w:t>
      </w:r>
      <w:r>
        <w:rPr>
          <w:rFonts w:hint="eastAsia" w:ascii="Times New Roman" w:hAnsi="Times New Roman" w:eastAsia="方正仿宋_GBK" w:cs="Times New Roman"/>
          <w:b w:val="0"/>
          <w:bCs w:val="0"/>
          <w:color w:val="auto"/>
          <w:sz w:val="28"/>
          <w:szCs w:val="28"/>
          <w:lang w:val="en-US" w:eastAsia="zh-CN"/>
        </w:rPr>
        <w:t>—</w:t>
      </w:r>
      <w:r>
        <w:rPr>
          <w:rFonts w:hint="default" w:ascii="Times New Roman" w:hAnsi="Times New Roman" w:eastAsia="方正仿宋_GBK" w:cs="Times New Roman"/>
          <w:b w:val="0"/>
          <w:bCs w:val="0"/>
          <w:color w:val="auto"/>
          <w:sz w:val="28"/>
          <w:szCs w:val="28"/>
          <w:lang w:val="en-US" w:eastAsia="zh-CN"/>
        </w:rPr>
        <w:t>2021年《玉溪市环境质量状况公报》，2017</w:t>
      </w:r>
      <w:r>
        <w:rPr>
          <w:rFonts w:hint="eastAsia" w:ascii="Times New Roman" w:hAnsi="Times New Roman" w:eastAsia="方正仿宋_GBK" w:cs="Times New Roman"/>
          <w:b w:val="0"/>
          <w:bCs w:val="0"/>
          <w:color w:val="auto"/>
          <w:sz w:val="28"/>
          <w:szCs w:val="28"/>
          <w:lang w:val="en-US" w:eastAsia="zh-CN"/>
        </w:rPr>
        <w:t>—</w:t>
      </w:r>
      <w:r>
        <w:rPr>
          <w:rFonts w:hint="default" w:ascii="Times New Roman" w:hAnsi="Times New Roman" w:eastAsia="方正仿宋_GBK" w:cs="Times New Roman"/>
          <w:b w:val="0"/>
          <w:bCs w:val="0"/>
          <w:color w:val="auto"/>
          <w:sz w:val="28"/>
          <w:szCs w:val="28"/>
          <w:lang w:val="en-US" w:eastAsia="zh-CN"/>
        </w:rPr>
        <w:t>2021年新平县环境空气质量均满足《环境空气质量标准》（GB3095-2012）二级标准要求</w:t>
      </w:r>
      <w:r>
        <w:rPr>
          <w:rFonts w:hint="default" w:ascii="Times New Roman" w:hAnsi="Times New Roman" w:eastAsia="方正仿宋_GBK" w:cs="Times New Roman"/>
          <w:b w:val="0"/>
          <w:bCs w:val="0"/>
          <w:color w:val="auto"/>
          <w:sz w:val="28"/>
          <w:szCs w:val="28"/>
          <w:highlight w:val="none"/>
          <w:lang w:val="en-US" w:eastAsia="zh-CN"/>
        </w:rPr>
        <w:t>，但是环境空气优良率存在逐年下降的情况，首要污染物主要是O</w:t>
      </w:r>
      <w:r>
        <w:rPr>
          <w:rFonts w:hint="default" w:ascii="Times New Roman" w:hAnsi="Times New Roman" w:eastAsia="方正仿宋_GBK" w:cs="Times New Roman"/>
          <w:b w:val="0"/>
          <w:bCs w:val="0"/>
          <w:color w:val="auto"/>
          <w:sz w:val="28"/>
          <w:szCs w:val="28"/>
          <w:highlight w:val="none"/>
          <w:vertAlign w:val="subscript"/>
          <w:lang w:val="en-US" w:eastAsia="zh-CN"/>
        </w:rPr>
        <w:t>3</w:t>
      </w:r>
      <w:r>
        <w:rPr>
          <w:rFonts w:hint="default" w:ascii="Times New Roman" w:hAnsi="Times New Roman" w:eastAsia="方正仿宋_GBK" w:cs="Times New Roman"/>
          <w:b w:val="0"/>
          <w:bCs w:val="0"/>
          <w:color w:val="auto"/>
          <w:sz w:val="28"/>
          <w:szCs w:val="28"/>
          <w:highlight w:val="none"/>
          <w:lang w:val="en-US" w:eastAsia="zh-CN"/>
        </w:rPr>
        <w:t>、细颗粒物（PM</w:t>
      </w:r>
      <w:r>
        <w:rPr>
          <w:rFonts w:hint="default" w:ascii="Times New Roman" w:hAnsi="Times New Roman" w:eastAsia="方正仿宋_GBK" w:cs="Times New Roman"/>
          <w:b w:val="0"/>
          <w:bCs w:val="0"/>
          <w:color w:val="auto"/>
          <w:sz w:val="28"/>
          <w:szCs w:val="28"/>
          <w:highlight w:val="none"/>
          <w:vertAlign w:val="subscript"/>
          <w:lang w:val="en-US" w:eastAsia="zh-CN"/>
        </w:rPr>
        <w:t>2.5</w:t>
      </w:r>
      <w:r>
        <w:rPr>
          <w:rFonts w:hint="default" w:ascii="Times New Roman" w:hAnsi="Times New Roman" w:eastAsia="方正仿宋_GBK" w:cs="Times New Roman"/>
          <w:b w:val="0"/>
          <w:bCs w:val="0"/>
          <w:color w:val="auto"/>
          <w:sz w:val="28"/>
          <w:szCs w:val="28"/>
          <w:highlight w:val="none"/>
          <w:lang w:val="en-US" w:eastAsia="zh-CN"/>
        </w:rPr>
        <w:t>）、可吸入颗粒物（PM</w:t>
      </w:r>
      <w:r>
        <w:rPr>
          <w:rFonts w:hint="default" w:ascii="Times New Roman" w:hAnsi="Times New Roman" w:eastAsia="方正仿宋_GBK" w:cs="Times New Roman"/>
          <w:b w:val="0"/>
          <w:bCs w:val="0"/>
          <w:color w:val="auto"/>
          <w:sz w:val="28"/>
          <w:szCs w:val="28"/>
          <w:highlight w:val="none"/>
          <w:vertAlign w:val="subscript"/>
          <w:lang w:val="en-US" w:eastAsia="zh-CN"/>
        </w:rPr>
        <w:t>10</w:t>
      </w:r>
      <w:r>
        <w:rPr>
          <w:rFonts w:hint="default" w:ascii="Times New Roman" w:hAnsi="Times New Roman" w:eastAsia="方正仿宋_GBK" w:cs="Times New Roman"/>
          <w:b w:val="0"/>
          <w:bCs w:val="0"/>
          <w:color w:val="auto"/>
          <w:sz w:val="28"/>
          <w:szCs w:val="28"/>
          <w:highlight w:val="none"/>
          <w:lang w:val="en-US" w:eastAsia="zh-CN"/>
        </w:rPr>
        <w:t>）</w:t>
      </w:r>
      <w:r>
        <w:rPr>
          <w:rFonts w:hint="eastAsia" w:ascii="Times New Roman" w:hAnsi="Times New Roman" w:eastAsia="方正仿宋_GBK" w:cs="Times New Roman"/>
          <w:b w:val="0"/>
          <w:bCs w:val="0"/>
          <w:color w:val="auto"/>
          <w:sz w:val="28"/>
          <w:szCs w:val="28"/>
          <w:highlight w:val="none"/>
          <w:lang w:val="en-US" w:eastAsia="zh-CN"/>
        </w:rPr>
        <w:t>。</w:t>
      </w:r>
    </w:p>
    <w:p w14:paraId="55D1AE8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default" w:ascii="Times New Roman" w:hAnsi="Times New Roman" w:eastAsia="方正仿宋_GBK" w:cs="Times New Roman"/>
          <w:b w:val="0"/>
          <w:bCs w:val="0"/>
          <w:sz w:val="32"/>
          <w:szCs w:val="32"/>
          <w:lang w:val="en-US" w:eastAsia="zh-CN"/>
        </w:rPr>
      </w:pPr>
      <w:r>
        <w:rPr>
          <w:rFonts w:hint="default" w:ascii="Times New Roman" w:hAnsi="Times New Roman" w:eastAsia="方正仿宋_GBK" w:cs="Times New Roman"/>
          <w:b w:val="0"/>
          <w:bCs w:val="0"/>
          <w:color w:val="auto"/>
          <w:sz w:val="28"/>
          <w:szCs w:val="28"/>
          <w:highlight w:val="none"/>
          <w:lang w:val="en-US" w:eastAsia="zh-CN"/>
        </w:rPr>
        <w:t>颗粒物污染来源主要是春季县城附近区域森林计划烧除和东南亚春耕生物质燃烧</w:t>
      </w:r>
      <w:r>
        <w:rPr>
          <w:rFonts w:hint="eastAsia" w:ascii="Times New Roman" w:hAnsi="Times New Roman" w:eastAsia="方正仿宋_GBK" w:cs="Times New Roman"/>
          <w:b w:val="0"/>
          <w:bCs w:val="0"/>
          <w:color w:val="auto"/>
          <w:sz w:val="28"/>
          <w:szCs w:val="28"/>
          <w:highlight w:val="none"/>
          <w:lang w:val="en-US" w:eastAsia="zh-CN"/>
        </w:rPr>
        <w:t>，</w:t>
      </w:r>
      <w:r>
        <w:rPr>
          <w:rFonts w:hint="default" w:ascii="Times New Roman" w:hAnsi="Times New Roman" w:eastAsia="方正仿宋_GBK" w:cs="Times New Roman"/>
          <w:b w:val="0"/>
          <w:bCs w:val="0"/>
          <w:color w:val="auto"/>
          <w:sz w:val="28"/>
          <w:szCs w:val="28"/>
          <w:highlight w:val="none"/>
          <w:lang w:val="en-US" w:eastAsia="zh-CN"/>
        </w:rPr>
        <w:t>臭氧浓度变化则主要与植物生长旺盛程度有关。</w:t>
      </w:r>
      <w:r>
        <w:rPr>
          <w:rFonts w:hint="default" w:ascii="Times New Roman" w:hAnsi="Times New Roman" w:eastAsia="方正仿宋_GBK" w:cs="Times New Roman"/>
          <w:b w:val="0"/>
          <w:bCs w:val="0"/>
          <w:color w:val="auto"/>
          <w:sz w:val="28"/>
          <w:szCs w:val="28"/>
          <w:lang w:val="en-US" w:eastAsia="zh-CN"/>
        </w:rPr>
        <w:t>详见表2.1.5.2-1和表2.1.5.2-2。</w:t>
      </w:r>
    </w:p>
    <w:p w14:paraId="700BB135">
      <w:pPr>
        <w:adjustRightInd w:val="0"/>
        <w:snapToGrid w:val="0"/>
        <w:spacing w:line="400" w:lineRule="exact"/>
        <w:jc w:val="center"/>
        <w:rPr>
          <w:rFonts w:hint="default" w:ascii="Times New Roman" w:hAnsi="Times New Roman" w:eastAsia="方正仿宋_GBK" w:cs="Times New Roman"/>
          <w:b/>
          <w:color w:val="auto"/>
          <w:sz w:val="28"/>
          <w:szCs w:val="28"/>
        </w:rPr>
      </w:pPr>
      <w:r>
        <w:rPr>
          <w:rFonts w:hint="default" w:ascii="Times New Roman" w:hAnsi="Times New Roman" w:eastAsia="方正仿宋_GBK" w:cs="Times New Roman"/>
          <w:b/>
          <w:color w:val="auto"/>
          <w:sz w:val="28"/>
          <w:szCs w:val="28"/>
        </w:rPr>
        <w:t>表</w:t>
      </w:r>
      <w:r>
        <w:rPr>
          <w:rFonts w:hint="default" w:ascii="Times New Roman" w:hAnsi="Times New Roman" w:eastAsia="方正仿宋_GBK" w:cs="Times New Roman"/>
          <w:b w:val="0"/>
          <w:bCs w:val="0"/>
          <w:color w:val="auto"/>
          <w:sz w:val="32"/>
          <w:szCs w:val="32"/>
          <w:lang w:val="en-US" w:eastAsia="zh-CN"/>
        </w:rPr>
        <w:t>2.1.5.2-1</w:t>
      </w:r>
      <w:r>
        <w:rPr>
          <w:rFonts w:hint="default" w:ascii="Times New Roman" w:hAnsi="Times New Roman" w:eastAsia="方正仿宋_GBK" w:cs="Times New Roman"/>
          <w:b/>
          <w:color w:val="auto"/>
          <w:sz w:val="28"/>
          <w:szCs w:val="28"/>
          <w:lang w:eastAsia="zh-CN"/>
        </w:rPr>
        <w:t>新平县</w:t>
      </w:r>
      <w:r>
        <w:rPr>
          <w:rFonts w:hint="default" w:ascii="Times New Roman" w:hAnsi="Times New Roman" w:eastAsia="方正仿宋_GBK" w:cs="Times New Roman"/>
          <w:b/>
          <w:color w:val="auto"/>
          <w:sz w:val="28"/>
          <w:szCs w:val="28"/>
        </w:rPr>
        <w:t>201</w:t>
      </w:r>
      <w:r>
        <w:rPr>
          <w:rFonts w:hint="default" w:ascii="Times New Roman" w:hAnsi="Times New Roman" w:eastAsia="方正仿宋_GBK" w:cs="Times New Roman"/>
          <w:b/>
          <w:color w:val="auto"/>
          <w:sz w:val="28"/>
          <w:szCs w:val="28"/>
          <w:lang w:val="en-US" w:eastAsia="zh-CN"/>
        </w:rPr>
        <w:t>7</w:t>
      </w:r>
      <w:r>
        <w:rPr>
          <w:rFonts w:hint="eastAsia" w:ascii="Times New Roman" w:hAnsi="Times New Roman" w:eastAsia="方正仿宋_GBK" w:cs="Times New Roman"/>
          <w:b/>
          <w:color w:val="auto"/>
          <w:sz w:val="28"/>
          <w:szCs w:val="28"/>
          <w:lang w:val="en-US" w:eastAsia="zh-CN"/>
        </w:rPr>
        <w:t>—</w:t>
      </w:r>
      <w:r>
        <w:rPr>
          <w:rFonts w:hint="default" w:ascii="Times New Roman" w:hAnsi="Times New Roman" w:eastAsia="方正仿宋_GBK" w:cs="Times New Roman"/>
          <w:b/>
          <w:color w:val="auto"/>
          <w:sz w:val="28"/>
          <w:szCs w:val="28"/>
        </w:rPr>
        <w:t>2021年环境空气优良率统计表</w:t>
      </w:r>
    </w:p>
    <w:tbl>
      <w:tblPr>
        <w:tblStyle w:val="2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2"/>
        <w:gridCol w:w="923"/>
        <w:gridCol w:w="723"/>
        <w:gridCol w:w="1146"/>
        <w:gridCol w:w="778"/>
        <w:gridCol w:w="740"/>
        <w:gridCol w:w="929"/>
        <w:gridCol w:w="921"/>
        <w:gridCol w:w="1475"/>
      </w:tblGrid>
      <w:tr w14:paraId="56133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8" w:type="pct"/>
            <w:vAlign w:val="center"/>
          </w:tcPr>
          <w:p w14:paraId="042B4713">
            <w:pPr>
              <w:widowControl/>
              <w:spacing w:line="400" w:lineRule="exact"/>
              <w:jc w:val="center"/>
              <w:rPr>
                <w:rFonts w:hint="default" w:ascii="Times New Roman" w:hAnsi="Times New Roman" w:eastAsia="方正仿宋_GBK" w:cs="Times New Roman"/>
                <w:b/>
                <w:bCs/>
                <w:color w:val="auto"/>
                <w:sz w:val="24"/>
                <w:szCs w:val="20"/>
              </w:rPr>
            </w:pPr>
            <w:r>
              <w:rPr>
                <w:rFonts w:hint="default" w:ascii="Times New Roman" w:hAnsi="Times New Roman" w:eastAsia="方正仿宋_GBK" w:cs="Times New Roman"/>
                <w:b/>
                <w:bCs/>
                <w:color w:val="auto"/>
                <w:sz w:val="24"/>
                <w:szCs w:val="20"/>
              </w:rPr>
              <w:t>年度</w:t>
            </w:r>
          </w:p>
        </w:tc>
        <w:tc>
          <w:tcPr>
            <w:tcW w:w="541" w:type="pct"/>
            <w:vAlign w:val="center"/>
          </w:tcPr>
          <w:p w14:paraId="5947BD15">
            <w:pPr>
              <w:widowControl/>
              <w:spacing w:line="400" w:lineRule="exact"/>
              <w:jc w:val="center"/>
              <w:rPr>
                <w:rFonts w:hint="default" w:ascii="Times New Roman" w:hAnsi="Times New Roman" w:eastAsia="方正仿宋_GBK" w:cs="Times New Roman"/>
                <w:b/>
                <w:bCs/>
                <w:color w:val="auto"/>
                <w:sz w:val="24"/>
                <w:szCs w:val="20"/>
              </w:rPr>
            </w:pPr>
            <w:r>
              <w:rPr>
                <w:rFonts w:hint="default" w:ascii="Times New Roman" w:hAnsi="Times New Roman" w:eastAsia="方正仿宋_GBK" w:cs="Times New Roman"/>
                <w:b/>
                <w:bCs/>
                <w:color w:val="auto"/>
                <w:sz w:val="24"/>
                <w:szCs w:val="20"/>
              </w:rPr>
              <w:t>有效天数</w:t>
            </w:r>
          </w:p>
        </w:tc>
        <w:tc>
          <w:tcPr>
            <w:tcW w:w="424" w:type="pct"/>
            <w:vAlign w:val="center"/>
          </w:tcPr>
          <w:p w14:paraId="1C4384C1">
            <w:pPr>
              <w:widowControl/>
              <w:spacing w:line="400" w:lineRule="exact"/>
              <w:jc w:val="center"/>
              <w:rPr>
                <w:rFonts w:hint="default" w:ascii="Times New Roman" w:hAnsi="Times New Roman" w:eastAsia="方正仿宋_GBK" w:cs="Times New Roman"/>
                <w:b/>
                <w:bCs/>
                <w:color w:val="auto"/>
                <w:sz w:val="24"/>
                <w:szCs w:val="20"/>
              </w:rPr>
            </w:pPr>
            <w:r>
              <w:rPr>
                <w:rFonts w:hint="default" w:ascii="Times New Roman" w:hAnsi="Times New Roman" w:eastAsia="方正仿宋_GBK" w:cs="Times New Roman"/>
                <w:b/>
                <w:bCs/>
                <w:color w:val="auto"/>
                <w:sz w:val="24"/>
                <w:szCs w:val="20"/>
              </w:rPr>
              <w:t>优良天数</w:t>
            </w:r>
          </w:p>
        </w:tc>
        <w:tc>
          <w:tcPr>
            <w:tcW w:w="672" w:type="pct"/>
            <w:vAlign w:val="center"/>
          </w:tcPr>
          <w:p w14:paraId="5AEC673E">
            <w:pPr>
              <w:widowControl/>
              <w:spacing w:line="400" w:lineRule="exact"/>
              <w:jc w:val="center"/>
              <w:rPr>
                <w:rFonts w:hint="default" w:ascii="Times New Roman" w:hAnsi="Times New Roman" w:eastAsia="方正仿宋_GBK" w:cs="Times New Roman"/>
                <w:b/>
                <w:bCs/>
                <w:color w:val="auto"/>
                <w:sz w:val="24"/>
                <w:szCs w:val="20"/>
              </w:rPr>
            </w:pPr>
            <w:r>
              <w:rPr>
                <w:rFonts w:hint="default" w:ascii="Times New Roman" w:hAnsi="Times New Roman" w:eastAsia="方正仿宋_GBK" w:cs="Times New Roman"/>
                <w:b/>
                <w:bCs/>
                <w:color w:val="auto"/>
                <w:sz w:val="24"/>
                <w:szCs w:val="20"/>
              </w:rPr>
              <w:t>优良率</w:t>
            </w:r>
            <w:r>
              <w:rPr>
                <w:rFonts w:hint="eastAsia" w:ascii="Times New Roman" w:hAnsi="Times New Roman" w:eastAsia="方正仿宋_GBK" w:cs="Times New Roman"/>
                <w:b/>
                <w:bCs/>
                <w:color w:val="auto"/>
                <w:sz w:val="24"/>
                <w:szCs w:val="20"/>
                <w:lang w:eastAsia="zh-CN"/>
              </w:rPr>
              <w:t>(</w:t>
            </w:r>
            <w:r>
              <w:rPr>
                <w:rFonts w:hint="default" w:ascii="Times New Roman" w:hAnsi="Times New Roman" w:eastAsia="方正仿宋_GBK" w:cs="Times New Roman"/>
                <w:b/>
                <w:bCs/>
                <w:color w:val="auto"/>
                <w:sz w:val="24"/>
                <w:szCs w:val="20"/>
              </w:rPr>
              <w:t>%)</w:t>
            </w:r>
          </w:p>
        </w:tc>
        <w:tc>
          <w:tcPr>
            <w:tcW w:w="456" w:type="pct"/>
            <w:vAlign w:val="center"/>
          </w:tcPr>
          <w:p w14:paraId="1BBA0DFA">
            <w:pPr>
              <w:widowControl/>
              <w:spacing w:line="400" w:lineRule="exact"/>
              <w:jc w:val="center"/>
              <w:rPr>
                <w:rFonts w:hint="default" w:ascii="Times New Roman" w:hAnsi="Times New Roman" w:eastAsia="方正仿宋_GBK" w:cs="Times New Roman"/>
                <w:b/>
                <w:bCs/>
                <w:color w:val="auto"/>
                <w:sz w:val="24"/>
                <w:szCs w:val="20"/>
              </w:rPr>
            </w:pPr>
            <w:r>
              <w:rPr>
                <w:rFonts w:hint="default" w:ascii="Times New Roman" w:hAnsi="Times New Roman" w:eastAsia="方正仿宋_GBK" w:cs="Times New Roman"/>
                <w:b/>
                <w:bCs/>
                <w:color w:val="auto"/>
                <w:sz w:val="24"/>
                <w:szCs w:val="20"/>
              </w:rPr>
              <w:t>轻度污染</w:t>
            </w:r>
          </w:p>
        </w:tc>
        <w:tc>
          <w:tcPr>
            <w:tcW w:w="434" w:type="pct"/>
            <w:vAlign w:val="center"/>
          </w:tcPr>
          <w:p w14:paraId="1543F9A0">
            <w:pPr>
              <w:widowControl/>
              <w:spacing w:line="400" w:lineRule="exact"/>
              <w:jc w:val="center"/>
              <w:rPr>
                <w:rFonts w:hint="default" w:ascii="Times New Roman" w:hAnsi="Times New Roman" w:eastAsia="方正仿宋_GBK" w:cs="Times New Roman"/>
                <w:b/>
                <w:bCs/>
                <w:color w:val="auto"/>
                <w:sz w:val="24"/>
                <w:szCs w:val="20"/>
              </w:rPr>
            </w:pPr>
            <w:r>
              <w:rPr>
                <w:rFonts w:hint="default" w:ascii="Times New Roman" w:hAnsi="Times New Roman" w:eastAsia="方正仿宋_GBK" w:cs="Times New Roman"/>
                <w:b/>
                <w:bCs/>
                <w:color w:val="auto"/>
                <w:sz w:val="24"/>
                <w:szCs w:val="20"/>
              </w:rPr>
              <w:t>中度污染</w:t>
            </w:r>
          </w:p>
        </w:tc>
        <w:tc>
          <w:tcPr>
            <w:tcW w:w="545" w:type="pct"/>
            <w:vAlign w:val="center"/>
          </w:tcPr>
          <w:p w14:paraId="692FDC13">
            <w:pPr>
              <w:widowControl/>
              <w:spacing w:line="400" w:lineRule="exact"/>
              <w:jc w:val="center"/>
              <w:rPr>
                <w:rFonts w:hint="default" w:ascii="Times New Roman" w:hAnsi="Times New Roman" w:eastAsia="方正仿宋_GBK" w:cs="Times New Roman"/>
                <w:b/>
                <w:bCs/>
                <w:color w:val="auto"/>
                <w:sz w:val="24"/>
                <w:szCs w:val="20"/>
              </w:rPr>
            </w:pPr>
            <w:r>
              <w:rPr>
                <w:rFonts w:hint="default" w:ascii="Times New Roman" w:hAnsi="Times New Roman" w:eastAsia="方正仿宋_GBK" w:cs="Times New Roman"/>
                <w:b/>
                <w:bCs/>
                <w:color w:val="auto"/>
                <w:sz w:val="24"/>
                <w:szCs w:val="20"/>
              </w:rPr>
              <w:t>重度污染</w:t>
            </w:r>
          </w:p>
        </w:tc>
        <w:tc>
          <w:tcPr>
            <w:tcW w:w="540" w:type="pct"/>
            <w:vAlign w:val="center"/>
          </w:tcPr>
          <w:p w14:paraId="1DB38AE5">
            <w:pPr>
              <w:widowControl/>
              <w:spacing w:line="400" w:lineRule="exact"/>
              <w:jc w:val="center"/>
              <w:rPr>
                <w:rFonts w:hint="default" w:ascii="Times New Roman" w:hAnsi="Times New Roman" w:eastAsia="方正仿宋_GBK" w:cs="Times New Roman"/>
                <w:b/>
                <w:bCs/>
                <w:color w:val="auto"/>
                <w:sz w:val="24"/>
                <w:szCs w:val="20"/>
              </w:rPr>
            </w:pPr>
            <w:r>
              <w:rPr>
                <w:rFonts w:hint="default" w:ascii="Times New Roman" w:hAnsi="Times New Roman" w:eastAsia="方正仿宋_GBK" w:cs="Times New Roman"/>
                <w:b/>
                <w:bCs/>
                <w:color w:val="auto"/>
                <w:sz w:val="24"/>
                <w:szCs w:val="20"/>
              </w:rPr>
              <w:t>严重污染</w:t>
            </w:r>
          </w:p>
        </w:tc>
        <w:tc>
          <w:tcPr>
            <w:tcW w:w="865" w:type="pct"/>
            <w:vAlign w:val="center"/>
          </w:tcPr>
          <w:p w14:paraId="13894915">
            <w:pPr>
              <w:widowControl/>
              <w:spacing w:line="400" w:lineRule="exact"/>
              <w:jc w:val="center"/>
              <w:rPr>
                <w:rFonts w:hint="default" w:ascii="Times New Roman" w:hAnsi="Times New Roman" w:eastAsia="方正仿宋_GBK" w:cs="Times New Roman"/>
                <w:b/>
                <w:bCs/>
                <w:color w:val="auto"/>
                <w:sz w:val="24"/>
                <w:szCs w:val="20"/>
              </w:rPr>
            </w:pPr>
            <w:r>
              <w:rPr>
                <w:rFonts w:hint="default" w:ascii="Times New Roman" w:hAnsi="Times New Roman" w:eastAsia="方正仿宋_GBK" w:cs="Times New Roman"/>
                <w:b/>
                <w:bCs/>
                <w:color w:val="auto"/>
                <w:sz w:val="24"/>
                <w:szCs w:val="20"/>
              </w:rPr>
              <w:t>环境空气质量综合评价</w:t>
            </w:r>
          </w:p>
        </w:tc>
      </w:tr>
      <w:tr w14:paraId="12196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8" w:type="pct"/>
            <w:vAlign w:val="center"/>
          </w:tcPr>
          <w:p w14:paraId="08C26EBE">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2017</w:t>
            </w:r>
          </w:p>
        </w:tc>
        <w:tc>
          <w:tcPr>
            <w:tcW w:w="541" w:type="pct"/>
            <w:vAlign w:val="center"/>
          </w:tcPr>
          <w:p w14:paraId="33C521D7">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358</w:t>
            </w:r>
          </w:p>
        </w:tc>
        <w:tc>
          <w:tcPr>
            <w:tcW w:w="424" w:type="pct"/>
            <w:vAlign w:val="center"/>
          </w:tcPr>
          <w:p w14:paraId="79DE153B">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354</w:t>
            </w:r>
          </w:p>
        </w:tc>
        <w:tc>
          <w:tcPr>
            <w:tcW w:w="672" w:type="pct"/>
            <w:vAlign w:val="center"/>
          </w:tcPr>
          <w:p w14:paraId="6D6D84D0">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98.9</w:t>
            </w:r>
          </w:p>
        </w:tc>
        <w:tc>
          <w:tcPr>
            <w:tcW w:w="456" w:type="pct"/>
            <w:vAlign w:val="center"/>
          </w:tcPr>
          <w:p w14:paraId="63DE49D9">
            <w:pPr>
              <w:widowControl/>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lang w:val="en-US" w:eastAsia="zh-CN"/>
              </w:rPr>
              <w:t>4</w:t>
            </w:r>
          </w:p>
        </w:tc>
        <w:tc>
          <w:tcPr>
            <w:tcW w:w="434" w:type="pct"/>
            <w:vAlign w:val="center"/>
          </w:tcPr>
          <w:p w14:paraId="6A62FCD6">
            <w:pPr>
              <w:widowControl/>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0</w:t>
            </w:r>
          </w:p>
        </w:tc>
        <w:tc>
          <w:tcPr>
            <w:tcW w:w="545" w:type="pct"/>
            <w:vAlign w:val="center"/>
          </w:tcPr>
          <w:p w14:paraId="638A3988">
            <w:pPr>
              <w:widowControl/>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0</w:t>
            </w:r>
          </w:p>
        </w:tc>
        <w:tc>
          <w:tcPr>
            <w:tcW w:w="540" w:type="pct"/>
            <w:vAlign w:val="center"/>
          </w:tcPr>
          <w:p w14:paraId="5B3BA75A">
            <w:pPr>
              <w:widowControl/>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0</w:t>
            </w:r>
          </w:p>
        </w:tc>
        <w:tc>
          <w:tcPr>
            <w:tcW w:w="865" w:type="pct"/>
            <w:vAlign w:val="center"/>
          </w:tcPr>
          <w:p w14:paraId="51732EDE">
            <w:pPr>
              <w:widowControl/>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二级</w:t>
            </w:r>
          </w:p>
        </w:tc>
      </w:tr>
      <w:tr w14:paraId="66D37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8" w:type="pct"/>
            <w:vAlign w:val="center"/>
          </w:tcPr>
          <w:p w14:paraId="59098B7D">
            <w:pPr>
              <w:widowControl/>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2018</w:t>
            </w:r>
          </w:p>
        </w:tc>
        <w:tc>
          <w:tcPr>
            <w:tcW w:w="541" w:type="pct"/>
            <w:vAlign w:val="center"/>
          </w:tcPr>
          <w:p w14:paraId="1751425E">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361</w:t>
            </w:r>
          </w:p>
        </w:tc>
        <w:tc>
          <w:tcPr>
            <w:tcW w:w="424" w:type="pct"/>
            <w:vAlign w:val="center"/>
          </w:tcPr>
          <w:p w14:paraId="79069461">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359</w:t>
            </w:r>
          </w:p>
        </w:tc>
        <w:tc>
          <w:tcPr>
            <w:tcW w:w="672" w:type="pct"/>
            <w:vAlign w:val="center"/>
          </w:tcPr>
          <w:p w14:paraId="4B7B9DC8">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99.4</w:t>
            </w:r>
          </w:p>
        </w:tc>
        <w:tc>
          <w:tcPr>
            <w:tcW w:w="456" w:type="pct"/>
            <w:vAlign w:val="center"/>
          </w:tcPr>
          <w:p w14:paraId="1964FFE8">
            <w:pPr>
              <w:widowControl/>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lang w:val="en-US" w:eastAsia="zh-CN"/>
              </w:rPr>
              <w:t>2</w:t>
            </w:r>
          </w:p>
        </w:tc>
        <w:tc>
          <w:tcPr>
            <w:tcW w:w="434" w:type="pct"/>
            <w:vAlign w:val="center"/>
          </w:tcPr>
          <w:p w14:paraId="481CA9A6">
            <w:pPr>
              <w:widowControl/>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0</w:t>
            </w:r>
          </w:p>
        </w:tc>
        <w:tc>
          <w:tcPr>
            <w:tcW w:w="545" w:type="pct"/>
            <w:vAlign w:val="center"/>
          </w:tcPr>
          <w:p w14:paraId="3D879DFC">
            <w:pPr>
              <w:widowControl/>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0</w:t>
            </w:r>
          </w:p>
        </w:tc>
        <w:tc>
          <w:tcPr>
            <w:tcW w:w="540" w:type="pct"/>
            <w:vAlign w:val="center"/>
          </w:tcPr>
          <w:p w14:paraId="44B9C874">
            <w:pPr>
              <w:widowControl/>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0</w:t>
            </w:r>
          </w:p>
        </w:tc>
        <w:tc>
          <w:tcPr>
            <w:tcW w:w="865" w:type="pct"/>
            <w:vAlign w:val="center"/>
          </w:tcPr>
          <w:p w14:paraId="20FE8C2A">
            <w:pPr>
              <w:widowControl/>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二级</w:t>
            </w:r>
          </w:p>
        </w:tc>
      </w:tr>
      <w:tr w14:paraId="6AFA1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8" w:type="pct"/>
            <w:vAlign w:val="center"/>
          </w:tcPr>
          <w:p w14:paraId="4647739B">
            <w:pPr>
              <w:widowControl/>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2019</w:t>
            </w:r>
          </w:p>
        </w:tc>
        <w:tc>
          <w:tcPr>
            <w:tcW w:w="541" w:type="pct"/>
            <w:vAlign w:val="center"/>
          </w:tcPr>
          <w:p w14:paraId="45A79669">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351</w:t>
            </w:r>
          </w:p>
        </w:tc>
        <w:tc>
          <w:tcPr>
            <w:tcW w:w="424" w:type="pct"/>
            <w:vAlign w:val="center"/>
          </w:tcPr>
          <w:p w14:paraId="56388FE9">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346</w:t>
            </w:r>
          </w:p>
        </w:tc>
        <w:tc>
          <w:tcPr>
            <w:tcW w:w="672" w:type="pct"/>
            <w:vAlign w:val="center"/>
          </w:tcPr>
          <w:p w14:paraId="654E62E4">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98.6</w:t>
            </w:r>
          </w:p>
        </w:tc>
        <w:tc>
          <w:tcPr>
            <w:tcW w:w="456" w:type="pct"/>
            <w:vAlign w:val="center"/>
          </w:tcPr>
          <w:p w14:paraId="1E6B0224">
            <w:pPr>
              <w:widowControl/>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lang w:val="en-US" w:eastAsia="zh-CN"/>
              </w:rPr>
              <w:t>5</w:t>
            </w:r>
          </w:p>
        </w:tc>
        <w:tc>
          <w:tcPr>
            <w:tcW w:w="434" w:type="pct"/>
            <w:vAlign w:val="center"/>
          </w:tcPr>
          <w:p w14:paraId="3AB7CB71">
            <w:pPr>
              <w:widowControl/>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0</w:t>
            </w:r>
          </w:p>
        </w:tc>
        <w:tc>
          <w:tcPr>
            <w:tcW w:w="545" w:type="pct"/>
            <w:vAlign w:val="center"/>
          </w:tcPr>
          <w:p w14:paraId="346D81B7">
            <w:pPr>
              <w:widowControl/>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0</w:t>
            </w:r>
          </w:p>
        </w:tc>
        <w:tc>
          <w:tcPr>
            <w:tcW w:w="540" w:type="pct"/>
            <w:vAlign w:val="center"/>
          </w:tcPr>
          <w:p w14:paraId="1D4CD8DC">
            <w:pPr>
              <w:widowControl/>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0</w:t>
            </w:r>
          </w:p>
        </w:tc>
        <w:tc>
          <w:tcPr>
            <w:tcW w:w="865" w:type="pct"/>
            <w:vAlign w:val="center"/>
          </w:tcPr>
          <w:p w14:paraId="3F0F36DF">
            <w:pPr>
              <w:widowControl/>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二级</w:t>
            </w:r>
          </w:p>
        </w:tc>
      </w:tr>
      <w:tr w14:paraId="36D04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8" w:type="pct"/>
          </w:tcPr>
          <w:p w14:paraId="73E8F558">
            <w:pPr>
              <w:widowControl/>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2020</w:t>
            </w:r>
          </w:p>
        </w:tc>
        <w:tc>
          <w:tcPr>
            <w:tcW w:w="541" w:type="pct"/>
            <w:vAlign w:val="center"/>
          </w:tcPr>
          <w:p w14:paraId="420D5E65">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354</w:t>
            </w:r>
          </w:p>
        </w:tc>
        <w:tc>
          <w:tcPr>
            <w:tcW w:w="424" w:type="pct"/>
            <w:vAlign w:val="center"/>
          </w:tcPr>
          <w:p w14:paraId="26F5547B">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354</w:t>
            </w:r>
          </w:p>
        </w:tc>
        <w:tc>
          <w:tcPr>
            <w:tcW w:w="672" w:type="pct"/>
            <w:vAlign w:val="center"/>
          </w:tcPr>
          <w:p w14:paraId="27886DA8">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100</w:t>
            </w:r>
          </w:p>
        </w:tc>
        <w:tc>
          <w:tcPr>
            <w:tcW w:w="456" w:type="pct"/>
            <w:vAlign w:val="center"/>
          </w:tcPr>
          <w:p w14:paraId="4D2DB2FE">
            <w:pPr>
              <w:widowControl/>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lang w:val="en-US" w:eastAsia="zh-CN"/>
              </w:rPr>
              <w:t>0</w:t>
            </w:r>
          </w:p>
        </w:tc>
        <w:tc>
          <w:tcPr>
            <w:tcW w:w="434" w:type="pct"/>
            <w:vAlign w:val="center"/>
          </w:tcPr>
          <w:p w14:paraId="00778DFD">
            <w:pPr>
              <w:widowControl/>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0</w:t>
            </w:r>
          </w:p>
        </w:tc>
        <w:tc>
          <w:tcPr>
            <w:tcW w:w="545" w:type="pct"/>
            <w:vAlign w:val="center"/>
          </w:tcPr>
          <w:p w14:paraId="7344DBAF">
            <w:pPr>
              <w:widowControl/>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0</w:t>
            </w:r>
          </w:p>
        </w:tc>
        <w:tc>
          <w:tcPr>
            <w:tcW w:w="540" w:type="pct"/>
            <w:vAlign w:val="center"/>
          </w:tcPr>
          <w:p w14:paraId="447E8979">
            <w:pPr>
              <w:widowControl/>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0</w:t>
            </w:r>
          </w:p>
        </w:tc>
        <w:tc>
          <w:tcPr>
            <w:tcW w:w="865" w:type="pct"/>
            <w:vAlign w:val="center"/>
          </w:tcPr>
          <w:p w14:paraId="325CEA95">
            <w:pPr>
              <w:widowControl/>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二级</w:t>
            </w:r>
          </w:p>
        </w:tc>
      </w:tr>
      <w:tr w14:paraId="79130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8" w:type="pct"/>
          </w:tcPr>
          <w:p w14:paraId="2C3957BE">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2021</w:t>
            </w:r>
          </w:p>
        </w:tc>
        <w:tc>
          <w:tcPr>
            <w:tcW w:w="541" w:type="pct"/>
            <w:vAlign w:val="center"/>
          </w:tcPr>
          <w:p w14:paraId="76B7ADFC">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361</w:t>
            </w:r>
          </w:p>
        </w:tc>
        <w:tc>
          <w:tcPr>
            <w:tcW w:w="424" w:type="pct"/>
            <w:vAlign w:val="center"/>
          </w:tcPr>
          <w:p w14:paraId="3C5850B7">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360</w:t>
            </w:r>
          </w:p>
        </w:tc>
        <w:tc>
          <w:tcPr>
            <w:tcW w:w="672" w:type="pct"/>
            <w:vAlign w:val="center"/>
          </w:tcPr>
          <w:p w14:paraId="4D2958C8">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99.72</w:t>
            </w:r>
          </w:p>
        </w:tc>
        <w:tc>
          <w:tcPr>
            <w:tcW w:w="456" w:type="pct"/>
            <w:vAlign w:val="center"/>
          </w:tcPr>
          <w:p w14:paraId="6A2D891C">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1</w:t>
            </w:r>
          </w:p>
        </w:tc>
        <w:tc>
          <w:tcPr>
            <w:tcW w:w="434" w:type="pct"/>
            <w:vAlign w:val="center"/>
          </w:tcPr>
          <w:p w14:paraId="14F989D7">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0</w:t>
            </w:r>
          </w:p>
        </w:tc>
        <w:tc>
          <w:tcPr>
            <w:tcW w:w="545" w:type="pct"/>
            <w:vAlign w:val="center"/>
          </w:tcPr>
          <w:p w14:paraId="69180AC9">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0</w:t>
            </w:r>
          </w:p>
        </w:tc>
        <w:tc>
          <w:tcPr>
            <w:tcW w:w="540" w:type="pct"/>
            <w:vAlign w:val="center"/>
          </w:tcPr>
          <w:p w14:paraId="493A27CC">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0</w:t>
            </w:r>
          </w:p>
        </w:tc>
        <w:tc>
          <w:tcPr>
            <w:tcW w:w="865" w:type="pct"/>
            <w:vAlign w:val="center"/>
          </w:tcPr>
          <w:p w14:paraId="1B9E892F">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二级</w:t>
            </w:r>
          </w:p>
        </w:tc>
      </w:tr>
    </w:tbl>
    <w:p w14:paraId="098A0505">
      <w:pPr>
        <w:adjustRightInd w:val="0"/>
        <w:snapToGrid w:val="0"/>
        <w:spacing w:line="400" w:lineRule="exact"/>
        <w:jc w:val="center"/>
        <w:rPr>
          <w:rFonts w:hint="default" w:ascii="Times New Roman" w:hAnsi="Times New Roman" w:eastAsia="方正仿宋_GBK" w:cs="Times New Roman"/>
          <w:b/>
          <w:color w:val="auto"/>
          <w:sz w:val="28"/>
          <w:szCs w:val="28"/>
        </w:rPr>
      </w:pPr>
    </w:p>
    <w:p w14:paraId="1D805602">
      <w:pPr>
        <w:adjustRightInd w:val="0"/>
        <w:snapToGrid w:val="0"/>
        <w:spacing w:line="400" w:lineRule="exact"/>
        <w:jc w:val="center"/>
        <w:rPr>
          <w:rFonts w:hint="default" w:ascii="Times New Roman" w:hAnsi="Times New Roman" w:eastAsia="方正仿宋_GBK" w:cs="Times New Roman"/>
          <w:b/>
          <w:color w:val="auto"/>
          <w:sz w:val="28"/>
          <w:szCs w:val="28"/>
        </w:rPr>
      </w:pPr>
      <w:r>
        <w:rPr>
          <w:rFonts w:hint="default" w:ascii="Times New Roman" w:hAnsi="Times New Roman" w:eastAsia="方正仿宋_GBK" w:cs="Times New Roman"/>
          <w:b/>
          <w:color w:val="auto"/>
          <w:sz w:val="28"/>
          <w:szCs w:val="28"/>
        </w:rPr>
        <w:t>表</w:t>
      </w:r>
      <w:r>
        <w:rPr>
          <w:rFonts w:hint="default" w:ascii="Times New Roman" w:hAnsi="Times New Roman" w:eastAsia="方正仿宋_GBK" w:cs="Times New Roman"/>
          <w:b w:val="0"/>
          <w:bCs w:val="0"/>
          <w:color w:val="auto"/>
          <w:sz w:val="32"/>
          <w:szCs w:val="32"/>
          <w:lang w:val="en-US" w:eastAsia="zh-CN"/>
        </w:rPr>
        <w:t>2.1.5.2-2</w:t>
      </w:r>
      <w:r>
        <w:rPr>
          <w:rFonts w:hint="default" w:ascii="Times New Roman" w:hAnsi="Times New Roman" w:eastAsia="方正仿宋_GBK" w:cs="Times New Roman"/>
          <w:b/>
          <w:color w:val="auto"/>
          <w:sz w:val="28"/>
          <w:szCs w:val="28"/>
          <w:lang w:eastAsia="zh-CN"/>
        </w:rPr>
        <w:t>新平县</w:t>
      </w:r>
      <w:r>
        <w:rPr>
          <w:rFonts w:hint="default" w:ascii="Times New Roman" w:hAnsi="Times New Roman" w:eastAsia="方正仿宋_GBK" w:cs="Times New Roman"/>
          <w:b/>
          <w:color w:val="auto"/>
          <w:sz w:val="28"/>
          <w:szCs w:val="28"/>
        </w:rPr>
        <w:t>201</w:t>
      </w:r>
      <w:r>
        <w:rPr>
          <w:rFonts w:hint="eastAsia" w:ascii="Times New Roman" w:hAnsi="Times New Roman" w:eastAsia="方正仿宋_GBK" w:cs="Times New Roman"/>
          <w:b/>
          <w:color w:val="auto"/>
          <w:sz w:val="28"/>
          <w:szCs w:val="28"/>
          <w:lang w:val="en-US" w:eastAsia="zh-CN"/>
        </w:rPr>
        <w:t>7—</w:t>
      </w:r>
      <w:r>
        <w:rPr>
          <w:rFonts w:hint="default" w:ascii="Times New Roman" w:hAnsi="Times New Roman" w:eastAsia="方正仿宋_GBK" w:cs="Times New Roman"/>
          <w:b/>
          <w:color w:val="auto"/>
          <w:sz w:val="28"/>
          <w:szCs w:val="28"/>
        </w:rPr>
        <w:t>2021年空气主要污染物统计表</w:t>
      </w:r>
    </w:p>
    <w:p w14:paraId="4C8CC07C">
      <w:pPr>
        <w:adjustRightInd w:val="0"/>
        <w:snapToGrid w:val="0"/>
        <w:spacing w:line="400" w:lineRule="exact"/>
        <w:jc w:val="center"/>
        <w:rPr>
          <w:rFonts w:hint="default" w:ascii="Times New Roman" w:hAnsi="Times New Roman" w:eastAsia="方正仿宋_GBK" w:cs="Times New Roman"/>
          <w:bCs/>
          <w:color w:val="auto"/>
          <w:sz w:val="24"/>
        </w:rPr>
      </w:pPr>
      <w:r>
        <w:rPr>
          <w:rFonts w:hint="default" w:ascii="Times New Roman" w:hAnsi="Times New Roman" w:eastAsia="方正仿宋_GBK" w:cs="Times New Roman"/>
          <w:bCs/>
          <w:color w:val="auto"/>
          <w:sz w:val="24"/>
        </w:rPr>
        <w:t>单位：(CO单位mg/m³，其余单位ug/m³)</w:t>
      </w:r>
    </w:p>
    <w:tbl>
      <w:tblPr>
        <w:tblStyle w:val="25"/>
        <w:tblW w:w="86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1221"/>
        <w:gridCol w:w="1330"/>
        <w:gridCol w:w="1181"/>
        <w:gridCol w:w="1243"/>
        <w:gridCol w:w="1625"/>
        <w:gridCol w:w="1242"/>
      </w:tblGrid>
      <w:tr w14:paraId="79B0F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jc w:val="center"/>
        </w:trPr>
        <w:tc>
          <w:tcPr>
            <w:tcW w:w="765" w:type="dxa"/>
            <w:tcBorders>
              <w:left w:val="single" w:color="auto" w:sz="4" w:space="0"/>
              <w:right w:val="single" w:color="auto" w:sz="4" w:space="0"/>
            </w:tcBorders>
            <w:vAlign w:val="center"/>
          </w:tcPr>
          <w:p w14:paraId="1B6B4ED1">
            <w:pPr>
              <w:widowControl/>
              <w:spacing w:line="400" w:lineRule="exact"/>
              <w:jc w:val="center"/>
              <w:rPr>
                <w:rFonts w:hint="default" w:ascii="Times New Roman" w:hAnsi="Times New Roman" w:eastAsia="方正仿宋_GBK" w:cs="Times New Roman"/>
                <w:b/>
                <w:bCs/>
                <w:color w:val="auto"/>
                <w:sz w:val="24"/>
                <w:szCs w:val="20"/>
              </w:rPr>
            </w:pPr>
            <w:r>
              <w:rPr>
                <w:rFonts w:hint="default" w:ascii="Times New Roman" w:hAnsi="Times New Roman" w:eastAsia="方正仿宋_GBK" w:cs="Times New Roman"/>
                <w:b/>
                <w:bCs/>
                <w:color w:val="auto"/>
                <w:sz w:val="24"/>
                <w:szCs w:val="20"/>
              </w:rPr>
              <w:t>年度</w:t>
            </w:r>
          </w:p>
        </w:tc>
        <w:tc>
          <w:tcPr>
            <w:tcW w:w="1221" w:type="dxa"/>
            <w:tcBorders>
              <w:left w:val="single" w:color="auto" w:sz="4" w:space="0"/>
              <w:right w:val="single" w:color="auto" w:sz="4" w:space="0"/>
            </w:tcBorders>
            <w:vAlign w:val="center"/>
          </w:tcPr>
          <w:p w14:paraId="143EF3C9">
            <w:pPr>
              <w:widowControl/>
              <w:spacing w:line="400" w:lineRule="exact"/>
              <w:jc w:val="center"/>
              <w:rPr>
                <w:rFonts w:hint="default" w:ascii="Times New Roman" w:hAnsi="Times New Roman" w:eastAsia="方正仿宋_GBK" w:cs="Times New Roman"/>
                <w:b/>
                <w:bCs/>
                <w:color w:val="auto"/>
                <w:sz w:val="24"/>
                <w:szCs w:val="20"/>
              </w:rPr>
            </w:pPr>
            <w:r>
              <w:rPr>
                <w:rFonts w:hint="default" w:ascii="Times New Roman" w:hAnsi="Times New Roman" w:eastAsia="方正仿宋_GBK" w:cs="Times New Roman"/>
                <w:b/>
                <w:bCs/>
                <w:color w:val="auto"/>
                <w:sz w:val="24"/>
                <w:szCs w:val="20"/>
              </w:rPr>
              <w:t>二氧化硫（SO</w:t>
            </w:r>
            <w:r>
              <w:rPr>
                <w:rFonts w:hint="default" w:ascii="Times New Roman" w:hAnsi="Times New Roman" w:eastAsia="方正仿宋_GBK" w:cs="Times New Roman"/>
                <w:b/>
                <w:bCs/>
                <w:color w:val="auto"/>
                <w:sz w:val="24"/>
                <w:szCs w:val="20"/>
                <w:vertAlign w:val="subscript"/>
              </w:rPr>
              <w:t>2</w:t>
            </w:r>
            <w:r>
              <w:rPr>
                <w:rFonts w:hint="default" w:ascii="Times New Roman" w:hAnsi="Times New Roman" w:eastAsia="方正仿宋_GBK" w:cs="Times New Roman"/>
                <w:b/>
                <w:bCs/>
                <w:color w:val="auto"/>
                <w:sz w:val="24"/>
                <w:szCs w:val="20"/>
              </w:rPr>
              <w:t>）</w:t>
            </w:r>
          </w:p>
        </w:tc>
        <w:tc>
          <w:tcPr>
            <w:tcW w:w="1330" w:type="dxa"/>
            <w:tcBorders>
              <w:left w:val="single" w:color="auto" w:sz="4" w:space="0"/>
              <w:right w:val="single" w:color="auto" w:sz="4" w:space="0"/>
            </w:tcBorders>
            <w:vAlign w:val="center"/>
          </w:tcPr>
          <w:p w14:paraId="25C51C4D">
            <w:pPr>
              <w:widowControl/>
              <w:spacing w:line="400" w:lineRule="exact"/>
              <w:jc w:val="center"/>
              <w:rPr>
                <w:rFonts w:hint="default" w:ascii="Times New Roman" w:hAnsi="Times New Roman" w:eastAsia="方正仿宋_GBK" w:cs="Times New Roman"/>
                <w:b/>
                <w:bCs/>
                <w:color w:val="auto"/>
                <w:sz w:val="24"/>
                <w:szCs w:val="20"/>
              </w:rPr>
            </w:pPr>
            <w:r>
              <w:rPr>
                <w:rFonts w:hint="default" w:ascii="Times New Roman" w:hAnsi="Times New Roman" w:eastAsia="方正仿宋_GBK" w:cs="Times New Roman"/>
                <w:b/>
                <w:bCs/>
                <w:color w:val="auto"/>
                <w:sz w:val="24"/>
                <w:szCs w:val="20"/>
              </w:rPr>
              <w:t>二氧化氮（NO</w:t>
            </w:r>
            <w:r>
              <w:rPr>
                <w:rFonts w:hint="default" w:ascii="Times New Roman" w:hAnsi="Times New Roman" w:eastAsia="方正仿宋_GBK" w:cs="Times New Roman"/>
                <w:b/>
                <w:bCs/>
                <w:color w:val="auto"/>
                <w:sz w:val="24"/>
                <w:szCs w:val="20"/>
                <w:vertAlign w:val="subscript"/>
              </w:rPr>
              <w:t>2</w:t>
            </w:r>
            <w:r>
              <w:rPr>
                <w:rFonts w:hint="default" w:ascii="Times New Roman" w:hAnsi="Times New Roman" w:eastAsia="方正仿宋_GBK" w:cs="Times New Roman"/>
                <w:b/>
                <w:bCs/>
                <w:color w:val="auto"/>
                <w:sz w:val="24"/>
                <w:szCs w:val="20"/>
              </w:rPr>
              <w:t>）</w:t>
            </w:r>
          </w:p>
        </w:tc>
        <w:tc>
          <w:tcPr>
            <w:tcW w:w="1181" w:type="dxa"/>
            <w:tcBorders>
              <w:left w:val="single" w:color="auto" w:sz="4" w:space="0"/>
              <w:right w:val="single" w:color="auto" w:sz="4" w:space="0"/>
            </w:tcBorders>
            <w:vAlign w:val="center"/>
          </w:tcPr>
          <w:p w14:paraId="77A66842">
            <w:pPr>
              <w:widowControl/>
              <w:spacing w:line="400" w:lineRule="exact"/>
              <w:jc w:val="center"/>
              <w:rPr>
                <w:rFonts w:hint="default" w:ascii="Times New Roman" w:hAnsi="Times New Roman" w:eastAsia="方正仿宋_GBK" w:cs="Times New Roman"/>
                <w:b/>
                <w:bCs/>
                <w:color w:val="auto"/>
                <w:sz w:val="24"/>
                <w:szCs w:val="20"/>
              </w:rPr>
            </w:pPr>
            <w:r>
              <w:rPr>
                <w:rFonts w:hint="default" w:ascii="Times New Roman" w:hAnsi="Times New Roman" w:eastAsia="方正仿宋_GBK" w:cs="Times New Roman"/>
                <w:b/>
                <w:bCs/>
                <w:color w:val="auto"/>
                <w:sz w:val="24"/>
                <w:szCs w:val="20"/>
              </w:rPr>
              <w:t>一氧化碳（CO）</w:t>
            </w:r>
          </w:p>
        </w:tc>
        <w:tc>
          <w:tcPr>
            <w:tcW w:w="1243" w:type="dxa"/>
            <w:tcBorders>
              <w:left w:val="single" w:color="auto" w:sz="4" w:space="0"/>
              <w:right w:val="single" w:color="auto" w:sz="4" w:space="0"/>
            </w:tcBorders>
            <w:vAlign w:val="center"/>
          </w:tcPr>
          <w:p w14:paraId="1283D6EE">
            <w:pPr>
              <w:widowControl/>
              <w:spacing w:line="400" w:lineRule="exact"/>
              <w:jc w:val="center"/>
              <w:rPr>
                <w:rFonts w:hint="default" w:ascii="Times New Roman" w:hAnsi="Times New Roman" w:eastAsia="方正仿宋_GBK" w:cs="Times New Roman"/>
                <w:b/>
                <w:bCs/>
                <w:color w:val="auto"/>
                <w:sz w:val="24"/>
                <w:szCs w:val="20"/>
              </w:rPr>
            </w:pPr>
            <w:r>
              <w:rPr>
                <w:rFonts w:hint="default" w:ascii="Times New Roman" w:hAnsi="Times New Roman" w:eastAsia="方正仿宋_GBK" w:cs="Times New Roman"/>
                <w:b/>
                <w:bCs/>
                <w:color w:val="auto"/>
                <w:sz w:val="24"/>
                <w:szCs w:val="20"/>
              </w:rPr>
              <w:t>臭氧（O</w:t>
            </w:r>
            <w:r>
              <w:rPr>
                <w:rFonts w:hint="default" w:ascii="Times New Roman" w:hAnsi="Times New Roman" w:eastAsia="方正仿宋_GBK" w:cs="Times New Roman"/>
                <w:b/>
                <w:bCs/>
                <w:color w:val="auto"/>
                <w:sz w:val="24"/>
                <w:szCs w:val="20"/>
                <w:vertAlign w:val="subscript"/>
              </w:rPr>
              <w:t>3-</w:t>
            </w:r>
            <w:r>
              <w:rPr>
                <w:rFonts w:hint="default" w:ascii="Times New Roman" w:hAnsi="Times New Roman" w:eastAsia="方正仿宋_GBK" w:cs="Times New Roman"/>
                <w:b/>
                <w:bCs/>
                <w:color w:val="auto"/>
                <w:sz w:val="24"/>
                <w:szCs w:val="20"/>
              </w:rPr>
              <w:t>8h）</w:t>
            </w:r>
          </w:p>
        </w:tc>
        <w:tc>
          <w:tcPr>
            <w:tcW w:w="1625" w:type="dxa"/>
            <w:tcBorders>
              <w:left w:val="single" w:color="auto" w:sz="4" w:space="0"/>
              <w:right w:val="single" w:color="auto" w:sz="4" w:space="0"/>
            </w:tcBorders>
            <w:vAlign w:val="center"/>
          </w:tcPr>
          <w:p w14:paraId="2FCF6759">
            <w:pPr>
              <w:widowControl/>
              <w:spacing w:line="400" w:lineRule="exact"/>
              <w:jc w:val="center"/>
              <w:rPr>
                <w:rFonts w:hint="default" w:ascii="Times New Roman" w:hAnsi="Times New Roman" w:eastAsia="方正仿宋_GBK" w:cs="Times New Roman"/>
                <w:b/>
                <w:bCs/>
                <w:color w:val="auto"/>
                <w:sz w:val="24"/>
                <w:szCs w:val="20"/>
              </w:rPr>
            </w:pPr>
            <w:r>
              <w:rPr>
                <w:rFonts w:hint="default" w:ascii="Times New Roman" w:hAnsi="Times New Roman" w:eastAsia="方正仿宋_GBK" w:cs="Times New Roman"/>
                <w:b/>
                <w:bCs/>
                <w:color w:val="auto"/>
                <w:sz w:val="24"/>
                <w:szCs w:val="20"/>
              </w:rPr>
              <w:t>可吸入颗粒物（PM</w:t>
            </w:r>
            <w:r>
              <w:rPr>
                <w:rFonts w:hint="default" w:ascii="Times New Roman" w:hAnsi="Times New Roman" w:eastAsia="方正仿宋_GBK" w:cs="Times New Roman"/>
                <w:b/>
                <w:bCs/>
                <w:color w:val="auto"/>
                <w:sz w:val="24"/>
                <w:szCs w:val="20"/>
                <w:vertAlign w:val="subscript"/>
              </w:rPr>
              <w:t>10</w:t>
            </w:r>
            <w:r>
              <w:rPr>
                <w:rFonts w:hint="default" w:ascii="Times New Roman" w:hAnsi="Times New Roman" w:eastAsia="方正仿宋_GBK" w:cs="Times New Roman"/>
                <w:b/>
                <w:bCs/>
                <w:color w:val="auto"/>
                <w:sz w:val="24"/>
                <w:szCs w:val="20"/>
              </w:rPr>
              <w:t>）</w:t>
            </w:r>
          </w:p>
        </w:tc>
        <w:tc>
          <w:tcPr>
            <w:tcW w:w="1242" w:type="dxa"/>
            <w:tcBorders>
              <w:left w:val="single" w:color="auto" w:sz="4" w:space="0"/>
            </w:tcBorders>
            <w:vAlign w:val="center"/>
          </w:tcPr>
          <w:p w14:paraId="1CDCD03E">
            <w:pPr>
              <w:widowControl/>
              <w:spacing w:line="400" w:lineRule="exact"/>
              <w:jc w:val="center"/>
              <w:rPr>
                <w:rFonts w:hint="default" w:ascii="Times New Roman" w:hAnsi="Times New Roman" w:eastAsia="方正仿宋_GBK" w:cs="Times New Roman"/>
                <w:b/>
                <w:bCs/>
                <w:color w:val="auto"/>
                <w:sz w:val="24"/>
                <w:szCs w:val="20"/>
              </w:rPr>
            </w:pPr>
            <w:r>
              <w:rPr>
                <w:rFonts w:hint="default" w:ascii="Times New Roman" w:hAnsi="Times New Roman" w:eastAsia="方正仿宋_GBK" w:cs="Times New Roman"/>
                <w:b/>
                <w:bCs/>
                <w:color w:val="auto"/>
                <w:sz w:val="24"/>
                <w:szCs w:val="20"/>
              </w:rPr>
              <w:t>细颗粒（PM</w:t>
            </w:r>
            <w:r>
              <w:rPr>
                <w:rFonts w:hint="default" w:ascii="Times New Roman" w:hAnsi="Times New Roman" w:eastAsia="方正仿宋_GBK" w:cs="Times New Roman"/>
                <w:b/>
                <w:bCs/>
                <w:color w:val="auto"/>
                <w:sz w:val="24"/>
                <w:szCs w:val="20"/>
                <w:vertAlign w:val="subscript"/>
              </w:rPr>
              <w:t>2.5</w:t>
            </w:r>
            <w:r>
              <w:rPr>
                <w:rFonts w:hint="default" w:ascii="Times New Roman" w:hAnsi="Times New Roman" w:eastAsia="方正仿宋_GBK" w:cs="Times New Roman"/>
                <w:b/>
                <w:bCs/>
                <w:color w:val="auto"/>
                <w:sz w:val="24"/>
                <w:szCs w:val="20"/>
              </w:rPr>
              <w:t>）</w:t>
            </w:r>
          </w:p>
        </w:tc>
      </w:tr>
      <w:tr w14:paraId="0C55E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765" w:type="dxa"/>
            <w:tcBorders>
              <w:left w:val="single" w:color="auto" w:sz="4" w:space="0"/>
              <w:right w:val="single" w:color="auto" w:sz="4" w:space="0"/>
            </w:tcBorders>
            <w:vAlign w:val="center"/>
          </w:tcPr>
          <w:p w14:paraId="73A1AAB2">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2017</w:t>
            </w:r>
          </w:p>
        </w:tc>
        <w:tc>
          <w:tcPr>
            <w:tcW w:w="1221" w:type="dxa"/>
            <w:tcBorders>
              <w:left w:val="single" w:color="auto" w:sz="4" w:space="0"/>
              <w:right w:val="single" w:color="auto" w:sz="4" w:space="0"/>
            </w:tcBorders>
            <w:vAlign w:val="center"/>
          </w:tcPr>
          <w:p w14:paraId="65DC464E">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9</w:t>
            </w:r>
          </w:p>
        </w:tc>
        <w:tc>
          <w:tcPr>
            <w:tcW w:w="1330" w:type="dxa"/>
            <w:tcBorders>
              <w:left w:val="single" w:color="auto" w:sz="4" w:space="0"/>
              <w:right w:val="single" w:color="auto" w:sz="4" w:space="0"/>
            </w:tcBorders>
            <w:vAlign w:val="center"/>
          </w:tcPr>
          <w:p w14:paraId="11A296BD">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10</w:t>
            </w:r>
          </w:p>
        </w:tc>
        <w:tc>
          <w:tcPr>
            <w:tcW w:w="1181" w:type="dxa"/>
            <w:tcBorders>
              <w:left w:val="single" w:color="auto" w:sz="4" w:space="0"/>
              <w:right w:val="single" w:color="auto" w:sz="4" w:space="0"/>
            </w:tcBorders>
            <w:vAlign w:val="center"/>
          </w:tcPr>
          <w:p w14:paraId="74C3466E">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1.2</w:t>
            </w:r>
          </w:p>
        </w:tc>
        <w:tc>
          <w:tcPr>
            <w:tcW w:w="1243" w:type="dxa"/>
            <w:tcBorders>
              <w:left w:val="single" w:color="auto" w:sz="4" w:space="0"/>
              <w:right w:val="single" w:color="auto" w:sz="4" w:space="0"/>
            </w:tcBorders>
            <w:vAlign w:val="center"/>
          </w:tcPr>
          <w:p w14:paraId="7968FAFA">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121</w:t>
            </w:r>
          </w:p>
        </w:tc>
        <w:tc>
          <w:tcPr>
            <w:tcW w:w="1625" w:type="dxa"/>
            <w:tcBorders>
              <w:left w:val="single" w:color="auto" w:sz="4" w:space="0"/>
              <w:right w:val="single" w:color="auto" w:sz="4" w:space="0"/>
            </w:tcBorders>
            <w:vAlign w:val="center"/>
          </w:tcPr>
          <w:p w14:paraId="33FB52E6">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29</w:t>
            </w:r>
          </w:p>
        </w:tc>
        <w:tc>
          <w:tcPr>
            <w:tcW w:w="1242" w:type="dxa"/>
            <w:tcBorders>
              <w:left w:val="single" w:color="auto" w:sz="4" w:space="0"/>
            </w:tcBorders>
            <w:vAlign w:val="center"/>
          </w:tcPr>
          <w:p w14:paraId="7B4DDF26">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18</w:t>
            </w:r>
          </w:p>
        </w:tc>
      </w:tr>
      <w:tr w14:paraId="2EAA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jc w:val="center"/>
        </w:trPr>
        <w:tc>
          <w:tcPr>
            <w:tcW w:w="765" w:type="dxa"/>
            <w:tcBorders>
              <w:top w:val="single" w:color="auto" w:sz="4" w:space="0"/>
            </w:tcBorders>
            <w:vAlign w:val="center"/>
          </w:tcPr>
          <w:p w14:paraId="04468B86">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2018</w:t>
            </w:r>
          </w:p>
        </w:tc>
        <w:tc>
          <w:tcPr>
            <w:tcW w:w="1221" w:type="dxa"/>
            <w:tcBorders>
              <w:top w:val="single" w:color="auto" w:sz="4" w:space="0"/>
            </w:tcBorders>
            <w:vAlign w:val="center"/>
          </w:tcPr>
          <w:p w14:paraId="49276F0D">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6</w:t>
            </w:r>
          </w:p>
        </w:tc>
        <w:tc>
          <w:tcPr>
            <w:tcW w:w="1330" w:type="dxa"/>
            <w:tcBorders>
              <w:top w:val="single" w:color="auto" w:sz="4" w:space="0"/>
            </w:tcBorders>
            <w:vAlign w:val="center"/>
          </w:tcPr>
          <w:p w14:paraId="662DC4F1">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10</w:t>
            </w:r>
          </w:p>
        </w:tc>
        <w:tc>
          <w:tcPr>
            <w:tcW w:w="1181" w:type="dxa"/>
            <w:tcBorders>
              <w:top w:val="single" w:color="auto" w:sz="4" w:space="0"/>
            </w:tcBorders>
            <w:vAlign w:val="center"/>
          </w:tcPr>
          <w:p w14:paraId="3D00185F">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0.9</w:t>
            </w:r>
          </w:p>
        </w:tc>
        <w:tc>
          <w:tcPr>
            <w:tcW w:w="1243" w:type="dxa"/>
            <w:tcBorders>
              <w:top w:val="single" w:color="auto" w:sz="4" w:space="0"/>
            </w:tcBorders>
            <w:vAlign w:val="center"/>
          </w:tcPr>
          <w:p w14:paraId="07066985">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122</w:t>
            </w:r>
          </w:p>
        </w:tc>
        <w:tc>
          <w:tcPr>
            <w:tcW w:w="1625" w:type="dxa"/>
            <w:tcBorders>
              <w:top w:val="single" w:color="auto" w:sz="4" w:space="0"/>
              <w:bottom w:val="single" w:color="auto" w:sz="8" w:space="0"/>
            </w:tcBorders>
            <w:vAlign w:val="center"/>
          </w:tcPr>
          <w:p w14:paraId="2921FDCC">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34</w:t>
            </w:r>
          </w:p>
        </w:tc>
        <w:tc>
          <w:tcPr>
            <w:tcW w:w="1242" w:type="dxa"/>
            <w:tcBorders>
              <w:top w:val="single" w:color="auto" w:sz="4" w:space="0"/>
              <w:bottom w:val="single" w:color="auto" w:sz="8" w:space="0"/>
              <w:right w:val="single" w:color="auto" w:sz="4" w:space="0"/>
            </w:tcBorders>
            <w:vAlign w:val="center"/>
          </w:tcPr>
          <w:p w14:paraId="4FA123B6">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19</w:t>
            </w:r>
          </w:p>
        </w:tc>
      </w:tr>
      <w:tr w14:paraId="539D1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exact"/>
          <w:jc w:val="center"/>
        </w:trPr>
        <w:tc>
          <w:tcPr>
            <w:tcW w:w="765" w:type="dxa"/>
            <w:vAlign w:val="center"/>
          </w:tcPr>
          <w:p w14:paraId="0EEAF8EE">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2019</w:t>
            </w:r>
          </w:p>
        </w:tc>
        <w:tc>
          <w:tcPr>
            <w:tcW w:w="1221" w:type="dxa"/>
            <w:vAlign w:val="center"/>
          </w:tcPr>
          <w:p w14:paraId="14AECBDF">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5</w:t>
            </w:r>
          </w:p>
        </w:tc>
        <w:tc>
          <w:tcPr>
            <w:tcW w:w="1330" w:type="dxa"/>
            <w:vAlign w:val="center"/>
          </w:tcPr>
          <w:p w14:paraId="60F16BBA">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9</w:t>
            </w:r>
          </w:p>
        </w:tc>
        <w:tc>
          <w:tcPr>
            <w:tcW w:w="1181" w:type="dxa"/>
            <w:vAlign w:val="center"/>
          </w:tcPr>
          <w:p w14:paraId="65F0653E">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0.8</w:t>
            </w:r>
          </w:p>
        </w:tc>
        <w:tc>
          <w:tcPr>
            <w:tcW w:w="1243" w:type="dxa"/>
            <w:vAlign w:val="center"/>
          </w:tcPr>
          <w:p w14:paraId="5CAC9195">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132</w:t>
            </w:r>
          </w:p>
        </w:tc>
        <w:tc>
          <w:tcPr>
            <w:tcW w:w="1625" w:type="dxa"/>
            <w:vAlign w:val="center"/>
          </w:tcPr>
          <w:p w14:paraId="7CE2E536">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30</w:t>
            </w:r>
          </w:p>
        </w:tc>
        <w:tc>
          <w:tcPr>
            <w:tcW w:w="1242" w:type="dxa"/>
            <w:tcBorders>
              <w:bottom w:val="single" w:color="auto" w:sz="8" w:space="0"/>
              <w:right w:val="single" w:color="auto" w:sz="4" w:space="0"/>
            </w:tcBorders>
            <w:vAlign w:val="center"/>
          </w:tcPr>
          <w:p w14:paraId="05EC8370">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18</w:t>
            </w:r>
          </w:p>
        </w:tc>
      </w:tr>
      <w:tr w14:paraId="7040B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exact"/>
          <w:jc w:val="center"/>
        </w:trPr>
        <w:tc>
          <w:tcPr>
            <w:tcW w:w="765" w:type="dxa"/>
            <w:vAlign w:val="center"/>
          </w:tcPr>
          <w:p w14:paraId="321ACF2A">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2020</w:t>
            </w:r>
          </w:p>
        </w:tc>
        <w:tc>
          <w:tcPr>
            <w:tcW w:w="1221" w:type="dxa"/>
            <w:vAlign w:val="center"/>
          </w:tcPr>
          <w:p w14:paraId="39D29174">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5</w:t>
            </w:r>
          </w:p>
        </w:tc>
        <w:tc>
          <w:tcPr>
            <w:tcW w:w="1330" w:type="dxa"/>
            <w:vAlign w:val="center"/>
          </w:tcPr>
          <w:p w14:paraId="452A1559">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8</w:t>
            </w:r>
          </w:p>
        </w:tc>
        <w:tc>
          <w:tcPr>
            <w:tcW w:w="1181" w:type="dxa"/>
            <w:vAlign w:val="center"/>
          </w:tcPr>
          <w:p w14:paraId="01E908A3">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0.9</w:t>
            </w:r>
          </w:p>
        </w:tc>
        <w:tc>
          <w:tcPr>
            <w:tcW w:w="1243" w:type="dxa"/>
            <w:vAlign w:val="center"/>
          </w:tcPr>
          <w:p w14:paraId="47A913E9">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121</w:t>
            </w:r>
          </w:p>
        </w:tc>
        <w:tc>
          <w:tcPr>
            <w:tcW w:w="1625" w:type="dxa"/>
            <w:vAlign w:val="center"/>
          </w:tcPr>
          <w:p w14:paraId="43EEE6D2">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26</w:t>
            </w:r>
          </w:p>
        </w:tc>
        <w:tc>
          <w:tcPr>
            <w:tcW w:w="1242" w:type="dxa"/>
            <w:tcBorders>
              <w:top w:val="single" w:color="auto" w:sz="8" w:space="0"/>
              <w:right w:val="single" w:color="auto" w:sz="4" w:space="0"/>
            </w:tcBorders>
            <w:vAlign w:val="center"/>
          </w:tcPr>
          <w:p w14:paraId="0B45659D">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16</w:t>
            </w:r>
          </w:p>
        </w:tc>
      </w:tr>
      <w:tr w14:paraId="3A150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exact"/>
          <w:jc w:val="center"/>
        </w:trPr>
        <w:tc>
          <w:tcPr>
            <w:tcW w:w="765" w:type="dxa"/>
            <w:vAlign w:val="center"/>
          </w:tcPr>
          <w:p w14:paraId="77E4C655">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2021</w:t>
            </w:r>
          </w:p>
        </w:tc>
        <w:tc>
          <w:tcPr>
            <w:tcW w:w="1221" w:type="dxa"/>
            <w:vAlign w:val="center"/>
          </w:tcPr>
          <w:p w14:paraId="49B2ABE9">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5</w:t>
            </w:r>
          </w:p>
        </w:tc>
        <w:tc>
          <w:tcPr>
            <w:tcW w:w="1330" w:type="dxa"/>
            <w:vAlign w:val="center"/>
          </w:tcPr>
          <w:p w14:paraId="498B636C">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8</w:t>
            </w:r>
          </w:p>
        </w:tc>
        <w:tc>
          <w:tcPr>
            <w:tcW w:w="1181" w:type="dxa"/>
            <w:vAlign w:val="center"/>
          </w:tcPr>
          <w:p w14:paraId="33234DC0">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0.9</w:t>
            </w:r>
          </w:p>
        </w:tc>
        <w:tc>
          <w:tcPr>
            <w:tcW w:w="1243" w:type="dxa"/>
            <w:vAlign w:val="center"/>
          </w:tcPr>
          <w:p w14:paraId="08A51950">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114</w:t>
            </w:r>
          </w:p>
        </w:tc>
        <w:tc>
          <w:tcPr>
            <w:tcW w:w="1625" w:type="dxa"/>
            <w:vAlign w:val="center"/>
          </w:tcPr>
          <w:p w14:paraId="5533D22C">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28</w:t>
            </w:r>
          </w:p>
        </w:tc>
        <w:tc>
          <w:tcPr>
            <w:tcW w:w="1242" w:type="dxa"/>
            <w:tcBorders>
              <w:top w:val="single" w:color="auto" w:sz="8" w:space="0"/>
              <w:right w:val="single" w:color="auto" w:sz="4" w:space="0"/>
            </w:tcBorders>
            <w:vAlign w:val="center"/>
          </w:tcPr>
          <w:p w14:paraId="3704B77D">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18</w:t>
            </w:r>
          </w:p>
        </w:tc>
      </w:tr>
    </w:tbl>
    <w:p w14:paraId="77C6E8E9">
      <w:pPr>
        <w:pStyle w:val="6"/>
        <w:bidi w:val="0"/>
        <w:rPr>
          <w:rFonts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2.1.5.3声环境质量</w:t>
      </w:r>
    </w:p>
    <w:p w14:paraId="7CACAF71">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方正仿宋_GBK" w:cs="方正仿宋_GBK"/>
          <w:b w:val="0"/>
          <w:bCs w:val="0"/>
          <w:color w:val="auto"/>
          <w:sz w:val="28"/>
          <w:szCs w:val="28"/>
          <w:lang w:val="en-US" w:eastAsia="zh-CN"/>
        </w:rPr>
      </w:pPr>
      <w:r>
        <w:rPr>
          <w:rFonts w:hint="default" w:ascii="Times New Roman" w:hAnsi="Times New Roman" w:eastAsia="方正仿宋_GBK" w:cs="方正仿宋_GBK"/>
          <w:b w:val="0"/>
          <w:bCs w:val="0"/>
          <w:color w:val="auto"/>
          <w:sz w:val="28"/>
          <w:szCs w:val="28"/>
          <w:lang w:val="en-US" w:eastAsia="zh-CN"/>
        </w:rPr>
        <w:t>根据《新平县城市声环境功能区划分（2019~2029）》，新平县全</w:t>
      </w:r>
      <w:r>
        <w:rPr>
          <w:rFonts w:hint="eastAsia" w:ascii="Times New Roman" w:hAnsi="Times New Roman" w:eastAsia="方正仿宋_GBK" w:cs="方正仿宋_GBK"/>
          <w:b w:val="0"/>
          <w:bCs w:val="0"/>
          <w:color w:val="auto"/>
          <w:sz w:val="28"/>
          <w:szCs w:val="28"/>
          <w:lang w:val="en-US" w:eastAsia="zh-CN"/>
        </w:rPr>
        <w:t>县</w:t>
      </w:r>
      <w:r>
        <w:rPr>
          <w:rFonts w:hint="default" w:ascii="Times New Roman" w:hAnsi="Times New Roman" w:eastAsia="方正仿宋_GBK" w:cs="方正仿宋_GBK"/>
          <w:b w:val="0"/>
          <w:bCs w:val="0"/>
          <w:color w:val="auto"/>
          <w:sz w:val="28"/>
          <w:szCs w:val="28"/>
          <w:lang w:val="en-US" w:eastAsia="zh-CN"/>
        </w:rPr>
        <w:t>开展70个区域环境噪声监测、21个道路交通噪声点位一年一次监测和7个城市功能区噪声每季度监测一次。</w:t>
      </w:r>
    </w:p>
    <w:p w14:paraId="5AC1AE97">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方正仿宋_GBK" w:cs="方正仿宋_GBK"/>
          <w:b w:val="0"/>
          <w:bCs w:val="0"/>
          <w:color w:val="auto"/>
          <w:sz w:val="28"/>
          <w:szCs w:val="28"/>
          <w:lang w:val="en-US" w:eastAsia="zh-CN"/>
        </w:rPr>
      </w:pPr>
      <w:r>
        <w:rPr>
          <w:rFonts w:hint="default" w:ascii="Times New Roman" w:hAnsi="Times New Roman" w:eastAsia="方正仿宋_GBK" w:cs="方正仿宋_GBK"/>
          <w:b w:val="0"/>
          <w:bCs w:val="0"/>
          <w:color w:val="auto"/>
          <w:sz w:val="28"/>
          <w:szCs w:val="28"/>
          <w:lang w:val="en-US" w:eastAsia="zh-CN"/>
        </w:rPr>
        <w:t>（1）区域声环境质量状况</w:t>
      </w:r>
    </w:p>
    <w:p w14:paraId="6AEF5F76">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方正仿宋_GBK" w:cs="方正仿宋_GBK"/>
          <w:b w:val="0"/>
          <w:bCs w:val="0"/>
          <w:color w:val="auto"/>
          <w:sz w:val="28"/>
          <w:szCs w:val="28"/>
          <w:lang w:val="en-US" w:eastAsia="zh-CN"/>
        </w:rPr>
      </w:pPr>
      <w:r>
        <w:rPr>
          <w:rFonts w:hint="default" w:ascii="Times New Roman" w:hAnsi="Times New Roman" w:eastAsia="方正仿宋_GBK" w:cs="方正仿宋_GBK"/>
          <w:b w:val="0"/>
          <w:bCs w:val="0"/>
          <w:color w:val="auto"/>
          <w:sz w:val="28"/>
          <w:szCs w:val="28"/>
          <w:lang w:val="en-US" w:eastAsia="zh-CN"/>
        </w:rPr>
        <w:t>2019</w:t>
      </w:r>
      <w:r>
        <w:rPr>
          <w:rFonts w:hint="eastAsia" w:ascii="Times New Roman" w:hAnsi="Times New Roman" w:eastAsia="方正仿宋_GBK" w:cs="方正仿宋_GBK"/>
          <w:b w:val="0"/>
          <w:bCs w:val="0"/>
          <w:color w:val="auto"/>
          <w:sz w:val="28"/>
          <w:szCs w:val="28"/>
          <w:lang w:val="en-US" w:eastAsia="zh-CN"/>
        </w:rPr>
        <w:t>—</w:t>
      </w:r>
      <w:r>
        <w:rPr>
          <w:rFonts w:hint="default" w:ascii="Times New Roman" w:hAnsi="Times New Roman" w:eastAsia="方正仿宋_GBK" w:cs="方正仿宋_GBK"/>
          <w:b w:val="0"/>
          <w:bCs w:val="0"/>
          <w:color w:val="auto"/>
          <w:sz w:val="28"/>
          <w:szCs w:val="28"/>
          <w:lang w:val="en-US" w:eastAsia="zh-CN"/>
        </w:rPr>
        <w:t>2021年，新平县县城设区域声环境监测点位均为70个，区域昼间平均等效声级在42.2-46.2dB，评价等级为一级，质量为“好”。新平县区域声环境监测结果见表2.1.5.3-1。</w:t>
      </w:r>
    </w:p>
    <w:p w14:paraId="5EF18848">
      <w:pPr>
        <w:widowControl/>
        <w:jc w:val="center"/>
        <w:rPr>
          <w:rFonts w:ascii="Times New Roman" w:hAnsi="Times New Roman" w:eastAsia="仿宋" w:cs="Times New Roman"/>
          <w:b/>
          <w:bCs/>
          <w:color w:val="auto"/>
          <w:sz w:val="24"/>
        </w:rPr>
      </w:pPr>
      <w:r>
        <w:rPr>
          <w:rFonts w:ascii="Times New Roman" w:hAnsi="Times New Roman" w:eastAsia="仿宋" w:cs="Times New Roman"/>
          <w:b/>
          <w:bCs/>
          <w:color w:val="auto"/>
          <w:sz w:val="24"/>
        </w:rPr>
        <w:t>表</w:t>
      </w:r>
      <w:r>
        <w:rPr>
          <w:rFonts w:hint="default" w:ascii="Times New Roman" w:hAnsi="Times New Roman" w:eastAsia="仿宋" w:cs="Times New Roman"/>
          <w:b/>
          <w:bCs/>
          <w:color w:val="auto"/>
          <w:sz w:val="24"/>
          <w:lang w:val="en-US" w:eastAsia="zh-CN"/>
        </w:rPr>
        <w:t>2.1.5.</w:t>
      </w:r>
      <w:r>
        <w:rPr>
          <w:rFonts w:hint="eastAsia" w:ascii="Times New Roman" w:hAnsi="Times New Roman" w:eastAsia="仿宋" w:cs="Times New Roman"/>
          <w:b/>
          <w:bCs/>
          <w:color w:val="auto"/>
          <w:sz w:val="24"/>
          <w:lang w:val="en-US" w:eastAsia="zh-CN"/>
        </w:rPr>
        <w:t>3</w:t>
      </w:r>
      <w:r>
        <w:rPr>
          <w:rFonts w:hint="default" w:ascii="Times New Roman" w:hAnsi="Times New Roman" w:eastAsia="仿宋" w:cs="Times New Roman"/>
          <w:b/>
          <w:bCs/>
          <w:color w:val="auto"/>
          <w:sz w:val="24"/>
          <w:lang w:val="en-US" w:eastAsia="zh-CN"/>
        </w:rPr>
        <w:t>-</w:t>
      </w:r>
      <w:r>
        <w:rPr>
          <w:rFonts w:hint="eastAsia" w:ascii="Times New Roman" w:hAnsi="Times New Roman" w:eastAsia="仿宋" w:cs="Times New Roman"/>
          <w:b/>
          <w:bCs/>
          <w:color w:val="auto"/>
          <w:sz w:val="24"/>
          <w:lang w:val="en-US" w:eastAsia="zh-CN"/>
        </w:rPr>
        <w:t>1</w:t>
      </w:r>
      <w:r>
        <w:rPr>
          <w:rFonts w:ascii="Times New Roman" w:hAnsi="Times New Roman" w:eastAsia="仿宋" w:cs="Times New Roman"/>
          <w:b/>
          <w:bCs/>
          <w:color w:val="auto"/>
          <w:sz w:val="24"/>
        </w:rPr>
        <w:t xml:space="preserve"> 201</w:t>
      </w:r>
      <w:r>
        <w:rPr>
          <w:rFonts w:hint="eastAsia" w:ascii="Times New Roman" w:hAnsi="Times New Roman" w:eastAsia="仿宋" w:cs="Times New Roman"/>
          <w:b/>
          <w:bCs/>
          <w:color w:val="auto"/>
          <w:sz w:val="24"/>
          <w:lang w:val="en-US" w:eastAsia="zh-CN"/>
        </w:rPr>
        <w:t>9—</w:t>
      </w:r>
      <w:r>
        <w:rPr>
          <w:rFonts w:ascii="Times New Roman" w:hAnsi="Times New Roman" w:eastAsia="仿宋" w:cs="Times New Roman"/>
          <w:b/>
          <w:bCs/>
          <w:color w:val="auto"/>
          <w:sz w:val="24"/>
        </w:rPr>
        <w:t>2021年</w:t>
      </w:r>
      <w:r>
        <w:rPr>
          <w:rFonts w:hint="eastAsia" w:ascii="Times New Roman" w:hAnsi="Times New Roman" w:eastAsia="仿宋" w:cs="Times New Roman"/>
          <w:b/>
          <w:bCs/>
          <w:color w:val="auto"/>
          <w:sz w:val="24"/>
          <w:lang w:val="en-US" w:eastAsia="zh-CN"/>
        </w:rPr>
        <w:t>新平县</w:t>
      </w:r>
      <w:r>
        <w:rPr>
          <w:rFonts w:ascii="Times New Roman" w:hAnsi="Times New Roman" w:eastAsia="仿宋" w:cs="Times New Roman"/>
          <w:b/>
          <w:bCs/>
          <w:color w:val="auto"/>
          <w:sz w:val="24"/>
        </w:rPr>
        <w:t>的区域声环境质量统计表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3"/>
        <w:gridCol w:w="1594"/>
        <w:gridCol w:w="2234"/>
        <w:gridCol w:w="1702"/>
        <w:gridCol w:w="1749"/>
      </w:tblGrid>
      <w:tr w14:paraId="311FB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blHeader/>
          <w:jc w:val="center"/>
        </w:trPr>
        <w:tc>
          <w:tcPr>
            <w:tcW w:w="729" w:type="pct"/>
            <w:shd w:val="clear" w:color="auto" w:fill="FFFFFF" w:themeFill="background1"/>
            <w:vAlign w:val="center"/>
          </w:tcPr>
          <w:p w14:paraId="302EC340">
            <w:pPr>
              <w:widowControl/>
              <w:spacing w:line="400" w:lineRule="exact"/>
              <w:jc w:val="center"/>
              <w:rPr>
                <w:rFonts w:ascii="Times New Roman" w:hAnsi="Times New Roman" w:eastAsia="方正仿宋_GBK" w:cs="Times New Roman"/>
                <w:b/>
                <w:bCs/>
                <w:color w:val="auto"/>
                <w:sz w:val="24"/>
                <w:szCs w:val="20"/>
              </w:rPr>
            </w:pPr>
            <w:r>
              <w:rPr>
                <w:rFonts w:ascii="Times New Roman" w:hAnsi="Times New Roman" w:eastAsia="方正仿宋_GBK" w:cs="Times New Roman"/>
                <w:b/>
                <w:bCs/>
                <w:color w:val="auto"/>
                <w:sz w:val="24"/>
                <w:szCs w:val="20"/>
              </w:rPr>
              <w:t>年份</w:t>
            </w:r>
          </w:p>
        </w:tc>
        <w:tc>
          <w:tcPr>
            <w:tcW w:w="2245" w:type="pct"/>
            <w:gridSpan w:val="2"/>
            <w:shd w:val="clear" w:color="auto" w:fill="FFFFFF" w:themeFill="background1"/>
            <w:vAlign w:val="center"/>
          </w:tcPr>
          <w:p w14:paraId="098B2419">
            <w:pPr>
              <w:widowControl/>
              <w:spacing w:line="400" w:lineRule="exact"/>
              <w:jc w:val="center"/>
              <w:rPr>
                <w:rFonts w:ascii="Times New Roman" w:hAnsi="Times New Roman" w:eastAsia="方正仿宋_GBK" w:cs="Times New Roman"/>
                <w:b/>
                <w:bCs/>
                <w:color w:val="auto"/>
                <w:sz w:val="24"/>
                <w:szCs w:val="20"/>
              </w:rPr>
            </w:pPr>
            <w:r>
              <w:rPr>
                <w:rFonts w:ascii="Times New Roman" w:hAnsi="Times New Roman" w:eastAsia="方正仿宋_GBK" w:cs="Times New Roman"/>
                <w:b/>
                <w:bCs/>
                <w:color w:val="auto"/>
                <w:sz w:val="24"/>
                <w:szCs w:val="20"/>
              </w:rPr>
              <w:t>平均等效声级（dB（A））</w:t>
            </w:r>
          </w:p>
        </w:tc>
        <w:tc>
          <w:tcPr>
            <w:tcW w:w="998" w:type="pct"/>
            <w:shd w:val="clear" w:color="auto" w:fill="FFFFFF" w:themeFill="background1"/>
            <w:vAlign w:val="center"/>
          </w:tcPr>
          <w:p w14:paraId="21A914C6">
            <w:pPr>
              <w:widowControl/>
              <w:spacing w:line="400" w:lineRule="exact"/>
              <w:jc w:val="center"/>
              <w:rPr>
                <w:rFonts w:ascii="Times New Roman" w:hAnsi="Times New Roman" w:eastAsia="方正仿宋_GBK" w:cs="Times New Roman"/>
                <w:b/>
                <w:bCs/>
                <w:color w:val="auto"/>
                <w:sz w:val="24"/>
                <w:szCs w:val="20"/>
              </w:rPr>
            </w:pPr>
            <w:r>
              <w:rPr>
                <w:rFonts w:ascii="Times New Roman" w:hAnsi="Times New Roman" w:eastAsia="方正仿宋_GBK" w:cs="Times New Roman"/>
                <w:b/>
                <w:bCs/>
                <w:color w:val="auto"/>
                <w:sz w:val="24"/>
                <w:szCs w:val="20"/>
              </w:rPr>
              <w:t>等级</w:t>
            </w:r>
          </w:p>
        </w:tc>
        <w:tc>
          <w:tcPr>
            <w:tcW w:w="1026" w:type="pct"/>
            <w:shd w:val="clear" w:color="auto" w:fill="FFFFFF" w:themeFill="background1"/>
            <w:vAlign w:val="center"/>
          </w:tcPr>
          <w:p w14:paraId="4A137558">
            <w:pPr>
              <w:widowControl/>
              <w:spacing w:line="400" w:lineRule="exact"/>
              <w:jc w:val="center"/>
              <w:rPr>
                <w:rFonts w:ascii="Times New Roman" w:hAnsi="Times New Roman" w:eastAsia="方正仿宋_GBK" w:cs="Times New Roman"/>
                <w:b/>
                <w:bCs/>
                <w:color w:val="auto"/>
                <w:sz w:val="24"/>
                <w:szCs w:val="20"/>
              </w:rPr>
            </w:pPr>
            <w:r>
              <w:rPr>
                <w:rFonts w:ascii="Times New Roman" w:hAnsi="Times New Roman" w:eastAsia="方正仿宋_GBK" w:cs="Times New Roman"/>
                <w:b/>
                <w:bCs/>
                <w:color w:val="auto"/>
                <w:sz w:val="24"/>
                <w:szCs w:val="20"/>
              </w:rPr>
              <w:t>质量评价</w:t>
            </w:r>
          </w:p>
        </w:tc>
      </w:tr>
      <w:tr w14:paraId="5B10E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9" w:type="pct"/>
            <w:vAlign w:val="center"/>
          </w:tcPr>
          <w:p w14:paraId="0EF531FE">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2019年</w:t>
            </w:r>
          </w:p>
        </w:tc>
        <w:tc>
          <w:tcPr>
            <w:tcW w:w="935" w:type="pct"/>
            <w:vAlign w:val="center"/>
          </w:tcPr>
          <w:p w14:paraId="650F13CA">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昼间</w:t>
            </w:r>
          </w:p>
        </w:tc>
        <w:tc>
          <w:tcPr>
            <w:tcW w:w="1310" w:type="pct"/>
            <w:vAlign w:val="center"/>
          </w:tcPr>
          <w:p w14:paraId="452837CC">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42.2</w:t>
            </w:r>
          </w:p>
        </w:tc>
        <w:tc>
          <w:tcPr>
            <w:tcW w:w="998" w:type="pct"/>
            <w:vAlign w:val="center"/>
          </w:tcPr>
          <w:p w14:paraId="2963C0E9">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一级</w:t>
            </w:r>
          </w:p>
        </w:tc>
        <w:tc>
          <w:tcPr>
            <w:tcW w:w="1026" w:type="pct"/>
            <w:vAlign w:val="center"/>
          </w:tcPr>
          <w:p w14:paraId="18C6C9D9">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好</w:t>
            </w:r>
          </w:p>
        </w:tc>
      </w:tr>
      <w:tr w14:paraId="700B0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9" w:type="pct"/>
            <w:vAlign w:val="center"/>
          </w:tcPr>
          <w:p w14:paraId="3CCB6C63">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2020年</w:t>
            </w:r>
          </w:p>
        </w:tc>
        <w:tc>
          <w:tcPr>
            <w:tcW w:w="935" w:type="pct"/>
            <w:vAlign w:val="center"/>
          </w:tcPr>
          <w:p w14:paraId="62B416F5">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昼间</w:t>
            </w:r>
          </w:p>
        </w:tc>
        <w:tc>
          <w:tcPr>
            <w:tcW w:w="1310" w:type="pct"/>
            <w:vAlign w:val="center"/>
          </w:tcPr>
          <w:p w14:paraId="03875C64">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46.2</w:t>
            </w:r>
          </w:p>
        </w:tc>
        <w:tc>
          <w:tcPr>
            <w:tcW w:w="998" w:type="pct"/>
            <w:vAlign w:val="center"/>
          </w:tcPr>
          <w:p w14:paraId="48906168">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一级</w:t>
            </w:r>
          </w:p>
        </w:tc>
        <w:tc>
          <w:tcPr>
            <w:tcW w:w="1026" w:type="pct"/>
            <w:vAlign w:val="center"/>
          </w:tcPr>
          <w:p w14:paraId="725CD75A">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好</w:t>
            </w:r>
          </w:p>
        </w:tc>
      </w:tr>
      <w:tr w14:paraId="6D10F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9" w:type="pct"/>
            <w:vAlign w:val="center"/>
          </w:tcPr>
          <w:p w14:paraId="68BB9403">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2021年</w:t>
            </w:r>
          </w:p>
        </w:tc>
        <w:tc>
          <w:tcPr>
            <w:tcW w:w="935" w:type="pct"/>
            <w:vAlign w:val="center"/>
          </w:tcPr>
          <w:p w14:paraId="0F15ADDD">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昼间</w:t>
            </w:r>
          </w:p>
        </w:tc>
        <w:tc>
          <w:tcPr>
            <w:tcW w:w="1310" w:type="pct"/>
            <w:vAlign w:val="center"/>
          </w:tcPr>
          <w:p w14:paraId="797A0C3B">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45.3</w:t>
            </w:r>
          </w:p>
        </w:tc>
        <w:tc>
          <w:tcPr>
            <w:tcW w:w="998" w:type="pct"/>
            <w:vAlign w:val="center"/>
          </w:tcPr>
          <w:p w14:paraId="63081DA9">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一级</w:t>
            </w:r>
          </w:p>
        </w:tc>
        <w:tc>
          <w:tcPr>
            <w:tcW w:w="1026" w:type="pct"/>
            <w:vAlign w:val="center"/>
          </w:tcPr>
          <w:p w14:paraId="40FCA008">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好</w:t>
            </w:r>
          </w:p>
        </w:tc>
      </w:tr>
    </w:tbl>
    <w:p w14:paraId="6EFC9B31">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（2）道路交通声环境质量状况</w:t>
      </w:r>
    </w:p>
    <w:p w14:paraId="4F02173A">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2019—2021年，新平县道路交通声环境昼间平均等效声级在62.4-64.7dB，评价等级均为一级，质量为“好”。新平县交通声环境监测结果见表2.1.5.3-2。</w:t>
      </w:r>
    </w:p>
    <w:p w14:paraId="4298E65E">
      <w:pPr>
        <w:widowControl/>
        <w:jc w:val="center"/>
        <w:rPr>
          <w:rFonts w:ascii="Times New Roman" w:hAnsi="Times New Roman" w:eastAsia="仿宋" w:cs="Times New Roman"/>
          <w:b/>
          <w:bCs/>
          <w:color w:val="auto"/>
          <w:sz w:val="24"/>
        </w:rPr>
      </w:pPr>
      <w:r>
        <w:rPr>
          <w:rFonts w:ascii="Times New Roman" w:hAnsi="Times New Roman" w:eastAsia="仿宋" w:cs="Times New Roman"/>
          <w:b/>
          <w:bCs/>
          <w:color w:val="auto"/>
          <w:sz w:val="24"/>
        </w:rPr>
        <w:t>表</w:t>
      </w:r>
      <w:r>
        <w:rPr>
          <w:rFonts w:hint="eastAsia" w:ascii="Times New Roman" w:hAnsi="Times New Roman" w:eastAsia="仿宋" w:cs="Times New Roman"/>
          <w:b/>
          <w:bCs/>
          <w:color w:val="auto"/>
          <w:sz w:val="24"/>
        </w:rPr>
        <w:t>2.1.5.3-2</w:t>
      </w:r>
      <w:r>
        <w:rPr>
          <w:rFonts w:ascii="Times New Roman" w:hAnsi="Times New Roman" w:eastAsia="仿宋" w:cs="Times New Roman"/>
          <w:b/>
          <w:bCs/>
          <w:color w:val="auto"/>
          <w:sz w:val="24"/>
        </w:rPr>
        <w:t xml:space="preserve"> 201</w:t>
      </w:r>
      <w:r>
        <w:rPr>
          <w:rFonts w:hint="eastAsia" w:ascii="Times New Roman" w:hAnsi="Times New Roman" w:eastAsia="仿宋" w:cs="Times New Roman"/>
          <w:b/>
          <w:bCs/>
          <w:color w:val="auto"/>
          <w:sz w:val="24"/>
          <w:lang w:val="en-US" w:eastAsia="zh-CN"/>
        </w:rPr>
        <w:t>9—</w:t>
      </w:r>
      <w:r>
        <w:rPr>
          <w:rFonts w:ascii="Times New Roman" w:hAnsi="Times New Roman" w:eastAsia="仿宋" w:cs="Times New Roman"/>
          <w:b/>
          <w:bCs/>
          <w:color w:val="auto"/>
          <w:sz w:val="24"/>
        </w:rPr>
        <w:t>202</w:t>
      </w:r>
      <w:r>
        <w:rPr>
          <w:rFonts w:hint="eastAsia" w:ascii="Times New Roman" w:hAnsi="Times New Roman" w:eastAsia="仿宋" w:cs="Times New Roman"/>
          <w:b/>
          <w:bCs/>
          <w:color w:val="auto"/>
          <w:sz w:val="24"/>
          <w:lang w:val="en-US" w:eastAsia="zh-CN"/>
        </w:rPr>
        <w:t>1</w:t>
      </w:r>
      <w:r>
        <w:rPr>
          <w:rFonts w:ascii="Times New Roman" w:hAnsi="Times New Roman" w:eastAsia="仿宋" w:cs="Times New Roman"/>
          <w:b/>
          <w:bCs/>
          <w:color w:val="auto"/>
          <w:sz w:val="24"/>
        </w:rPr>
        <w:t>年</w:t>
      </w:r>
      <w:r>
        <w:rPr>
          <w:rFonts w:hint="eastAsia" w:ascii="Times New Roman" w:hAnsi="Times New Roman" w:eastAsia="仿宋" w:cs="Times New Roman"/>
          <w:b/>
          <w:bCs/>
          <w:color w:val="auto"/>
          <w:sz w:val="24"/>
          <w:lang w:val="en-US" w:eastAsia="zh-CN"/>
        </w:rPr>
        <w:t>新平县</w:t>
      </w:r>
      <w:r>
        <w:rPr>
          <w:rFonts w:ascii="Times New Roman" w:hAnsi="Times New Roman" w:eastAsia="仿宋" w:cs="Times New Roman"/>
          <w:b/>
          <w:bCs/>
          <w:color w:val="auto"/>
          <w:sz w:val="24"/>
        </w:rPr>
        <w:t>城区道路交通噪声质量评价</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3"/>
        <w:gridCol w:w="1594"/>
        <w:gridCol w:w="2234"/>
        <w:gridCol w:w="1702"/>
        <w:gridCol w:w="1749"/>
      </w:tblGrid>
      <w:tr w14:paraId="31525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29" w:type="pct"/>
            <w:shd w:val="clear" w:color="auto" w:fill="FFFFFF" w:themeFill="background1"/>
            <w:vAlign w:val="center"/>
          </w:tcPr>
          <w:p w14:paraId="064B0208">
            <w:pPr>
              <w:widowControl/>
              <w:spacing w:line="400" w:lineRule="exact"/>
              <w:jc w:val="center"/>
              <w:rPr>
                <w:rFonts w:ascii="Times New Roman" w:hAnsi="Times New Roman" w:eastAsia="方正仿宋_GBK" w:cs="Times New Roman"/>
                <w:b/>
                <w:bCs/>
                <w:color w:val="auto"/>
                <w:sz w:val="24"/>
                <w:szCs w:val="20"/>
              </w:rPr>
            </w:pPr>
            <w:r>
              <w:rPr>
                <w:rFonts w:ascii="Times New Roman" w:hAnsi="Times New Roman" w:eastAsia="方正仿宋_GBK" w:cs="Times New Roman"/>
                <w:b/>
                <w:bCs/>
                <w:color w:val="auto"/>
                <w:sz w:val="24"/>
                <w:szCs w:val="20"/>
              </w:rPr>
              <w:t>年份</w:t>
            </w:r>
          </w:p>
        </w:tc>
        <w:tc>
          <w:tcPr>
            <w:tcW w:w="2245" w:type="pct"/>
            <w:gridSpan w:val="2"/>
            <w:shd w:val="clear" w:color="auto" w:fill="FFFFFF" w:themeFill="background1"/>
            <w:vAlign w:val="center"/>
          </w:tcPr>
          <w:p w14:paraId="64E0EA7A">
            <w:pPr>
              <w:widowControl/>
              <w:spacing w:line="400" w:lineRule="exact"/>
              <w:jc w:val="center"/>
              <w:rPr>
                <w:rFonts w:ascii="Times New Roman" w:hAnsi="Times New Roman" w:eastAsia="方正仿宋_GBK" w:cs="Times New Roman"/>
                <w:b/>
                <w:bCs/>
                <w:color w:val="auto"/>
                <w:sz w:val="24"/>
                <w:szCs w:val="20"/>
              </w:rPr>
            </w:pPr>
            <w:r>
              <w:rPr>
                <w:rFonts w:ascii="Times New Roman" w:hAnsi="Times New Roman" w:eastAsia="方正仿宋_GBK" w:cs="Times New Roman"/>
                <w:b/>
                <w:bCs/>
                <w:color w:val="auto"/>
                <w:sz w:val="24"/>
                <w:szCs w:val="20"/>
              </w:rPr>
              <w:t>平均等效声级（dB（A））</w:t>
            </w:r>
          </w:p>
        </w:tc>
        <w:tc>
          <w:tcPr>
            <w:tcW w:w="998" w:type="pct"/>
            <w:shd w:val="clear" w:color="auto" w:fill="FFFFFF" w:themeFill="background1"/>
            <w:vAlign w:val="center"/>
          </w:tcPr>
          <w:p w14:paraId="341DF235">
            <w:pPr>
              <w:widowControl/>
              <w:spacing w:line="400" w:lineRule="exact"/>
              <w:jc w:val="center"/>
              <w:rPr>
                <w:rFonts w:ascii="Times New Roman" w:hAnsi="Times New Roman" w:eastAsia="方正仿宋_GBK" w:cs="Times New Roman"/>
                <w:b/>
                <w:bCs/>
                <w:color w:val="auto"/>
                <w:sz w:val="24"/>
                <w:szCs w:val="20"/>
              </w:rPr>
            </w:pPr>
            <w:r>
              <w:rPr>
                <w:rFonts w:ascii="Times New Roman" w:hAnsi="Times New Roman" w:eastAsia="方正仿宋_GBK" w:cs="Times New Roman"/>
                <w:b/>
                <w:bCs/>
                <w:color w:val="auto"/>
                <w:sz w:val="24"/>
                <w:szCs w:val="20"/>
              </w:rPr>
              <w:t>等级</w:t>
            </w:r>
          </w:p>
        </w:tc>
        <w:tc>
          <w:tcPr>
            <w:tcW w:w="1026" w:type="pct"/>
            <w:shd w:val="clear" w:color="auto" w:fill="FFFFFF" w:themeFill="background1"/>
            <w:vAlign w:val="center"/>
          </w:tcPr>
          <w:p w14:paraId="241E1949">
            <w:pPr>
              <w:widowControl/>
              <w:spacing w:line="400" w:lineRule="exact"/>
              <w:jc w:val="center"/>
              <w:rPr>
                <w:rFonts w:ascii="Times New Roman" w:hAnsi="Times New Roman" w:eastAsia="方正仿宋_GBK" w:cs="Times New Roman"/>
                <w:b/>
                <w:bCs/>
                <w:color w:val="auto"/>
                <w:sz w:val="24"/>
                <w:szCs w:val="20"/>
              </w:rPr>
            </w:pPr>
            <w:r>
              <w:rPr>
                <w:rFonts w:ascii="Times New Roman" w:hAnsi="Times New Roman" w:eastAsia="方正仿宋_GBK" w:cs="Times New Roman"/>
                <w:b/>
                <w:bCs/>
                <w:color w:val="auto"/>
                <w:sz w:val="24"/>
                <w:szCs w:val="20"/>
              </w:rPr>
              <w:t>质量评价</w:t>
            </w:r>
          </w:p>
        </w:tc>
      </w:tr>
      <w:tr w14:paraId="7C819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9" w:type="pct"/>
            <w:vAlign w:val="center"/>
          </w:tcPr>
          <w:p w14:paraId="6DC28676">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2019年</w:t>
            </w:r>
          </w:p>
        </w:tc>
        <w:tc>
          <w:tcPr>
            <w:tcW w:w="935" w:type="pct"/>
            <w:vAlign w:val="center"/>
          </w:tcPr>
          <w:p w14:paraId="1FF2B6BA">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昼间</w:t>
            </w:r>
          </w:p>
        </w:tc>
        <w:tc>
          <w:tcPr>
            <w:tcW w:w="1310" w:type="pct"/>
            <w:vAlign w:val="center"/>
          </w:tcPr>
          <w:p w14:paraId="69EADE1C">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63.7</w:t>
            </w:r>
          </w:p>
        </w:tc>
        <w:tc>
          <w:tcPr>
            <w:tcW w:w="1702" w:type="dxa"/>
            <w:vAlign w:val="center"/>
          </w:tcPr>
          <w:p w14:paraId="5FDEC209">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一级</w:t>
            </w:r>
          </w:p>
        </w:tc>
        <w:tc>
          <w:tcPr>
            <w:tcW w:w="1749" w:type="dxa"/>
            <w:vAlign w:val="center"/>
          </w:tcPr>
          <w:p w14:paraId="265B8855">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好</w:t>
            </w:r>
          </w:p>
        </w:tc>
      </w:tr>
      <w:tr w14:paraId="66C76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9" w:type="pct"/>
            <w:vAlign w:val="center"/>
          </w:tcPr>
          <w:p w14:paraId="5D9B494E">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2020年</w:t>
            </w:r>
          </w:p>
        </w:tc>
        <w:tc>
          <w:tcPr>
            <w:tcW w:w="935" w:type="pct"/>
            <w:vAlign w:val="center"/>
          </w:tcPr>
          <w:p w14:paraId="0FF003E3">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昼间</w:t>
            </w:r>
          </w:p>
        </w:tc>
        <w:tc>
          <w:tcPr>
            <w:tcW w:w="1310" w:type="pct"/>
            <w:vAlign w:val="center"/>
          </w:tcPr>
          <w:p w14:paraId="62DFD84C">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64.7</w:t>
            </w:r>
          </w:p>
        </w:tc>
        <w:tc>
          <w:tcPr>
            <w:tcW w:w="1702" w:type="dxa"/>
            <w:vAlign w:val="center"/>
          </w:tcPr>
          <w:p w14:paraId="0006CDDB">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一级</w:t>
            </w:r>
          </w:p>
        </w:tc>
        <w:tc>
          <w:tcPr>
            <w:tcW w:w="1749" w:type="dxa"/>
            <w:vAlign w:val="center"/>
          </w:tcPr>
          <w:p w14:paraId="78E9C14E">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好</w:t>
            </w:r>
          </w:p>
        </w:tc>
      </w:tr>
      <w:tr w14:paraId="4EC34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9" w:type="pct"/>
            <w:vAlign w:val="center"/>
          </w:tcPr>
          <w:p w14:paraId="7A361D19">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2021年</w:t>
            </w:r>
          </w:p>
        </w:tc>
        <w:tc>
          <w:tcPr>
            <w:tcW w:w="935" w:type="pct"/>
            <w:vAlign w:val="center"/>
          </w:tcPr>
          <w:p w14:paraId="5E5FB19D">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昼间</w:t>
            </w:r>
          </w:p>
        </w:tc>
        <w:tc>
          <w:tcPr>
            <w:tcW w:w="1310" w:type="pct"/>
            <w:vAlign w:val="center"/>
          </w:tcPr>
          <w:p w14:paraId="7E17DACF">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62.4</w:t>
            </w:r>
          </w:p>
        </w:tc>
        <w:tc>
          <w:tcPr>
            <w:tcW w:w="998" w:type="pct"/>
            <w:vAlign w:val="center"/>
          </w:tcPr>
          <w:p w14:paraId="40CD07A2">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一级</w:t>
            </w:r>
          </w:p>
        </w:tc>
        <w:tc>
          <w:tcPr>
            <w:tcW w:w="1026" w:type="pct"/>
            <w:vAlign w:val="center"/>
          </w:tcPr>
          <w:p w14:paraId="1F51317D">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好</w:t>
            </w:r>
          </w:p>
        </w:tc>
      </w:tr>
    </w:tbl>
    <w:p w14:paraId="5F743884">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（3）功能区声环境质量状况</w:t>
      </w:r>
    </w:p>
    <w:p w14:paraId="3EFB0EAA">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2019—2021年，新平县城市功能区年平均昼间等效声级在38.28-58.08dB，监测点次达标率为100%，年平均夜间等效声级在30.28-49.65dB，昼间、夜间平均等效声级均达标。新平县功能区声环境监测结果见表2.1.5.3-3。</w:t>
      </w:r>
    </w:p>
    <w:p w14:paraId="0995E5C8">
      <w:pPr>
        <w:widowControl/>
        <w:jc w:val="center"/>
        <w:rPr>
          <w:rFonts w:hint="default" w:eastAsia="仿宋"/>
          <w:lang w:val="en-US" w:eastAsia="zh-CN"/>
        </w:rPr>
      </w:pPr>
      <w:r>
        <w:rPr>
          <w:rFonts w:ascii="Times New Roman" w:hAnsi="Times New Roman" w:eastAsia="仿宋" w:cs="Times New Roman"/>
          <w:b/>
          <w:bCs/>
          <w:color w:val="auto"/>
          <w:sz w:val="24"/>
        </w:rPr>
        <w:t>表</w:t>
      </w:r>
      <w:r>
        <w:rPr>
          <w:rFonts w:hint="eastAsia" w:ascii="Times New Roman" w:hAnsi="Times New Roman" w:eastAsia="仿宋" w:cs="Times New Roman"/>
          <w:b/>
          <w:bCs/>
          <w:color w:val="auto"/>
          <w:sz w:val="24"/>
        </w:rPr>
        <w:t>2.1.5.3-</w:t>
      </w:r>
      <w:r>
        <w:rPr>
          <w:rFonts w:hint="eastAsia" w:ascii="Times New Roman" w:hAnsi="Times New Roman" w:eastAsia="仿宋" w:cs="Times New Roman"/>
          <w:b/>
          <w:bCs/>
          <w:color w:val="auto"/>
          <w:sz w:val="24"/>
          <w:lang w:val="en-US" w:eastAsia="zh-CN"/>
        </w:rPr>
        <w:t>3</w:t>
      </w:r>
      <w:r>
        <w:rPr>
          <w:rFonts w:ascii="Times New Roman" w:hAnsi="Times New Roman" w:eastAsia="仿宋" w:cs="Times New Roman"/>
          <w:b/>
          <w:bCs/>
          <w:color w:val="auto"/>
          <w:sz w:val="24"/>
        </w:rPr>
        <w:t xml:space="preserve"> 201</w:t>
      </w:r>
      <w:r>
        <w:rPr>
          <w:rFonts w:hint="eastAsia" w:ascii="Times New Roman" w:hAnsi="Times New Roman" w:eastAsia="仿宋" w:cs="Times New Roman"/>
          <w:b/>
          <w:bCs/>
          <w:color w:val="auto"/>
          <w:sz w:val="24"/>
          <w:lang w:val="en-US" w:eastAsia="zh-CN"/>
        </w:rPr>
        <w:t>9—</w:t>
      </w:r>
      <w:r>
        <w:rPr>
          <w:rFonts w:ascii="Times New Roman" w:hAnsi="Times New Roman" w:eastAsia="仿宋" w:cs="Times New Roman"/>
          <w:b/>
          <w:bCs/>
          <w:color w:val="auto"/>
          <w:sz w:val="24"/>
        </w:rPr>
        <w:t>202</w:t>
      </w:r>
      <w:r>
        <w:rPr>
          <w:rFonts w:hint="eastAsia" w:ascii="Times New Roman" w:hAnsi="Times New Roman" w:eastAsia="仿宋" w:cs="Times New Roman"/>
          <w:b/>
          <w:bCs/>
          <w:color w:val="auto"/>
          <w:sz w:val="24"/>
          <w:lang w:val="en-US" w:eastAsia="zh-CN"/>
        </w:rPr>
        <w:t>1</w:t>
      </w:r>
      <w:r>
        <w:rPr>
          <w:rFonts w:ascii="Times New Roman" w:hAnsi="Times New Roman" w:eastAsia="仿宋" w:cs="Times New Roman"/>
          <w:b/>
          <w:bCs/>
          <w:color w:val="auto"/>
          <w:sz w:val="24"/>
        </w:rPr>
        <w:t>年</w:t>
      </w:r>
      <w:r>
        <w:rPr>
          <w:rFonts w:hint="eastAsia" w:ascii="Times New Roman" w:hAnsi="Times New Roman" w:eastAsia="仿宋" w:cs="Times New Roman"/>
          <w:b/>
          <w:bCs/>
          <w:color w:val="auto"/>
          <w:sz w:val="24"/>
          <w:lang w:val="en-US" w:eastAsia="zh-CN"/>
        </w:rPr>
        <w:t>新平县</w:t>
      </w:r>
      <w:r>
        <w:rPr>
          <w:rFonts w:ascii="Times New Roman" w:hAnsi="Times New Roman" w:eastAsia="仿宋" w:cs="Times New Roman"/>
          <w:b/>
          <w:bCs/>
          <w:color w:val="auto"/>
          <w:sz w:val="24"/>
        </w:rPr>
        <w:t>城区功能区声环境质量监测结果统计表</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1"/>
        <w:gridCol w:w="1065"/>
        <w:gridCol w:w="1380"/>
        <w:gridCol w:w="1230"/>
        <w:gridCol w:w="1140"/>
        <w:gridCol w:w="1050"/>
        <w:gridCol w:w="1293"/>
      </w:tblGrid>
      <w:tr w14:paraId="275DB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blHeader/>
          <w:jc w:val="center"/>
        </w:trPr>
        <w:tc>
          <w:tcPr>
            <w:tcW w:w="798" w:type="pct"/>
            <w:vMerge w:val="restart"/>
            <w:shd w:val="clear" w:color="auto" w:fill="FFFFFF" w:themeFill="background1"/>
            <w:vAlign w:val="center"/>
          </w:tcPr>
          <w:p w14:paraId="4EAF1E2B">
            <w:pPr>
              <w:widowControl/>
              <w:spacing w:line="400" w:lineRule="exact"/>
              <w:jc w:val="center"/>
              <w:rPr>
                <w:rFonts w:hint="eastAsia" w:ascii="Times New Roman" w:hAnsi="Times New Roman" w:eastAsia="方正仿宋_GBK" w:cs="Times New Roman"/>
                <w:b/>
                <w:bCs/>
                <w:color w:val="auto"/>
                <w:sz w:val="24"/>
                <w:szCs w:val="20"/>
                <w:lang w:val="en-US" w:eastAsia="zh-CN"/>
              </w:rPr>
            </w:pPr>
            <w:r>
              <w:rPr>
                <w:rFonts w:hint="eastAsia" w:ascii="Times New Roman" w:hAnsi="Times New Roman" w:eastAsia="方正仿宋_GBK" w:cs="Times New Roman"/>
                <w:b/>
                <w:bCs/>
                <w:color w:val="auto"/>
                <w:sz w:val="24"/>
                <w:szCs w:val="20"/>
                <w:lang w:val="en-US" w:eastAsia="zh-CN"/>
              </w:rPr>
              <w:t>监测点位</w:t>
            </w:r>
          </w:p>
        </w:tc>
        <w:tc>
          <w:tcPr>
            <w:tcW w:w="625" w:type="pct"/>
            <w:vMerge w:val="restart"/>
            <w:shd w:val="clear" w:color="auto" w:fill="FFFFFF" w:themeFill="background1"/>
            <w:vAlign w:val="center"/>
          </w:tcPr>
          <w:p w14:paraId="01793E57">
            <w:pPr>
              <w:widowControl/>
              <w:spacing w:line="400" w:lineRule="exact"/>
              <w:jc w:val="center"/>
              <w:rPr>
                <w:rFonts w:hint="default" w:ascii="Times New Roman" w:hAnsi="Times New Roman" w:eastAsia="方正仿宋_GBK" w:cs="Times New Roman"/>
                <w:b/>
                <w:bCs/>
                <w:color w:val="auto"/>
                <w:sz w:val="24"/>
                <w:szCs w:val="20"/>
                <w:lang w:val="en-US" w:eastAsia="zh-CN"/>
              </w:rPr>
            </w:pPr>
            <w:r>
              <w:rPr>
                <w:rFonts w:hint="eastAsia" w:ascii="Times New Roman" w:hAnsi="Times New Roman" w:eastAsia="方正仿宋_GBK" w:cs="Times New Roman"/>
                <w:b/>
                <w:bCs/>
                <w:color w:val="auto"/>
                <w:sz w:val="24"/>
                <w:szCs w:val="20"/>
                <w:lang w:val="en-US" w:eastAsia="zh-CN"/>
              </w:rPr>
              <w:t>功能区类别</w:t>
            </w:r>
          </w:p>
        </w:tc>
        <w:tc>
          <w:tcPr>
            <w:tcW w:w="2817" w:type="pct"/>
            <w:gridSpan w:val="4"/>
            <w:shd w:val="clear" w:color="auto" w:fill="FFFFFF" w:themeFill="background1"/>
            <w:vAlign w:val="center"/>
          </w:tcPr>
          <w:p w14:paraId="21F034FB">
            <w:pPr>
              <w:widowControl/>
              <w:spacing w:line="400" w:lineRule="exact"/>
              <w:jc w:val="center"/>
              <w:rPr>
                <w:rFonts w:hint="eastAsia" w:ascii="Times New Roman" w:hAnsi="Times New Roman" w:eastAsia="方正仿宋_GBK" w:cs="Times New Roman"/>
                <w:b/>
                <w:bCs/>
                <w:color w:val="auto"/>
                <w:sz w:val="24"/>
                <w:szCs w:val="20"/>
                <w:lang w:val="en-US" w:eastAsia="zh-CN"/>
              </w:rPr>
            </w:pPr>
            <w:r>
              <w:rPr>
                <w:rFonts w:hint="eastAsia" w:ascii="Times New Roman" w:hAnsi="Times New Roman" w:eastAsia="方正仿宋_GBK" w:cs="Times New Roman"/>
                <w:b/>
                <w:bCs/>
                <w:color w:val="auto"/>
                <w:sz w:val="24"/>
                <w:szCs w:val="20"/>
                <w:lang w:val="en-US" w:eastAsia="zh-CN"/>
              </w:rPr>
              <w:t>检测结果</w:t>
            </w:r>
          </w:p>
          <w:p w14:paraId="3B7C9E88">
            <w:pPr>
              <w:widowControl/>
              <w:spacing w:line="400" w:lineRule="exact"/>
              <w:jc w:val="center"/>
              <w:rPr>
                <w:rFonts w:ascii="Times New Roman" w:hAnsi="Times New Roman" w:eastAsia="方正仿宋_GBK" w:cs="Times New Roman"/>
                <w:b/>
                <w:bCs/>
                <w:color w:val="auto"/>
                <w:sz w:val="24"/>
                <w:szCs w:val="20"/>
              </w:rPr>
            </w:pPr>
            <w:r>
              <w:rPr>
                <w:rFonts w:ascii="Times New Roman" w:hAnsi="Times New Roman" w:eastAsia="方正仿宋_GBK" w:cs="Times New Roman"/>
                <w:b/>
                <w:bCs/>
                <w:color w:val="auto"/>
                <w:sz w:val="24"/>
                <w:szCs w:val="20"/>
              </w:rPr>
              <w:t>平均等效声级（dB（A））</w:t>
            </w:r>
          </w:p>
        </w:tc>
        <w:tc>
          <w:tcPr>
            <w:tcW w:w="758" w:type="pct"/>
            <w:vMerge w:val="restart"/>
            <w:shd w:val="clear" w:color="auto" w:fill="FFFFFF" w:themeFill="background1"/>
            <w:vAlign w:val="center"/>
          </w:tcPr>
          <w:p w14:paraId="500C72A0">
            <w:pPr>
              <w:widowControl/>
              <w:spacing w:line="400" w:lineRule="exact"/>
              <w:jc w:val="center"/>
              <w:rPr>
                <w:rFonts w:ascii="Times New Roman" w:hAnsi="Times New Roman" w:eastAsia="方正仿宋_GBK" w:cs="Times New Roman"/>
                <w:b/>
                <w:bCs/>
                <w:color w:val="auto"/>
                <w:sz w:val="24"/>
                <w:szCs w:val="20"/>
              </w:rPr>
            </w:pPr>
            <w:r>
              <w:rPr>
                <w:rFonts w:ascii="Times New Roman" w:hAnsi="Times New Roman" w:eastAsia="方正仿宋_GBK" w:cs="Times New Roman"/>
                <w:b/>
                <w:bCs/>
                <w:color w:val="auto"/>
                <w:sz w:val="24"/>
                <w:szCs w:val="20"/>
              </w:rPr>
              <w:t>平均等效声级达标情况</w:t>
            </w:r>
          </w:p>
        </w:tc>
      </w:tr>
      <w:tr w14:paraId="29127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blHeader/>
          <w:jc w:val="center"/>
        </w:trPr>
        <w:tc>
          <w:tcPr>
            <w:tcW w:w="798" w:type="pct"/>
            <w:vMerge w:val="continue"/>
            <w:shd w:val="clear" w:color="auto" w:fill="FFFFFF" w:themeFill="background1"/>
            <w:vAlign w:val="center"/>
          </w:tcPr>
          <w:p w14:paraId="10FA3667">
            <w:pPr>
              <w:widowControl/>
              <w:spacing w:line="400" w:lineRule="exact"/>
              <w:jc w:val="center"/>
              <w:rPr>
                <w:rFonts w:hint="eastAsia" w:ascii="Times New Roman" w:hAnsi="Times New Roman" w:eastAsia="方正仿宋_GBK" w:cs="Times New Roman"/>
                <w:b/>
                <w:bCs/>
                <w:color w:val="auto"/>
                <w:sz w:val="24"/>
                <w:szCs w:val="20"/>
                <w:lang w:val="en-US" w:eastAsia="zh-CN"/>
              </w:rPr>
            </w:pPr>
          </w:p>
        </w:tc>
        <w:tc>
          <w:tcPr>
            <w:tcW w:w="625" w:type="pct"/>
            <w:vMerge w:val="continue"/>
            <w:shd w:val="clear" w:color="auto" w:fill="FFFFFF" w:themeFill="background1"/>
            <w:vAlign w:val="center"/>
          </w:tcPr>
          <w:p w14:paraId="7D45F79E">
            <w:pPr>
              <w:widowControl/>
              <w:spacing w:line="400" w:lineRule="exact"/>
              <w:jc w:val="center"/>
              <w:rPr>
                <w:rFonts w:hint="eastAsia" w:ascii="Times New Roman" w:hAnsi="Times New Roman" w:eastAsia="方正仿宋_GBK" w:cs="Times New Roman"/>
                <w:b/>
                <w:bCs/>
                <w:color w:val="auto"/>
                <w:sz w:val="24"/>
                <w:szCs w:val="20"/>
                <w:lang w:val="en-US" w:eastAsia="zh-CN"/>
              </w:rPr>
            </w:pPr>
          </w:p>
        </w:tc>
        <w:tc>
          <w:tcPr>
            <w:tcW w:w="809" w:type="pct"/>
            <w:shd w:val="clear" w:color="auto" w:fill="FFFFFF" w:themeFill="background1"/>
            <w:vAlign w:val="center"/>
          </w:tcPr>
          <w:p w14:paraId="207E8516">
            <w:pPr>
              <w:widowControl/>
              <w:spacing w:line="400" w:lineRule="exact"/>
              <w:jc w:val="center"/>
              <w:rPr>
                <w:rFonts w:hint="eastAsia" w:ascii="Times New Roman" w:hAnsi="Times New Roman" w:eastAsia="方正仿宋_GBK" w:cs="Times New Roman"/>
                <w:b/>
                <w:bCs/>
                <w:color w:val="auto"/>
                <w:sz w:val="24"/>
                <w:szCs w:val="20"/>
                <w:lang w:val="en-US" w:eastAsia="zh-CN"/>
              </w:rPr>
            </w:pPr>
            <w:r>
              <w:rPr>
                <w:rFonts w:hint="eastAsia" w:ascii="Times New Roman" w:hAnsi="Times New Roman" w:eastAsia="方正仿宋_GBK" w:cs="Times New Roman"/>
                <w:b/>
                <w:bCs/>
                <w:color w:val="auto"/>
                <w:sz w:val="24"/>
                <w:szCs w:val="20"/>
                <w:lang w:val="en-US" w:eastAsia="zh-CN"/>
              </w:rPr>
              <w:t>年度</w:t>
            </w:r>
          </w:p>
        </w:tc>
        <w:tc>
          <w:tcPr>
            <w:tcW w:w="721" w:type="pct"/>
            <w:shd w:val="clear" w:color="auto" w:fill="FFFFFF" w:themeFill="background1"/>
            <w:vAlign w:val="center"/>
          </w:tcPr>
          <w:p w14:paraId="0B65BBDE">
            <w:pPr>
              <w:widowControl/>
              <w:spacing w:line="400" w:lineRule="exact"/>
              <w:jc w:val="center"/>
              <w:rPr>
                <w:rFonts w:hint="default" w:ascii="Times New Roman" w:hAnsi="Times New Roman" w:eastAsia="方正仿宋_GBK" w:cs="Times New Roman"/>
                <w:b/>
                <w:bCs/>
                <w:color w:val="auto"/>
                <w:sz w:val="24"/>
                <w:szCs w:val="20"/>
                <w:lang w:val="en-US" w:eastAsia="zh-CN"/>
              </w:rPr>
            </w:pPr>
            <w:r>
              <w:rPr>
                <w:rFonts w:hint="eastAsia" w:ascii="Times New Roman" w:hAnsi="Times New Roman" w:eastAsia="方正仿宋_GBK" w:cs="Times New Roman"/>
                <w:b/>
                <w:bCs/>
                <w:color w:val="auto"/>
                <w:sz w:val="24"/>
                <w:szCs w:val="20"/>
                <w:lang w:val="en-US" w:eastAsia="zh-CN"/>
              </w:rPr>
              <w:t>2019年</w:t>
            </w:r>
          </w:p>
        </w:tc>
        <w:tc>
          <w:tcPr>
            <w:tcW w:w="669" w:type="pct"/>
            <w:shd w:val="clear" w:color="auto" w:fill="FFFFFF" w:themeFill="background1"/>
            <w:vAlign w:val="center"/>
          </w:tcPr>
          <w:p w14:paraId="4F7D2FC0">
            <w:pPr>
              <w:widowControl/>
              <w:spacing w:line="400" w:lineRule="exact"/>
              <w:jc w:val="center"/>
              <w:rPr>
                <w:rFonts w:hint="default" w:ascii="Times New Roman" w:hAnsi="Times New Roman" w:eastAsia="方正仿宋_GBK" w:cs="Times New Roman"/>
                <w:b/>
                <w:bCs/>
                <w:color w:val="auto"/>
                <w:sz w:val="24"/>
                <w:szCs w:val="20"/>
                <w:lang w:val="en-US" w:eastAsia="zh-CN"/>
              </w:rPr>
            </w:pPr>
            <w:r>
              <w:rPr>
                <w:rFonts w:hint="eastAsia" w:ascii="Times New Roman" w:hAnsi="Times New Roman" w:eastAsia="方正仿宋_GBK" w:cs="Times New Roman"/>
                <w:b/>
                <w:bCs/>
                <w:color w:val="auto"/>
                <w:sz w:val="24"/>
                <w:szCs w:val="20"/>
                <w:lang w:val="en-US" w:eastAsia="zh-CN"/>
              </w:rPr>
              <w:t>2020年</w:t>
            </w:r>
          </w:p>
        </w:tc>
        <w:tc>
          <w:tcPr>
            <w:tcW w:w="616" w:type="pct"/>
            <w:shd w:val="clear" w:color="auto" w:fill="FFFFFF" w:themeFill="background1"/>
            <w:vAlign w:val="center"/>
          </w:tcPr>
          <w:p w14:paraId="495D5A19">
            <w:pPr>
              <w:widowControl/>
              <w:spacing w:line="400" w:lineRule="exact"/>
              <w:jc w:val="center"/>
              <w:rPr>
                <w:rFonts w:hint="default" w:ascii="Times New Roman" w:hAnsi="Times New Roman" w:eastAsia="方正仿宋_GBK" w:cs="Times New Roman"/>
                <w:b/>
                <w:bCs/>
                <w:color w:val="auto"/>
                <w:sz w:val="24"/>
                <w:szCs w:val="20"/>
                <w:lang w:val="en-US" w:eastAsia="zh-CN"/>
              </w:rPr>
            </w:pPr>
            <w:r>
              <w:rPr>
                <w:rFonts w:hint="eastAsia" w:ascii="Times New Roman" w:hAnsi="Times New Roman" w:eastAsia="方正仿宋_GBK" w:cs="Times New Roman"/>
                <w:b/>
                <w:bCs/>
                <w:color w:val="auto"/>
                <w:sz w:val="24"/>
                <w:szCs w:val="20"/>
                <w:lang w:val="en-US" w:eastAsia="zh-CN"/>
              </w:rPr>
              <w:t>2021年</w:t>
            </w:r>
          </w:p>
        </w:tc>
        <w:tc>
          <w:tcPr>
            <w:tcW w:w="758" w:type="pct"/>
            <w:vMerge w:val="continue"/>
            <w:shd w:val="clear" w:color="auto" w:fill="BEBEBE" w:themeFill="background1" w:themeFillShade="BF"/>
            <w:vAlign w:val="center"/>
          </w:tcPr>
          <w:p w14:paraId="4C6AFD42">
            <w:pPr>
              <w:widowControl/>
              <w:spacing w:line="400" w:lineRule="exact"/>
              <w:jc w:val="center"/>
              <w:rPr>
                <w:rFonts w:ascii="Times New Roman" w:hAnsi="Times New Roman" w:eastAsia="方正仿宋_GBK" w:cs="Times New Roman"/>
                <w:b/>
                <w:bCs/>
                <w:color w:val="auto"/>
                <w:sz w:val="24"/>
                <w:szCs w:val="20"/>
              </w:rPr>
            </w:pPr>
          </w:p>
        </w:tc>
      </w:tr>
      <w:tr w14:paraId="68A80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798" w:type="pct"/>
            <w:vMerge w:val="restart"/>
            <w:vAlign w:val="center"/>
          </w:tcPr>
          <w:p w14:paraId="208860AA">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龙泉公园</w:t>
            </w:r>
          </w:p>
          <w:p w14:paraId="759C493A">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单元</w:t>
            </w:r>
          </w:p>
        </w:tc>
        <w:tc>
          <w:tcPr>
            <w:tcW w:w="625" w:type="pct"/>
            <w:vMerge w:val="restart"/>
            <w:vAlign w:val="center"/>
          </w:tcPr>
          <w:p w14:paraId="19ED6F9B">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1类</w:t>
            </w:r>
          </w:p>
        </w:tc>
        <w:tc>
          <w:tcPr>
            <w:tcW w:w="809" w:type="pct"/>
            <w:vAlign w:val="center"/>
          </w:tcPr>
          <w:p w14:paraId="04509010">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昼间（Ld）</w:t>
            </w:r>
          </w:p>
        </w:tc>
        <w:tc>
          <w:tcPr>
            <w:tcW w:w="721" w:type="pct"/>
            <w:vAlign w:val="center"/>
          </w:tcPr>
          <w:p w14:paraId="270207C7">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40.45</w:t>
            </w:r>
          </w:p>
        </w:tc>
        <w:tc>
          <w:tcPr>
            <w:tcW w:w="669" w:type="pct"/>
            <w:vAlign w:val="center"/>
          </w:tcPr>
          <w:p w14:paraId="76DCCA4B">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38.28</w:t>
            </w:r>
          </w:p>
        </w:tc>
        <w:tc>
          <w:tcPr>
            <w:tcW w:w="616" w:type="pct"/>
            <w:vAlign w:val="center"/>
          </w:tcPr>
          <w:p w14:paraId="54BA7FA2">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42.25</w:t>
            </w:r>
          </w:p>
        </w:tc>
        <w:tc>
          <w:tcPr>
            <w:tcW w:w="758" w:type="pct"/>
            <w:vAlign w:val="center"/>
          </w:tcPr>
          <w:p w14:paraId="649413DE">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达标</w:t>
            </w:r>
          </w:p>
        </w:tc>
      </w:tr>
      <w:tr w14:paraId="0B519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798" w:type="pct"/>
            <w:vMerge w:val="continue"/>
            <w:vAlign w:val="center"/>
          </w:tcPr>
          <w:p w14:paraId="20585090">
            <w:pPr>
              <w:widowControl/>
              <w:spacing w:line="400" w:lineRule="exact"/>
              <w:jc w:val="center"/>
              <w:rPr>
                <w:rFonts w:hint="eastAsia" w:ascii="Times New Roman" w:hAnsi="Times New Roman" w:eastAsia="方正仿宋_GBK" w:cs="Times New Roman"/>
                <w:color w:val="auto"/>
                <w:sz w:val="24"/>
                <w:szCs w:val="20"/>
                <w:lang w:val="en-US" w:eastAsia="zh-CN"/>
              </w:rPr>
            </w:pPr>
          </w:p>
        </w:tc>
        <w:tc>
          <w:tcPr>
            <w:tcW w:w="625" w:type="pct"/>
            <w:vMerge w:val="continue"/>
            <w:vAlign w:val="center"/>
          </w:tcPr>
          <w:p w14:paraId="0EAAA48C">
            <w:pPr>
              <w:widowControl/>
              <w:spacing w:line="400" w:lineRule="exact"/>
              <w:jc w:val="center"/>
              <w:rPr>
                <w:rFonts w:hint="eastAsia" w:ascii="Times New Roman" w:hAnsi="Times New Roman" w:eastAsia="方正仿宋_GBK" w:cs="Times New Roman"/>
                <w:color w:val="auto"/>
                <w:sz w:val="24"/>
                <w:szCs w:val="20"/>
                <w:lang w:val="en-US" w:eastAsia="zh-CN"/>
              </w:rPr>
            </w:pPr>
          </w:p>
        </w:tc>
        <w:tc>
          <w:tcPr>
            <w:tcW w:w="809" w:type="pct"/>
            <w:vAlign w:val="center"/>
          </w:tcPr>
          <w:p w14:paraId="617ADBBC">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夜间（Ln）</w:t>
            </w:r>
          </w:p>
        </w:tc>
        <w:tc>
          <w:tcPr>
            <w:tcW w:w="721" w:type="pct"/>
            <w:vAlign w:val="center"/>
          </w:tcPr>
          <w:p w14:paraId="32AAD36F">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40.05</w:t>
            </w:r>
          </w:p>
        </w:tc>
        <w:tc>
          <w:tcPr>
            <w:tcW w:w="669" w:type="pct"/>
            <w:vAlign w:val="center"/>
          </w:tcPr>
          <w:p w14:paraId="1D8C059A">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31.88</w:t>
            </w:r>
          </w:p>
        </w:tc>
        <w:tc>
          <w:tcPr>
            <w:tcW w:w="616" w:type="pct"/>
            <w:vAlign w:val="center"/>
          </w:tcPr>
          <w:p w14:paraId="1DAEAF5B">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34</w:t>
            </w:r>
          </w:p>
        </w:tc>
        <w:tc>
          <w:tcPr>
            <w:tcW w:w="758" w:type="pct"/>
            <w:vAlign w:val="center"/>
          </w:tcPr>
          <w:p w14:paraId="351DE9BF">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达标</w:t>
            </w:r>
          </w:p>
        </w:tc>
      </w:tr>
      <w:tr w14:paraId="610D1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8" w:type="pct"/>
            <w:vMerge w:val="restart"/>
            <w:vAlign w:val="center"/>
          </w:tcPr>
          <w:p w14:paraId="2EBAC4A7">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花山公园</w:t>
            </w:r>
          </w:p>
          <w:p w14:paraId="5F2D6F12">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单元</w:t>
            </w:r>
          </w:p>
        </w:tc>
        <w:tc>
          <w:tcPr>
            <w:tcW w:w="625" w:type="pct"/>
            <w:vMerge w:val="restart"/>
            <w:vAlign w:val="center"/>
          </w:tcPr>
          <w:p w14:paraId="00C0B3A7">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1类</w:t>
            </w:r>
          </w:p>
        </w:tc>
        <w:tc>
          <w:tcPr>
            <w:tcW w:w="809" w:type="pct"/>
            <w:vAlign w:val="center"/>
          </w:tcPr>
          <w:p w14:paraId="0C6D0C5F">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昼间（Ld）</w:t>
            </w:r>
          </w:p>
        </w:tc>
        <w:tc>
          <w:tcPr>
            <w:tcW w:w="721" w:type="pct"/>
            <w:vAlign w:val="center"/>
          </w:tcPr>
          <w:p w14:paraId="1DBA19C8">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42.4</w:t>
            </w:r>
          </w:p>
        </w:tc>
        <w:tc>
          <w:tcPr>
            <w:tcW w:w="669" w:type="pct"/>
            <w:vAlign w:val="center"/>
          </w:tcPr>
          <w:p w14:paraId="06BC7CDC">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38.9</w:t>
            </w:r>
          </w:p>
        </w:tc>
        <w:tc>
          <w:tcPr>
            <w:tcW w:w="616" w:type="pct"/>
            <w:vAlign w:val="center"/>
          </w:tcPr>
          <w:p w14:paraId="526004CB">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42.5</w:t>
            </w:r>
          </w:p>
        </w:tc>
        <w:tc>
          <w:tcPr>
            <w:tcW w:w="758" w:type="pct"/>
            <w:vAlign w:val="center"/>
          </w:tcPr>
          <w:p w14:paraId="09E176F3">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达标</w:t>
            </w:r>
          </w:p>
        </w:tc>
      </w:tr>
      <w:tr w14:paraId="175F2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798" w:type="pct"/>
            <w:vMerge w:val="continue"/>
            <w:vAlign w:val="center"/>
          </w:tcPr>
          <w:p w14:paraId="78E1157A">
            <w:pPr>
              <w:widowControl/>
              <w:spacing w:line="400" w:lineRule="exact"/>
              <w:jc w:val="center"/>
              <w:rPr>
                <w:rFonts w:hint="eastAsia" w:ascii="Times New Roman" w:hAnsi="Times New Roman" w:eastAsia="方正仿宋_GBK" w:cs="Times New Roman"/>
                <w:color w:val="auto"/>
                <w:sz w:val="24"/>
                <w:szCs w:val="20"/>
                <w:lang w:val="en-US" w:eastAsia="zh-CN"/>
              </w:rPr>
            </w:pPr>
          </w:p>
        </w:tc>
        <w:tc>
          <w:tcPr>
            <w:tcW w:w="625" w:type="pct"/>
            <w:vMerge w:val="continue"/>
            <w:vAlign w:val="center"/>
          </w:tcPr>
          <w:p w14:paraId="572B19E8">
            <w:pPr>
              <w:widowControl/>
              <w:spacing w:line="400" w:lineRule="exact"/>
              <w:jc w:val="center"/>
              <w:rPr>
                <w:rFonts w:hint="eastAsia" w:ascii="Times New Roman" w:hAnsi="Times New Roman" w:eastAsia="方正仿宋_GBK" w:cs="Times New Roman"/>
                <w:color w:val="auto"/>
                <w:sz w:val="24"/>
                <w:szCs w:val="20"/>
                <w:lang w:val="en-US" w:eastAsia="zh-CN"/>
              </w:rPr>
            </w:pPr>
          </w:p>
        </w:tc>
        <w:tc>
          <w:tcPr>
            <w:tcW w:w="809" w:type="pct"/>
            <w:vAlign w:val="center"/>
          </w:tcPr>
          <w:p w14:paraId="458967C3">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夜间（Ln）</w:t>
            </w:r>
          </w:p>
        </w:tc>
        <w:tc>
          <w:tcPr>
            <w:tcW w:w="721" w:type="pct"/>
            <w:vAlign w:val="center"/>
          </w:tcPr>
          <w:p w14:paraId="17F510A7">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31.4</w:t>
            </w:r>
          </w:p>
        </w:tc>
        <w:tc>
          <w:tcPr>
            <w:tcW w:w="669" w:type="pct"/>
            <w:vAlign w:val="center"/>
          </w:tcPr>
          <w:p w14:paraId="305972E3">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30.28</w:t>
            </w:r>
          </w:p>
        </w:tc>
        <w:tc>
          <w:tcPr>
            <w:tcW w:w="616" w:type="pct"/>
            <w:vAlign w:val="center"/>
          </w:tcPr>
          <w:p w14:paraId="7476E938">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33.75</w:t>
            </w:r>
          </w:p>
        </w:tc>
        <w:tc>
          <w:tcPr>
            <w:tcW w:w="758" w:type="pct"/>
            <w:vAlign w:val="center"/>
          </w:tcPr>
          <w:p w14:paraId="32490E5E">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达标</w:t>
            </w:r>
          </w:p>
        </w:tc>
      </w:tr>
      <w:tr w14:paraId="1CB70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798" w:type="pct"/>
            <w:vMerge w:val="restart"/>
            <w:vAlign w:val="center"/>
          </w:tcPr>
          <w:p w14:paraId="74FCEE28">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老城区商</w:t>
            </w:r>
          </w:p>
          <w:p w14:paraId="7AFF4CCC">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贸城单元</w:t>
            </w:r>
          </w:p>
        </w:tc>
        <w:tc>
          <w:tcPr>
            <w:tcW w:w="625" w:type="pct"/>
            <w:vMerge w:val="restart"/>
            <w:vAlign w:val="center"/>
          </w:tcPr>
          <w:p w14:paraId="34F1B1BE">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2类</w:t>
            </w:r>
          </w:p>
        </w:tc>
        <w:tc>
          <w:tcPr>
            <w:tcW w:w="809" w:type="pct"/>
            <w:vAlign w:val="center"/>
          </w:tcPr>
          <w:p w14:paraId="48A70483">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昼间（Ld）</w:t>
            </w:r>
          </w:p>
        </w:tc>
        <w:tc>
          <w:tcPr>
            <w:tcW w:w="721" w:type="pct"/>
            <w:vAlign w:val="center"/>
          </w:tcPr>
          <w:p w14:paraId="61595E7C">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43.8</w:t>
            </w:r>
          </w:p>
        </w:tc>
        <w:tc>
          <w:tcPr>
            <w:tcW w:w="669" w:type="pct"/>
            <w:vAlign w:val="center"/>
          </w:tcPr>
          <w:p w14:paraId="6486CCD2">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49.7</w:t>
            </w:r>
          </w:p>
        </w:tc>
        <w:tc>
          <w:tcPr>
            <w:tcW w:w="616" w:type="pct"/>
            <w:vAlign w:val="center"/>
          </w:tcPr>
          <w:p w14:paraId="4BBC51DD">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51.25</w:t>
            </w:r>
          </w:p>
        </w:tc>
        <w:tc>
          <w:tcPr>
            <w:tcW w:w="758" w:type="pct"/>
            <w:vAlign w:val="center"/>
          </w:tcPr>
          <w:p w14:paraId="70067E03">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达标</w:t>
            </w:r>
          </w:p>
        </w:tc>
      </w:tr>
      <w:tr w14:paraId="5F012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798" w:type="pct"/>
            <w:vMerge w:val="continue"/>
            <w:vAlign w:val="center"/>
          </w:tcPr>
          <w:p w14:paraId="1C3F498C">
            <w:pPr>
              <w:widowControl/>
              <w:spacing w:line="400" w:lineRule="exact"/>
              <w:jc w:val="center"/>
              <w:rPr>
                <w:rFonts w:hint="eastAsia" w:ascii="Times New Roman" w:hAnsi="Times New Roman" w:eastAsia="方正仿宋_GBK" w:cs="Times New Roman"/>
                <w:color w:val="auto"/>
                <w:sz w:val="24"/>
                <w:szCs w:val="20"/>
                <w:lang w:val="en-US" w:eastAsia="zh-CN"/>
              </w:rPr>
            </w:pPr>
          </w:p>
        </w:tc>
        <w:tc>
          <w:tcPr>
            <w:tcW w:w="625" w:type="pct"/>
            <w:vMerge w:val="continue"/>
            <w:vAlign w:val="center"/>
          </w:tcPr>
          <w:p w14:paraId="140BFE40">
            <w:pPr>
              <w:widowControl/>
              <w:spacing w:line="400" w:lineRule="exact"/>
              <w:jc w:val="center"/>
              <w:rPr>
                <w:rFonts w:hint="eastAsia" w:ascii="Times New Roman" w:hAnsi="Times New Roman" w:eastAsia="方正仿宋_GBK" w:cs="Times New Roman"/>
                <w:color w:val="auto"/>
                <w:sz w:val="24"/>
                <w:szCs w:val="20"/>
                <w:lang w:val="en-US" w:eastAsia="zh-CN"/>
              </w:rPr>
            </w:pPr>
          </w:p>
        </w:tc>
        <w:tc>
          <w:tcPr>
            <w:tcW w:w="809" w:type="pct"/>
            <w:vAlign w:val="center"/>
          </w:tcPr>
          <w:p w14:paraId="18C1F7CB">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夜间（Ln）</w:t>
            </w:r>
          </w:p>
        </w:tc>
        <w:tc>
          <w:tcPr>
            <w:tcW w:w="721" w:type="pct"/>
            <w:vAlign w:val="center"/>
          </w:tcPr>
          <w:p w14:paraId="61602FA5">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34.95</w:t>
            </w:r>
          </w:p>
        </w:tc>
        <w:tc>
          <w:tcPr>
            <w:tcW w:w="669" w:type="pct"/>
            <w:vAlign w:val="center"/>
          </w:tcPr>
          <w:p w14:paraId="76F9AA4D">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37.83</w:t>
            </w:r>
          </w:p>
        </w:tc>
        <w:tc>
          <w:tcPr>
            <w:tcW w:w="616" w:type="pct"/>
            <w:vAlign w:val="center"/>
          </w:tcPr>
          <w:p w14:paraId="294E7032">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41.75</w:t>
            </w:r>
          </w:p>
        </w:tc>
        <w:tc>
          <w:tcPr>
            <w:tcW w:w="758" w:type="pct"/>
            <w:vAlign w:val="center"/>
          </w:tcPr>
          <w:p w14:paraId="1E374BAE">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达标</w:t>
            </w:r>
          </w:p>
        </w:tc>
      </w:tr>
      <w:tr w14:paraId="1EAC8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798" w:type="pct"/>
            <w:vMerge w:val="restart"/>
            <w:vAlign w:val="center"/>
          </w:tcPr>
          <w:p w14:paraId="01044492">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民族广场</w:t>
            </w:r>
          </w:p>
          <w:p w14:paraId="1921F201">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单元</w:t>
            </w:r>
          </w:p>
        </w:tc>
        <w:tc>
          <w:tcPr>
            <w:tcW w:w="625" w:type="pct"/>
            <w:vMerge w:val="restart"/>
            <w:vAlign w:val="center"/>
          </w:tcPr>
          <w:p w14:paraId="1E9FD5FC">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2类</w:t>
            </w:r>
          </w:p>
        </w:tc>
        <w:tc>
          <w:tcPr>
            <w:tcW w:w="809" w:type="pct"/>
            <w:vAlign w:val="center"/>
          </w:tcPr>
          <w:p w14:paraId="2EE06071">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昼间（Ld）</w:t>
            </w:r>
          </w:p>
        </w:tc>
        <w:tc>
          <w:tcPr>
            <w:tcW w:w="721" w:type="pct"/>
            <w:vAlign w:val="center"/>
          </w:tcPr>
          <w:p w14:paraId="72E8D72C">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45.5</w:t>
            </w:r>
          </w:p>
        </w:tc>
        <w:tc>
          <w:tcPr>
            <w:tcW w:w="669" w:type="pct"/>
            <w:vAlign w:val="center"/>
          </w:tcPr>
          <w:p w14:paraId="09EE69B3">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48.15</w:t>
            </w:r>
          </w:p>
        </w:tc>
        <w:tc>
          <w:tcPr>
            <w:tcW w:w="616" w:type="pct"/>
            <w:vAlign w:val="center"/>
          </w:tcPr>
          <w:p w14:paraId="3E161778">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49.5</w:t>
            </w:r>
          </w:p>
        </w:tc>
        <w:tc>
          <w:tcPr>
            <w:tcW w:w="758" w:type="pct"/>
            <w:vAlign w:val="center"/>
          </w:tcPr>
          <w:p w14:paraId="157D4812">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达标</w:t>
            </w:r>
          </w:p>
        </w:tc>
      </w:tr>
      <w:tr w14:paraId="57A16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798" w:type="pct"/>
            <w:vMerge w:val="continue"/>
            <w:vAlign w:val="center"/>
          </w:tcPr>
          <w:p w14:paraId="6E20A5C7">
            <w:pPr>
              <w:widowControl/>
              <w:spacing w:line="400" w:lineRule="exact"/>
              <w:jc w:val="center"/>
              <w:rPr>
                <w:rFonts w:hint="eastAsia" w:ascii="Times New Roman" w:hAnsi="Times New Roman" w:eastAsia="方正仿宋_GBK" w:cs="Times New Roman"/>
                <w:color w:val="auto"/>
                <w:sz w:val="24"/>
                <w:szCs w:val="20"/>
                <w:lang w:val="en-US" w:eastAsia="zh-CN"/>
              </w:rPr>
            </w:pPr>
          </w:p>
        </w:tc>
        <w:tc>
          <w:tcPr>
            <w:tcW w:w="625" w:type="pct"/>
            <w:vMerge w:val="continue"/>
            <w:vAlign w:val="center"/>
          </w:tcPr>
          <w:p w14:paraId="35837AA8">
            <w:pPr>
              <w:widowControl/>
              <w:spacing w:line="400" w:lineRule="exact"/>
              <w:jc w:val="center"/>
              <w:rPr>
                <w:rFonts w:hint="eastAsia" w:ascii="Times New Roman" w:hAnsi="Times New Roman" w:eastAsia="方正仿宋_GBK" w:cs="Times New Roman"/>
                <w:color w:val="auto"/>
                <w:sz w:val="24"/>
                <w:szCs w:val="20"/>
                <w:lang w:val="en-US" w:eastAsia="zh-CN"/>
              </w:rPr>
            </w:pPr>
          </w:p>
        </w:tc>
        <w:tc>
          <w:tcPr>
            <w:tcW w:w="809" w:type="pct"/>
            <w:vAlign w:val="center"/>
          </w:tcPr>
          <w:p w14:paraId="69505B6A">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夜间（Ln）</w:t>
            </w:r>
          </w:p>
        </w:tc>
        <w:tc>
          <w:tcPr>
            <w:tcW w:w="721" w:type="pct"/>
            <w:vAlign w:val="center"/>
          </w:tcPr>
          <w:p w14:paraId="190430BF">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38</w:t>
            </w:r>
          </w:p>
        </w:tc>
        <w:tc>
          <w:tcPr>
            <w:tcW w:w="669" w:type="pct"/>
            <w:vAlign w:val="center"/>
          </w:tcPr>
          <w:p w14:paraId="143CE4CE">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37.65</w:t>
            </w:r>
          </w:p>
        </w:tc>
        <w:tc>
          <w:tcPr>
            <w:tcW w:w="616" w:type="pct"/>
            <w:vAlign w:val="center"/>
          </w:tcPr>
          <w:p w14:paraId="16B6C54D">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36</w:t>
            </w:r>
          </w:p>
        </w:tc>
        <w:tc>
          <w:tcPr>
            <w:tcW w:w="758" w:type="pct"/>
            <w:vAlign w:val="center"/>
          </w:tcPr>
          <w:p w14:paraId="3145E617">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达标</w:t>
            </w:r>
          </w:p>
        </w:tc>
      </w:tr>
      <w:tr w14:paraId="38379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98" w:type="pct"/>
            <w:vMerge w:val="restart"/>
            <w:vAlign w:val="center"/>
          </w:tcPr>
          <w:p w14:paraId="720A37D0">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园区一单</w:t>
            </w:r>
          </w:p>
          <w:p w14:paraId="0D1404AD">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元</w:t>
            </w:r>
          </w:p>
        </w:tc>
        <w:tc>
          <w:tcPr>
            <w:tcW w:w="625" w:type="pct"/>
            <w:vMerge w:val="restart"/>
            <w:vAlign w:val="center"/>
          </w:tcPr>
          <w:p w14:paraId="12E3C1A9">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3类</w:t>
            </w:r>
          </w:p>
        </w:tc>
        <w:tc>
          <w:tcPr>
            <w:tcW w:w="809" w:type="pct"/>
            <w:vAlign w:val="center"/>
          </w:tcPr>
          <w:p w14:paraId="65CC740B">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昼间（Ld）</w:t>
            </w:r>
          </w:p>
        </w:tc>
        <w:tc>
          <w:tcPr>
            <w:tcW w:w="721" w:type="pct"/>
            <w:vAlign w:val="center"/>
          </w:tcPr>
          <w:p w14:paraId="709B1EE1">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45.7</w:t>
            </w:r>
          </w:p>
        </w:tc>
        <w:tc>
          <w:tcPr>
            <w:tcW w:w="669" w:type="pct"/>
            <w:vAlign w:val="center"/>
          </w:tcPr>
          <w:p w14:paraId="17D9609A">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48.65</w:t>
            </w:r>
          </w:p>
        </w:tc>
        <w:tc>
          <w:tcPr>
            <w:tcW w:w="616" w:type="pct"/>
            <w:vAlign w:val="center"/>
          </w:tcPr>
          <w:p w14:paraId="2D18D992">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49.25</w:t>
            </w:r>
          </w:p>
        </w:tc>
        <w:tc>
          <w:tcPr>
            <w:tcW w:w="758" w:type="pct"/>
            <w:vAlign w:val="center"/>
          </w:tcPr>
          <w:p w14:paraId="7D1015A7">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达标</w:t>
            </w:r>
          </w:p>
        </w:tc>
      </w:tr>
      <w:tr w14:paraId="5A73F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798" w:type="pct"/>
            <w:vMerge w:val="continue"/>
            <w:vAlign w:val="center"/>
          </w:tcPr>
          <w:p w14:paraId="0A697352">
            <w:pPr>
              <w:widowControl/>
              <w:spacing w:line="400" w:lineRule="exact"/>
              <w:jc w:val="center"/>
              <w:rPr>
                <w:rFonts w:hint="eastAsia" w:ascii="Times New Roman" w:hAnsi="Times New Roman" w:eastAsia="方正仿宋_GBK" w:cs="Times New Roman"/>
                <w:color w:val="auto"/>
                <w:sz w:val="24"/>
                <w:szCs w:val="20"/>
                <w:lang w:val="en-US" w:eastAsia="zh-CN"/>
              </w:rPr>
            </w:pPr>
          </w:p>
        </w:tc>
        <w:tc>
          <w:tcPr>
            <w:tcW w:w="625" w:type="pct"/>
            <w:vMerge w:val="continue"/>
            <w:vAlign w:val="center"/>
          </w:tcPr>
          <w:p w14:paraId="4ECEBC79">
            <w:pPr>
              <w:widowControl/>
              <w:spacing w:line="400" w:lineRule="exact"/>
              <w:jc w:val="center"/>
              <w:rPr>
                <w:rFonts w:hint="eastAsia" w:ascii="Times New Roman" w:hAnsi="Times New Roman" w:eastAsia="方正仿宋_GBK" w:cs="Times New Roman"/>
                <w:color w:val="auto"/>
                <w:sz w:val="24"/>
                <w:szCs w:val="20"/>
                <w:lang w:val="en-US" w:eastAsia="zh-CN"/>
              </w:rPr>
            </w:pPr>
          </w:p>
        </w:tc>
        <w:tc>
          <w:tcPr>
            <w:tcW w:w="809" w:type="pct"/>
            <w:vAlign w:val="center"/>
          </w:tcPr>
          <w:p w14:paraId="02B90DE7">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夜间（Ln）</w:t>
            </w:r>
          </w:p>
        </w:tc>
        <w:tc>
          <w:tcPr>
            <w:tcW w:w="721" w:type="pct"/>
            <w:vAlign w:val="center"/>
          </w:tcPr>
          <w:p w14:paraId="1C892122">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42.05</w:t>
            </w:r>
          </w:p>
        </w:tc>
        <w:tc>
          <w:tcPr>
            <w:tcW w:w="669" w:type="pct"/>
            <w:vAlign w:val="center"/>
          </w:tcPr>
          <w:p w14:paraId="233C26D0">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45.03</w:t>
            </w:r>
          </w:p>
        </w:tc>
        <w:tc>
          <w:tcPr>
            <w:tcW w:w="616" w:type="pct"/>
            <w:vAlign w:val="center"/>
          </w:tcPr>
          <w:p w14:paraId="7C7A9BC3">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44.25</w:t>
            </w:r>
          </w:p>
        </w:tc>
        <w:tc>
          <w:tcPr>
            <w:tcW w:w="758" w:type="pct"/>
            <w:vAlign w:val="center"/>
          </w:tcPr>
          <w:p w14:paraId="3D0FFA74">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达标</w:t>
            </w:r>
          </w:p>
        </w:tc>
      </w:tr>
      <w:tr w14:paraId="691D6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798" w:type="pct"/>
            <w:vMerge w:val="restart"/>
            <w:vAlign w:val="center"/>
          </w:tcPr>
          <w:p w14:paraId="4751E686">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园区二单</w:t>
            </w:r>
          </w:p>
          <w:p w14:paraId="67433EE1">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元</w:t>
            </w:r>
          </w:p>
        </w:tc>
        <w:tc>
          <w:tcPr>
            <w:tcW w:w="625" w:type="pct"/>
            <w:vMerge w:val="restart"/>
            <w:vAlign w:val="center"/>
          </w:tcPr>
          <w:p w14:paraId="6A6D5635">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3类</w:t>
            </w:r>
          </w:p>
        </w:tc>
        <w:tc>
          <w:tcPr>
            <w:tcW w:w="809" w:type="pct"/>
            <w:vAlign w:val="center"/>
          </w:tcPr>
          <w:p w14:paraId="60AA9F48">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昼间（Ld）</w:t>
            </w:r>
          </w:p>
        </w:tc>
        <w:tc>
          <w:tcPr>
            <w:tcW w:w="721" w:type="pct"/>
            <w:vAlign w:val="center"/>
          </w:tcPr>
          <w:p w14:paraId="13B571FA">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53.1</w:t>
            </w:r>
          </w:p>
        </w:tc>
        <w:tc>
          <w:tcPr>
            <w:tcW w:w="669" w:type="pct"/>
            <w:vAlign w:val="center"/>
          </w:tcPr>
          <w:p w14:paraId="59CADBF7">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49.93</w:t>
            </w:r>
          </w:p>
        </w:tc>
        <w:tc>
          <w:tcPr>
            <w:tcW w:w="616" w:type="pct"/>
            <w:vAlign w:val="center"/>
          </w:tcPr>
          <w:p w14:paraId="4E0EA33B">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48</w:t>
            </w:r>
          </w:p>
        </w:tc>
        <w:tc>
          <w:tcPr>
            <w:tcW w:w="758" w:type="pct"/>
            <w:vAlign w:val="center"/>
          </w:tcPr>
          <w:p w14:paraId="097AFF76">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达标</w:t>
            </w:r>
          </w:p>
        </w:tc>
      </w:tr>
      <w:tr w14:paraId="429CD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798" w:type="pct"/>
            <w:vMerge w:val="continue"/>
            <w:vAlign w:val="center"/>
          </w:tcPr>
          <w:p w14:paraId="2E2CB5CD">
            <w:pPr>
              <w:widowControl/>
              <w:spacing w:line="400" w:lineRule="exact"/>
              <w:jc w:val="center"/>
              <w:rPr>
                <w:rFonts w:hint="eastAsia" w:ascii="Times New Roman" w:hAnsi="Times New Roman" w:eastAsia="方正仿宋_GBK" w:cs="Times New Roman"/>
                <w:color w:val="auto"/>
                <w:sz w:val="24"/>
                <w:szCs w:val="20"/>
                <w:lang w:val="en-US" w:eastAsia="zh-CN"/>
              </w:rPr>
            </w:pPr>
          </w:p>
        </w:tc>
        <w:tc>
          <w:tcPr>
            <w:tcW w:w="625" w:type="pct"/>
            <w:vMerge w:val="continue"/>
            <w:vAlign w:val="center"/>
          </w:tcPr>
          <w:p w14:paraId="7A59222B">
            <w:pPr>
              <w:widowControl/>
              <w:spacing w:line="400" w:lineRule="exact"/>
              <w:jc w:val="center"/>
              <w:rPr>
                <w:rFonts w:hint="eastAsia" w:ascii="Times New Roman" w:hAnsi="Times New Roman" w:eastAsia="方正仿宋_GBK" w:cs="Times New Roman"/>
                <w:color w:val="auto"/>
                <w:sz w:val="24"/>
                <w:szCs w:val="20"/>
                <w:lang w:val="en-US" w:eastAsia="zh-CN"/>
              </w:rPr>
            </w:pPr>
          </w:p>
        </w:tc>
        <w:tc>
          <w:tcPr>
            <w:tcW w:w="809" w:type="pct"/>
            <w:vAlign w:val="center"/>
          </w:tcPr>
          <w:p w14:paraId="79F082C4">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夜间（Ln）</w:t>
            </w:r>
          </w:p>
        </w:tc>
        <w:tc>
          <w:tcPr>
            <w:tcW w:w="721" w:type="pct"/>
            <w:vAlign w:val="center"/>
          </w:tcPr>
          <w:p w14:paraId="7708CA48">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42.35</w:t>
            </w:r>
          </w:p>
        </w:tc>
        <w:tc>
          <w:tcPr>
            <w:tcW w:w="669" w:type="pct"/>
            <w:vAlign w:val="center"/>
          </w:tcPr>
          <w:p w14:paraId="4B1C6FB1">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45.93</w:t>
            </w:r>
          </w:p>
        </w:tc>
        <w:tc>
          <w:tcPr>
            <w:tcW w:w="616" w:type="pct"/>
            <w:vAlign w:val="center"/>
          </w:tcPr>
          <w:p w14:paraId="5E99EB93">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35.5</w:t>
            </w:r>
          </w:p>
        </w:tc>
        <w:tc>
          <w:tcPr>
            <w:tcW w:w="758" w:type="pct"/>
            <w:vAlign w:val="center"/>
          </w:tcPr>
          <w:p w14:paraId="363A080E">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达标</w:t>
            </w:r>
          </w:p>
        </w:tc>
      </w:tr>
      <w:tr w14:paraId="3DADC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798" w:type="pct"/>
            <w:vMerge w:val="restart"/>
            <w:vAlign w:val="center"/>
          </w:tcPr>
          <w:p w14:paraId="09CADC43">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新平大道</w:t>
            </w:r>
          </w:p>
          <w:p w14:paraId="3E5FE503">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（溪湖公</w:t>
            </w:r>
          </w:p>
          <w:p w14:paraId="1225C385">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园段）</w:t>
            </w:r>
          </w:p>
        </w:tc>
        <w:tc>
          <w:tcPr>
            <w:tcW w:w="625" w:type="pct"/>
            <w:vMerge w:val="restart"/>
            <w:vAlign w:val="center"/>
          </w:tcPr>
          <w:p w14:paraId="497FCCF2">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4a类</w:t>
            </w:r>
          </w:p>
        </w:tc>
        <w:tc>
          <w:tcPr>
            <w:tcW w:w="809" w:type="pct"/>
            <w:vAlign w:val="center"/>
          </w:tcPr>
          <w:p w14:paraId="686FFE1C">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昼间（Ld）</w:t>
            </w:r>
          </w:p>
        </w:tc>
        <w:tc>
          <w:tcPr>
            <w:tcW w:w="721" w:type="pct"/>
            <w:vAlign w:val="center"/>
          </w:tcPr>
          <w:p w14:paraId="56BAA0DB">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54.45</w:t>
            </w:r>
          </w:p>
        </w:tc>
        <w:tc>
          <w:tcPr>
            <w:tcW w:w="669" w:type="pct"/>
            <w:vAlign w:val="center"/>
          </w:tcPr>
          <w:p w14:paraId="48B44924">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58.08</w:t>
            </w:r>
          </w:p>
        </w:tc>
        <w:tc>
          <w:tcPr>
            <w:tcW w:w="616" w:type="pct"/>
            <w:vAlign w:val="center"/>
          </w:tcPr>
          <w:p w14:paraId="7EA81D86">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55</w:t>
            </w:r>
          </w:p>
        </w:tc>
        <w:tc>
          <w:tcPr>
            <w:tcW w:w="758" w:type="pct"/>
            <w:vAlign w:val="center"/>
          </w:tcPr>
          <w:p w14:paraId="502CF8A5">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达标</w:t>
            </w:r>
          </w:p>
        </w:tc>
      </w:tr>
      <w:tr w14:paraId="6B8B5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798" w:type="pct"/>
            <w:vMerge w:val="continue"/>
            <w:vAlign w:val="center"/>
          </w:tcPr>
          <w:p w14:paraId="17D59D86">
            <w:pPr>
              <w:widowControl/>
              <w:spacing w:line="400" w:lineRule="exact"/>
              <w:jc w:val="center"/>
              <w:rPr>
                <w:rFonts w:hint="eastAsia" w:ascii="Times New Roman" w:hAnsi="Times New Roman" w:eastAsia="方正仿宋_GBK" w:cs="Times New Roman"/>
                <w:color w:val="auto"/>
                <w:sz w:val="24"/>
                <w:szCs w:val="20"/>
                <w:lang w:val="en-US" w:eastAsia="zh-CN"/>
              </w:rPr>
            </w:pPr>
          </w:p>
        </w:tc>
        <w:tc>
          <w:tcPr>
            <w:tcW w:w="625" w:type="pct"/>
            <w:vMerge w:val="continue"/>
            <w:vAlign w:val="center"/>
          </w:tcPr>
          <w:p w14:paraId="0D93E213">
            <w:pPr>
              <w:widowControl/>
              <w:spacing w:line="400" w:lineRule="exact"/>
              <w:jc w:val="center"/>
              <w:rPr>
                <w:rFonts w:hint="eastAsia" w:ascii="Times New Roman" w:hAnsi="Times New Roman" w:eastAsia="方正仿宋_GBK" w:cs="Times New Roman"/>
                <w:color w:val="auto"/>
                <w:sz w:val="24"/>
                <w:szCs w:val="20"/>
                <w:lang w:val="en-US" w:eastAsia="zh-CN"/>
              </w:rPr>
            </w:pPr>
          </w:p>
        </w:tc>
        <w:tc>
          <w:tcPr>
            <w:tcW w:w="809" w:type="pct"/>
            <w:vAlign w:val="center"/>
          </w:tcPr>
          <w:p w14:paraId="3E38D15E">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夜间（Ln）</w:t>
            </w:r>
          </w:p>
        </w:tc>
        <w:tc>
          <w:tcPr>
            <w:tcW w:w="721" w:type="pct"/>
            <w:vAlign w:val="center"/>
          </w:tcPr>
          <w:p w14:paraId="1424C530">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45.05</w:t>
            </w:r>
          </w:p>
        </w:tc>
        <w:tc>
          <w:tcPr>
            <w:tcW w:w="669" w:type="pct"/>
            <w:vAlign w:val="center"/>
          </w:tcPr>
          <w:p w14:paraId="558A9431">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49.65</w:t>
            </w:r>
          </w:p>
        </w:tc>
        <w:tc>
          <w:tcPr>
            <w:tcW w:w="616" w:type="pct"/>
            <w:vAlign w:val="center"/>
          </w:tcPr>
          <w:p w14:paraId="6F7BA323">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47</w:t>
            </w:r>
          </w:p>
        </w:tc>
        <w:tc>
          <w:tcPr>
            <w:tcW w:w="758" w:type="pct"/>
            <w:vAlign w:val="center"/>
          </w:tcPr>
          <w:p w14:paraId="34D3A27D">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达标</w:t>
            </w:r>
          </w:p>
        </w:tc>
      </w:tr>
    </w:tbl>
    <w:p w14:paraId="1899C683">
      <w:pPr>
        <w:pStyle w:val="6"/>
        <w:bidi w:val="0"/>
        <w:rPr>
          <w:rFonts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2.1.5.4土壤状况</w:t>
      </w:r>
    </w:p>
    <w:p w14:paraId="78AE64D0">
      <w:pPr>
        <w:keepNext w:val="0"/>
        <w:keepLines w:val="0"/>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新平县持续深入推进“净土”行动，按期推进“一废一库一品”生态环境安全隐患排查核查工作，制定《新平县戛洒镇片区土壤环境调查方案》，组织开展调查工作，完成土壤采样工作。完成重点企业土壤环境风险隐患排查，受污染耕地安全利用和严格管控措施完成23374亩，完成任务面积20155.84亩的115.97%。落实企业土壤污染防治主体责任，玉溪矿业公司大红山铜矿、云南玉溪仙福钢铁（集团）有限公司完成土壤环境风险隐患排查，两个企业土壤环境风险隐患排查报告均通过专家评审。开展了新平县土壤环境质量类别划分，划分耕地面积857728.62亩，分为三个类别：优先保护类837572.78亩，占97.65%；安全利用类14162.21亩，占1.65%；严格管控类5993.63亩，占0.70%。</w:t>
      </w:r>
    </w:p>
    <w:p w14:paraId="5E915E20">
      <w:pPr>
        <w:pStyle w:val="6"/>
        <w:bidi w:val="0"/>
        <w:rPr>
          <w:rFonts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2.1.5.5主要污染物排放</w:t>
      </w:r>
    </w:p>
    <w:p w14:paraId="435FE82B">
      <w:pPr>
        <w:keepNext w:val="0"/>
        <w:keepLines w:val="0"/>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（1）水污染物排放情况</w:t>
      </w:r>
    </w:p>
    <w:p w14:paraId="30B608B3">
      <w:pPr>
        <w:keepNext w:val="0"/>
        <w:keepLines w:val="0"/>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根据新平县环境统计数据，废水污染源主要为生活源，总体来看，新平县废水排放总量以及主要污染物化学需氧量、氨氮、总氮、总磷排放量呈上升趋势，2017—2021年新平县主要水污染物排放情况见表2.1.5.5-1。</w:t>
      </w:r>
    </w:p>
    <w:p w14:paraId="20549394">
      <w:pPr>
        <w:widowControl/>
        <w:jc w:val="center"/>
        <w:rPr>
          <w:rFonts w:ascii="Times New Roman" w:hAnsi="Times New Roman" w:eastAsia="仿宋" w:cs="Times New Roman"/>
          <w:b/>
          <w:bCs/>
          <w:color w:val="auto"/>
          <w:sz w:val="24"/>
        </w:rPr>
      </w:pPr>
      <w:r>
        <w:rPr>
          <w:rFonts w:ascii="Times New Roman" w:hAnsi="Times New Roman" w:eastAsia="仿宋" w:cs="Times New Roman"/>
          <w:b/>
          <w:bCs/>
          <w:color w:val="auto"/>
          <w:sz w:val="24"/>
        </w:rPr>
        <w:t>表2.1.5-9 201</w:t>
      </w:r>
      <w:r>
        <w:rPr>
          <w:rFonts w:hint="eastAsia" w:ascii="Times New Roman" w:hAnsi="Times New Roman" w:eastAsia="仿宋" w:cs="Times New Roman"/>
          <w:b/>
          <w:bCs/>
          <w:color w:val="auto"/>
          <w:sz w:val="24"/>
          <w:lang w:val="en-US" w:eastAsia="zh-CN"/>
        </w:rPr>
        <w:t>7—</w:t>
      </w:r>
      <w:r>
        <w:rPr>
          <w:rFonts w:ascii="Times New Roman" w:hAnsi="Times New Roman" w:eastAsia="仿宋" w:cs="Times New Roman"/>
          <w:b/>
          <w:bCs/>
          <w:color w:val="auto"/>
          <w:sz w:val="24"/>
        </w:rPr>
        <w:t>202</w:t>
      </w:r>
      <w:r>
        <w:rPr>
          <w:rFonts w:hint="eastAsia" w:ascii="Times New Roman" w:hAnsi="Times New Roman" w:eastAsia="仿宋" w:cs="Times New Roman"/>
          <w:b/>
          <w:bCs/>
          <w:color w:val="auto"/>
          <w:sz w:val="24"/>
          <w:lang w:val="en-US" w:eastAsia="zh-CN"/>
        </w:rPr>
        <w:t>1</w:t>
      </w:r>
      <w:r>
        <w:rPr>
          <w:rFonts w:ascii="Times New Roman" w:hAnsi="Times New Roman" w:eastAsia="仿宋" w:cs="Times New Roman"/>
          <w:b/>
          <w:bCs/>
          <w:color w:val="auto"/>
          <w:sz w:val="24"/>
        </w:rPr>
        <w:t>年</w:t>
      </w:r>
      <w:r>
        <w:rPr>
          <w:rFonts w:hint="eastAsia" w:ascii="Times New Roman" w:hAnsi="Times New Roman" w:eastAsia="仿宋" w:cs="Times New Roman"/>
          <w:b/>
          <w:bCs/>
          <w:color w:val="auto"/>
          <w:sz w:val="24"/>
          <w:lang w:eastAsia="zh-CN"/>
        </w:rPr>
        <w:t>新平县</w:t>
      </w:r>
      <w:r>
        <w:rPr>
          <w:rFonts w:ascii="Times New Roman" w:hAnsi="Times New Roman" w:eastAsia="仿宋" w:cs="Times New Roman"/>
          <w:b/>
          <w:bCs/>
          <w:color w:val="auto"/>
          <w:sz w:val="24"/>
        </w:rPr>
        <w:t>主要水污染物排放情况</w:t>
      </w:r>
    </w:p>
    <w:tbl>
      <w:tblPr>
        <w:tblStyle w:val="2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4"/>
        <w:gridCol w:w="1109"/>
        <w:gridCol w:w="1109"/>
        <w:gridCol w:w="1422"/>
        <w:gridCol w:w="1310"/>
        <w:gridCol w:w="1315"/>
      </w:tblGrid>
      <w:tr w14:paraId="7603B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323" w:type="pct"/>
            <w:vMerge w:val="restart"/>
            <w:shd w:val="clear" w:color="auto" w:fill="BEBEBE" w:themeFill="background1" w:themeFillShade="BF"/>
            <w:vAlign w:val="center"/>
          </w:tcPr>
          <w:p w14:paraId="380243B4">
            <w:pPr>
              <w:spacing w:line="400" w:lineRule="exact"/>
              <w:jc w:val="center"/>
              <w:outlineLvl w:val="3"/>
              <w:rPr>
                <w:rFonts w:ascii="Times New Roman" w:hAnsi="Times New Roman" w:eastAsia="仿宋" w:cs="Times New Roman"/>
                <w:b/>
                <w:bCs/>
                <w:color w:val="auto"/>
                <w:sz w:val="21"/>
                <w:szCs w:val="21"/>
              </w:rPr>
            </w:pPr>
            <w:r>
              <w:rPr>
                <w:rFonts w:ascii="Times New Roman" w:hAnsi="Times New Roman" w:eastAsia="仿宋" w:cs="Times New Roman"/>
                <w:b/>
                <w:bCs/>
                <w:color w:val="auto"/>
                <w:sz w:val="21"/>
                <w:szCs w:val="21"/>
              </w:rPr>
              <w:t>指标</w:t>
            </w:r>
          </w:p>
        </w:tc>
        <w:tc>
          <w:tcPr>
            <w:tcW w:w="3676" w:type="pct"/>
            <w:gridSpan w:val="5"/>
            <w:shd w:val="clear" w:color="auto" w:fill="BEBEBE" w:themeFill="background1" w:themeFillShade="BF"/>
            <w:vAlign w:val="center"/>
          </w:tcPr>
          <w:p w14:paraId="6EDD6168">
            <w:pPr>
              <w:spacing w:line="400" w:lineRule="exact"/>
              <w:jc w:val="center"/>
              <w:outlineLvl w:val="3"/>
              <w:rPr>
                <w:rFonts w:ascii="Times New Roman" w:hAnsi="Times New Roman" w:eastAsia="仿宋" w:cs="Times New Roman"/>
                <w:b/>
                <w:bCs/>
                <w:color w:val="auto"/>
                <w:sz w:val="21"/>
                <w:szCs w:val="21"/>
              </w:rPr>
            </w:pPr>
            <w:r>
              <w:rPr>
                <w:rFonts w:ascii="Times New Roman" w:hAnsi="Times New Roman" w:eastAsia="仿宋" w:cs="Times New Roman"/>
                <w:b/>
                <w:bCs/>
                <w:color w:val="auto"/>
                <w:sz w:val="21"/>
                <w:szCs w:val="21"/>
              </w:rPr>
              <w:t>总排放量</w:t>
            </w:r>
          </w:p>
        </w:tc>
      </w:tr>
      <w:tr w14:paraId="19E19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323" w:type="pct"/>
            <w:vMerge w:val="continue"/>
            <w:shd w:val="clear" w:color="auto" w:fill="BEBEBE" w:themeFill="background1" w:themeFillShade="BF"/>
            <w:vAlign w:val="center"/>
          </w:tcPr>
          <w:p w14:paraId="6B93F923">
            <w:pPr>
              <w:spacing w:line="400" w:lineRule="exact"/>
              <w:jc w:val="center"/>
              <w:rPr>
                <w:rFonts w:ascii="Times New Roman" w:hAnsi="Times New Roman" w:eastAsia="仿宋" w:cs="Times New Roman"/>
                <w:b/>
                <w:bCs/>
                <w:color w:val="auto"/>
                <w:sz w:val="21"/>
                <w:szCs w:val="21"/>
              </w:rPr>
            </w:pPr>
          </w:p>
        </w:tc>
        <w:tc>
          <w:tcPr>
            <w:tcW w:w="650" w:type="pct"/>
            <w:shd w:val="clear" w:color="auto" w:fill="BEBEBE" w:themeFill="background1" w:themeFillShade="BF"/>
            <w:vAlign w:val="center"/>
          </w:tcPr>
          <w:p w14:paraId="3724EED8">
            <w:pPr>
              <w:spacing w:line="400" w:lineRule="exact"/>
              <w:jc w:val="center"/>
              <w:outlineLvl w:val="3"/>
              <w:rPr>
                <w:rFonts w:ascii="Times New Roman" w:hAnsi="Times New Roman" w:eastAsia="仿宋" w:cs="Times New Roman"/>
                <w:b/>
                <w:bCs/>
                <w:color w:val="auto"/>
                <w:sz w:val="21"/>
                <w:szCs w:val="21"/>
              </w:rPr>
            </w:pPr>
            <w:r>
              <w:rPr>
                <w:rFonts w:ascii="Times New Roman" w:hAnsi="Times New Roman" w:eastAsia="仿宋" w:cs="Times New Roman"/>
                <w:b/>
                <w:bCs/>
                <w:color w:val="auto"/>
                <w:sz w:val="21"/>
                <w:szCs w:val="21"/>
              </w:rPr>
              <w:t>2017年</w:t>
            </w:r>
          </w:p>
        </w:tc>
        <w:tc>
          <w:tcPr>
            <w:tcW w:w="650" w:type="pct"/>
            <w:shd w:val="clear" w:color="auto" w:fill="BEBEBE" w:themeFill="background1" w:themeFillShade="BF"/>
            <w:vAlign w:val="center"/>
          </w:tcPr>
          <w:p w14:paraId="3654A036">
            <w:pPr>
              <w:spacing w:line="400" w:lineRule="exact"/>
              <w:jc w:val="center"/>
              <w:outlineLvl w:val="3"/>
              <w:rPr>
                <w:rFonts w:ascii="Times New Roman" w:hAnsi="Times New Roman" w:eastAsia="仿宋" w:cs="Times New Roman"/>
                <w:b/>
                <w:bCs/>
                <w:color w:val="auto"/>
                <w:sz w:val="21"/>
                <w:szCs w:val="21"/>
              </w:rPr>
            </w:pPr>
            <w:r>
              <w:rPr>
                <w:rFonts w:ascii="Times New Roman" w:hAnsi="Times New Roman" w:eastAsia="仿宋" w:cs="Times New Roman"/>
                <w:b/>
                <w:bCs/>
                <w:color w:val="auto"/>
                <w:sz w:val="21"/>
                <w:szCs w:val="21"/>
              </w:rPr>
              <w:t>2018年</w:t>
            </w:r>
          </w:p>
        </w:tc>
        <w:tc>
          <w:tcPr>
            <w:tcW w:w="835" w:type="pct"/>
            <w:shd w:val="clear" w:color="auto" w:fill="BEBEBE" w:themeFill="background1" w:themeFillShade="BF"/>
            <w:vAlign w:val="center"/>
          </w:tcPr>
          <w:p w14:paraId="2E1412B6">
            <w:pPr>
              <w:spacing w:line="400" w:lineRule="exact"/>
              <w:jc w:val="center"/>
              <w:outlineLvl w:val="3"/>
              <w:rPr>
                <w:rFonts w:ascii="Times New Roman" w:hAnsi="Times New Roman" w:eastAsia="仿宋" w:cs="Times New Roman"/>
                <w:b/>
                <w:bCs/>
                <w:color w:val="auto"/>
                <w:sz w:val="21"/>
                <w:szCs w:val="21"/>
              </w:rPr>
            </w:pPr>
            <w:r>
              <w:rPr>
                <w:rFonts w:ascii="Times New Roman" w:hAnsi="Times New Roman" w:eastAsia="仿宋" w:cs="Times New Roman"/>
                <w:b/>
                <w:bCs/>
                <w:color w:val="auto"/>
                <w:sz w:val="21"/>
                <w:szCs w:val="21"/>
              </w:rPr>
              <w:t>2019年</w:t>
            </w:r>
          </w:p>
        </w:tc>
        <w:tc>
          <w:tcPr>
            <w:tcW w:w="769" w:type="pct"/>
            <w:shd w:val="clear" w:color="auto" w:fill="BEBEBE" w:themeFill="background1" w:themeFillShade="BF"/>
            <w:vAlign w:val="center"/>
          </w:tcPr>
          <w:p w14:paraId="5FC99BEA">
            <w:pPr>
              <w:spacing w:line="400" w:lineRule="exact"/>
              <w:jc w:val="center"/>
              <w:outlineLvl w:val="3"/>
              <w:rPr>
                <w:rFonts w:ascii="Times New Roman" w:hAnsi="Times New Roman" w:eastAsia="仿宋" w:cs="Times New Roman"/>
                <w:b/>
                <w:bCs/>
                <w:color w:val="auto"/>
                <w:sz w:val="21"/>
                <w:szCs w:val="21"/>
              </w:rPr>
            </w:pPr>
            <w:r>
              <w:rPr>
                <w:rFonts w:ascii="Times New Roman" w:hAnsi="Times New Roman" w:eastAsia="仿宋" w:cs="Times New Roman"/>
                <w:b/>
                <w:bCs/>
                <w:color w:val="auto"/>
                <w:sz w:val="21"/>
                <w:szCs w:val="21"/>
              </w:rPr>
              <w:t>2020年</w:t>
            </w:r>
          </w:p>
        </w:tc>
        <w:tc>
          <w:tcPr>
            <w:tcW w:w="769" w:type="pct"/>
            <w:shd w:val="clear" w:color="auto" w:fill="BEBEBE" w:themeFill="background1" w:themeFillShade="BF"/>
            <w:vAlign w:val="center"/>
          </w:tcPr>
          <w:p w14:paraId="17336A89">
            <w:pPr>
              <w:spacing w:line="400" w:lineRule="exact"/>
              <w:jc w:val="center"/>
              <w:outlineLvl w:val="3"/>
              <w:rPr>
                <w:rFonts w:ascii="Times New Roman" w:hAnsi="Times New Roman" w:eastAsia="仿宋" w:cs="Times New Roman"/>
                <w:b/>
                <w:bCs/>
                <w:color w:val="auto"/>
                <w:sz w:val="21"/>
                <w:szCs w:val="21"/>
              </w:rPr>
            </w:pPr>
            <w:r>
              <w:rPr>
                <w:rFonts w:ascii="Times New Roman" w:hAnsi="Times New Roman" w:eastAsia="仿宋" w:cs="Times New Roman"/>
                <w:b/>
                <w:bCs/>
                <w:color w:val="auto"/>
                <w:sz w:val="21"/>
                <w:szCs w:val="21"/>
              </w:rPr>
              <w:t>202</w:t>
            </w:r>
            <w:r>
              <w:rPr>
                <w:rFonts w:hint="eastAsia" w:ascii="Times New Roman" w:hAnsi="Times New Roman" w:eastAsia="仿宋" w:cs="Times New Roman"/>
                <w:b/>
                <w:bCs/>
                <w:color w:val="auto"/>
                <w:sz w:val="21"/>
                <w:szCs w:val="21"/>
                <w:lang w:val="en-US" w:eastAsia="zh-CN"/>
              </w:rPr>
              <w:t>1</w:t>
            </w:r>
            <w:r>
              <w:rPr>
                <w:rFonts w:ascii="Times New Roman" w:hAnsi="Times New Roman" w:eastAsia="仿宋" w:cs="Times New Roman"/>
                <w:b/>
                <w:bCs/>
                <w:color w:val="auto"/>
                <w:sz w:val="21"/>
                <w:szCs w:val="21"/>
              </w:rPr>
              <w:t>年</w:t>
            </w:r>
          </w:p>
        </w:tc>
      </w:tr>
      <w:tr w14:paraId="469B9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3" w:type="pct"/>
            <w:vAlign w:val="center"/>
          </w:tcPr>
          <w:p w14:paraId="6BBBE95B">
            <w:pPr>
              <w:spacing w:line="400" w:lineRule="exact"/>
              <w:jc w:val="center"/>
              <w:outlineLvl w:val="3"/>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废水排放量（万吨）</w:t>
            </w:r>
          </w:p>
        </w:tc>
        <w:tc>
          <w:tcPr>
            <w:tcW w:w="650" w:type="pct"/>
            <w:vAlign w:val="center"/>
          </w:tcPr>
          <w:p w14:paraId="5AC9D92A">
            <w:pPr>
              <w:spacing w:line="400" w:lineRule="exact"/>
              <w:jc w:val="center"/>
              <w:outlineLvl w:val="3"/>
              <w:rPr>
                <w:rFonts w:hint="eastAsia"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rPr>
              <w:t>1582.592</w:t>
            </w:r>
            <w:r>
              <w:rPr>
                <w:rFonts w:hint="eastAsia" w:ascii="Times New Roman" w:hAnsi="Times New Roman" w:eastAsia="仿宋" w:cs="Times New Roman"/>
                <w:color w:val="auto"/>
                <w:sz w:val="21"/>
                <w:szCs w:val="21"/>
                <w:lang w:val="en-US" w:eastAsia="zh-CN"/>
              </w:rPr>
              <w:t>3</w:t>
            </w:r>
          </w:p>
        </w:tc>
        <w:tc>
          <w:tcPr>
            <w:tcW w:w="650" w:type="pct"/>
            <w:vAlign w:val="center"/>
          </w:tcPr>
          <w:p w14:paraId="57EB203F">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1852.7349</w:t>
            </w:r>
          </w:p>
        </w:tc>
        <w:tc>
          <w:tcPr>
            <w:tcW w:w="835" w:type="pct"/>
            <w:vAlign w:val="center"/>
          </w:tcPr>
          <w:p w14:paraId="00184D78">
            <w:pPr>
              <w:spacing w:line="400" w:lineRule="exact"/>
              <w:jc w:val="center"/>
              <w:outlineLvl w:val="3"/>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1776.7594</w:t>
            </w:r>
          </w:p>
        </w:tc>
        <w:tc>
          <w:tcPr>
            <w:tcW w:w="769" w:type="pct"/>
            <w:vAlign w:val="center"/>
          </w:tcPr>
          <w:p w14:paraId="675C3045">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1137.9784</w:t>
            </w:r>
          </w:p>
        </w:tc>
        <w:tc>
          <w:tcPr>
            <w:tcW w:w="769" w:type="pct"/>
            <w:vAlign w:val="center"/>
          </w:tcPr>
          <w:p w14:paraId="069349C7">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1198.3842</w:t>
            </w:r>
          </w:p>
        </w:tc>
      </w:tr>
      <w:tr w14:paraId="12388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3" w:type="pct"/>
            <w:vAlign w:val="center"/>
          </w:tcPr>
          <w:p w14:paraId="32248668">
            <w:pPr>
              <w:spacing w:line="400" w:lineRule="exact"/>
              <w:jc w:val="center"/>
              <w:outlineLvl w:val="3"/>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COD（吨）</w:t>
            </w:r>
          </w:p>
        </w:tc>
        <w:tc>
          <w:tcPr>
            <w:tcW w:w="650" w:type="pct"/>
            <w:vAlign w:val="center"/>
          </w:tcPr>
          <w:p w14:paraId="029A1A27">
            <w:pPr>
              <w:spacing w:line="400" w:lineRule="exact"/>
              <w:jc w:val="center"/>
              <w:outlineLvl w:val="3"/>
              <w:rPr>
                <w:rFonts w:hint="eastAsia"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3624.033</w:t>
            </w:r>
          </w:p>
        </w:tc>
        <w:tc>
          <w:tcPr>
            <w:tcW w:w="650" w:type="pct"/>
            <w:vAlign w:val="center"/>
          </w:tcPr>
          <w:p w14:paraId="5DD7C4CF">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3282.4574</w:t>
            </w:r>
          </w:p>
        </w:tc>
        <w:tc>
          <w:tcPr>
            <w:tcW w:w="835" w:type="pct"/>
            <w:vAlign w:val="center"/>
          </w:tcPr>
          <w:p w14:paraId="7C523194">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3254.8512</w:t>
            </w:r>
          </w:p>
        </w:tc>
        <w:tc>
          <w:tcPr>
            <w:tcW w:w="769" w:type="pct"/>
            <w:vAlign w:val="center"/>
          </w:tcPr>
          <w:p w14:paraId="5074D8C1">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806.169</w:t>
            </w:r>
          </w:p>
        </w:tc>
        <w:tc>
          <w:tcPr>
            <w:tcW w:w="769" w:type="pct"/>
            <w:vAlign w:val="center"/>
          </w:tcPr>
          <w:p w14:paraId="284ECE7B">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727.995</w:t>
            </w:r>
          </w:p>
        </w:tc>
      </w:tr>
      <w:tr w14:paraId="51DD1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3" w:type="pct"/>
            <w:vAlign w:val="center"/>
          </w:tcPr>
          <w:p w14:paraId="3F34F8FD">
            <w:pPr>
              <w:spacing w:line="400" w:lineRule="exact"/>
              <w:jc w:val="center"/>
              <w:outlineLvl w:val="3"/>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NH</w:t>
            </w:r>
            <w:r>
              <w:rPr>
                <w:rFonts w:ascii="Times New Roman" w:hAnsi="Times New Roman" w:eastAsia="仿宋" w:cs="Times New Roman"/>
                <w:color w:val="auto"/>
                <w:sz w:val="21"/>
                <w:szCs w:val="21"/>
                <w:vertAlign w:val="subscript"/>
              </w:rPr>
              <w:t>3</w:t>
            </w:r>
            <w:r>
              <w:rPr>
                <w:rFonts w:ascii="Times New Roman" w:hAnsi="Times New Roman" w:eastAsia="仿宋" w:cs="Times New Roman"/>
                <w:color w:val="auto"/>
                <w:sz w:val="21"/>
                <w:szCs w:val="21"/>
              </w:rPr>
              <w:t>－N（吨）</w:t>
            </w:r>
          </w:p>
        </w:tc>
        <w:tc>
          <w:tcPr>
            <w:tcW w:w="650" w:type="pct"/>
            <w:vAlign w:val="center"/>
          </w:tcPr>
          <w:p w14:paraId="61A0C3C6">
            <w:pPr>
              <w:spacing w:line="400" w:lineRule="exact"/>
              <w:jc w:val="center"/>
              <w:outlineLvl w:val="3"/>
              <w:rPr>
                <w:rFonts w:hint="eastAsia"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316.0885</w:t>
            </w:r>
          </w:p>
        </w:tc>
        <w:tc>
          <w:tcPr>
            <w:tcW w:w="650" w:type="pct"/>
            <w:vAlign w:val="center"/>
          </w:tcPr>
          <w:p w14:paraId="3513D483">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293.223</w:t>
            </w:r>
          </w:p>
        </w:tc>
        <w:tc>
          <w:tcPr>
            <w:tcW w:w="835" w:type="pct"/>
            <w:vAlign w:val="center"/>
          </w:tcPr>
          <w:p w14:paraId="014C638A">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289.5066</w:t>
            </w:r>
          </w:p>
        </w:tc>
        <w:tc>
          <w:tcPr>
            <w:tcW w:w="769" w:type="pct"/>
            <w:vAlign w:val="center"/>
          </w:tcPr>
          <w:p w14:paraId="2E62346E">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4.054</w:t>
            </w:r>
          </w:p>
        </w:tc>
        <w:tc>
          <w:tcPr>
            <w:tcW w:w="769" w:type="pct"/>
            <w:vAlign w:val="center"/>
          </w:tcPr>
          <w:p w14:paraId="4DD76D04">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7.826</w:t>
            </w:r>
          </w:p>
        </w:tc>
      </w:tr>
      <w:tr w14:paraId="7ACC6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3" w:type="pct"/>
            <w:vAlign w:val="center"/>
          </w:tcPr>
          <w:p w14:paraId="339A2F3D">
            <w:pPr>
              <w:spacing w:line="400" w:lineRule="exact"/>
              <w:jc w:val="center"/>
              <w:outlineLvl w:val="3"/>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总氮（吨）</w:t>
            </w:r>
          </w:p>
        </w:tc>
        <w:tc>
          <w:tcPr>
            <w:tcW w:w="650" w:type="pct"/>
            <w:vAlign w:val="center"/>
          </w:tcPr>
          <w:p w14:paraId="346D7006">
            <w:pPr>
              <w:spacing w:line="400" w:lineRule="exact"/>
              <w:jc w:val="center"/>
              <w:outlineLvl w:val="3"/>
              <w:rPr>
                <w:rFonts w:hint="eastAsia"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val="en-US" w:eastAsia="zh-CN"/>
              </w:rPr>
              <w:t>371.5805</w:t>
            </w:r>
          </w:p>
        </w:tc>
        <w:tc>
          <w:tcPr>
            <w:tcW w:w="650" w:type="pct"/>
            <w:vAlign w:val="center"/>
          </w:tcPr>
          <w:p w14:paraId="69A9A10E">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448.8612</w:t>
            </w:r>
          </w:p>
        </w:tc>
        <w:tc>
          <w:tcPr>
            <w:tcW w:w="835" w:type="pct"/>
            <w:vAlign w:val="center"/>
          </w:tcPr>
          <w:p w14:paraId="04AA1082">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419.6564</w:t>
            </w:r>
          </w:p>
        </w:tc>
        <w:tc>
          <w:tcPr>
            <w:tcW w:w="769" w:type="pct"/>
            <w:vAlign w:val="center"/>
          </w:tcPr>
          <w:p w14:paraId="465B031B">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20.774</w:t>
            </w:r>
          </w:p>
        </w:tc>
        <w:tc>
          <w:tcPr>
            <w:tcW w:w="769" w:type="pct"/>
            <w:vAlign w:val="center"/>
          </w:tcPr>
          <w:p w14:paraId="30AAAD32">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42.565</w:t>
            </w:r>
          </w:p>
        </w:tc>
      </w:tr>
      <w:tr w14:paraId="44096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3" w:type="pct"/>
            <w:vAlign w:val="center"/>
          </w:tcPr>
          <w:p w14:paraId="02A81278">
            <w:pPr>
              <w:spacing w:line="400" w:lineRule="exact"/>
              <w:jc w:val="center"/>
              <w:outlineLvl w:val="3"/>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总磷（吨）</w:t>
            </w:r>
          </w:p>
        </w:tc>
        <w:tc>
          <w:tcPr>
            <w:tcW w:w="650" w:type="pct"/>
            <w:vAlign w:val="center"/>
          </w:tcPr>
          <w:p w14:paraId="279EB434">
            <w:pPr>
              <w:spacing w:line="400" w:lineRule="exact"/>
              <w:jc w:val="center"/>
              <w:outlineLvl w:val="3"/>
              <w:rPr>
                <w:rFonts w:hint="eastAsia"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val="en-US" w:eastAsia="zh-CN"/>
              </w:rPr>
              <w:t>28.5052</w:t>
            </w:r>
          </w:p>
        </w:tc>
        <w:tc>
          <w:tcPr>
            <w:tcW w:w="650" w:type="pct"/>
            <w:vAlign w:val="center"/>
          </w:tcPr>
          <w:p w14:paraId="0C8A27D3">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35.9895</w:t>
            </w:r>
          </w:p>
        </w:tc>
        <w:tc>
          <w:tcPr>
            <w:tcW w:w="835" w:type="pct"/>
            <w:vAlign w:val="center"/>
          </w:tcPr>
          <w:p w14:paraId="68CA9D34">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36.3802</w:t>
            </w:r>
          </w:p>
        </w:tc>
        <w:tc>
          <w:tcPr>
            <w:tcW w:w="769" w:type="pct"/>
            <w:vAlign w:val="center"/>
          </w:tcPr>
          <w:p w14:paraId="7D18CC63">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0.477</w:t>
            </w:r>
          </w:p>
        </w:tc>
        <w:tc>
          <w:tcPr>
            <w:tcW w:w="769" w:type="pct"/>
            <w:vAlign w:val="center"/>
          </w:tcPr>
          <w:p w14:paraId="6F24F1D9">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0.767</w:t>
            </w:r>
          </w:p>
        </w:tc>
      </w:tr>
    </w:tbl>
    <w:p w14:paraId="2E8BCC0B">
      <w:pPr>
        <w:keepNext w:val="0"/>
        <w:keepLines w:val="0"/>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（2）废气污染物排放情况</w:t>
      </w:r>
    </w:p>
    <w:p w14:paraId="54920D31">
      <w:pPr>
        <w:keepNext w:val="0"/>
        <w:keepLines w:val="0"/>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根据新平县环境统计数据，废气污染源主要为生活源，总体来看，新平县主要大气污染物二氧化硫、氮氧化物、颗粒物及挥发性有机物排放量呈下降趋势。2017—2021年新平县主要大气污染物排放情况见表2.1.5.5-2。</w:t>
      </w:r>
    </w:p>
    <w:p w14:paraId="1EFC5FAF">
      <w:pPr>
        <w:widowControl/>
        <w:jc w:val="center"/>
        <w:rPr>
          <w:rFonts w:ascii="Times New Roman" w:hAnsi="Times New Roman" w:eastAsia="仿宋" w:cs="Times New Roman"/>
          <w:b/>
          <w:bCs/>
          <w:color w:val="auto"/>
          <w:sz w:val="24"/>
        </w:rPr>
      </w:pPr>
      <w:r>
        <w:rPr>
          <w:rFonts w:ascii="Times New Roman" w:hAnsi="Times New Roman" w:eastAsia="仿宋" w:cs="Times New Roman"/>
          <w:b/>
          <w:bCs/>
          <w:color w:val="auto"/>
          <w:sz w:val="24"/>
        </w:rPr>
        <w:t>表2.1.5</w:t>
      </w:r>
      <w:r>
        <w:rPr>
          <w:rFonts w:hint="eastAsia" w:ascii="Times New Roman" w:hAnsi="Times New Roman" w:eastAsia="仿宋" w:cs="Times New Roman"/>
          <w:b/>
          <w:bCs/>
          <w:color w:val="auto"/>
          <w:sz w:val="24"/>
          <w:lang w:val="en-US" w:eastAsia="zh-CN"/>
        </w:rPr>
        <w:t>.5</w:t>
      </w:r>
      <w:r>
        <w:rPr>
          <w:rFonts w:ascii="Times New Roman" w:hAnsi="Times New Roman" w:eastAsia="仿宋" w:cs="Times New Roman"/>
          <w:b/>
          <w:bCs/>
          <w:color w:val="auto"/>
          <w:sz w:val="24"/>
        </w:rPr>
        <w:t>-</w:t>
      </w:r>
      <w:r>
        <w:rPr>
          <w:rFonts w:hint="eastAsia" w:ascii="Times New Roman" w:hAnsi="Times New Roman" w:eastAsia="仿宋" w:cs="Times New Roman"/>
          <w:b/>
          <w:bCs/>
          <w:color w:val="auto"/>
          <w:sz w:val="24"/>
          <w:lang w:val="en-US" w:eastAsia="zh-CN"/>
        </w:rPr>
        <w:t>2</w:t>
      </w:r>
      <w:r>
        <w:rPr>
          <w:rFonts w:ascii="Times New Roman" w:hAnsi="Times New Roman" w:eastAsia="仿宋" w:cs="Times New Roman"/>
          <w:b/>
          <w:bCs/>
          <w:color w:val="auto"/>
          <w:sz w:val="24"/>
        </w:rPr>
        <w:t xml:space="preserve"> 201</w:t>
      </w:r>
      <w:r>
        <w:rPr>
          <w:rFonts w:hint="eastAsia" w:ascii="Times New Roman" w:hAnsi="Times New Roman" w:eastAsia="仿宋" w:cs="Times New Roman"/>
          <w:b/>
          <w:bCs/>
          <w:color w:val="auto"/>
          <w:sz w:val="24"/>
          <w:lang w:val="en-US" w:eastAsia="zh-CN"/>
        </w:rPr>
        <w:t>7—</w:t>
      </w:r>
      <w:r>
        <w:rPr>
          <w:rFonts w:ascii="Times New Roman" w:hAnsi="Times New Roman" w:eastAsia="仿宋" w:cs="Times New Roman"/>
          <w:b/>
          <w:bCs/>
          <w:color w:val="auto"/>
          <w:sz w:val="24"/>
        </w:rPr>
        <w:t>202</w:t>
      </w:r>
      <w:r>
        <w:rPr>
          <w:rFonts w:hint="eastAsia" w:ascii="Times New Roman" w:hAnsi="Times New Roman" w:eastAsia="仿宋" w:cs="Times New Roman"/>
          <w:b/>
          <w:bCs/>
          <w:color w:val="auto"/>
          <w:sz w:val="24"/>
          <w:lang w:val="en-US" w:eastAsia="zh-CN"/>
        </w:rPr>
        <w:t>1</w:t>
      </w:r>
      <w:r>
        <w:rPr>
          <w:rFonts w:ascii="Times New Roman" w:hAnsi="Times New Roman" w:eastAsia="仿宋" w:cs="Times New Roman"/>
          <w:b/>
          <w:bCs/>
          <w:color w:val="auto"/>
          <w:sz w:val="24"/>
        </w:rPr>
        <w:t>年</w:t>
      </w:r>
      <w:r>
        <w:rPr>
          <w:rFonts w:hint="eastAsia" w:ascii="Times New Roman" w:hAnsi="Times New Roman" w:eastAsia="仿宋" w:cs="Times New Roman"/>
          <w:b/>
          <w:bCs/>
          <w:color w:val="auto"/>
          <w:sz w:val="24"/>
          <w:lang w:eastAsia="zh-CN"/>
        </w:rPr>
        <w:t>新平县</w:t>
      </w:r>
      <w:r>
        <w:rPr>
          <w:rFonts w:ascii="Times New Roman" w:hAnsi="Times New Roman" w:eastAsia="仿宋" w:cs="Times New Roman"/>
          <w:b/>
          <w:bCs/>
          <w:color w:val="auto"/>
          <w:sz w:val="24"/>
        </w:rPr>
        <w:t>主要大气污染物排放情况</w:t>
      </w:r>
    </w:p>
    <w:tbl>
      <w:tblPr>
        <w:tblStyle w:val="2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5"/>
        <w:gridCol w:w="1290"/>
        <w:gridCol w:w="1287"/>
        <w:gridCol w:w="1283"/>
        <w:gridCol w:w="1289"/>
        <w:gridCol w:w="1416"/>
      </w:tblGrid>
      <w:tr w14:paraId="1DDA5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147" w:type="pct"/>
            <w:vMerge w:val="restart"/>
            <w:shd w:val="clear" w:color="auto" w:fill="BEBEBE" w:themeFill="background1" w:themeFillShade="BF"/>
            <w:vAlign w:val="center"/>
          </w:tcPr>
          <w:p w14:paraId="3C42BE57">
            <w:pPr>
              <w:spacing w:line="400" w:lineRule="exact"/>
              <w:jc w:val="center"/>
              <w:outlineLvl w:val="3"/>
              <w:rPr>
                <w:rFonts w:ascii="Times New Roman" w:hAnsi="Times New Roman" w:eastAsia="仿宋" w:cs="Times New Roman"/>
                <w:b/>
                <w:bCs/>
                <w:color w:val="auto"/>
                <w:sz w:val="21"/>
                <w:szCs w:val="21"/>
              </w:rPr>
            </w:pPr>
            <w:r>
              <w:rPr>
                <w:rFonts w:ascii="Times New Roman" w:hAnsi="Times New Roman" w:eastAsia="仿宋" w:cs="Times New Roman"/>
                <w:b/>
                <w:bCs/>
                <w:color w:val="auto"/>
                <w:sz w:val="21"/>
                <w:szCs w:val="21"/>
              </w:rPr>
              <w:t>指标</w:t>
            </w:r>
          </w:p>
        </w:tc>
        <w:tc>
          <w:tcPr>
            <w:tcW w:w="3852" w:type="pct"/>
            <w:gridSpan w:val="5"/>
            <w:shd w:val="clear" w:color="auto" w:fill="BEBEBE" w:themeFill="background1" w:themeFillShade="BF"/>
            <w:vAlign w:val="center"/>
          </w:tcPr>
          <w:p w14:paraId="4C2EE888">
            <w:pPr>
              <w:spacing w:line="400" w:lineRule="exact"/>
              <w:jc w:val="center"/>
              <w:outlineLvl w:val="3"/>
              <w:rPr>
                <w:rFonts w:ascii="Times New Roman" w:hAnsi="Times New Roman" w:eastAsia="仿宋" w:cs="Times New Roman"/>
                <w:b/>
                <w:bCs/>
                <w:color w:val="auto"/>
                <w:sz w:val="21"/>
                <w:szCs w:val="21"/>
              </w:rPr>
            </w:pPr>
            <w:r>
              <w:rPr>
                <w:rFonts w:ascii="Times New Roman" w:hAnsi="Times New Roman" w:eastAsia="仿宋" w:cs="Times New Roman"/>
                <w:b/>
                <w:bCs/>
                <w:color w:val="auto"/>
                <w:sz w:val="21"/>
                <w:szCs w:val="21"/>
              </w:rPr>
              <w:t>总排放量（吨）</w:t>
            </w:r>
          </w:p>
        </w:tc>
      </w:tr>
      <w:tr w14:paraId="36D0D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147" w:type="pct"/>
            <w:vMerge w:val="continue"/>
            <w:shd w:val="clear" w:color="auto" w:fill="BEBEBE" w:themeFill="background1" w:themeFillShade="BF"/>
            <w:vAlign w:val="center"/>
          </w:tcPr>
          <w:p w14:paraId="12D06FBC">
            <w:pPr>
              <w:spacing w:line="400" w:lineRule="exact"/>
              <w:jc w:val="center"/>
              <w:rPr>
                <w:rFonts w:ascii="Times New Roman" w:hAnsi="Times New Roman" w:eastAsia="仿宋" w:cs="Times New Roman"/>
                <w:b/>
                <w:bCs/>
                <w:color w:val="auto"/>
                <w:sz w:val="21"/>
                <w:szCs w:val="21"/>
              </w:rPr>
            </w:pPr>
          </w:p>
        </w:tc>
        <w:tc>
          <w:tcPr>
            <w:tcW w:w="1289" w:type="dxa"/>
            <w:shd w:val="clear" w:color="auto" w:fill="BEBEBE" w:themeFill="background1" w:themeFillShade="BF"/>
            <w:vAlign w:val="center"/>
          </w:tcPr>
          <w:p w14:paraId="055FC0BE">
            <w:pPr>
              <w:spacing w:line="400" w:lineRule="exact"/>
              <w:jc w:val="center"/>
              <w:outlineLvl w:val="3"/>
              <w:rPr>
                <w:rFonts w:ascii="Times New Roman" w:hAnsi="Times New Roman" w:eastAsia="仿宋" w:cs="Times New Roman"/>
                <w:b/>
                <w:bCs/>
                <w:color w:val="auto"/>
                <w:sz w:val="21"/>
                <w:szCs w:val="21"/>
              </w:rPr>
            </w:pPr>
            <w:r>
              <w:rPr>
                <w:rFonts w:ascii="Times New Roman" w:hAnsi="Times New Roman" w:eastAsia="仿宋" w:cs="Times New Roman"/>
                <w:b/>
                <w:bCs/>
                <w:color w:val="auto"/>
                <w:sz w:val="21"/>
                <w:szCs w:val="21"/>
              </w:rPr>
              <w:t>2017年</w:t>
            </w:r>
          </w:p>
        </w:tc>
        <w:tc>
          <w:tcPr>
            <w:tcW w:w="1287" w:type="dxa"/>
            <w:shd w:val="clear" w:color="auto" w:fill="BEBEBE" w:themeFill="background1" w:themeFillShade="BF"/>
            <w:vAlign w:val="center"/>
          </w:tcPr>
          <w:p w14:paraId="19D5CE33">
            <w:pPr>
              <w:spacing w:line="400" w:lineRule="exact"/>
              <w:jc w:val="center"/>
              <w:outlineLvl w:val="3"/>
              <w:rPr>
                <w:rFonts w:ascii="Times New Roman" w:hAnsi="Times New Roman" w:eastAsia="仿宋" w:cs="Times New Roman"/>
                <w:b/>
                <w:bCs/>
                <w:color w:val="auto"/>
                <w:sz w:val="21"/>
                <w:szCs w:val="21"/>
              </w:rPr>
            </w:pPr>
            <w:r>
              <w:rPr>
                <w:rFonts w:ascii="Times New Roman" w:hAnsi="Times New Roman" w:eastAsia="仿宋" w:cs="Times New Roman"/>
                <w:b/>
                <w:bCs/>
                <w:color w:val="auto"/>
                <w:sz w:val="21"/>
                <w:szCs w:val="21"/>
              </w:rPr>
              <w:t>2018年</w:t>
            </w:r>
          </w:p>
        </w:tc>
        <w:tc>
          <w:tcPr>
            <w:tcW w:w="1283" w:type="dxa"/>
            <w:shd w:val="clear" w:color="auto" w:fill="BEBEBE" w:themeFill="background1" w:themeFillShade="BF"/>
            <w:vAlign w:val="center"/>
          </w:tcPr>
          <w:p w14:paraId="4AEFD958">
            <w:pPr>
              <w:spacing w:line="400" w:lineRule="exact"/>
              <w:jc w:val="center"/>
              <w:outlineLvl w:val="3"/>
              <w:rPr>
                <w:rFonts w:ascii="Times New Roman" w:hAnsi="Times New Roman" w:eastAsia="仿宋" w:cs="Times New Roman"/>
                <w:b/>
                <w:bCs/>
                <w:color w:val="auto"/>
                <w:sz w:val="21"/>
                <w:szCs w:val="21"/>
              </w:rPr>
            </w:pPr>
            <w:r>
              <w:rPr>
                <w:rFonts w:ascii="Times New Roman" w:hAnsi="Times New Roman" w:eastAsia="仿宋" w:cs="Times New Roman"/>
                <w:b/>
                <w:bCs/>
                <w:color w:val="auto"/>
                <w:sz w:val="21"/>
                <w:szCs w:val="21"/>
              </w:rPr>
              <w:t>2019年</w:t>
            </w:r>
          </w:p>
        </w:tc>
        <w:tc>
          <w:tcPr>
            <w:tcW w:w="1287" w:type="dxa"/>
            <w:shd w:val="clear" w:color="auto" w:fill="BEBEBE" w:themeFill="background1" w:themeFillShade="BF"/>
            <w:vAlign w:val="center"/>
          </w:tcPr>
          <w:p w14:paraId="1AB4E76A">
            <w:pPr>
              <w:spacing w:line="400" w:lineRule="exact"/>
              <w:jc w:val="center"/>
              <w:outlineLvl w:val="3"/>
              <w:rPr>
                <w:rFonts w:ascii="Times New Roman" w:hAnsi="Times New Roman" w:eastAsia="仿宋" w:cs="Times New Roman"/>
                <w:b/>
                <w:bCs/>
                <w:color w:val="auto"/>
                <w:sz w:val="21"/>
                <w:szCs w:val="21"/>
              </w:rPr>
            </w:pPr>
            <w:r>
              <w:rPr>
                <w:rFonts w:ascii="Times New Roman" w:hAnsi="Times New Roman" w:eastAsia="仿宋" w:cs="Times New Roman"/>
                <w:b/>
                <w:bCs/>
                <w:color w:val="auto"/>
                <w:sz w:val="21"/>
                <w:szCs w:val="21"/>
              </w:rPr>
              <w:t>2020年</w:t>
            </w:r>
          </w:p>
        </w:tc>
        <w:tc>
          <w:tcPr>
            <w:tcW w:w="831" w:type="pct"/>
            <w:shd w:val="clear" w:color="auto" w:fill="BEBEBE" w:themeFill="background1" w:themeFillShade="BF"/>
            <w:vAlign w:val="center"/>
          </w:tcPr>
          <w:p w14:paraId="201A5954">
            <w:pPr>
              <w:spacing w:line="400" w:lineRule="exact"/>
              <w:jc w:val="center"/>
              <w:outlineLvl w:val="3"/>
              <w:rPr>
                <w:rFonts w:ascii="Times New Roman" w:hAnsi="Times New Roman" w:eastAsia="仿宋" w:cs="Times New Roman"/>
                <w:b/>
                <w:bCs/>
                <w:color w:val="auto"/>
                <w:sz w:val="21"/>
                <w:szCs w:val="21"/>
              </w:rPr>
            </w:pPr>
            <w:r>
              <w:rPr>
                <w:rFonts w:ascii="Times New Roman" w:hAnsi="Times New Roman" w:eastAsia="仿宋" w:cs="Times New Roman"/>
                <w:b/>
                <w:bCs/>
                <w:color w:val="auto"/>
                <w:sz w:val="21"/>
                <w:szCs w:val="21"/>
              </w:rPr>
              <w:t>20</w:t>
            </w:r>
            <w:r>
              <w:rPr>
                <w:rFonts w:hint="eastAsia" w:ascii="Times New Roman" w:hAnsi="Times New Roman" w:eastAsia="仿宋" w:cs="Times New Roman"/>
                <w:b/>
                <w:bCs/>
                <w:color w:val="auto"/>
                <w:sz w:val="21"/>
                <w:szCs w:val="21"/>
                <w:lang w:val="en-US" w:eastAsia="zh-CN"/>
              </w:rPr>
              <w:t>21</w:t>
            </w:r>
            <w:r>
              <w:rPr>
                <w:rFonts w:ascii="Times New Roman" w:hAnsi="Times New Roman" w:eastAsia="仿宋" w:cs="Times New Roman"/>
                <w:b/>
                <w:bCs/>
                <w:color w:val="auto"/>
                <w:sz w:val="21"/>
                <w:szCs w:val="21"/>
              </w:rPr>
              <w:t>年</w:t>
            </w:r>
          </w:p>
        </w:tc>
      </w:tr>
      <w:tr w14:paraId="32F7A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pct"/>
            <w:vAlign w:val="center"/>
          </w:tcPr>
          <w:p w14:paraId="600D34B3">
            <w:pPr>
              <w:spacing w:line="400" w:lineRule="exact"/>
              <w:jc w:val="center"/>
              <w:outlineLvl w:val="3"/>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SO</w:t>
            </w:r>
            <w:r>
              <w:rPr>
                <w:rFonts w:ascii="Times New Roman" w:hAnsi="Times New Roman" w:eastAsia="仿宋" w:cs="Times New Roman"/>
                <w:color w:val="auto"/>
                <w:sz w:val="21"/>
                <w:szCs w:val="21"/>
                <w:vertAlign w:val="subscript"/>
              </w:rPr>
              <w:t>2</w:t>
            </w:r>
          </w:p>
        </w:tc>
        <w:tc>
          <w:tcPr>
            <w:tcW w:w="1289" w:type="dxa"/>
            <w:vAlign w:val="center"/>
          </w:tcPr>
          <w:p w14:paraId="29FAD7E8">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10892.79</w:t>
            </w:r>
          </w:p>
        </w:tc>
        <w:tc>
          <w:tcPr>
            <w:tcW w:w="1287" w:type="dxa"/>
            <w:vAlign w:val="center"/>
          </w:tcPr>
          <w:p w14:paraId="71C9F4C4">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12768.4901</w:t>
            </w:r>
          </w:p>
        </w:tc>
        <w:tc>
          <w:tcPr>
            <w:tcW w:w="1283" w:type="dxa"/>
            <w:vAlign w:val="center"/>
          </w:tcPr>
          <w:p w14:paraId="1C49B51E">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1612.2515</w:t>
            </w:r>
          </w:p>
        </w:tc>
        <w:tc>
          <w:tcPr>
            <w:tcW w:w="1287" w:type="dxa"/>
            <w:vAlign w:val="center"/>
          </w:tcPr>
          <w:p w14:paraId="0D8520D0">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6274.913</w:t>
            </w:r>
          </w:p>
        </w:tc>
        <w:tc>
          <w:tcPr>
            <w:tcW w:w="1416" w:type="dxa"/>
            <w:vAlign w:val="center"/>
          </w:tcPr>
          <w:p w14:paraId="4C927223">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2693.845</w:t>
            </w:r>
          </w:p>
        </w:tc>
      </w:tr>
      <w:tr w14:paraId="569FF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pct"/>
            <w:vAlign w:val="center"/>
          </w:tcPr>
          <w:p w14:paraId="47422370">
            <w:pPr>
              <w:spacing w:line="400" w:lineRule="exact"/>
              <w:jc w:val="center"/>
              <w:outlineLvl w:val="3"/>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NO</w:t>
            </w:r>
            <w:r>
              <w:rPr>
                <w:rFonts w:ascii="Times New Roman" w:hAnsi="Times New Roman" w:eastAsia="仿宋" w:cs="Times New Roman"/>
                <w:color w:val="auto"/>
                <w:sz w:val="21"/>
                <w:szCs w:val="21"/>
                <w:vertAlign w:val="subscript"/>
              </w:rPr>
              <w:t>X</w:t>
            </w:r>
          </w:p>
        </w:tc>
        <w:tc>
          <w:tcPr>
            <w:tcW w:w="1289" w:type="dxa"/>
            <w:vAlign w:val="center"/>
          </w:tcPr>
          <w:p w14:paraId="1398EF96">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3329.0749</w:t>
            </w:r>
          </w:p>
        </w:tc>
        <w:tc>
          <w:tcPr>
            <w:tcW w:w="1287" w:type="dxa"/>
            <w:vAlign w:val="center"/>
          </w:tcPr>
          <w:p w14:paraId="10CAB37C">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2842.2674</w:t>
            </w:r>
          </w:p>
        </w:tc>
        <w:tc>
          <w:tcPr>
            <w:tcW w:w="1283" w:type="dxa"/>
            <w:vAlign w:val="center"/>
          </w:tcPr>
          <w:p w14:paraId="0C3CA4C4">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6685.1038</w:t>
            </w:r>
          </w:p>
        </w:tc>
        <w:tc>
          <w:tcPr>
            <w:tcW w:w="1287" w:type="dxa"/>
            <w:vAlign w:val="center"/>
          </w:tcPr>
          <w:p w14:paraId="44EFD9A9">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5608.962</w:t>
            </w:r>
          </w:p>
        </w:tc>
        <w:tc>
          <w:tcPr>
            <w:tcW w:w="1416" w:type="dxa"/>
            <w:vAlign w:val="center"/>
          </w:tcPr>
          <w:p w14:paraId="4DD639E1">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5277.571</w:t>
            </w:r>
          </w:p>
        </w:tc>
      </w:tr>
      <w:tr w14:paraId="7C1E5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pct"/>
            <w:vAlign w:val="center"/>
          </w:tcPr>
          <w:p w14:paraId="7FA19AAF">
            <w:pPr>
              <w:spacing w:line="400" w:lineRule="exact"/>
              <w:jc w:val="center"/>
              <w:outlineLvl w:val="3"/>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烟尘（颗粒物）</w:t>
            </w:r>
          </w:p>
        </w:tc>
        <w:tc>
          <w:tcPr>
            <w:tcW w:w="1289" w:type="dxa"/>
            <w:vAlign w:val="center"/>
          </w:tcPr>
          <w:p w14:paraId="6A38CB51">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22282.3307</w:t>
            </w:r>
          </w:p>
        </w:tc>
        <w:tc>
          <w:tcPr>
            <w:tcW w:w="1287" w:type="dxa"/>
            <w:vAlign w:val="center"/>
          </w:tcPr>
          <w:p w14:paraId="5A852E68">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17388.8749</w:t>
            </w:r>
          </w:p>
        </w:tc>
        <w:tc>
          <w:tcPr>
            <w:tcW w:w="1283" w:type="dxa"/>
            <w:vAlign w:val="center"/>
          </w:tcPr>
          <w:p w14:paraId="2C1196CF">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7330.256</w:t>
            </w:r>
          </w:p>
        </w:tc>
        <w:tc>
          <w:tcPr>
            <w:tcW w:w="1287" w:type="dxa"/>
            <w:vAlign w:val="center"/>
          </w:tcPr>
          <w:p w14:paraId="0CDEADD5">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11629.753</w:t>
            </w:r>
          </w:p>
        </w:tc>
        <w:tc>
          <w:tcPr>
            <w:tcW w:w="1416" w:type="dxa"/>
            <w:vAlign w:val="center"/>
          </w:tcPr>
          <w:p w14:paraId="7BBB8F84">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4242.6</w:t>
            </w:r>
          </w:p>
        </w:tc>
      </w:tr>
      <w:tr w14:paraId="3E63D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pct"/>
            <w:vAlign w:val="center"/>
          </w:tcPr>
          <w:p w14:paraId="69484F26">
            <w:pPr>
              <w:spacing w:line="400" w:lineRule="exact"/>
              <w:jc w:val="center"/>
              <w:outlineLvl w:val="3"/>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挥发性有机物</w:t>
            </w:r>
          </w:p>
        </w:tc>
        <w:tc>
          <w:tcPr>
            <w:tcW w:w="1289" w:type="dxa"/>
            <w:vAlign w:val="center"/>
          </w:tcPr>
          <w:p w14:paraId="2D611380">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2.628</w:t>
            </w:r>
          </w:p>
        </w:tc>
        <w:tc>
          <w:tcPr>
            <w:tcW w:w="1287" w:type="dxa"/>
            <w:vAlign w:val="center"/>
          </w:tcPr>
          <w:p w14:paraId="3CCD0D56">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25.9991</w:t>
            </w:r>
          </w:p>
        </w:tc>
        <w:tc>
          <w:tcPr>
            <w:tcW w:w="1283" w:type="dxa"/>
            <w:vAlign w:val="center"/>
          </w:tcPr>
          <w:p w14:paraId="7E4DB2D7">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24.6477</w:t>
            </w:r>
          </w:p>
        </w:tc>
        <w:tc>
          <w:tcPr>
            <w:tcW w:w="1287" w:type="dxa"/>
            <w:vAlign w:val="center"/>
          </w:tcPr>
          <w:p w14:paraId="151860F0">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41.0608</w:t>
            </w:r>
          </w:p>
        </w:tc>
        <w:tc>
          <w:tcPr>
            <w:tcW w:w="1416" w:type="dxa"/>
            <w:vAlign w:val="center"/>
          </w:tcPr>
          <w:p w14:paraId="29FA9658">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61.6873</w:t>
            </w:r>
          </w:p>
        </w:tc>
      </w:tr>
    </w:tbl>
    <w:p w14:paraId="316E024D">
      <w:pPr>
        <w:keepNext w:val="0"/>
        <w:keepLines w:val="0"/>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（3）固体废物利用处置情况</w:t>
      </w:r>
    </w:p>
    <w:p w14:paraId="5681B390">
      <w:pPr>
        <w:keepNext w:val="0"/>
        <w:keepLines w:val="0"/>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sz w:val="28"/>
          <w:szCs w:val="28"/>
          <w:lang w:val="en-US" w:eastAsia="zh-CN"/>
        </w:rPr>
      </w:pPr>
      <w:r>
        <w:rPr>
          <w:rFonts w:hint="default" w:ascii="Calibri" w:hAnsi="Calibri" w:eastAsia="方正仿宋_GBK" w:cs="Calibri"/>
          <w:b w:val="0"/>
          <w:bCs w:val="0"/>
          <w:color w:val="auto"/>
          <w:sz w:val="28"/>
          <w:szCs w:val="28"/>
          <w:lang w:val="en-US" w:eastAsia="zh-CN"/>
        </w:rPr>
        <w:t>①</w:t>
      </w:r>
      <w:r>
        <w:rPr>
          <w:rFonts w:hint="eastAsia" w:ascii="Times New Roman" w:hAnsi="Times New Roman" w:eastAsia="方正仿宋_GBK" w:cs="方正仿宋_GBK"/>
          <w:b w:val="0"/>
          <w:bCs w:val="0"/>
          <w:color w:val="auto"/>
          <w:sz w:val="28"/>
          <w:szCs w:val="28"/>
          <w:lang w:val="en-US" w:eastAsia="zh-CN"/>
        </w:rPr>
        <w:t>一般工业固废</w:t>
      </w:r>
    </w:p>
    <w:p w14:paraId="2D500C42">
      <w:pPr>
        <w:keepNext w:val="0"/>
        <w:keepLines w:val="0"/>
        <w:pageBreakBefore w:val="0"/>
        <w:widowControl/>
        <w:kinsoku/>
        <w:wordWrap/>
        <w:overflowPunct/>
        <w:topLinePunct w:val="0"/>
        <w:autoSpaceDE/>
        <w:autoSpaceDN/>
        <w:bidi w:val="0"/>
        <w:adjustRightInd/>
        <w:snapToGrid/>
        <w:spacing w:line="500" w:lineRule="exact"/>
        <w:ind w:firstLine="560" w:firstLineChars="200"/>
        <w:textAlignment w:val="auto"/>
        <w:rPr>
          <w:rFonts w:hint="default" w:eastAsia="方正仿宋_GBK"/>
          <w:color w:val="FF0000"/>
          <w:sz w:val="24"/>
          <w:szCs w:val="20"/>
          <w:highlight w:val="none"/>
          <w:lang w:val="en-US"/>
        </w:rPr>
      </w:pPr>
      <w:bookmarkStart w:id="57" w:name="_Hlk108864195"/>
      <w:r>
        <w:rPr>
          <w:rFonts w:hint="eastAsia" w:ascii="Times New Roman" w:hAnsi="Times New Roman" w:eastAsia="方正仿宋_GBK" w:cs="方正仿宋_GBK"/>
          <w:b w:val="0"/>
          <w:bCs w:val="0"/>
          <w:color w:val="auto"/>
          <w:sz w:val="28"/>
          <w:szCs w:val="28"/>
          <w:lang w:val="en-US" w:eastAsia="zh-CN"/>
        </w:rPr>
        <w:t>根据新平县环境统计数据，2017—2021年一般工业固体废弃物的综合利用率为74.22%、76.40%、74.28%。新平县一般固体废物类型主要是采矿废石、选矿尾砂、钢渣、高炉渣（水渣）、脱硫石膏等，均要求企业进行综合利用和妥善处置。从环境统计数据分析可知，新平县一般工业固体废弃物的综合利用率持续保持稳定，产生固废较高的企业分别为玉溪大红山矿业有限公司、云南玉溪仙福钢铁（集团）有限公司。</w:t>
      </w:r>
    </w:p>
    <w:p w14:paraId="089D9A01">
      <w:pPr>
        <w:keepNext w:val="0"/>
        <w:keepLines w:val="0"/>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玉溪大红山矿业有限公司固体废弃物产综合利用情况：该公司产生的固体废弃物分别为采矿废石及选矿尾矿。其中采矿废石按照相关要求运送至废石场及尾矿库堆存，严禁外排，井下采掘废石主要用于充填井下采空区，充填地点主要为Ⅰ号铜深部采空区，Ⅲ、Ⅳ号矿采空区，Ⅰ号铜浅部采空区。露天采矿废石均用于塌陷区回填充填、碎后铺路及售卖。选矿尾矿均运输至龙都尾矿库堆存和堆坝，利用率达70%以上。</w:t>
      </w:r>
    </w:p>
    <w:p w14:paraId="0FCADFA6">
      <w:pPr>
        <w:keepNext w:val="0"/>
        <w:keepLines w:val="0"/>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云南玉溪仙福钢铁（集团）有限公司固体废弃物及综合利用情况：该公司产生固体废弃物有烧结工序除尘灰、脱硫石膏渣、炼铁工序除尘灰、高炉渣（水渣）、炼钢工序除尘灰、水膜除尘污泥、钢渣、废钢、氧化铁皮等，其中除尘灰、含铁尘泥（压榨脱水处理）、氧化铁皮返烧结工序作为掺合料和烧结原料矿粉掺和焙烧烧结矿使用，钢渣、废钢返炼钢工序回炉冶炼使用，脱硫石膏渣、高炉渣（水渣）外销水泥厂。</w:t>
      </w:r>
    </w:p>
    <w:bookmarkEnd w:id="57"/>
    <w:p w14:paraId="2DB43222">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（2）医疗废物</w:t>
      </w:r>
    </w:p>
    <w:p w14:paraId="0DC10DA1">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新平县按照《医疗废物管理条例》和《危险废物转移联单管理办法》，玉溪市生态环境局新平分局、卫健局加强对新平县医疗机构医疗废物监督管理工作。目前，全县所有医疗机构按要求设置了医疗废物暂存点，医疗机构产生的药物性医疗废物、化学性医疗废物、感染性医疗废物、损伤性医疗废物等医疗废物，统一交由玉溪兴洁垃圾处理有限公司、玉溪易和环境技术有限公司进行规范处置。收集处置范围包括县医院、妇幼保健院、乡镇卫生院等医疗机构，基本实现全覆盖，根据环境统计，2017—2021年危险废物利用处置率均为100%。</w:t>
      </w:r>
    </w:p>
    <w:p w14:paraId="7950D17E">
      <w:pPr>
        <w:pageBreakBefore w:val="0"/>
        <w:widowControl/>
        <w:tabs>
          <w:tab w:val="left" w:pos="3360"/>
        </w:tabs>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（3）危险废物</w:t>
      </w:r>
    </w:p>
    <w:p w14:paraId="23721B55">
      <w:pPr>
        <w:pageBreakBefore w:val="0"/>
        <w:widowControl/>
        <w:tabs>
          <w:tab w:val="left" w:pos="3360"/>
        </w:tabs>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根据新平县2017—2021年环境统计数据，新平县除医疗废物外的危险废物主要为废矿物油与含矿物油废物以及其他废物，其中废机油自行综合利用，其他工业危废均委托有资质的单位进行处置。新平县工业园区对危险废物的申报、转移、处置基本形成有效管理机制，危险废物由企业自行处置进行综合利用、返回生产厂家回收利用或委托有资质的单位进行处置，危险废物已得到妥善处置。</w:t>
      </w:r>
    </w:p>
    <w:p w14:paraId="36BFBF29">
      <w:pPr>
        <w:pStyle w:val="6"/>
        <w:pageBreakBefore w:val="0"/>
        <w:kinsoku/>
        <w:wordWrap/>
        <w:overflowPunct/>
        <w:topLinePunct w:val="0"/>
        <w:autoSpaceDE/>
        <w:autoSpaceDN/>
        <w:bidi w:val="0"/>
        <w:spacing w:line="500" w:lineRule="exact"/>
        <w:textAlignment w:val="auto"/>
        <w:rPr>
          <w:rFonts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2.1.5.6生态环境状况指数</w:t>
      </w:r>
    </w:p>
    <w:p w14:paraId="26515767">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根据《云南省环境监测中心关于新平县生态质量状况结果的函》，新平县2019—2021年的生态环境状况指数范围为77.71-79.28之间，新平县2019—2021年生态环境状况指数（EI）等级均为优，植被覆盖度较高，生物多样性较丰富。详见表3.1.2.1-1。</w:t>
      </w:r>
    </w:p>
    <w:p w14:paraId="70791201">
      <w:pPr>
        <w:pageBreakBefore w:val="0"/>
        <w:kinsoku/>
        <w:wordWrap/>
        <w:overflowPunct/>
        <w:topLinePunct w:val="0"/>
        <w:autoSpaceDE/>
        <w:autoSpaceDN/>
        <w:bidi w:val="0"/>
        <w:snapToGrid w:val="0"/>
        <w:spacing w:line="500" w:lineRule="exact"/>
        <w:jc w:val="center"/>
        <w:textAlignment w:val="auto"/>
        <w:rPr>
          <w:rFonts w:hint="default" w:ascii="Times New Roman" w:hAnsi="Times New Roman" w:eastAsia="方正仿宋_GBK" w:cs="Times New Roman"/>
          <w:b/>
          <w:color w:val="auto"/>
          <w:sz w:val="28"/>
          <w:szCs w:val="28"/>
          <w:lang w:val="en-US" w:eastAsia="zh-CN"/>
        </w:rPr>
      </w:pPr>
      <w:r>
        <w:rPr>
          <w:rFonts w:hint="default" w:ascii="Times New Roman" w:hAnsi="Times New Roman" w:eastAsia="方正仿宋_GBK" w:cs="Times New Roman"/>
          <w:b/>
          <w:color w:val="auto"/>
          <w:sz w:val="28"/>
          <w:szCs w:val="28"/>
        </w:rPr>
        <w:t>3.1.2.1-1</w:t>
      </w:r>
      <w:r>
        <w:rPr>
          <w:rFonts w:hint="default" w:ascii="Times New Roman" w:hAnsi="Times New Roman" w:eastAsia="方正仿宋_GBK" w:cs="Times New Roman"/>
          <w:b/>
          <w:color w:val="auto"/>
          <w:sz w:val="28"/>
          <w:szCs w:val="28"/>
          <w:lang w:eastAsia="zh-CN"/>
        </w:rPr>
        <w:t>新平县</w:t>
      </w:r>
      <w:r>
        <w:rPr>
          <w:rFonts w:hint="default" w:ascii="Times New Roman" w:hAnsi="Times New Roman" w:eastAsia="方正仿宋_GBK" w:cs="Times New Roman"/>
          <w:b/>
          <w:color w:val="auto"/>
          <w:sz w:val="28"/>
          <w:szCs w:val="28"/>
        </w:rPr>
        <w:t>201</w:t>
      </w:r>
      <w:r>
        <w:rPr>
          <w:rFonts w:hint="default" w:ascii="Times New Roman" w:hAnsi="Times New Roman" w:eastAsia="方正仿宋_GBK" w:cs="Times New Roman"/>
          <w:b/>
          <w:color w:val="auto"/>
          <w:sz w:val="28"/>
          <w:szCs w:val="28"/>
          <w:lang w:val="en-US" w:eastAsia="zh-CN"/>
        </w:rPr>
        <w:t>9</w:t>
      </w:r>
      <w:r>
        <w:rPr>
          <w:rFonts w:hint="eastAsia" w:ascii="Times New Roman" w:hAnsi="Times New Roman" w:eastAsia="方正仿宋_GBK" w:cs="Times New Roman"/>
          <w:b/>
          <w:color w:val="auto"/>
          <w:sz w:val="28"/>
          <w:szCs w:val="28"/>
          <w:lang w:val="en-US" w:eastAsia="zh-CN"/>
        </w:rPr>
        <w:t>—</w:t>
      </w:r>
      <w:r>
        <w:rPr>
          <w:rFonts w:hint="default" w:ascii="Times New Roman" w:hAnsi="Times New Roman" w:eastAsia="方正仿宋_GBK" w:cs="Times New Roman"/>
          <w:b/>
          <w:color w:val="auto"/>
          <w:sz w:val="28"/>
          <w:szCs w:val="28"/>
        </w:rPr>
        <w:t>2021年生态环境状况</w:t>
      </w:r>
      <w:r>
        <w:rPr>
          <w:rFonts w:hint="default" w:ascii="Times New Roman" w:hAnsi="Times New Roman" w:eastAsia="方正仿宋_GBK" w:cs="Times New Roman"/>
          <w:b/>
          <w:color w:val="auto"/>
          <w:sz w:val="28"/>
          <w:szCs w:val="28"/>
          <w:lang w:val="en-US" w:eastAsia="zh-CN"/>
        </w:rPr>
        <w:t>遥感监测评价结果</w:t>
      </w:r>
    </w:p>
    <w:tbl>
      <w:tblPr>
        <w:tblStyle w:val="2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4"/>
        <w:gridCol w:w="914"/>
        <w:gridCol w:w="1047"/>
        <w:gridCol w:w="1037"/>
        <w:gridCol w:w="933"/>
        <w:gridCol w:w="975"/>
        <w:gridCol w:w="1734"/>
        <w:gridCol w:w="1023"/>
      </w:tblGrid>
      <w:tr w14:paraId="7E4E1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tblHeader/>
          <w:jc w:val="center"/>
        </w:trPr>
        <w:tc>
          <w:tcPr>
            <w:tcW w:w="501" w:type="pct"/>
            <w:tcBorders>
              <w:tl2br w:val="nil"/>
              <w:tr2bl w:val="nil"/>
            </w:tcBorders>
            <w:shd w:val="clear" w:color="000000" w:fill="FFFFFF"/>
            <w:vAlign w:val="center"/>
          </w:tcPr>
          <w:p w14:paraId="46464D95">
            <w:pPr>
              <w:spacing w:line="400" w:lineRule="exact"/>
              <w:jc w:val="center"/>
              <w:outlineLvl w:val="3"/>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年份</w:t>
            </w:r>
          </w:p>
        </w:tc>
        <w:tc>
          <w:tcPr>
            <w:tcW w:w="536" w:type="pct"/>
            <w:tcBorders>
              <w:tl2br w:val="nil"/>
              <w:tr2bl w:val="nil"/>
            </w:tcBorders>
            <w:shd w:val="clear" w:color="000000" w:fill="FFFFFF"/>
            <w:vAlign w:val="center"/>
          </w:tcPr>
          <w:p w14:paraId="3CF0FB41">
            <w:pPr>
              <w:spacing w:line="400" w:lineRule="exact"/>
              <w:jc w:val="center"/>
              <w:outlineLvl w:val="3"/>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生物丰度指数</w:t>
            </w:r>
          </w:p>
        </w:tc>
        <w:tc>
          <w:tcPr>
            <w:tcW w:w="614" w:type="pct"/>
            <w:tcBorders>
              <w:tl2br w:val="nil"/>
              <w:tr2bl w:val="nil"/>
            </w:tcBorders>
            <w:shd w:val="clear" w:color="000000" w:fill="FFFFFF"/>
            <w:vAlign w:val="center"/>
          </w:tcPr>
          <w:p w14:paraId="11A0428E">
            <w:pPr>
              <w:spacing w:line="400" w:lineRule="exact"/>
              <w:jc w:val="center"/>
              <w:outlineLvl w:val="3"/>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植被覆盖指数</w:t>
            </w:r>
          </w:p>
        </w:tc>
        <w:tc>
          <w:tcPr>
            <w:tcW w:w="608" w:type="pct"/>
            <w:tcBorders>
              <w:tl2br w:val="nil"/>
              <w:tr2bl w:val="nil"/>
            </w:tcBorders>
            <w:shd w:val="clear" w:color="000000" w:fill="FFFFFF"/>
            <w:vAlign w:val="center"/>
          </w:tcPr>
          <w:p w14:paraId="03D01562">
            <w:pPr>
              <w:spacing w:line="400" w:lineRule="exact"/>
              <w:jc w:val="center"/>
              <w:outlineLvl w:val="3"/>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水网密度指数</w:t>
            </w:r>
          </w:p>
        </w:tc>
        <w:tc>
          <w:tcPr>
            <w:tcW w:w="547" w:type="pct"/>
            <w:tcBorders>
              <w:tl2br w:val="nil"/>
              <w:tr2bl w:val="nil"/>
            </w:tcBorders>
            <w:shd w:val="clear" w:color="000000" w:fill="FFFFFF"/>
            <w:vAlign w:val="center"/>
          </w:tcPr>
          <w:p w14:paraId="2E29CC5D">
            <w:pPr>
              <w:spacing w:line="400" w:lineRule="exact"/>
              <w:jc w:val="center"/>
              <w:outlineLvl w:val="3"/>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土地胁迫指数</w:t>
            </w:r>
          </w:p>
        </w:tc>
        <w:tc>
          <w:tcPr>
            <w:tcW w:w="572" w:type="pct"/>
            <w:tcBorders>
              <w:tl2br w:val="nil"/>
              <w:tr2bl w:val="nil"/>
            </w:tcBorders>
            <w:shd w:val="clear" w:color="000000" w:fill="FFFFFF"/>
            <w:vAlign w:val="center"/>
          </w:tcPr>
          <w:p w14:paraId="587BEBAE">
            <w:pPr>
              <w:spacing w:line="400" w:lineRule="exact"/>
              <w:jc w:val="center"/>
              <w:outlineLvl w:val="3"/>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污染负荷指数</w:t>
            </w:r>
          </w:p>
        </w:tc>
        <w:tc>
          <w:tcPr>
            <w:tcW w:w="1017" w:type="pct"/>
            <w:tcBorders>
              <w:tl2br w:val="nil"/>
              <w:tr2bl w:val="nil"/>
            </w:tcBorders>
            <w:shd w:val="clear" w:color="000000" w:fill="FFFFFF"/>
            <w:vAlign w:val="center"/>
          </w:tcPr>
          <w:p w14:paraId="31A8AE6F">
            <w:pPr>
              <w:spacing w:line="400" w:lineRule="exact"/>
              <w:jc w:val="center"/>
              <w:outlineLvl w:val="3"/>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生态环境状况指数（EI）</w:t>
            </w:r>
          </w:p>
        </w:tc>
        <w:tc>
          <w:tcPr>
            <w:tcW w:w="600" w:type="pct"/>
            <w:tcBorders>
              <w:tl2br w:val="nil"/>
              <w:tr2bl w:val="nil"/>
            </w:tcBorders>
            <w:shd w:val="clear" w:color="000000" w:fill="FFFFFF"/>
            <w:vAlign w:val="center"/>
          </w:tcPr>
          <w:p w14:paraId="6F7E3E3E">
            <w:pPr>
              <w:spacing w:line="400" w:lineRule="exact"/>
              <w:jc w:val="center"/>
              <w:outlineLvl w:val="3"/>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等级</w:t>
            </w:r>
          </w:p>
        </w:tc>
      </w:tr>
      <w:tr w14:paraId="33DDB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501" w:type="pct"/>
            <w:tcBorders>
              <w:tl2br w:val="nil"/>
              <w:tr2bl w:val="nil"/>
            </w:tcBorders>
            <w:shd w:val="clear" w:color="000000" w:fill="FFFFFF"/>
            <w:vAlign w:val="center"/>
          </w:tcPr>
          <w:p w14:paraId="0FF4F062">
            <w:pPr>
              <w:spacing w:line="400" w:lineRule="exact"/>
              <w:jc w:val="center"/>
              <w:outlineLvl w:val="3"/>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2019</w:t>
            </w:r>
          </w:p>
        </w:tc>
        <w:tc>
          <w:tcPr>
            <w:tcW w:w="536" w:type="pct"/>
            <w:tcBorders>
              <w:tl2br w:val="nil"/>
              <w:tr2bl w:val="nil"/>
            </w:tcBorders>
            <w:shd w:val="clear" w:color="000000" w:fill="FFFFFF"/>
            <w:vAlign w:val="center"/>
          </w:tcPr>
          <w:p w14:paraId="4582F688">
            <w:pPr>
              <w:spacing w:line="400" w:lineRule="exact"/>
              <w:jc w:val="center"/>
              <w:outlineLvl w:val="3"/>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78.85</w:t>
            </w:r>
          </w:p>
        </w:tc>
        <w:tc>
          <w:tcPr>
            <w:tcW w:w="614" w:type="pct"/>
            <w:tcBorders>
              <w:tl2br w:val="nil"/>
              <w:tr2bl w:val="nil"/>
            </w:tcBorders>
            <w:shd w:val="clear" w:color="000000" w:fill="FFFFFF"/>
            <w:vAlign w:val="center"/>
          </w:tcPr>
          <w:p w14:paraId="203CF5D6">
            <w:pPr>
              <w:spacing w:line="400" w:lineRule="exact"/>
              <w:jc w:val="center"/>
              <w:outlineLvl w:val="3"/>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92.37</w:t>
            </w:r>
          </w:p>
        </w:tc>
        <w:tc>
          <w:tcPr>
            <w:tcW w:w="608" w:type="pct"/>
            <w:tcBorders>
              <w:tl2br w:val="nil"/>
              <w:tr2bl w:val="nil"/>
            </w:tcBorders>
            <w:shd w:val="clear" w:color="000000" w:fill="FFFFFF"/>
            <w:vAlign w:val="center"/>
          </w:tcPr>
          <w:p w14:paraId="49DBB1AC">
            <w:pPr>
              <w:spacing w:line="400" w:lineRule="exact"/>
              <w:jc w:val="center"/>
              <w:outlineLvl w:val="3"/>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28.26</w:t>
            </w:r>
          </w:p>
        </w:tc>
        <w:tc>
          <w:tcPr>
            <w:tcW w:w="547" w:type="pct"/>
            <w:tcBorders>
              <w:tl2br w:val="nil"/>
              <w:tr2bl w:val="nil"/>
            </w:tcBorders>
            <w:shd w:val="clear" w:color="000000" w:fill="FFFFFF"/>
            <w:vAlign w:val="center"/>
          </w:tcPr>
          <w:p w14:paraId="0EC6C234">
            <w:pPr>
              <w:spacing w:line="400" w:lineRule="exact"/>
              <w:jc w:val="center"/>
              <w:outlineLvl w:val="3"/>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3.09</w:t>
            </w:r>
          </w:p>
        </w:tc>
        <w:tc>
          <w:tcPr>
            <w:tcW w:w="572" w:type="pct"/>
            <w:tcBorders>
              <w:tl2br w:val="nil"/>
              <w:tr2bl w:val="nil"/>
            </w:tcBorders>
            <w:shd w:val="clear" w:color="000000" w:fill="FFFFFF"/>
            <w:vAlign w:val="center"/>
          </w:tcPr>
          <w:p w14:paraId="640BB5F5">
            <w:pPr>
              <w:spacing w:line="400" w:lineRule="exact"/>
              <w:jc w:val="center"/>
              <w:outlineLvl w:val="3"/>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1.81</w:t>
            </w:r>
          </w:p>
        </w:tc>
        <w:tc>
          <w:tcPr>
            <w:tcW w:w="1017" w:type="pct"/>
            <w:tcBorders>
              <w:tl2br w:val="nil"/>
              <w:tr2bl w:val="nil"/>
            </w:tcBorders>
            <w:shd w:val="clear" w:color="000000" w:fill="FFFFFF"/>
            <w:vAlign w:val="center"/>
          </w:tcPr>
          <w:p w14:paraId="7790FC7F">
            <w:pPr>
              <w:spacing w:line="400" w:lineRule="exact"/>
              <w:jc w:val="center"/>
              <w:outlineLvl w:val="3"/>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79.28</w:t>
            </w:r>
          </w:p>
        </w:tc>
        <w:tc>
          <w:tcPr>
            <w:tcW w:w="600" w:type="pct"/>
            <w:tcBorders>
              <w:tl2br w:val="nil"/>
              <w:tr2bl w:val="nil"/>
            </w:tcBorders>
            <w:shd w:val="clear" w:color="000000" w:fill="FFFFFF"/>
            <w:vAlign w:val="center"/>
          </w:tcPr>
          <w:p w14:paraId="5407B058">
            <w:pPr>
              <w:spacing w:line="400" w:lineRule="exact"/>
              <w:jc w:val="center"/>
              <w:outlineLvl w:val="3"/>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优</w:t>
            </w:r>
          </w:p>
        </w:tc>
      </w:tr>
      <w:tr w14:paraId="66B4F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501" w:type="pct"/>
            <w:tcBorders>
              <w:tl2br w:val="nil"/>
              <w:tr2bl w:val="nil"/>
            </w:tcBorders>
            <w:shd w:val="clear" w:color="000000" w:fill="FFFFFF"/>
            <w:vAlign w:val="center"/>
          </w:tcPr>
          <w:p w14:paraId="7881C83F">
            <w:pPr>
              <w:spacing w:line="400" w:lineRule="exact"/>
              <w:jc w:val="center"/>
              <w:outlineLvl w:val="3"/>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2020</w:t>
            </w:r>
          </w:p>
        </w:tc>
        <w:tc>
          <w:tcPr>
            <w:tcW w:w="536" w:type="pct"/>
            <w:tcBorders>
              <w:tl2br w:val="nil"/>
              <w:tr2bl w:val="nil"/>
            </w:tcBorders>
            <w:shd w:val="clear" w:color="000000" w:fill="FFFFFF"/>
            <w:vAlign w:val="center"/>
          </w:tcPr>
          <w:p w14:paraId="45B43E3D">
            <w:pPr>
              <w:spacing w:line="400" w:lineRule="exact"/>
              <w:jc w:val="center"/>
              <w:outlineLvl w:val="3"/>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79.10</w:t>
            </w:r>
          </w:p>
        </w:tc>
        <w:tc>
          <w:tcPr>
            <w:tcW w:w="614" w:type="pct"/>
            <w:tcBorders>
              <w:tl2br w:val="nil"/>
              <w:tr2bl w:val="nil"/>
            </w:tcBorders>
            <w:shd w:val="clear" w:color="000000" w:fill="FFFFFF"/>
            <w:vAlign w:val="center"/>
          </w:tcPr>
          <w:p w14:paraId="002A29D9">
            <w:pPr>
              <w:spacing w:line="400" w:lineRule="exact"/>
              <w:jc w:val="center"/>
              <w:outlineLvl w:val="3"/>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88.76</w:t>
            </w:r>
          </w:p>
        </w:tc>
        <w:tc>
          <w:tcPr>
            <w:tcW w:w="608" w:type="pct"/>
            <w:tcBorders>
              <w:tl2br w:val="nil"/>
              <w:tr2bl w:val="nil"/>
            </w:tcBorders>
            <w:shd w:val="clear" w:color="000000" w:fill="FFFFFF"/>
            <w:vAlign w:val="center"/>
          </w:tcPr>
          <w:p w14:paraId="18D0F604">
            <w:pPr>
              <w:spacing w:line="400" w:lineRule="exact"/>
              <w:jc w:val="center"/>
              <w:outlineLvl w:val="3"/>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22.35</w:t>
            </w:r>
          </w:p>
        </w:tc>
        <w:tc>
          <w:tcPr>
            <w:tcW w:w="547" w:type="pct"/>
            <w:tcBorders>
              <w:tl2br w:val="nil"/>
              <w:tr2bl w:val="nil"/>
            </w:tcBorders>
            <w:shd w:val="clear" w:color="000000" w:fill="FFFFFF"/>
            <w:vAlign w:val="center"/>
          </w:tcPr>
          <w:p w14:paraId="26255EF3">
            <w:pPr>
              <w:spacing w:line="400" w:lineRule="exact"/>
              <w:jc w:val="center"/>
              <w:outlineLvl w:val="3"/>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2.90</w:t>
            </w:r>
          </w:p>
        </w:tc>
        <w:tc>
          <w:tcPr>
            <w:tcW w:w="572" w:type="pct"/>
            <w:tcBorders>
              <w:tl2br w:val="nil"/>
              <w:tr2bl w:val="nil"/>
            </w:tcBorders>
            <w:shd w:val="clear" w:color="000000" w:fill="FFFFFF"/>
            <w:vAlign w:val="center"/>
          </w:tcPr>
          <w:p w14:paraId="48529251">
            <w:pPr>
              <w:spacing w:line="400" w:lineRule="exact"/>
              <w:jc w:val="center"/>
              <w:outlineLvl w:val="3"/>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0.87</w:t>
            </w:r>
          </w:p>
        </w:tc>
        <w:tc>
          <w:tcPr>
            <w:tcW w:w="1017" w:type="pct"/>
            <w:tcBorders>
              <w:tl2br w:val="nil"/>
              <w:tr2bl w:val="nil"/>
            </w:tcBorders>
            <w:shd w:val="clear" w:color="000000" w:fill="FFFFFF"/>
            <w:vAlign w:val="center"/>
          </w:tcPr>
          <w:p w14:paraId="71D79CAD">
            <w:pPr>
              <w:spacing w:line="400" w:lineRule="exact"/>
              <w:jc w:val="center"/>
              <w:outlineLvl w:val="3"/>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77.71</w:t>
            </w:r>
          </w:p>
        </w:tc>
        <w:tc>
          <w:tcPr>
            <w:tcW w:w="600" w:type="pct"/>
            <w:tcBorders>
              <w:tl2br w:val="nil"/>
              <w:tr2bl w:val="nil"/>
            </w:tcBorders>
            <w:shd w:val="clear" w:color="000000" w:fill="FFFFFF"/>
            <w:vAlign w:val="center"/>
          </w:tcPr>
          <w:p w14:paraId="29DB2904">
            <w:pPr>
              <w:spacing w:line="400" w:lineRule="exact"/>
              <w:jc w:val="center"/>
              <w:outlineLvl w:val="3"/>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优</w:t>
            </w:r>
          </w:p>
        </w:tc>
      </w:tr>
      <w:tr w14:paraId="287EE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501" w:type="pct"/>
            <w:tcBorders>
              <w:tl2br w:val="nil"/>
              <w:tr2bl w:val="nil"/>
            </w:tcBorders>
            <w:shd w:val="clear" w:color="000000" w:fill="FFFFFF"/>
            <w:vAlign w:val="center"/>
          </w:tcPr>
          <w:p w14:paraId="17328CD3">
            <w:pPr>
              <w:spacing w:line="400" w:lineRule="exact"/>
              <w:jc w:val="center"/>
              <w:outlineLvl w:val="3"/>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2021</w:t>
            </w:r>
          </w:p>
        </w:tc>
        <w:tc>
          <w:tcPr>
            <w:tcW w:w="536" w:type="pct"/>
            <w:tcBorders>
              <w:tl2br w:val="nil"/>
              <w:tr2bl w:val="nil"/>
            </w:tcBorders>
            <w:shd w:val="clear" w:color="000000" w:fill="FFFFFF"/>
            <w:vAlign w:val="center"/>
          </w:tcPr>
          <w:p w14:paraId="7F363B84">
            <w:pPr>
              <w:spacing w:line="400" w:lineRule="exact"/>
              <w:jc w:val="center"/>
              <w:outlineLvl w:val="3"/>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79.08</w:t>
            </w:r>
          </w:p>
        </w:tc>
        <w:tc>
          <w:tcPr>
            <w:tcW w:w="614" w:type="pct"/>
            <w:tcBorders>
              <w:tl2br w:val="nil"/>
              <w:tr2bl w:val="nil"/>
            </w:tcBorders>
            <w:shd w:val="clear" w:color="000000" w:fill="FFFFFF"/>
            <w:vAlign w:val="center"/>
          </w:tcPr>
          <w:p w14:paraId="07212A99">
            <w:pPr>
              <w:spacing w:line="400" w:lineRule="exact"/>
              <w:jc w:val="center"/>
              <w:outlineLvl w:val="3"/>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94.04</w:t>
            </w:r>
          </w:p>
        </w:tc>
        <w:tc>
          <w:tcPr>
            <w:tcW w:w="608" w:type="pct"/>
            <w:tcBorders>
              <w:tl2br w:val="nil"/>
              <w:tr2bl w:val="nil"/>
            </w:tcBorders>
            <w:shd w:val="clear" w:color="000000" w:fill="FFFFFF"/>
            <w:vAlign w:val="center"/>
          </w:tcPr>
          <w:p w14:paraId="405B073B">
            <w:pPr>
              <w:spacing w:line="400" w:lineRule="exact"/>
              <w:jc w:val="center"/>
              <w:outlineLvl w:val="3"/>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23.49</w:t>
            </w:r>
          </w:p>
        </w:tc>
        <w:tc>
          <w:tcPr>
            <w:tcW w:w="547" w:type="pct"/>
            <w:tcBorders>
              <w:tl2br w:val="nil"/>
              <w:tr2bl w:val="nil"/>
            </w:tcBorders>
            <w:shd w:val="clear" w:color="000000" w:fill="FFFFFF"/>
            <w:vAlign w:val="center"/>
          </w:tcPr>
          <w:p w14:paraId="55404DF4">
            <w:pPr>
              <w:spacing w:line="400" w:lineRule="exact"/>
              <w:jc w:val="center"/>
              <w:outlineLvl w:val="3"/>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3.23</w:t>
            </w:r>
          </w:p>
        </w:tc>
        <w:tc>
          <w:tcPr>
            <w:tcW w:w="572" w:type="pct"/>
            <w:tcBorders>
              <w:tl2br w:val="nil"/>
              <w:tr2bl w:val="nil"/>
            </w:tcBorders>
            <w:shd w:val="clear" w:color="000000" w:fill="FFFFFF"/>
            <w:vAlign w:val="center"/>
          </w:tcPr>
          <w:p w14:paraId="6025EA03">
            <w:pPr>
              <w:spacing w:line="400" w:lineRule="exact"/>
              <w:jc w:val="center"/>
              <w:outlineLvl w:val="3"/>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1.27</w:t>
            </w:r>
          </w:p>
        </w:tc>
        <w:tc>
          <w:tcPr>
            <w:tcW w:w="1017" w:type="pct"/>
            <w:tcBorders>
              <w:tl2br w:val="nil"/>
              <w:tr2bl w:val="nil"/>
            </w:tcBorders>
            <w:shd w:val="clear" w:color="000000" w:fill="FFFFFF"/>
            <w:vAlign w:val="center"/>
          </w:tcPr>
          <w:p w14:paraId="451822E0">
            <w:pPr>
              <w:spacing w:line="400" w:lineRule="exact"/>
              <w:jc w:val="center"/>
              <w:outlineLvl w:val="3"/>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79.10</w:t>
            </w:r>
          </w:p>
        </w:tc>
        <w:tc>
          <w:tcPr>
            <w:tcW w:w="600" w:type="pct"/>
            <w:tcBorders>
              <w:tl2br w:val="nil"/>
              <w:tr2bl w:val="nil"/>
            </w:tcBorders>
            <w:shd w:val="clear" w:color="000000" w:fill="FFFFFF"/>
            <w:vAlign w:val="center"/>
          </w:tcPr>
          <w:p w14:paraId="04D02D7B">
            <w:pPr>
              <w:spacing w:line="400" w:lineRule="exact"/>
              <w:jc w:val="center"/>
              <w:outlineLvl w:val="3"/>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优</w:t>
            </w:r>
          </w:p>
        </w:tc>
      </w:tr>
    </w:tbl>
    <w:p w14:paraId="5F546AE8">
      <w:pPr>
        <w:pStyle w:val="6"/>
        <w:pageBreakBefore w:val="0"/>
        <w:kinsoku/>
        <w:wordWrap/>
        <w:overflowPunct/>
        <w:topLinePunct w:val="0"/>
        <w:autoSpaceDE/>
        <w:autoSpaceDN/>
        <w:bidi w:val="0"/>
        <w:spacing w:line="500" w:lineRule="exact"/>
        <w:textAlignment w:val="auto"/>
        <w:rPr>
          <w:rFonts w:hint="eastAsia"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2.1.5.7自然保护地</w:t>
      </w:r>
      <w:r>
        <w:rPr>
          <w:rFonts w:hint="eastAsia" w:ascii="Times New Roman" w:hAnsi="Times New Roman" w:eastAsia="仿宋" w:cs="Times New Roman"/>
          <w:b/>
          <w:bCs/>
          <w:snapToGrid w:val="0"/>
          <w:color w:val="auto"/>
          <w:kern w:val="2"/>
          <w:sz w:val="28"/>
          <w:szCs w:val="32"/>
          <w:lang w:val="en-US" w:eastAsia="zh-CN" w:bidi="ar-SA"/>
        </w:rPr>
        <w:t>现状</w:t>
      </w:r>
    </w:p>
    <w:p w14:paraId="236860DE">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新平县境内现有5个自然保护地：云南省哀牢山国家级自然保护区（新平段）、玉白顶林场市级自然保护区、哀牢山县级自然保护区、磨盘山县级自然保护区和磨盘山国家级森林公园，自然保护地批复面积累计59413.03hm</w:t>
      </w:r>
      <w:r>
        <w:rPr>
          <w:rFonts w:hint="eastAsia" w:ascii="Times New Roman" w:hAnsi="Times New Roman" w:eastAsia="方正仿宋_GBK" w:cs="方正仿宋_GBK"/>
          <w:b w:val="0"/>
          <w:bCs w:val="0"/>
          <w:color w:val="auto"/>
          <w:sz w:val="28"/>
          <w:szCs w:val="28"/>
          <w:vertAlign w:val="superscript"/>
          <w:lang w:val="en-US" w:eastAsia="zh-CN"/>
        </w:rPr>
        <w:t>2</w:t>
      </w:r>
      <w:r>
        <w:rPr>
          <w:rFonts w:hint="eastAsia" w:ascii="Times New Roman" w:hAnsi="Times New Roman" w:eastAsia="方正仿宋_GBK" w:cs="方正仿宋_GBK"/>
          <w:b w:val="0"/>
          <w:bCs w:val="0"/>
          <w:color w:val="auto"/>
          <w:sz w:val="28"/>
          <w:szCs w:val="28"/>
          <w:lang w:val="en-US" w:eastAsia="zh-CN"/>
        </w:rPr>
        <w:t>（含交叉重叠），占全县国土总面积426703.33hm</w:t>
      </w:r>
      <w:r>
        <w:rPr>
          <w:rFonts w:hint="eastAsia" w:ascii="Times New Roman" w:hAnsi="Times New Roman" w:eastAsia="方正仿宋_GBK" w:cs="方正仿宋_GBK"/>
          <w:b w:val="0"/>
          <w:bCs w:val="0"/>
          <w:color w:val="auto"/>
          <w:sz w:val="28"/>
          <w:szCs w:val="28"/>
          <w:vertAlign w:val="superscript"/>
          <w:lang w:val="en-US" w:eastAsia="zh-CN"/>
        </w:rPr>
        <w:t>2</w:t>
      </w:r>
      <w:r>
        <w:rPr>
          <w:rFonts w:hint="eastAsia" w:ascii="Times New Roman" w:hAnsi="Times New Roman" w:eastAsia="方正仿宋_GBK" w:cs="方正仿宋_GBK"/>
          <w:b w:val="0"/>
          <w:bCs w:val="0"/>
          <w:color w:val="auto"/>
          <w:sz w:val="28"/>
          <w:szCs w:val="28"/>
          <w:lang w:val="en-US" w:eastAsia="zh-CN"/>
        </w:rPr>
        <w:t>的13.92%。详见表2.1.5.7-1。</w:t>
      </w:r>
    </w:p>
    <w:p w14:paraId="6B560A0D">
      <w:pPr>
        <w:pageBreakBefore w:val="0"/>
        <w:widowControl/>
        <w:kinsoku/>
        <w:wordWrap/>
        <w:overflowPunct/>
        <w:topLinePunct w:val="0"/>
        <w:autoSpaceDE/>
        <w:autoSpaceDN/>
        <w:bidi w:val="0"/>
        <w:spacing w:line="500" w:lineRule="exact"/>
        <w:jc w:val="center"/>
        <w:textAlignment w:val="auto"/>
        <w:rPr>
          <w:rFonts w:ascii="Times New Roman" w:hAnsi="Times New Roman" w:eastAsia="仿宋" w:cs="Times New Roman"/>
          <w:b/>
          <w:bCs/>
          <w:color w:val="auto"/>
          <w:sz w:val="24"/>
        </w:rPr>
      </w:pPr>
      <w:r>
        <w:rPr>
          <w:rFonts w:ascii="Times New Roman" w:hAnsi="Times New Roman" w:eastAsia="仿宋" w:cs="Times New Roman"/>
          <w:b/>
          <w:bCs/>
          <w:color w:val="auto"/>
          <w:sz w:val="24"/>
        </w:rPr>
        <w:t>表</w:t>
      </w:r>
      <w:r>
        <w:rPr>
          <w:rFonts w:hint="eastAsia" w:ascii="Times New Roman" w:hAnsi="Times New Roman" w:eastAsia="仿宋" w:cs="Times New Roman"/>
          <w:b/>
          <w:bCs/>
          <w:color w:val="auto"/>
          <w:sz w:val="24"/>
        </w:rPr>
        <w:t>2.1.5.7-1</w:t>
      </w:r>
      <w:r>
        <w:rPr>
          <w:rFonts w:hint="eastAsia" w:ascii="Times New Roman" w:hAnsi="Times New Roman" w:eastAsia="仿宋" w:cs="Times New Roman"/>
          <w:b/>
          <w:bCs/>
          <w:color w:val="auto"/>
          <w:sz w:val="24"/>
          <w:lang w:val="en-US" w:eastAsia="zh-CN"/>
        </w:rPr>
        <w:t>新平县</w:t>
      </w:r>
      <w:r>
        <w:rPr>
          <w:rFonts w:ascii="Times New Roman" w:hAnsi="Times New Roman" w:eastAsia="仿宋" w:cs="Times New Roman"/>
          <w:b/>
          <w:bCs/>
          <w:color w:val="auto"/>
          <w:sz w:val="24"/>
        </w:rPr>
        <w:t>自然保护地统计表</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650"/>
        <w:gridCol w:w="994"/>
        <w:gridCol w:w="1252"/>
        <w:gridCol w:w="977"/>
        <w:gridCol w:w="942"/>
        <w:gridCol w:w="2014"/>
      </w:tblGrid>
      <w:tr w14:paraId="36B24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404" w:type="pct"/>
            <w:noWrap w:val="0"/>
            <w:vAlign w:val="center"/>
          </w:tcPr>
          <w:p w14:paraId="787820E2">
            <w:pPr>
              <w:spacing w:line="400" w:lineRule="exact"/>
              <w:jc w:val="center"/>
              <w:outlineLvl w:val="3"/>
              <w:rPr>
                <w:rFonts w:hint="default" w:ascii="Times New Roman" w:hAnsi="Times New Roman" w:eastAsia="仿宋" w:cs="Times New Roman"/>
                <w:b/>
                <w:bCs/>
                <w:color w:val="auto"/>
                <w:sz w:val="21"/>
                <w:szCs w:val="21"/>
                <w:lang w:val="en-US" w:eastAsia="zh-CN"/>
              </w:rPr>
            </w:pPr>
            <w:r>
              <w:rPr>
                <w:rFonts w:hint="eastAsia" w:ascii="Times New Roman" w:hAnsi="Times New Roman" w:eastAsia="仿宋" w:cs="Times New Roman"/>
                <w:b/>
                <w:bCs/>
                <w:color w:val="auto"/>
                <w:sz w:val="21"/>
                <w:szCs w:val="21"/>
                <w:lang w:val="en-US" w:eastAsia="zh-CN"/>
              </w:rPr>
              <w:t>序号</w:t>
            </w:r>
          </w:p>
        </w:tc>
        <w:tc>
          <w:tcPr>
            <w:tcW w:w="968" w:type="pct"/>
            <w:noWrap w:val="0"/>
            <w:vAlign w:val="center"/>
          </w:tcPr>
          <w:p w14:paraId="7CE10748">
            <w:pPr>
              <w:spacing w:line="400" w:lineRule="exact"/>
              <w:jc w:val="center"/>
              <w:outlineLvl w:val="3"/>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自然保护地</w:t>
            </w:r>
          </w:p>
          <w:p w14:paraId="317DD7C1">
            <w:pPr>
              <w:spacing w:line="400" w:lineRule="exact"/>
              <w:jc w:val="center"/>
              <w:outlineLvl w:val="3"/>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名称</w:t>
            </w:r>
          </w:p>
        </w:tc>
        <w:tc>
          <w:tcPr>
            <w:tcW w:w="583" w:type="pct"/>
            <w:noWrap w:val="0"/>
            <w:vAlign w:val="center"/>
          </w:tcPr>
          <w:p w14:paraId="037F9630">
            <w:pPr>
              <w:spacing w:line="400" w:lineRule="exact"/>
              <w:jc w:val="center"/>
              <w:outlineLvl w:val="3"/>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建立时间</w:t>
            </w:r>
          </w:p>
        </w:tc>
        <w:tc>
          <w:tcPr>
            <w:tcW w:w="734" w:type="pct"/>
            <w:noWrap w:val="0"/>
            <w:vAlign w:val="center"/>
          </w:tcPr>
          <w:p w14:paraId="3CAF7258">
            <w:pPr>
              <w:spacing w:line="400" w:lineRule="exact"/>
              <w:jc w:val="center"/>
              <w:outlineLvl w:val="3"/>
              <w:rPr>
                <w:rFonts w:hint="eastAsia" w:ascii="Times New Roman" w:hAnsi="Times New Roman" w:eastAsia="仿宋" w:cs="Times New Roman"/>
                <w:b/>
                <w:bCs/>
                <w:color w:val="auto"/>
                <w:sz w:val="21"/>
                <w:szCs w:val="21"/>
                <w:lang w:val="en-US" w:eastAsia="zh-CN"/>
              </w:rPr>
            </w:pPr>
            <w:r>
              <w:rPr>
                <w:rFonts w:hint="eastAsia" w:ascii="Times New Roman" w:hAnsi="Times New Roman" w:eastAsia="仿宋" w:cs="Times New Roman"/>
                <w:b/>
                <w:bCs/>
                <w:color w:val="auto"/>
                <w:sz w:val="21"/>
                <w:szCs w:val="21"/>
                <w:lang w:val="en-US" w:eastAsia="zh-CN"/>
              </w:rPr>
              <w:t>批准设立部门</w:t>
            </w:r>
          </w:p>
        </w:tc>
        <w:tc>
          <w:tcPr>
            <w:tcW w:w="573" w:type="pct"/>
            <w:noWrap w:val="0"/>
            <w:vAlign w:val="center"/>
          </w:tcPr>
          <w:p w14:paraId="28477EFC">
            <w:pPr>
              <w:spacing w:line="400" w:lineRule="exact"/>
              <w:jc w:val="center"/>
              <w:outlineLvl w:val="3"/>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自然保护地</w:t>
            </w:r>
            <w:r>
              <w:rPr>
                <w:rFonts w:hint="eastAsia" w:ascii="Times New Roman" w:hAnsi="Times New Roman" w:eastAsia="仿宋" w:cs="Times New Roman"/>
                <w:b/>
                <w:bCs/>
                <w:color w:val="auto"/>
                <w:sz w:val="21"/>
                <w:szCs w:val="21"/>
                <w:lang w:val="en-US" w:eastAsia="zh-CN"/>
              </w:rPr>
              <w:t>现</w:t>
            </w:r>
            <w:r>
              <w:rPr>
                <w:rFonts w:hint="default" w:ascii="Times New Roman" w:hAnsi="Times New Roman" w:eastAsia="仿宋" w:cs="Times New Roman"/>
                <w:b/>
                <w:bCs/>
                <w:color w:val="auto"/>
                <w:sz w:val="21"/>
                <w:szCs w:val="21"/>
                <w:lang w:val="en-US" w:eastAsia="zh-CN"/>
              </w:rPr>
              <w:t>级别</w:t>
            </w:r>
          </w:p>
        </w:tc>
        <w:tc>
          <w:tcPr>
            <w:tcW w:w="552" w:type="pct"/>
            <w:noWrap w:val="0"/>
            <w:vAlign w:val="center"/>
          </w:tcPr>
          <w:p w14:paraId="6FC29390">
            <w:pPr>
              <w:spacing w:line="400" w:lineRule="exact"/>
              <w:jc w:val="center"/>
              <w:outlineLvl w:val="3"/>
              <w:rPr>
                <w:rFonts w:hint="eastAsia" w:ascii="Times New Roman" w:hAnsi="Times New Roman" w:eastAsia="仿宋" w:cs="Times New Roman"/>
                <w:b/>
                <w:bCs/>
                <w:color w:val="auto"/>
                <w:sz w:val="21"/>
                <w:szCs w:val="21"/>
                <w:lang w:val="en-US" w:eastAsia="zh-CN"/>
              </w:rPr>
            </w:pPr>
            <w:r>
              <w:rPr>
                <w:rFonts w:hint="eastAsia" w:ascii="Times New Roman" w:hAnsi="Times New Roman" w:eastAsia="仿宋" w:cs="Times New Roman"/>
                <w:b/>
                <w:bCs/>
                <w:color w:val="auto"/>
                <w:sz w:val="21"/>
                <w:szCs w:val="21"/>
                <w:lang w:val="en-US" w:eastAsia="zh-CN"/>
              </w:rPr>
              <w:t>面积（hm</w:t>
            </w:r>
            <w:r>
              <w:rPr>
                <w:rFonts w:hint="eastAsia" w:ascii="Times New Roman" w:hAnsi="Times New Roman" w:eastAsia="仿宋" w:cs="Times New Roman"/>
                <w:b/>
                <w:bCs/>
                <w:color w:val="auto"/>
                <w:sz w:val="21"/>
                <w:szCs w:val="21"/>
                <w:vertAlign w:val="superscript"/>
                <w:lang w:val="en-US" w:eastAsia="zh-CN"/>
              </w:rPr>
              <w:t>2</w:t>
            </w:r>
            <w:r>
              <w:rPr>
                <w:rFonts w:hint="eastAsia" w:ascii="Times New Roman" w:hAnsi="Times New Roman" w:eastAsia="仿宋" w:cs="Times New Roman"/>
                <w:b/>
                <w:bCs/>
                <w:color w:val="auto"/>
                <w:sz w:val="21"/>
                <w:szCs w:val="21"/>
                <w:lang w:val="en-US" w:eastAsia="zh-CN"/>
              </w:rPr>
              <w:t>）</w:t>
            </w:r>
          </w:p>
        </w:tc>
        <w:tc>
          <w:tcPr>
            <w:tcW w:w="1182" w:type="pct"/>
            <w:noWrap w:val="0"/>
            <w:vAlign w:val="center"/>
          </w:tcPr>
          <w:p w14:paraId="2D27A64B">
            <w:pPr>
              <w:spacing w:line="400" w:lineRule="exact"/>
              <w:jc w:val="center"/>
              <w:outlineLvl w:val="3"/>
              <w:rPr>
                <w:rFonts w:hint="eastAsia" w:ascii="Times New Roman" w:hAnsi="Times New Roman" w:eastAsia="仿宋" w:cs="Times New Roman"/>
                <w:b/>
                <w:bCs/>
                <w:color w:val="auto"/>
                <w:sz w:val="21"/>
                <w:szCs w:val="21"/>
                <w:lang w:val="en-US" w:eastAsia="zh-CN"/>
              </w:rPr>
            </w:pPr>
            <w:r>
              <w:rPr>
                <w:rFonts w:hint="eastAsia" w:ascii="Times New Roman" w:hAnsi="Times New Roman" w:eastAsia="仿宋" w:cs="Times New Roman"/>
                <w:b/>
                <w:bCs/>
                <w:color w:val="auto"/>
                <w:sz w:val="21"/>
                <w:szCs w:val="21"/>
                <w:lang w:val="en-US" w:eastAsia="zh-CN"/>
              </w:rPr>
              <w:t>主要保护对象</w:t>
            </w:r>
          </w:p>
        </w:tc>
      </w:tr>
      <w:tr w14:paraId="08715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pct"/>
            <w:noWrap w:val="0"/>
            <w:vAlign w:val="center"/>
          </w:tcPr>
          <w:p w14:paraId="1FD108CA">
            <w:pPr>
              <w:spacing w:line="400" w:lineRule="exact"/>
              <w:jc w:val="center"/>
              <w:outlineLvl w:val="3"/>
              <w:rPr>
                <w:rFonts w:hint="default"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1</w:t>
            </w:r>
          </w:p>
        </w:tc>
        <w:tc>
          <w:tcPr>
            <w:tcW w:w="968" w:type="pct"/>
            <w:noWrap w:val="0"/>
            <w:vAlign w:val="center"/>
          </w:tcPr>
          <w:p w14:paraId="68F1FCF1">
            <w:pPr>
              <w:spacing w:line="400" w:lineRule="exact"/>
              <w:jc w:val="center"/>
              <w:outlineLvl w:val="3"/>
              <w:rPr>
                <w:rFonts w:hint="default"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云南哀牢山国家级自然保护区</w:t>
            </w:r>
          </w:p>
        </w:tc>
        <w:tc>
          <w:tcPr>
            <w:tcW w:w="583" w:type="pct"/>
            <w:noWrap w:val="0"/>
            <w:vAlign w:val="center"/>
          </w:tcPr>
          <w:p w14:paraId="63D29E85">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1986年</w:t>
            </w:r>
          </w:p>
        </w:tc>
        <w:tc>
          <w:tcPr>
            <w:tcW w:w="734" w:type="pct"/>
            <w:noWrap w:val="0"/>
            <w:vAlign w:val="center"/>
          </w:tcPr>
          <w:p w14:paraId="401961B4">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云南省人民政府</w:t>
            </w:r>
          </w:p>
        </w:tc>
        <w:tc>
          <w:tcPr>
            <w:tcW w:w="573" w:type="pct"/>
            <w:noWrap w:val="0"/>
            <w:vAlign w:val="center"/>
          </w:tcPr>
          <w:p w14:paraId="1F11E028">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国家级</w:t>
            </w:r>
          </w:p>
        </w:tc>
        <w:tc>
          <w:tcPr>
            <w:tcW w:w="552" w:type="pct"/>
            <w:noWrap w:val="0"/>
            <w:vAlign w:val="center"/>
          </w:tcPr>
          <w:p w14:paraId="280BB642">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14275</w:t>
            </w:r>
          </w:p>
        </w:tc>
        <w:tc>
          <w:tcPr>
            <w:tcW w:w="1182" w:type="pct"/>
            <w:noWrap w:val="0"/>
            <w:vAlign w:val="center"/>
          </w:tcPr>
          <w:p w14:paraId="37C3F882">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以云南特有树种为优势的中山湿性常绿阔叶林生态系统和黑冠长臂猿等珍稀野生动植物</w:t>
            </w:r>
          </w:p>
        </w:tc>
      </w:tr>
      <w:tr w14:paraId="35C72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pct"/>
            <w:noWrap w:val="0"/>
            <w:vAlign w:val="center"/>
          </w:tcPr>
          <w:p w14:paraId="785AB30B">
            <w:pPr>
              <w:spacing w:line="400" w:lineRule="exact"/>
              <w:jc w:val="center"/>
              <w:outlineLvl w:val="3"/>
              <w:rPr>
                <w:rFonts w:hint="default"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2</w:t>
            </w:r>
          </w:p>
        </w:tc>
        <w:tc>
          <w:tcPr>
            <w:tcW w:w="968" w:type="pct"/>
            <w:noWrap w:val="0"/>
            <w:vAlign w:val="center"/>
          </w:tcPr>
          <w:p w14:paraId="3E6E97E5">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玉溪玉白顶市级自然保护区</w:t>
            </w:r>
          </w:p>
        </w:tc>
        <w:tc>
          <w:tcPr>
            <w:tcW w:w="583" w:type="pct"/>
            <w:noWrap w:val="0"/>
            <w:vAlign w:val="center"/>
          </w:tcPr>
          <w:p w14:paraId="76399101">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2003年</w:t>
            </w:r>
          </w:p>
        </w:tc>
        <w:tc>
          <w:tcPr>
            <w:tcW w:w="734" w:type="pct"/>
            <w:noWrap w:val="0"/>
            <w:vAlign w:val="center"/>
          </w:tcPr>
          <w:p w14:paraId="117903F0">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玉溪市人民政府</w:t>
            </w:r>
          </w:p>
        </w:tc>
        <w:tc>
          <w:tcPr>
            <w:tcW w:w="573" w:type="pct"/>
            <w:noWrap w:val="0"/>
            <w:vAlign w:val="center"/>
          </w:tcPr>
          <w:p w14:paraId="5556E335">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市级</w:t>
            </w:r>
          </w:p>
        </w:tc>
        <w:tc>
          <w:tcPr>
            <w:tcW w:w="552" w:type="pct"/>
            <w:noWrap w:val="0"/>
            <w:vAlign w:val="center"/>
          </w:tcPr>
          <w:p w14:paraId="4CF8122D">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default" w:ascii="Times New Roman" w:hAnsi="Times New Roman" w:eastAsia="仿宋" w:cs="Times New Roman"/>
                <w:b w:val="0"/>
                <w:bCs w:val="0"/>
                <w:color w:val="auto"/>
                <w:sz w:val="21"/>
                <w:szCs w:val="21"/>
                <w:lang w:val="en-US" w:eastAsia="zh-CN"/>
              </w:rPr>
              <w:t>4865.3</w:t>
            </w:r>
          </w:p>
        </w:tc>
        <w:tc>
          <w:tcPr>
            <w:tcW w:w="1182" w:type="pct"/>
            <w:noWrap w:val="0"/>
            <w:vAlign w:val="center"/>
          </w:tcPr>
          <w:p w14:paraId="108F31BC">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森林生态系统、自然景观和水源林</w:t>
            </w:r>
          </w:p>
        </w:tc>
      </w:tr>
      <w:tr w14:paraId="59151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pct"/>
            <w:noWrap w:val="0"/>
            <w:vAlign w:val="center"/>
          </w:tcPr>
          <w:p w14:paraId="0E4E8FED">
            <w:pPr>
              <w:spacing w:line="400" w:lineRule="exact"/>
              <w:jc w:val="center"/>
              <w:outlineLvl w:val="3"/>
              <w:rPr>
                <w:rFonts w:hint="default"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3</w:t>
            </w:r>
          </w:p>
        </w:tc>
        <w:tc>
          <w:tcPr>
            <w:tcW w:w="968" w:type="pct"/>
            <w:noWrap w:val="0"/>
            <w:vAlign w:val="center"/>
          </w:tcPr>
          <w:p w14:paraId="1D8DEFD2">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云南磨盘山国家级森林公园</w:t>
            </w:r>
          </w:p>
        </w:tc>
        <w:tc>
          <w:tcPr>
            <w:tcW w:w="583" w:type="pct"/>
            <w:noWrap w:val="0"/>
            <w:vAlign w:val="center"/>
          </w:tcPr>
          <w:p w14:paraId="2CC688DE">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1992年</w:t>
            </w:r>
          </w:p>
        </w:tc>
        <w:tc>
          <w:tcPr>
            <w:tcW w:w="734" w:type="pct"/>
            <w:noWrap w:val="0"/>
            <w:vAlign w:val="center"/>
          </w:tcPr>
          <w:p w14:paraId="4C92F12B">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原林业部</w:t>
            </w:r>
          </w:p>
        </w:tc>
        <w:tc>
          <w:tcPr>
            <w:tcW w:w="573" w:type="pct"/>
            <w:noWrap w:val="0"/>
            <w:vAlign w:val="center"/>
          </w:tcPr>
          <w:p w14:paraId="4D060A9A">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国家级</w:t>
            </w:r>
          </w:p>
        </w:tc>
        <w:tc>
          <w:tcPr>
            <w:tcW w:w="552" w:type="pct"/>
            <w:noWrap w:val="0"/>
            <w:vAlign w:val="center"/>
          </w:tcPr>
          <w:p w14:paraId="20B83AE9">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24200</w:t>
            </w:r>
          </w:p>
        </w:tc>
        <w:tc>
          <w:tcPr>
            <w:tcW w:w="1182" w:type="pct"/>
            <w:noWrap w:val="0"/>
            <w:vAlign w:val="center"/>
          </w:tcPr>
          <w:p w14:paraId="0EC482A3">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中山湿性常绿阔叶林</w:t>
            </w:r>
          </w:p>
        </w:tc>
      </w:tr>
      <w:tr w14:paraId="0F857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pct"/>
            <w:noWrap w:val="0"/>
            <w:vAlign w:val="center"/>
          </w:tcPr>
          <w:p w14:paraId="397ABA3D">
            <w:pPr>
              <w:spacing w:line="400" w:lineRule="exact"/>
              <w:jc w:val="center"/>
              <w:outlineLvl w:val="3"/>
              <w:rPr>
                <w:rFonts w:hint="default"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4</w:t>
            </w:r>
          </w:p>
        </w:tc>
        <w:tc>
          <w:tcPr>
            <w:tcW w:w="968" w:type="pct"/>
            <w:noWrap w:val="0"/>
            <w:vAlign w:val="center"/>
          </w:tcPr>
          <w:p w14:paraId="3180F9E8">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新平哀牢山县级自然保护区</w:t>
            </w:r>
          </w:p>
        </w:tc>
        <w:tc>
          <w:tcPr>
            <w:tcW w:w="583" w:type="pct"/>
            <w:noWrap w:val="0"/>
            <w:vAlign w:val="center"/>
          </w:tcPr>
          <w:p w14:paraId="544A64B8">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1983年</w:t>
            </w:r>
          </w:p>
        </w:tc>
        <w:tc>
          <w:tcPr>
            <w:tcW w:w="734" w:type="pct"/>
            <w:noWrap w:val="0"/>
            <w:vAlign w:val="center"/>
          </w:tcPr>
          <w:p w14:paraId="0EFBCFED">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新平县人民政府</w:t>
            </w:r>
          </w:p>
        </w:tc>
        <w:tc>
          <w:tcPr>
            <w:tcW w:w="573" w:type="pct"/>
            <w:noWrap w:val="0"/>
            <w:vAlign w:val="center"/>
          </w:tcPr>
          <w:p w14:paraId="342D9B69">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县级</w:t>
            </w:r>
          </w:p>
        </w:tc>
        <w:tc>
          <w:tcPr>
            <w:tcW w:w="552" w:type="pct"/>
            <w:noWrap w:val="0"/>
            <w:vAlign w:val="center"/>
          </w:tcPr>
          <w:p w14:paraId="440CF933">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10236</w:t>
            </w:r>
          </w:p>
        </w:tc>
        <w:tc>
          <w:tcPr>
            <w:tcW w:w="1182" w:type="pct"/>
            <w:noWrap w:val="0"/>
            <w:vAlign w:val="center"/>
          </w:tcPr>
          <w:p w14:paraId="02DAAA4A">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以云南特有树种为优势的中山湿性常绿阔叶林生态系统和黑冠长臂猿等珍稀野生动植物</w:t>
            </w:r>
          </w:p>
        </w:tc>
      </w:tr>
      <w:tr w14:paraId="28A51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pct"/>
            <w:noWrap w:val="0"/>
            <w:vAlign w:val="center"/>
          </w:tcPr>
          <w:p w14:paraId="086E2650">
            <w:pPr>
              <w:spacing w:line="400" w:lineRule="exact"/>
              <w:jc w:val="center"/>
              <w:outlineLvl w:val="3"/>
              <w:rPr>
                <w:rFonts w:hint="default"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5</w:t>
            </w:r>
          </w:p>
        </w:tc>
        <w:tc>
          <w:tcPr>
            <w:tcW w:w="968" w:type="pct"/>
            <w:noWrap w:val="0"/>
            <w:vAlign w:val="center"/>
          </w:tcPr>
          <w:p w14:paraId="75D28D1F">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新平磨盘山县级自然保护区</w:t>
            </w:r>
          </w:p>
        </w:tc>
        <w:tc>
          <w:tcPr>
            <w:tcW w:w="583" w:type="pct"/>
            <w:noWrap w:val="0"/>
            <w:vAlign w:val="center"/>
          </w:tcPr>
          <w:p w14:paraId="55B48F91">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1989年</w:t>
            </w:r>
          </w:p>
        </w:tc>
        <w:tc>
          <w:tcPr>
            <w:tcW w:w="734" w:type="pct"/>
            <w:noWrap w:val="0"/>
            <w:vAlign w:val="center"/>
          </w:tcPr>
          <w:p w14:paraId="619077DD">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新平县人民政府</w:t>
            </w:r>
          </w:p>
        </w:tc>
        <w:tc>
          <w:tcPr>
            <w:tcW w:w="573" w:type="pct"/>
            <w:noWrap w:val="0"/>
            <w:vAlign w:val="center"/>
          </w:tcPr>
          <w:p w14:paraId="59671708">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县级</w:t>
            </w:r>
          </w:p>
        </w:tc>
        <w:tc>
          <w:tcPr>
            <w:tcW w:w="552" w:type="pct"/>
            <w:noWrap w:val="0"/>
            <w:vAlign w:val="center"/>
          </w:tcPr>
          <w:p w14:paraId="629C9628">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5836.73</w:t>
            </w:r>
          </w:p>
        </w:tc>
        <w:tc>
          <w:tcPr>
            <w:tcW w:w="1182" w:type="pct"/>
            <w:noWrap w:val="0"/>
            <w:vAlign w:val="center"/>
          </w:tcPr>
          <w:p w14:paraId="4EA44A61">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中山湿性常绿阔叶林</w:t>
            </w:r>
          </w:p>
        </w:tc>
      </w:tr>
    </w:tbl>
    <w:p w14:paraId="170DA472">
      <w:pPr>
        <w:pStyle w:val="6"/>
        <w:pageBreakBefore w:val="0"/>
        <w:kinsoku/>
        <w:wordWrap/>
        <w:overflowPunct/>
        <w:topLinePunct w:val="0"/>
        <w:autoSpaceDE/>
        <w:autoSpaceDN/>
        <w:bidi w:val="0"/>
        <w:spacing w:line="500" w:lineRule="exact"/>
        <w:textAlignment w:val="auto"/>
        <w:rPr>
          <w:rFonts w:hint="eastAsia"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2.1.5.8生物多样性</w:t>
      </w:r>
      <w:r>
        <w:rPr>
          <w:rFonts w:hint="eastAsia" w:ascii="Times New Roman" w:hAnsi="Times New Roman" w:eastAsia="仿宋" w:cs="Times New Roman"/>
          <w:b/>
          <w:bCs/>
          <w:snapToGrid w:val="0"/>
          <w:color w:val="auto"/>
          <w:kern w:val="2"/>
          <w:sz w:val="28"/>
          <w:szCs w:val="32"/>
          <w:lang w:val="en-US" w:eastAsia="zh-CN" w:bidi="ar-SA"/>
        </w:rPr>
        <w:t>现状</w:t>
      </w:r>
    </w:p>
    <w:p w14:paraId="678D27A3">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根据《新平县分布国家重点保护野生动植物目录（2021年）》，新平县境内国家一级保护植物有4种，分别是滇南苏铁、陈氏苏铁、文山兜兰、南方红豆杉；国家二级保护植物有桧叶白发藓、苔藓林石杉、福建莲座蕨、中华桫椤、桫椤、翠柏、西康天女花（西康玉兰）、合果木、润楠、狭叶重楼、白及、杜鹃兰、建兰、长叶兰、多花兰、春兰、硬叶兰、莲瓣兰、西藏虎头兰、滇金石斛、玫瑰石斛、晶帽石斛、流苏石斛、小黄花石斛、美花石斛、细茎石斛、石斛、球花石斛、原天麻、华西蝴蝶兰、独蒜兰、大花独蒜兰、毛唇独蒜兰、云南独蒜兰、云南火焰兰、红河火焰兰、钻喙兰、龙棕、疣粒野生稻、箭叶大油芒、八角莲、水青树、云南红景天、野大豆、花榈木、大花香水月季等共71种。</w:t>
      </w:r>
    </w:p>
    <w:p w14:paraId="489C308E">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新平县境内国家一级保护动物共21种，分别是印支灰叶猴、西黑冠长臂猿、穿山甲、豺、大灵猫、小灵猫、缟灵猫、丛林猫、金猫、云豹、林麝、黑颈长尾雉、绿孔雀、黑鹳、海南鳽、黑兀鹫、冠斑犀鸟、棕头歌鸲、黄胸鹀、圆鼻巨蜥；国家二级保护动物有短尾猴、熊猴、猕猴、貉、赤狐、黑熊、黄喉貂、斑林狸、云猫、豹猫、水鹿、毛冠鹿、缅甸斑羚、中华斑羚、中华鬛羚、巨松鼠、环颈山鹧鸪、红喉山鹧鸪、绿脚树鹧鸪、红腹角雉、白鹇、红原鸡、白腹锦鸡、鸳鸯、斑尾鹃鸠、灰头绿鸠、厚嘴绿鸠、针尾绿鸠、楔尾绿鸠、褐翅鸦鹃、小鸦鹃、棕背田鸡、花田鸡、凤头蜂鹰、蛇雕、林雕、白腹隼雕、凤头鹰、褐耳鹰、松雀鹰、雀鹰、白尾鹞、黑翅鸢、无棘溪蟾蜍等102种。</w:t>
      </w:r>
    </w:p>
    <w:p w14:paraId="1B6ED484">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综上，新平县生物多样性富集，生物资源丰富。长期以来，新平县切实加强生物多样性保护和生态修复，不断完善生物多样性保护规划及管理体系，加大监管和执法力度，生物多样性保护工作取得显著成效。</w:t>
      </w:r>
    </w:p>
    <w:p w14:paraId="0741BC3B">
      <w:pPr>
        <w:pStyle w:val="6"/>
        <w:pageBreakBefore w:val="0"/>
        <w:kinsoku/>
        <w:wordWrap/>
        <w:overflowPunct/>
        <w:topLinePunct w:val="0"/>
        <w:autoSpaceDE/>
        <w:autoSpaceDN/>
        <w:bidi w:val="0"/>
        <w:spacing w:line="500" w:lineRule="exact"/>
        <w:textAlignment w:val="auto"/>
        <w:rPr>
          <w:rFonts w:hint="default"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2.1.5.9</w:t>
      </w:r>
      <w:r>
        <w:rPr>
          <w:rFonts w:hint="eastAsia" w:ascii="Times New Roman" w:hAnsi="Times New Roman" w:eastAsia="仿宋" w:cs="Times New Roman"/>
          <w:b/>
          <w:bCs/>
          <w:snapToGrid w:val="0"/>
          <w:color w:val="auto"/>
          <w:kern w:val="2"/>
          <w:sz w:val="28"/>
          <w:szCs w:val="32"/>
          <w:lang w:val="en-US" w:eastAsia="zh-CN" w:bidi="ar-SA"/>
        </w:rPr>
        <w:t>干热河谷生态修复现状</w:t>
      </w:r>
    </w:p>
    <w:p w14:paraId="6FCE3515">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新平县干热河谷地区气候炎热，山高坡陡，常年缺水干旱，土地多以荒山荒坡为主。2008年开始新平县通过引进企业、流转土地，全县土地经营权流转总面积达19.3万亩。新平县通过土地流转，推动柑橘规模化种植基地发展，形成了“公司+基地+农户”的利益联结机制。规模化发展为全面修复干热河谷奠定基础。干热河谷地区森林覆盖率由2015年的61.56%上升到2021年的73.66%。</w:t>
      </w:r>
    </w:p>
    <w:p w14:paraId="459B5BAD">
      <w:pPr>
        <w:pStyle w:val="6"/>
        <w:pageBreakBefore w:val="0"/>
        <w:kinsoku/>
        <w:wordWrap/>
        <w:overflowPunct/>
        <w:topLinePunct w:val="0"/>
        <w:autoSpaceDE/>
        <w:autoSpaceDN/>
        <w:bidi w:val="0"/>
        <w:spacing w:line="500" w:lineRule="exact"/>
        <w:textAlignment w:val="auto"/>
        <w:rPr>
          <w:rFonts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2.1.5.10环境基础设施建设</w:t>
      </w:r>
    </w:p>
    <w:p w14:paraId="401B67A5">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bookmarkStart w:id="58" w:name="_Toc21117"/>
      <w:bookmarkStart w:id="59" w:name="_Toc31710"/>
      <w:r>
        <w:rPr>
          <w:rFonts w:hint="eastAsia" w:ascii="Times New Roman" w:hAnsi="Times New Roman" w:eastAsia="方正仿宋_GBK" w:cs="方正仿宋_GBK"/>
          <w:b w:val="0"/>
          <w:bCs w:val="0"/>
          <w:color w:val="auto"/>
          <w:sz w:val="28"/>
          <w:szCs w:val="28"/>
          <w:lang w:val="en-US" w:eastAsia="zh-CN"/>
        </w:rPr>
        <w:t>（1）生活污水处理</w:t>
      </w:r>
    </w:p>
    <w:p w14:paraId="23E7F12B">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default" w:ascii="Times New Roman" w:hAnsi="Times New Roman" w:eastAsia="方正仿宋_GBK" w:cs="方正仿宋_GBK"/>
          <w:b w:val="0"/>
          <w:bCs w:val="0"/>
          <w:color w:val="auto"/>
          <w:sz w:val="28"/>
          <w:szCs w:val="28"/>
          <w:lang w:val="en-US" w:eastAsia="zh-CN"/>
        </w:rPr>
        <w:t>新平污水处理厂位于县城东北方向，占地面积14亩，始建于2003年9月，2005年6月投入使用，2010年实施二期工程，2011年11月投入使用，处理规模为1万吨/日。2013年9月与北控水务集团签订《新平污水处理厂TOT特许经营权协议》，协议期为30年；2015年5月完成对新平污水处理厂的提标改造，由GB18918－2002《城镇污水处理厂污染物排放标准》一级（B）标提高至一级（A）标</w:t>
      </w:r>
      <w:r>
        <w:rPr>
          <w:rFonts w:hint="eastAsia" w:ascii="Times New Roman" w:hAnsi="Times New Roman" w:eastAsia="方正仿宋_GBK" w:cs="方正仿宋_GBK"/>
          <w:b w:val="0"/>
          <w:bCs w:val="0"/>
          <w:color w:val="auto"/>
          <w:sz w:val="28"/>
          <w:szCs w:val="28"/>
          <w:lang w:val="en-US" w:eastAsia="zh-CN"/>
        </w:rPr>
        <w:t>，</w:t>
      </w:r>
      <w:r>
        <w:rPr>
          <w:rFonts w:hint="default" w:ascii="Times New Roman" w:hAnsi="Times New Roman" w:eastAsia="方正仿宋_GBK" w:cs="方正仿宋_GBK"/>
          <w:b w:val="0"/>
          <w:bCs w:val="0"/>
          <w:color w:val="auto"/>
          <w:sz w:val="28"/>
          <w:szCs w:val="28"/>
          <w:lang w:val="en-US" w:eastAsia="zh-CN"/>
        </w:rPr>
        <w:t>工艺采用改良型A</w:t>
      </w:r>
      <w:r>
        <w:rPr>
          <w:rFonts w:hint="default" w:ascii="Times New Roman" w:hAnsi="Times New Roman" w:eastAsia="方正仿宋_GBK" w:cs="方正仿宋_GBK"/>
          <w:b w:val="0"/>
          <w:bCs w:val="0"/>
          <w:color w:val="auto"/>
          <w:sz w:val="28"/>
          <w:szCs w:val="28"/>
          <w:vertAlign w:val="superscript"/>
          <w:lang w:val="en-US" w:eastAsia="zh-CN"/>
        </w:rPr>
        <w:t>2</w:t>
      </w:r>
      <w:r>
        <w:rPr>
          <w:rFonts w:hint="default" w:ascii="Times New Roman" w:hAnsi="Times New Roman" w:eastAsia="方正仿宋_GBK" w:cs="方正仿宋_GBK"/>
          <w:b w:val="0"/>
          <w:bCs w:val="0"/>
          <w:color w:val="auto"/>
          <w:sz w:val="28"/>
          <w:szCs w:val="28"/>
          <w:lang w:val="en-US" w:eastAsia="zh-CN"/>
        </w:rPr>
        <w:t>/O工艺</w:t>
      </w:r>
      <w:r>
        <w:rPr>
          <w:rFonts w:hint="eastAsia" w:ascii="Times New Roman" w:hAnsi="Times New Roman" w:eastAsia="方正仿宋_GBK" w:cs="方正仿宋_GBK"/>
          <w:b w:val="0"/>
          <w:bCs w:val="0"/>
          <w:color w:val="auto"/>
          <w:sz w:val="28"/>
          <w:szCs w:val="28"/>
          <w:lang w:val="en-US" w:eastAsia="zh-CN"/>
        </w:rPr>
        <w:t>。目前新平污水处理厂服务区域为新平县城建成区，共建了</w:t>
      </w:r>
      <w:r>
        <w:rPr>
          <w:rFonts w:hint="default" w:ascii="Times New Roman" w:hAnsi="Times New Roman" w:eastAsia="方正仿宋_GBK" w:cs="方正仿宋_GBK"/>
          <w:b w:val="0"/>
          <w:bCs w:val="0"/>
          <w:color w:val="auto"/>
          <w:sz w:val="28"/>
          <w:szCs w:val="28"/>
          <w:lang w:val="en-US" w:eastAsia="zh-CN"/>
        </w:rPr>
        <w:t>配套管网30.42千米</w:t>
      </w:r>
      <w:r>
        <w:rPr>
          <w:rFonts w:hint="eastAsia" w:ascii="Times New Roman" w:hAnsi="Times New Roman" w:eastAsia="方正仿宋_GBK" w:cs="方正仿宋_GBK"/>
          <w:b w:val="0"/>
          <w:bCs w:val="0"/>
          <w:color w:val="auto"/>
          <w:sz w:val="28"/>
          <w:szCs w:val="28"/>
          <w:lang w:val="en-US" w:eastAsia="zh-CN"/>
        </w:rPr>
        <w:t>，新平县污水处理厂的脱水污泥委托新平县垃圾填埋场进行卫生填埋</w:t>
      </w:r>
      <w:r>
        <w:rPr>
          <w:rFonts w:hint="default" w:ascii="Times New Roman" w:hAnsi="Times New Roman" w:eastAsia="方正仿宋_GBK" w:cs="方正仿宋_GBK"/>
          <w:b w:val="0"/>
          <w:bCs w:val="0"/>
          <w:color w:val="auto"/>
          <w:sz w:val="28"/>
          <w:szCs w:val="28"/>
          <w:lang w:val="en-US" w:eastAsia="zh-CN"/>
        </w:rPr>
        <w:t>。</w:t>
      </w:r>
      <w:r>
        <w:rPr>
          <w:rFonts w:hint="eastAsia" w:ascii="Times New Roman" w:hAnsi="Times New Roman" w:eastAsia="方正仿宋_GBK" w:cs="方正仿宋_GBK"/>
          <w:b w:val="0"/>
          <w:bCs w:val="0"/>
          <w:color w:val="auto"/>
          <w:sz w:val="28"/>
          <w:szCs w:val="28"/>
          <w:lang w:val="en-US" w:eastAsia="zh-CN"/>
        </w:rPr>
        <w:t>2021年采用在线监测COD进口平均进水浓度179.36mg/L，出口浓度19.33mg/L，氨氮进口平均进水浓度22.6mg/L，出口浓度0.78mg/L。</w:t>
      </w:r>
    </w:p>
    <w:p w14:paraId="1EFC40CC">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近年来，新平县积极开展城镇生活污水处理工作，实施新平县农村人居环境治理项目，截至目前，全县12个乡镇（街道）镇区中桂山街道、古城街道的城镇生活污水统一纳入新平县污水处理厂处理；扬武镇污水处理厂、戛洒镇污水处理厂、漠沙镇污水处理厂已完成了设备安装，进入试运行阶段；水塘镇、新化乡污水处理厂已完成选址、征地等前期工作，待开工建设；其余5个乡镇污水处理厂正在开展选址等前期工作。</w:t>
      </w:r>
    </w:p>
    <w:p w14:paraId="66D2B8ED">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方正仿宋_GBK" w:cs="方正仿宋_GBK"/>
          <w:b w:val="0"/>
          <w:bCs w:val="0"/>
          <w:color w:val="auto"/>
          <w:sz w:val="28"/>
          <w:szCs w:val="28"/>
          <w:lang w:val="en-US" w:eastAsia="zh-CN"/>
        </w:rPr>
      </w:pPr>
      <w:r>
        <w:rPr>
          <w:rFonts w:hint="default" w:ascii="Times New Roman" w:hAnsi="Times New Roman" w:eastAsia="方正仿宋_GBK" w:cs="方正仿宋_GBK"/>
          <w:b w:val="0"/>
          <w:bCs w:val="0"/>
          <w:color w:val="auto"/>
          <w:sz w:val="28"/>
          <w:szCs w:val="28"/>
          <w:lang w:val="en-US" w:eastAsia="zh-CN"/>
        </w:rPr>
        <w:t>截至2021年，全县分散式污水处理设施的有422个，正常运行437个，不正常运行17个，其中，土地处理法、化粪池（二格及以上）+尾水还田利用3个，人工湿地4个，人工湿地、氧化塘1个、人工湿地、化粪池（二格及以上）+尾水还田利用5个，氧化塘175个，氧化塘、化粪池（二格及以上）+尾水还田利用188个，小型一体化设施18个，小型一体化设施、化粪池8个，化粪池（二格及以上）+尾水还田利用5个。新平县分散式污水处理设施以氧化塘和化粪池居多，氧化塘运行成本低比较适用于资金缺少的自然村。集中式污水治理设施数23个，正常运行14个，不正常运行9个，其中日处理规模20至30吨的有13个，日处理规模30至40吨的有1个，日处理规模40至50吨的有9个。</w:t>
      </w:r>
      <w:r>
        <w:rPr>
          <w:rFonts w:hint="eastAsia" w:ascii="Times New Roman" w:hAnsi="Times New Roman" w:eastAsia="方正仿宋_GBK" w:cs="方正仿宋_GBK"/>
          <w:b w:val="0"/>
          <w:bCs w:val="0"/>
          <w:color w:val="auto"/>
          <w:sz w:val="28"/>
          <w:szCs w:val="28"/>
          <w:lang w:val="en-US" w:eastAsia="zh-CN"/>
        </w:rPr>
        <w:t>全县完成农村生活污水治理1342个自然村，治理率91.67%，其中，农村生活污水得到有效管控的自然村638个，有效管控率43.58%，收集处理率48.09%。</w:t>
      </w:r>
    </w:p>
    <w:p w14:paraId="4AFC9815">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方正仿宋_GBK" w:cs="方正仿宋_GBK"/>
          <w:b w:val="0"/>
          <w:bCs w:val="0"/>
          <w:color w:val="auto"/>
          <w:sz w:val="28"/>
          <w:szCs w:val="28"/>
          <w:lang w:val="en-US" w:eastAsia="zh-CN"/>
        </w:rPr>
      </w:pPr>
      <w:r>
        <w:rPr>
          <w:rFonts w:hint="default" w:ascii="Times New Roman" w:hAnsi="Times New Roman" w:eastAsia="方正仿宋_GBK" w:cs="方正仿宋_GBK"/>
          <w:b w:val="0"/>
          <w:bCs w:val="0"/>
          <w:color w:val="auto"/>
          <w:sz w:val="28"/>
          <w:szCs w:val="28"/>
          <w:lang w:val="en-US" w:eastAsia="zh-CN"/>
        </w:rPr>
        <w:t>（2）生活垃圾处置</w:t>
      </w:r>
    </w:p>
    <w:p w14:paraId="778AFB30">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新平县城市生活垃圾填埋场位于距县城中心城区10.5公里处的者甸村委会麦子冲箐，2010年8月9日开工建设，占地面积160亩，规划使用年限至2024年6月，设计日均处理生活垃圾80吨，生活垃圾填埋场自2012年7月19日建成投入使用，坚持按照《生活垃圾卫生填埋技术规范》和《生活垃圾填埋场无害化评价标准》的要求进行卫生填埋。</w:t>
      </w:r>
    </w:p>
    <w:p w14:paraId="3730C19B">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全县12个乡镇（街道）镇区均有垃圾收运体系，截至目前，建成镇区中转站2个，配置1吨以上垃圾收运车辆29辆，建成镇区垃圾处理场10个，建成镇区垃圾处理场规模为114.9吨/日，卫生填埋场数量（指铺有防渗膜的正规填埋场）2个，9个乡镇（街道）镇区无生活垃圾乱堆乱放情况。截至目前，戛洒镇集镇垃圾热解站已投入使用，漠沙集镇垃圾热解站、扬武集镇垃圾热解站已完成设备安装，投入试运行。</w:t>
      </w:r>
    </w:p>
    <w:p w14:paraId="4456FBF3">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村庄生活垃圾治理。截至目前，全县1464个自然村均配有必要的公共垃圾收运设施（垃圾箱、房、桶、池等），村庄生活垃圾得到有效收集，其中转运至城镇处理的自然村数量149个，卫生填埋的自然村5个，简易填埋、指定地点堆放等的自然村1229个，焚烧炉处理的自然村81个。生活垃圾得到及时处理，无生活垃圾乱堆乱放，且消除非指定生活垃圾点裸露垃圾，基本达到“组收集、村（镇）转运、镇（片区）处理”的治理要求。</w:t>
      </w:r>
    </w:p>
    <w:bookmarkEnd w:id="58"/>
    <w:bookmarkEnd w:id="59"/>
    <w:p w14:paraId="02FCA57A">
      <w:pPr>
        <w:pStyle w:val="4"/>
        <w:pageBreakBefore w:val="0"/>
        <w:kinsoku/>
        <w:wordWrap/>
        <w:overflowPunct/>
        <w:topLinePunct w:val="0"/>
        <w:autoSpaceDE/>
        <w:autoSpaceDN/>
        <w:bidi w:val="0"/>
        <w:spacing w:before="260" w:after="260" w:line="500" w:lineRule="exact"/>
        <w:ind w:firstLine="0"/>
        <w:textAlignment w:val="auto"/>
        <w:rPr>
          <w:rFonts w:ascii="Times New Roman" w:hAnsi="Times New Roman" w:eastAsia="仿宋" w:cs="Times New Roman"/>
          <w:color w:val="auto"/>
          <w:sz w:val="32"/>
          <w:lang w:val="en-US" w:eastAsia="zh-CN"/>
        </w:rPr>
      </w:pPr>
      <w:bookmarkStart w:id="60" w:name="_Toc27308"/>
      <w:r>
        <w:rPr>
          <w:rFonts w:ascii="Times New Roman" w:hAnsi="Times New Roman" w:eastAsia="仿宋" w:cs="Times New Roman"/>
          <w:color w:val="auto"/>
          <w:sz w:val="32"/>
          <w:lang w:val="en-US" w:eastAsia="zh-CN"/>
        </w:rPr>
        <w:t>2.2工作基础</w:t>
      </w:r>
      <w:bookmarkEnd w:id="60"/>
    </w:p>
    <w:p w14:paraId="22A6BAEA">
      <w:pPr>
        <w:pStyle w:val="5"/>
        <w:pageBreakBefore w:val="0"/>
        <w:kinsoku/>
        <w:wordWrap/>
        <w:overflowPunct/>
        <w:topLinePunct w:val="0"/>
        <w:autoSpaceDE/>
        <w:autoSpaceDN/>
        <w:bidi w:val="0"/>
        <w:spacing w:before="120" w:after="120" w:line="500" w:lineRule="exact"/>
        <w:ind w:firstLine="0" w:firstLineChars="0"/>
        <w:textAlignment w:val="auto"/>
        <w:rPr>
          <w:rFonts w:hint="eastAsia" w:eastAsia="仿宋"/>
          <w:snapToGrid w:val="0"/>
          <w:color w:val="auto"/>
          <w:sz w:val="28"/>
          <w:szCs w:val="28"/>
          <w:lang w:val="en-US" w:eastAsia="zh-CN"/>
        </w:rPr>
      </w:pPr>
      <w:bookmarkStart w:id="61" w:name="_Toc1239"/>
      <w:r>
        <w:rPr>
          <w:rFonts w:eastAsia="仿宋"/>
          <w:snapToGrid w:val="0"/>
          <w:color w:val="auto"/>
          <w:sz w:val="28"/>
          <w:szCs w:val="28"/>
        </w:rPr>
        <w:t>2.2.1</w:t>
      </w:r>
      <w:r>
        <w:rPr>
          <w:rFonts w:hint="eastAsia" w:eastAsia="仿宋"/>
          <w:snapToGrid w:val="0"/>
          <w:color w:val="auto"/>
          <w:sz w:val="28"/>
          <w:szCs w:val="28"/>
          <w:lang w:val="en-US" w:eastAsia="zh-CN"/>
        </w:rPr>
        <w:t>坚持</w:t>
      </w:r>
      <w:r>
        <w:rPr>
          <w:rFonts w:eastAsia="仿宋"/>
          <w:snapToGrid w:val="0"/>
          <w:color w:val="auto"/>
          <w:sz w:val="28"/>
          <w:szCs w:val="28"/>
        </w:rPr>
        <w:t>生态文明为引领，生态</w:t>
      </w:r>
      <w:r>
        <w:rPr>
          <w:rFonts w:hint="eastAsia" w:eastAsia="仿宋"/>
          <w:snapToGrid w:val="0"/>
          <w:color w:val="auto"/>
          <w:sz w:val="28"/>
          <w:szCs w:val="28"/>
          <w:lang w:val="en-US" w:eastAsia="zh-CN"/>
        </w:rPr>
        <w:t>体制机制不断完善</w:t>
      </w:r>
      <w:bookmarkEnd w:id="61"/>
    </w:p>
    <w:p w14:paraId="3001B327">
      <w:pPr>
        <w:pStyle w:val="8"/>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sz w:val="28"/>
          <w:szCs w:val="28"/>
          <w:lang w:val="en-US" w:eastAsia="zh-CN"/>
        </w:rPr>
        <w:t>新平县以习近平生态文明思想为引领，不断深化生态文明建设体制改革，建立健全以党政领导负责制为核心的责任体系，强化工作措施，协调各方力量，形成一级抓一级、层层抓落实的工作格局，</w:t>
      </w:r>
      <w:r>
        <w:rPr>
          <w:rFonts w:hint="eastAsia" w:ascii="Times New Roman" w:hAnsi="Times New Roman" w:eastAsia="方正仿宋_GBK" w:cs="方正仿宋_GBK"/>
          <w:b w:val="0"/>
          <w:bCs w:val="0"/>
          <w:color w:val="auto"/>
          <w:kern w:val="2"/>
          <w:sz w:val="28"/>
          <w:szCs w:val="28"/>
          <w:lang w:val="en-US" w:eastAsia="zh-CN" w:bidi="ar-SA"/>
        </w:rPr>
        <w:t>制定并实施《玉溪市新平哀牢山县级自然保护区条例》《云南省新平彝族傣族自治县水资源条例》《云南省新平彝族傣族自治县矿产资源开发利用和矿山地质环境保护条例》《云南省新平彝族傣族自治县城乡规划建设管理条例》《云南省新平彝族傣族自治县民族民间文化保护条例》，为守护新平县自然保护区、水资源、矿产资源、民间文化以及规范城市管理提供了法律依据。出台了《新平县生态环境损害赔偿制度改革实施方案》《新平县领导干部自然资源资产离任审计工作规划（2016—2020年）》《新平县县级有关部门和单位生态环境保护责任清单》等一系列文件，健全完善生态文明建设考核评价制度，将生态环境保护指标纳入各级党政领导班子和领导干部综合考核评价体系，生态文明建设考核评价体系逐步健全。县政府与各乡镇人民政府、街道办事处主要负责人签订生态环境保护工作目标责任书，进一步把“党政同责、一岗双责”落到实处，全面推动污染防治工作。开展领导干部自然资源资产离任审计工作，实施生态环境损害赔偿制度，建立生态环境资源保护司法与联合执法联动机制，生态领域政策体系逐步完善。</w:t>
      </w:r>
    </w:p>
    <w:p w14:paraId="3938204E">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62" w:name="_Toc1312"/>
      <w:r>
        <w:rPr>
          <w:rFonts w:eastAsia="仿宋"/>
          <w:snapToGrid w:val="0"/>
          <w:color w:val="auto"/>
          <w:sz w:val="28"/>
          <w:szCs w:val="28"/>
        </w:rPr>
        <w:t>2.2.</w:t>
      </w:r>
      <w:r>
        <w:rPr>
          <w:rFonts w:hint="eastAsia" w:eastAsia="仿宋"/>
          <w:snapToGrid w:val="0"/>
          <w:color w:val="auto"/>
          <w:sz w:val="28"/>
          <w:szCs w:val="28"/>
          <w:lang w:val="en-US" w:eastAsia="zh-CN"/>
        </w:rPr>
        <w:t>2坚持</w:t>
      </w:r>
      <w:r>
        <w:rPr>
          <w:rFonts w:eastAsia="仿宋"/>
          <w:snapToGrid w:val="0"/>
          <w:color w:val="auto"/>
          <w:sz w:val="28"/>
          <w:szCs w:val="28"/>
        </w:rPr>
        <w:t>系统保护为重点，</w:t>
      </w:r>
      <w:r>
        <w:rPr>
          <w:rFonts w:hint="eastAsia" w:eastAsia="仿宋"/>
          <w:snapToGrid w:val="0"/>
          <w:color w:val="auto"/>
          <w:sz w:val="28"/>
          <w:szCs w:val="28"/>
          <w:lang w:val="en-US" w:eastAsia="zh-CN"/>
        </w:rPr>
        <w:t>生态安全屏障更加牢固</w:t>
      </w:r>
      <w:bookmarkEnd w:id="62"/>
    </w:p>
    <w:p w14:paraId="131398AA">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林草覆盖率稳步提高。近年来，新平县树牢“绿水青山就是金山银山”理念，统筹推进山水林田湖草沙系统治理，以林业生态工程建设为主体，以天保、生态公益林、退耕还林、山林长制等重大工程建设为契机，加强森林资源保护、森林培育和森林质量提升，加大造林绿化工作力度，生态环境日益改善。新平县是玉溪市森林面积最大且唯一实施天然林保护工程的县，为了加大森林管护力度，2020年全县共安排管护人员638人，通过明确责权利，严明奖惩，做到了山山有人护、箐箐有人管，实现了森林面积、蓄积持续增加，水土流失得到有效控制，林区就业和民生得到有效改善。2021年森林覆盖率比2016年提高9个百分点、达73.66%，先后被评为全国绿化模范县，2020年，新平县还被列为全省10个林长制示范县之一。2021与全国同步全面推行林长制制度。</w:t>
      </w:r>
    </w:p>
    <w:p w14:paraId="233404C9">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区域内生态系统保存较为完整。云南哀牢山国家级自然保护区跨三州（市）6县，即玉溪市新平县，普洱市景东县、镇沅县，楚雄州楚雄市、双柏县、南华县，保护区总面积67700hm</w:t>
      </w:r>
      <w:r>
        <w:rPr>
          <w:rFonts w:hint="eastAsia" w:ascii="Times New Roman" w:hAnsi="Times New Roman" w:eastAsia="方正仿宋_GBK" w:cs="方正仿宋_GBK"/>
          <w:b w:val="0"/>
          <w:bCs w:val="0"/>
          <w:color w:val="auto"/>
          <w:sz w:val="28"/>
          <w:szCs w:val="28"/>
          <w:vertAlign w:val="superscript"/>
          <w:lang w:val="en-US" w:eastAsia="zh-CN"/>
        </w:rPr>
        <w:t>2</w:t>
      </w:r>
      <w:r>
        <w:rPr>
          <w:rFonts w:hint="eastAsia" w:ascii="Times New Roman" w:hAnsi="Times New Roman" w:eastAsia="方正仿宋_GBK" w:cs="方正仿宋_GBK"/>
          <w:b w:val="0"/>
          <w:bCs w:val="0"/>
          <w:color w:val="auto"/>
          <w:sz w:val="28"/>
          <w:szCs w:val="28"/>
          <w:lang w:val="en-US" w:eastAsia="zh-CN"/>
        </w:rPr>
        <w:t>，其中新平县境内的保护区面积为14291.19hm</w:t>
      </w:r>
      <w:r>
        <w:rPr>
          <w:rFonts w:hint="eastAsia" w:ascii="Times New Roman" w:hAnsi="Times New Roman" w:eastAsia="方正仿宋_GBK" w:cs="方正仿宋_GBK"/>
          <w:b w:val="0"/>
          <w:bCs w:val="0"/>
          <w:color w:val="auto"/>
          <w:sz w:val="28"/>
          <w:szCs w:val="28"/>
          <w:vertAlign w:val="superscript"/>
          <w:lang w:val="en-US" w:eastAsia="zh-CN"/>
        </w:rPr>
        <w:t>2</w:t>
      </w:r>
      <w:r>
        <w:rPr>
          <w:rFonts w:hint="eastAsia" w:ascii="Times New Roman" w:hAnsi="Times New Roman" w:eastAsia="方正仿宋_GBK" w:cs="方正仿宋_GBK"/>
          <w:b w:val="0"/>
          <w:bCs w:val="0"/>
          <w:color w:val="auto"/>
          <w:sz w:val="28"/>
          <w:szCs w:val="28"/>
          <w:lang w:val="en-US" w:eastAsia="zh-CN"/>
        </w:rPr>
        <w:t>。根据云南省林业厅《云南省自然保护区森林生态系统服务功能评估报告》的统计数据和测算指标估算，保护区生态效益的年产出总价值约18.78亿元。哀牢山国家级自然保护区内植被类型丰富，珍稀保护树种群落分布集中，生物多样性丰富，森林生态系统保存比较完整。</w:t>
      </w:r>
    </w:p>
    <w:p w14:paraId="106A44BF">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生物多样性得到有效保护。依托云南哀牢山国家级自然保护区保护区域生物多样性，成立西黑冠长臂猿生态行为研究站，坚持开展鸟类环志监测。在哀牢山国家级保护区外，新平县划定102平方公里林地作为县级保护区，颁布《玉溪市新平哀牢山县级自然保护区条例》，通过立法的方式加大对哀牢山生态环境的保护力度。新平县境内森林类型较多，其中的中山湿性常绿阔叶的原始森林，其森林类型罕见，被誉为镶嵌在植物王国皇冠上的“绿宝石”。境内有许多珍禽异兽，其中有国家级保护动物绿孔雀、西黑冠长臂猿、云豹等，大量珍稀鸟类白鹇、相思鸟、太阳鸟等，有国家级保护植物伯乐树、水青树、野银杏等。新平县建立了4个绿孔雀保护小区，保护好境内绿孔雀，截至2021年8月，新平境内野生绿孔雀种群约为35个种群189—223只，其中2021年新增雏鸟57只。对比2017年情况，增加了108—116只，种群增约18群。同时做好西黑冠长臂猿保护和鸟类监测环志工作，据调查结果显示，云南哀牢山国家级自然保护区新平片区的西黑冠长臂猿种群已从2010年的124群增长到2021年的154群以上。2021年7月北移亚洲象南归中途径新平县，新平县坚持疏堵结合，采取道路管制、隔离围挡、人员疏散、投食诱导等应急措施，引导象群尽可能安全通过预定路线，启动野生动物公众责任保险定损赔付工作，维护人民群众合法权益，圆满完成护航北移亚洲象南归任务。新平县境内有1个国家级鸟类环志监测站，即金山丫口鸟类监测环志站，每年9-11月在金山丫口开展鸟类监测环志工作，截至2021年，共环志鸟类54079只，14目32科，235种。其科研结果显示：与《哀牢山自然保护区综合考察报告集》相对比，新增鸟类记录种70余种，发现云南省新记录种1种﹙海南鳽﹚。</w:t>
      </w:r>
    </w:p>
    <w:p w14:paraId="1E78A122">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生态空间持续优化。新平县海拔从422米到3166米，哀牢山从山麓至山顶依次为南亚热带、中亚热带、北亚热带、暖温带、温带、寒温带气候；是世界同纬度生物多样化、同类型植物群落保留最完整的地区。县域内有云南省哀牢山国家级自然保护区（新平段）、玉白顶林场市级自然保护区、哀牢山县级自然保护区、磨盘山县级自然保护区和磨盘山国家级森林公园等自然保护地，自然保护地批复面积累计57320.70hm2（含交叉重叠），占全县国土总面积的13.41%。全县湿地资源总量达5044.04hm</w:t>
      </w:r>
      <w:r>
        <w:rPr>
          <w:rFonts w:hint="eastAsia" w:ascii="Times New Roman" w:hAnsi="Times New Roman" w:eastAsia="方正仿宋_GBK" w:cs="方正仿宋_GBK"/>
          <w:b w:val="0"/>
          <w:bCs w:val="0"/>
          <w:color w:val="auto"/>
          <w:sz w:val="28"/>
          <w:szCs w:val="28"/>
          <w:vertAlign w:val="superscript"/>
          <w:lang w:val="en-US" w:eastAsia="zh-CN"/>
        </w:rPr>
        <w:t>2</w:t>
      </w:r>
      <w:r>
        <w:rPr>
          <w:rFonts w:hint="eastAsia" w:ascii="Times New Roman" w:hAnsi="Times New Roman" w:eastAsia="方正仿宋_GBK" w:cs="方正仿宋_GBK"/>
          <w:b w:val="0"/>
          <w:bCs w:val="0"/>
          <w:color w:val="auto"/>
          <w:sz w:val="28"/>
          <w:szCs w:val="28"/>
          <w:lang w:val="en-US" w:eastAsia="zh-CN"/>
        </w:rPr>
        <w:t>。全县生态保护红线1203.31km</w:t>
      </w:r>
      <w:r>
        <w:rPr>
          <w:rFonts w:hint="eastAsia" w:ascii="Times New Roman" w:hAnsi="Times New Roman" w:eastAsia="方正仿宋_GBK" w:cs="方正仿宋_GBK"/>
          <w:b w:val="0"/>
          <w:bCs w:val="0"/>
          <w:color w:val="auto"/>
          <w:sz w:val="28"/>
          <w:szCs w:val="28"/>
          <w:vertAlign w:val="superscript"/>
          <w:lang w:val="en-US" w:eastAsia="zh-CN"/>
        </w:rPr>
        <w:t>2</w:t>
      </w:r>
      <w:r>
        <w:rPr>
          <w:rFonts w:hint="eastAsia" w:ascii="Times New Roman" w:hAnsi="Times New Roman" w:eastAsia="方正仿宋_GBK" w:cs="方正仿宋_GBK"/>
          <w:b w:val="0"/>
          <w:bCs w:val="0"/>
          <w:color w:val="auto"/>
          <w:sz w:val="28"/>
          <w:szCs w:val="28"/>
          <w:lang w:val="en-US" w:eastAsia="zh-CN"/>
        </w:rPr>
        <w:t>，占国土面积的28.21%。</w:t>
      </w:r>
    </w:p>
    <w:p w14:paraId="50229C1B">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生态保护和修复不断强化。近年来，新平县树牢“绿水青山就是金山银山”理念，统筹推进山水林田湖草沙系统治理，以林业生态工程建设为主体，以天保、生态公益林、退耕还林、山林长制等重大工程建设为契机，加强森林资源保护、森林培育和森林质量提升，加大造林绿化工作力度，生态环境日益改善。新平县是玉溪市森林面积最大且唯一实施天然林保护工程的县，为了加大森林管护力度，2020年全县共安排管护人员638人，通过明确责权利，严明奖惩，做到了山山有人护、箐箐有人管，实现了森林面积、蓄积持续增加，水土流失得到有效控制，林区就业和民生得到有效改善。2021年森林覆盖率比2016年提高9个百分点、达73.66%，先后被评为全国绿化模范县，2020年，新平县还被列为全省10个林长制示范县之一。2021与全国同步全面推行林长制制度。</w:t>
      </w:r>
    </w:p>
    <w:p w14:paraId="1D46A97A">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szCs w:val="28"/>
        </w:rPr>
      </w:pPr>
      <w:bookmarkStart w:id="63" w:name="_Toc13659"/>
      <w:r>
        <w:rPr>
          <w:rFonts w:eastAsia="仿宋"/>
          <w:snapToGrid w:val="0"/>
          <w:color w:val="auto"/>
          <w:sz w:val="28"/>
          <w:szCs w:val="28"/>
        </w:rPr>
        <w:t>2.2.</w:t>
      </w:r>
      <w:r>
        <w:rPr>
          <w:rFonts w:hint="eastAsia" w:eastAsia="仿宋"/>
          <w:snapToGrid w:val="0"/>
          <w:color w:val="auto"/>
          <w:sz w:val="28"/>
          <w:szCs w:val="28"/>
          <w:lang w:val="en-US" w:eastAsia="zh-CN"/>
        </w:rPr>
        <w:t>3坚持生态</w:t>
      </w:r>
      <w:r>
        <w:rPr>
          <w:rFonts w:hint="eastAsia" w:eastAsia="仿宋"/>
          <w:snapToGrid w:val="0"/>
          <w:color w:val="auto"/>
          <w:sz w:val="28"/>
          <w:szCs w:val="28"/>
        </w:rPr>
        <w:t>保护优先，生态环境更加优美</w:t>
      </w:r>
      <w:bookmarkEnd w:id="63"/>
    </w:p>
    <w:p w14:paraId="0D15D576">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近年来，新平县加强重点生态功能区规划布局，完成全县“三区三线”划定，为统筹保护与开发提供了基本遵循。蓝天、碧水、净土保卫战纵深推进，“三线一单”生态环境分区管控有效实施，中央第二轮环保督察反馈问题整改取得阶段性成效，信访交办件办结率达</w:t>
      </w:r>
      <w:r>
        <w:rPr>
          <w:rFonts w:hint="default" w:ascii="Times New Roman" w:hAnsi="Times New Roman" w:eastAsia="方正仿宋_GBK" w:cs="方正仿宋_GBK"/>
          <w:b w:val="0"/>
          <w:bCs w:val="0"/>
          <w:color w:val="auto"/>
          <w:sz w:val="28"/>
          <w:szCs w:val="28"/>
          <w:lang w:val="en-US" w:eastAsia="zh-CN"/>
        </w:rPr>
        <w:t>100%</w:t>
      </w:r>
      <w:r>
        <w:rPr>
          <w:rFonts w:hint="eastAsia" w:ascii="Times New Roman" w:hAnsi="Times New Roman" w:eastAsia="方正仿宋_GBK" w:cs="方正仿宋_GBK"/>
          <w:b w:val="0"/>
          <w:bCs w:val="0"/>
          <w:color w:val="auto"/>
          <w:sz w:val="28"/>
          <w:szCs w:val="28"/>
          <w:lang w:val="en-US" w:eastAsia="zh-CN"/>
        </w:rPr>
        <w:t>，省生态环境联合执法检查反馈问题完成整改，省第二轮环保督察转办件整改有力推进。狠抓工业废气、城市扬尘等污染防治，钢铁行业超低排放、工业窑炉综合治理成效明显，2021年县城环境空气质量优良率达</w:t>
      </w:r>
      <w:r>
        <w:rPr>
          <w:rFonts w:hint="default" w:ascii="Times New Roman" w:hAnsi="Times New Roman" w:eastAsia="方正仿宋_GBK" w:cs="方正仿宋_GBK"/>
          <w:b w:val="0"/>
          <w:bCs w:val="0"/>
          <w:color w:val="auto"/>
          <w:sz w:val="28"/>
          <w:szCs w:val="28"/>
          <w:lang w:val="en-US" w:eastAsia="zh-CN"/>
        </w:rPr>
        <w:t>99</w:t>
      </w:r>
      <w:r>
        <w:rPr>
          <w:rFonts w:hint="eastAsia" w:ascii="Times New Roman" w:hAnsi="Times New Roman" w:eastAsia="方正仿宋_GBK" w:cs="方正仿宋_GBK"/>
          <w:b w:val="0"/>
          <w:bCs w:val="0"/>
          <w:color w:val="auto"/>
          <w:sz w:val="28"/>
          <w:szCs w:val="28"/>
          <w:lang w:val="en-US" w:eastAsia="zh-CN"/>
        </w:rPr>
        <w:t>.7</w:t>
      </w:r>
      <w:r>
        <w:rPr>
          <w:rFonts w:hint="default" w:ascii="Times New Roman" w:hAnsi="Times New Roman" w:eastAsia="方正仿宋_GBK" w:cs="方正仿宋_GBK"/>
          <w:b w:val="0"/>
          <w:bCs w:val="0"/>
          <w:color w:val="auto"/>
          <w:sz w:val="28"/>
          <w:szCs w:val="28"/>
          <w:lang w:val="en-US" w:eastAsia="zh-CN"/>
        </w:rPr>
        <w:t>%</w:t>
      </w:r>
      <w:r>
        <w:rPr>
          <w:rFonts w:hint="eastAsia" w:ascii="Times New Roman" w:hAnsi="Times New Roman" w:eastAsia="方正仿宋_GBK" w:cs="方正仿宋_GBK"/>
          <w:b w:val="0"/>
          <w:bCs w:val="0"/>
          <w:color w:val="auto"/>
          <w:sz w:val="28"/>
          <w:szCs w:val="28"/>
          <w:lang w:val="en-US" w:eastAsia="zh-CN"/>
        </w:rPr>
        <w:t>。统筹推进“三水共治”，开展河湖岸线保护与利用规划编制，完成</w:t>
      </w:r>
      <w:r>
        <w:rPr>
          <w:rFonts w:hint="default" w:ascii="Times New Roman" w:hAnsi="Times New Roman" w:eastAsia="方正仿宋_GBK" w:cs="方正仿宋_GBK"/>
          <w:b w:val="0"/>
          <w:bCs w:val="0"/>
          <w:color w:val="auto"/>
          <w:sz w:val="28"/>
          <w:szCs w:val="28"/>
          <w:lang w:val="en-US" w:eastAsia="zh-CN"/>
        </w:rPr>
        <w:t>44</w:t>
      </w:r>
      <w:r>
        <w:rPr>
          <w:rFonts w:hint="eastAsia" w:ascii="Times New Roman" w:hAnsi="Times New Roman" w:eastAsia="方正仿宋_GBK" w:cs="方正仿宋_GBK"/>
          <w:b w:val="0"/>
          <w:bCs w:val="0"/>
          <w:color w:val="auto"/>
          <w:sz w:val="28"/>
          <w:szCs w:val="28"/>
          <w:lang w:val="en-US" w:eastAsia="zh-CN"/>
        </w:rPr>
        <w:t>条河流河道管理范围划定，河长制全面落实，“河长清河”“清四乱”“碍洪”问题整治等专项行动常态化开展，启动实施乡镇集中式饮用水水源地环境保护项目，2021年，县域主要河流戛洒江和平甸河水质满足水环境功能区划要求，其中国控断面（小河底河－化念水库）、省控断面（戛洒江南薅、平甸河居拉里大桥、他拉河水库）均达到或好于Ⅲ类，县城集中式饮用水源地和</w:t>
      </w:r>
      <w:r>
        <w:rPr>
          <w:rFonts w:hint="default" w:ascii="Times New Roman" w:hAnsi="Times New Roman" w:eastAsia="方正仿宋_GBK" w:cs="方正仿宋_GBK"/>
          <w:b w:val="0"/>
          <w:bCs w:val="0"/>
          <w:color w:val="auto"/>
          <w:sz w:val="28"/>
          <w:szCs w:val="28"/>
          <w:lang w:val="en-US" w:eastAsia="zh-CN"/>
        </w:rPr>
        <w:t>4</w:t>
      </w:r>
      <w:r>
        <w:rPr>
          <w:rFonts w:hint="eastAsia" w:ascii="Times New Roman" w:hAnsi="Times New Roman" w:eastAsia="方正仿宋_GBK" w:cs="方正仿宋_GBK"/>
          <w:b w:val="0"/>
          <w:bCs w:val="0"/>
          <w:color w:val="auto"/>
          <w:sz w:val="28"/>
          <w:szCs w:val="28"/>
          <w:lang w:val="en-US" w:eastAsia="zh-CN"/>
        </w:rPr>
        <w:t>个“千吨万人”饮用水源地水质达标率保持</w:t>
      </w:r>
      <w:r>
        <w:rPr>
          <w:rFonts w:hint="default" w:ascii="Times New Roman" w:hAnsi="Times New Roman" w:eastAsia="方正仿宋_GBK" w:cs="方正仿宋_GBK"/>
          <w:b w:val="0"/>
          <w:bCs w:val="0"/>
          <w:color w:val="auto"/>
          <w:sz w:val="28"/>
          <w:szCs w:val="28"/>
          <w:lang w:val="en-US" w:eastAsia="zh-CN"/>
        </w:rPr>
        <w:t>100%</w:t>
      </w:r>
      <w:r>
        <w:rPr>
          <w:rFonts w:hint="eastAsia" w:ascii="Times New Roman" w:hAnsi="Times New Roman" w:eastAsia="方正仿宋_GBK" w:cs="方正仿宋_GBK"/>
          <w:b w:val="0"/>
          <w:bCs w:val="0"/>
          <w:color w:val="auto"/>
          <w:sz w:val="28"/>
          <w:szCs w:val="28"/>
          <w:lang w:val="en-US" w:eastAsia="zh-CN"/>
        </w:rPr>
        <w:t>。开展土壤污染源管控行动，完成“两矿一公司”土壤污染隐患排查，强化农业面源污染防控，推动农业绿色发展，鼎成农业入选国家级生态农场名单。完成重点企业土壤环境风险隐患排查，受污染耕地安全利用和严格管控措施完成23374亩，完成任务面积20155.84亩的115.97%。2021年污染地块安全利用率达到100%。县城功能区声环境质量、交通噪声和区域噪声达标率为100%，人民群众生态环境获得感、幸福感、安全感显著增强。</w:t>
      </w:r>
    </w:p>
    <w:p w14:paraId="7D2C7491">
      <w:pPr>
        <w:pStyle w:val="5"/>
        <w:pageBreakBefore w:val="0"/>
        <w:kinsoku/>
        <w:wordWrap/>
        <w:overflowPunct/>
        <w:topLinePunct w:val="0"/>
        <w:autoSpaceDE/>
        <w:autoSpaceDN/>
        <w:bidi w:val="0"/>
        <w:spacing w:before="120" w:after="120" w:line="500" w:lineRule="exact"/>
        <w:ind w:firstLine="0" w:firstLineChars="0"/>
        <w:textAlignment w:val="auto"/>
        <w:rPr>
          <w:rFonts w:hint="eastAsia" w:eastAsia="仿宋"/>
          <w:snapToGrid w:val="0"/>
          <w:color w:val="auto"/>
          <w:sz w:val="28"/>
          <w:szCs w:val="28"/>
          <w:lang w:val="en-US" w:eastAsia="zh-CN"/>
        </w:rPr>
      </w:pPr>
      <w:bookmarkStart w:id="64" w:name="_Toc31000"/>
      <w:r>
        <w:rPr>
          <w:rFonts w:eastAsia="仿宋"/>
          <w:snapToGrid w:val="0"/>
          <w:color w:val="auto"/>
          <w:sz w:val="28"/>
          <w:szCs w:val="28"/>
        </w:rPr>
        <w:t>2.2.</w:t>
      </w:r>
      <w:r>
        <w:rPr>
          <w:rFonts w:hint="eastAsia" w:eastAsia="仿宋"/>
          <w:snapToGrid w:val="0"/>
          <w:color w:val="auto"/>
          <w:sz w:val="28"/>
          <w:szCs w:val="28"/>
          <w:lang w:val="en-US" w:eastAsia="zh-CN"/>
        </w:rPr>
        <w:t>4</w:t>
      </w:r>
      <w:r>
        <w:rPr>
          <w:rFonts w:hint="eastAsia" w:eastAsia="仿宋"/>
          <w:snapToGrid w:val="0"/>
          <w:color w:val="auto"/>
          <w:sz w:val="28"/>
          <w:szCs w:val="28"/>
        </w:rPr>
        <w:t>坚持</w:t>
      </w:r>
      <w:r>
        <w:rPr>
          <w:rFonts w:hint="eastAsia" w:eastAsia="仿宋"/>
          <w:snapToGrid w:val="0"/>
          <w:color w:val="auto"/>
          <w:sz w:val="28"/>
          <w:szCs w:val="28"/>
          <w:lang w:val="en-US" w:eastAsia="zh-CN"/>
        </w:rPr>
        <w:t>产业</w:t>
      </w:r>
      <w:r>
        <w:rPr>
          <w:rFonts w:hint="eastAsia" w:eastAsia="仿宋"/>
          <w:snapToGrid w:val="0"/>
          <w:color w:val="auto"/>
          <w:sz w:val="28"/>
          <w:szCs w:val="28"/>
        </w:rPr>
        <w:t>转型发展，绿色经济成为新增长极</w:t>
      </w:r>
      <w:bookmarkEnd w:id="64"/>
    </w:p>
    <w:p w14:paraId="18967484">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新平县依托本地资源和区位优势，以绿色发展为引领，立足推动生态经济发展，积极推动产业结构调整，培育壮大新兴产业、改造提升传统产业，近年来，全县经济结构逐步改善，工业支撑作用不断加强，服务业带动作用日益突出。总体看，产业发展实现新突破，生态经济发展成效明显。</w:t>
      </w:r>
    </w:p>
    <w:p w14:paraId="687E5848">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工业经济勇挑大梁。坚持工业延链补链强链，工业倍增计划加快实施，矿山采选、钢铁冶炼等传统工业产业进一步优化。加快智能化矿山建设，大红山铁矿二道河矿段100万吨采选、鲁电自走铁矿80万吨地下采矿改扩建项目进展顺利，仙福公司产能置换技改升级二期项目快速推进，红山球团80万吨生产线技改一期、辰顺20万吨废钢渣资源综合利用项目竣工投产；南恩公司搬迁改造转型升级项目环评取得批复，仙福公司100万吨焦化、大红山铁矿100万吨选矿扩能技改项目前期工作稳步推进；桂山片区产城融合基础设施建设项目主体完工，大开门产城融合建设项目持续推进，园区招商引资吸引力和承载力大幅提升；全县新增规模以上工业企业3户，仙福公司位列全省非公企业第3位，红山球团首次入围全省非公企业100强；预计实现规上工业增加值73.9亿元，同比增长17.1%。</w:t>
      </w:r>
    </w:p>
    <w:p w14:paraId="4F9435C5">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现代农业加快发展。粮食安全行政首长责任制全面落实，粮食产量稳中有增，预计突破</w:t>
      </w:r>
      <w:r>
        <w:rPr>
          <w:rFonts w:hint="default" w:ascii="Times New Roman" w:hAnsi="Times New Roman" w:eastAsia="方正仿宋_GBK" w:cs="方正仿宋_GBK"/>
          <w:b w:val="0"/>
          <w:bCs w:val="0"/>
          <w:color w:val="auto"/>
          <w:sz w:val="28"/>
          <w:szCs w:val="28"/>
          <w:lang w:val="en-US" w:eastAsia="zh-CN"/>
        </w:rPr>
        <w:t>2</w:t>
      </w:r>
      <w:r>
        <w:rPr>
          <w:rFonts w:hint="eastAsia" w:ascii="Times New Roman" w:hAnsi="Times New Roman" w:eastAsia="方正仿宋_GBK" w:cs="方正仿宋_GBK"/>
          <w:b w:val="0"/>
          <w:bCs w:val="0"/>
          <w:color w:val="auto"/>
          <w:sz w:val="28"/>
          <w:szCs w:val="28"/>
          <w:lang w:val="en-US" w:eastAsia="zh-CN"/>
        </w:rPr>
        <w:t>亿公斤。畜牧业规模化、标准化发展初见成效，德康</w:t>
      </w:r>
      <w:r>
        <w:rPr>
          <w:rFonts w:hint="default" w:ascii="Times New Roman" w:hAnsi="Times New Roman" w:eastAsia="方正仿宋_GBK" w:cs="方正仿宋_GBK"/>
          <w:b w:val="0"/>
          <w:bCs w:val="0"/>
          <w:color w:val="auto"/>
          <w:sz w:val="28"/>
          <w:szCs w:val="28"/>
          <w:lang w:val="en-US" w:eastAsia="zh-CN"/>
        </w:rPr>
        <w:t>70</w:t>
      </w:r>
      <w:r>
        <w:rPr>
          <w:rFonts w:hint="eastAsia" w:ascii="Times New Roman" w:hAnsi="Times New Roman" w:eastAsia="方正仿宋_GBK" w:cs="方正仿宋_GBK"/>
          <w:b w:val="0"/>
          <w:bCs w:val="0"/>
          <w:color w:val="auto"/>
          <w:sz w:val="28"/>
          <w:szCs w:val="28"/>
          <w:lang w:val="en-US" w:eastAsia="zh-CN"/>
        </w:rPr>
        <w:t>万头生猪养殖稳中有进，</w:t>
      </w:r>
      <w:r>
        <w:rPr>
          <w:rFonts w:hint="default" w:ascii="Times New Roman" w:hAnsi="Times New Roman" w:eastAsia="方正仿宋_GBK" w:cs="方正仿宋_GBK"/>
          <w:b w:val="0"/>
          <w:bCs w:val="0"/>
          <w:color w:val="auto"/>
          <w:sz w:val="28"/>
          <w:szCs w:val="28"/>
          <w:lang w:val="en-US" w:eastAsia="zh-CN"/>
        </w:rPr>
        <w:t>36</w:t>
      </w:r>
      <w:r>
        <w:rPr>
          <w:rFonts w:hint="eastAsia" w:ascii="Times New Roman" w:hAnsi="Times New Roman" w:eastAsia="方正仿宋_GBK" w:cs="方正仿宋_GBK"/>
          <w:b w:val="0"/>
          <w:bCs w:val="0"/>
          <w:color w:val="auto"/>
          <w:sz w:val="28"/>
          <w:szCs w:val="28"/>
          <w:lang w:val="en-US" w:eastAsia="zh-CN"/>
        </w:rPr>
        <w:t>万吨饲料加工厂开工建设。“一县一业”（水果产业）示范县第二年度创建成功，“一村一品”加快创建，新“三品一标”提升行动全力推进，自主选育的“新冰</w:t>
      </w:r>
      <w:r>
        <w:rPr>
          <w:rFonts w:hint="default" w:ascii="Times New Roman" w:hAnsi="Times New Roman" w:eastAsia="方正仿宋_GBK" w:cs="方正仿宋_GBK"/>
          <w:b w:val="0"/>
          <w:bCs w:val="0"/>
          <w:color w:val="auto"/>
          <w:sz w:val="28"/>
          <w:szCs w:val="28"/>
          <w:lang w:val="en-US" w:eastAsia="zh-CN"/>
        </w:rPr>
        <w:t>5</w:t>
      </w:r>
      <w:r>
        <w:rPr>
          <w:rFonts w:hint="eastAsia" w:ascii="Times New Roman" w:hAnsi="Times New Roman" w:eastAsia="方正仿宋_GBK" w:cs="方正仿宋_GBK"/>
          <w:b w:val="0"/>
          <w:bCs w:val="0"/>
          <w:color w:val="auto"/>
          <w:sz w:val="28"/>
          <w:szCs w:val="28"/>
          <w:lang w:val="en-US" w:eastAsia="zh-CN"/>
        </w:rPr>
        <w:t>号”“新冰</w:t>
      </w:r>
      <w:r>
        <w:rPr>
          <w:rFonts w:hint="default" w:ascii="Times New Roman" w:hAnsi="Times New Roman" w:eastAsia="方正仿宋_GBK" w:cs="方正仿宋_GBK"/>
          <w:b w:val="0"/>
          <w:bCs w:val="0"/>
          <w:color w:val="auto"/>
          <w:sz w:val="28"/>
          <w:szCs w:val="28"/>
          <w:lang w:val="en-US" w:eastAsia="zh-CN"/>
        </w:rPr>
        <w:t>30</w:t>
      </w:r>
      <w:r>
        <w:rPr>
          <w:rFonts w:hint="eastAsia" w:ascii="Times New Roman" w:hAnsi="Times New Roman" w:eastAsia="方正仿宋_GBK" w:cs="方正仿宋_GBK"/>
          <w:b w:val="0"/>
          <w:bCs w:val="0"/>
          <w:color w:val="auto"/>
          <w:sz w:val="28"/>
          <w:szCs w:val="28"/>
          <w:lang w:val="en-US" w:eastAsia="zh-CN"/>
        </w:rPr>
        <w:t>号”获农业农村部登记备案；加大柑橘品牌打造，“新平橙”知名度逐步提升，“褚橙”连续</w:t>
      </w:r>
      <w:r>
        <w:rPr>
          <w:rFonts w:hint="default" w:ascii="Times New Roman" w:hAnsi="Times New Roman" w:eastAsia="方正仿宋_GBK" w:cs="方正仿宋_GBK"/>
          <w:b w:val="0"/>
          <w:bCs w:val="0"/>
          <w:color w:val="auto"/>
          <w:sz w:val="28"/>
          <w:szCs w:val="28"/>
          <w:lang w:val="en-US" w:eastAsia="zh-CN"/>
        </w:rPr>
        <w:t>5</w:t>
      </w:r>
      <w:r>
        <w:rPr>
          <w:rFonts w:hint="eastAsia" w:ascii="Times New Roman" w:hAnsi="Times New Roman" w:eastAsia="方正仿宋_GBK" w:cs="方正仿宋_GBK"/>
          <w:b w:val="0"/>
          <w:bCs w:val="0"/>
          <w:color w:val="auto"/>
          <w:sz w:val="28"/>
          <w:szCs w:val="28"/>
          <w:lang w:val="en-US" w:eastAsia="zh-CN"/>
        </w:rPr>
        <w:t>年荣膺云南省“</w:t>
      </w:r>
      <w:r>
        <w:rPr>
          <w:rFonts w:hint="default" w:ascii="Times New Roman" w:hAnsi="Times New Roman" w:eastAsia="方正仿宋_GBK" w:cs="方正仿宋_GBK"/>
          <w:b w:val="0"/>
          <w:bCs w:val="0"/>
          <w:color w:val="auto"/>
          <w:sz w:val="28"/>
          <w:szCs w:val="28"/>
          <w:lang w:val="en-US" w:eastAsia="zh-CN"/>
        </w:rPr>
        <w:t>10</w:t>
      </w:r>
      <w:r>
        <w:rPr>
          <w:rFonts w:hint="eastAsia" w:ascii="Times New Roman" w:hAnsi="Times New Roman" w:eastAsia="方正仿宋_GBK" w:cs="方正仿宋_GBK"/>
          <w:b w:val="0"/>
          <w:bCs w:val="0"/>
          <w:color w:val="auto"/>
          <w:sz w:val="28"/>
          <w:szCs w:val="28"/>
          <w:lang w:val="en-US" w:eastAsia="zh-CN"/>
        </w:rPr>
        <w:t>大名果”。健全完善科技支撑平台和质量标准体系，柑橘种苗中心一期工程建设完成，恒冠泰达职业技能培训学校主体完工，被列为国家数字化种植业创新应用基地建设项目（柑橘品种），入选国家农产品产地冷藏保鲜设施建设整县推进试点县，柑橘产业发展基础更加牢固。烤烟产业提质增效，首次实现烟叶均价、烟叶税收和烟农收入均同比增长</w:t>
      </w:r>
      <w:r>
        <w:rPr>
          <w:rFonts w:hint="default" w:ascii="Times New Roman" w:hAnsi="Times New Roman" w:eastAsia="方正仿宋_GBK" w:cs="方正仿宋_GBK"/>
          <w:b w:val="0"/>
          <w:bCs w:val="0"/>
          <w:color w:val="auto"/>
          <w:sz w:val="28"/>
          <w:szCs w:val="28"/>
          <w:lang w:val="en-US" w:eastAsia="zh-CN"/>
        </w:rPr>
        <w:t>8%</w:t>
      </w:r>
      <w:r>
        <w:rPr>
          <w:rFonts w:hint="eastAsia" w:ascii="Times New Roman" w:hAnsi="Times New Roman" w:eastAsia="方正仿宋_GBK" w:cs="方正仿宋_GBK"/>
          <w:b w:val="0"/>
          <w:bCs w:val="0"/>
          <w:color w:val="auto"/>
          <w:sz w:val="28"/>
          <w:szCs w:val="28"/>
          <w:lang w:val="en-US" w:eastAsia="zh-CN"/>
        </w:rPr>
        <w:t>，雪茄烟种植逐步推开。蔬菜产业扩面提质，甘蔗产业减量增效，茶药产业稳步发展，林下经济探索推进，获评国家林下魔芋种植农业标准化示范区。加快农业规模化发展，实施土地整治</w:t>
      </w:r>
      <w:r>
        <w:rPr>
          <w:rFonts w:hint="default" w:ascii="Times New Roman" w:hAnsi="Times New Roman" w:eastAsia="方正仿宋_GBK" w:cs="方正仿宋_GBK"/>
          <w:b w:val="0"/>
          <w:bCs w:val="0"/>
          <w:color w:val="auto"/>
          <w:sz w:val="28"/>
          <w:szCs w:val="28"/>
          <w:lang w:val="en-US" w:eastAsia="zh-CN"/>
        </w:rPr>
        <w:t>8000</w:t>
      </w:r>
      <w:r>
        <w:rPr>
          <w:rFonts w:hint="eastAsia" w:ascii="Times New Roman" w:hAnsi="Times New Roman" w:eastAsia="方正仿宋_GBK" w:cs="方正仿宋_GBK"/>
          <w:b w:val="0"/>
          <w:bCs w:val="0"/>
          <w:color w:val="auto"/>
          <w:sz w:val="28"/>
          <w:szCs w:val="28"/>
          <w:lang w:val="en-US" w:eastAsia="zh-CN"/>
        </w:rPr>
        <w:t>亩，建成高标准农田</w:t>
      </w:r>
      <w:r>
        <w:rPr>
          <w:rFonts w:hint="default" w:ascii="Times New Roman" w:hAnsi="Times New Roman" w:eastAsia="方正仿宋_GBK" w:cs="方正仿宋_GBK"/>
          <w:b w:val="0"/>
          <w:bCs w:val="0"/>
          <w:color w:val="auto"/>
          <w:sz w:val="28"/>
          <w:szCs w:val="28"/>
          <w:lang w:val="en-US" w:eastAsia="zh-CN"/>
        </w:rPr>
        <w:t>5.45</w:t>
      </w:r>
      <w:r>
        <w:rPr>
          <w:rFonts w:hint="eastAsia" w:ascii="Times New Roman" w:hAnsi="Times New Roman" w:eastAsia="方正仿宋_GBK" w:cs="方正仿宋_GBK"/>
          <w:b w:val="0"/>
          <w:bCs w:val="0"/>
          <w:color w:val="auto"/>
          <w:sz w:val="28"/>
          <w:szCs w:val="28"/>
          <w:lang w:val="en-US" w:eastAsia="zh-CN"/>
        </w:rPr>
        <w:t>万亩，新增土地流转</w:t>
      </w:r>
      <w:r>
        <w:rPr>
          <w:rFonts w:hint="default" w:ascii="Times New Roman" w:hAnsi="Times New Roman" w:eastAsia="方正仿宋_GBK" w:cs="方正仿宋_GBK"/>
          <w:b w:val="0"/>
          <w:bCs w:val="0"/>
          <w:color w:val="auto"/>
          <w:sz w:val="28"/>
          <w:szCs w:val="28"/>
          <w:lang w:val="en-US" w:eastAsia="zh-CN"/>
        </w:rPr>
        <w:t>2.11</w:t>
      </w:r>
      <w:r>
        <w:rPr>
          <w:rFonts w:hint="eastAsia" w:ascii="Times New Roman" w:hAnsi="Times New Roman" w:eastAsia="方正仿宋_GBK" w:cs="方正仿宋_GBK"/>
          <w:b w:val="0"/>
          <w:bCs w:val="0"/>
          <w:color w:val="auto"/>
          <w:sz w:val="28"/>
          <w:szCs w:val="28"/>
          <w:lang w:val="en-US" w:eastAsia="zh-CN"/>
        </w:rPr>
        <w:t>万亩。预计实现第一产业增加值</w:t>
      </w:r>
      <w:r>
        <w:rPr>
          <w:rFonts w:hint="default" w:ascii="Times New Roman" w:hAnsi="Times New Roman" w:eastAsia="方正仿宋_GBK" w:cs="方正仿宋_GBK"/>
          <w:b w:val="0"/>
          <w:bCs w:val="0"/>
          <w:color w:val="auto"/>
          <w:sz w:val="28"/>
          <w:szCs w:val="28"/>
          <w:lang w:val="en-US" w:eastAsia="zh-CN"/>
        </w:rPr>
        <w:t>37.5</w:t>
      </w:r>
      <w:r>
        <w:rPr>
          <w:rFonts w:hint="eastAsia" w:ascii="Times New Roman" w:hAnsi="Times New Roman" w:eastAsia="方正仿宋_GBK" w:cs="方正仿宋_GBK"/>
          <w:b w:val="0"/>
          <w:bCs w:val="0"/>
          <w:color w:val="auto"/>
          <w:sz w:val="28"/>
          <w:szCs w:val="28"/>
          <w:lang w:val="en-US" w:eastAsia="zh-CN"/>
        </w:rPr>
        <w:t>亿元，同比增长</w:t>
      </w:r>
      <w:r>
        <w:rPr>
          <w:rFonts w:hint="default" w:ascii="Times New Roman" w:hAnsi="Times New Roman" w:eastAsia="方正仿宋_GBK" w:cs="方正仿宋_GBK"/>
          <w:b w:val="0"/>
          <w:bCs w:val="0"/>
          <w:color w:val="auto"/>
          <w:sz w:val="28"/>
          <w:szCs w:val="28"/>
          <w:lang w:val="en-US" w:eastAsia="zh-CN"/>
        </w:rPr>
        <w:t>6.7%</w:t>
      </w:r>
      <w:r>
        <w:rPr>
          <w:rFonts w:hint="eastAsia" w:ascii="Times New Roman" w:hAnsi="Times New Roman" w:eastAsia="方正仿宋_GBK" w:cs="方正仿宋_GBK"/>
          <w:b w:val="0"/>
          <w:bCs w:val="0"/>
          <w:color w:val="auto"/>
          <w:sz w:val="28"/>
          <w:szCs w:val="28"/>
          <w:lang w:val="en-US" w:eastAsia="zh-CN"/>
        </w:rPr>
        <w:t>。</w:t>
      </w:r>
    </w:p>
    <w:p w14:paraId="0EC53390">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color w:val="auto"/>
          <w:kern w:val="2"/>
          <w:sz w:val="30"/>
          <w:szCs w:val="30"/>
          <w:lang w:val="en-US" w:eastAsia="zh-CN" w:bidi="ar-SA"/>
        </w:rPr>
      </w:pPr>
      <w:r>
        <w:rPr>
          <w:rFonts w:hint="eastAsia" w:ascii="Times New Roman" w:hAnsi="Times New Roman" w:eastAsia="方正仿宋_GBK" w:cs="方正仿宋_GBK"/>
          <w:b w:val="0"/>
          <w:bCs w:val="0"/>
          <w:color w:val="auto"/>
          <w:sz w:val="28"/>
          <w:szCs w:val="28"/>
          <w:lang w:val="en-US" w:eastAsia="zh-CN"/>
        </w:rPr>
        <w:t>第三产业加速回暖。国家级全域旅游示范区加快创建，欢乐水世界建设项目快速推进，云筑泊境半山酒店、戛洒花腰傣露天文化生态博物走廊项目开工建设；花腰田间</w:t>
      </w:r>
      <w:r>
        <w:rPr>
          <w:rFonts w:hint="default" w:ascii="Times New Roman" w:hAnsi="Times New Roman" w:eastAsia="方正仿宋_GBK" w:cs="方正仿宋_GBK"/>
          <w:b w:val="0"/>
          <w:bCs w:val="0"/>
          <w:color w:val="auto"/>
          <w:sz w:val="28"/>
          <w:szCs w:val="28"/>
          <w:lang w:val="en-US" w:eastAsia="zh-CN"/>
        </w:rPr>
        <w:t>3A</w:t>
      </w:r>
      <w:r>
        <w:rPr>
          <w:rFonts w:hint="eastAsia" w:ascii="Times New Roman" w:hAnsi="Times New Roman" w:eastAsia="方正仿宋_GBK" w:cs="方正仿宋_GBK"/>
          <w:b w:val="0"/>
          <w:bCs w:val="0"/>
          <w:color w:val="auto"/>
          <w:sz w:val="28"/>
          <w:szCs w:val="28"/>
          <w:lang w:val="en-US" w:eastAsia="zh-CN"/>
        </w:rPr>
        <w:t>级旅游景区创建成功，花腰傣原生态实景歌舞剧《喊月亮》成功演出，戛洒新寨上榜中国美丽休闲乡村名单，新化、建兴获评国家级全域森林康养试点建设乡。电子商务进农村示范县稳步实施，特色农产品区域公共品牌加快打造，电商公共服务中心投入运营，成功举办首届电商直播节、“橙心橙意·一起播”电商直播大赛，直播带货成为促进消费新形态，电商交易额达</w:t>
      </w:r>
      <w:r>
        <w:rPr>
          <w:rFonts w:hint="default" w:ascii="Times New Roman" w:hAnsi="Times New Roman" w:eastAsia="方正仿宋_GBK" w:cs="方正仿宋_GBK"/>
          <w:b w:val="0"/>
          <w:bCs w:val="0"/>
          <w:color w:val="auto"/>
          <w:sz w:val="28"/>
          <w:szCs w:val="28"/>
          <w:lang w:val="en-US" w:eastAsia="zh-CN"/>
        </w:rPr>
        <w:t>11.51</w:t>
      </w:r>
      <w:r>
        <w:rPr>
          <w:rFonts w:hint="eastAsia" w:ascii="Times New Roman" w:hAnsi="Times New Roman" w:eastAsia="方正仿宋_GBK" w:cs="方正仿宋_GBK"/>
          <w:b w:val="0"/>
          <w:bCs w:val="0"/>
          <w:color w:val="auto"/>
          <w:sz w:val="28"/>
          <w:szCs w:val="28"/>
          <w:lang w:val="en-US" w:eastAsia="zh-CN"/>
        </w:rPr>
        <w:t>亿元。预计实现第三产业增加值</w:t>
      </w:r>
      <w:r>
        <w:rPr>
          <w:rFonts w:hint="default" w:ascii="Times New Roman" w:hAnsi="Times New Roman" w:eastAsia="方正仿宋_GBK" w:cs="方正仿宋_GBK"/>
          <w:b w:val="0"/>
          <w:bCs w:val="0"/>
          <w:color w:val="auto"/>
          <w:sz w:val="28"/>
          <w:szCs w:val="28"/>
          <w:lang w:val="en-US" w:eastAsia="zh-CN"/>
        </w:rPr>
        <w:t>112.9</w:t>
      </w:r>
      <w:r>
        <w:rPr>
          <w:rFonts w:hint="eastAsia" w:ascii="Times New Roman" w:hAnsi="Times New Roman" w:eastAsia="方正仿宋_GBK" w:cs="方正仿宋_GBK"/>
          <w:b w:val="0"/>
          <w:bCs w:val="0"/>
          <w:color w:val="auto"/>
          <w:sz w:val="28"/>
          <w:szCs w:val="28"/>
          <w:lang w:val="en-US" w:eastAsia="zh-CN"/>
        </w:rPr>
        <w:t>亿元，同比增长</w:t>
      </w:r>
      <w:r>
        <w:rPr>
          <w:rFonts w:hint="default" w:ascii="Times New Roman" w:hAnsi="Times New Roman" w:eastAsia="方正仿宋_GBK" w:cs="方正仿宋_GBK"/>
          <w:b w:val="0"/>
          <w:bCs w:val="0"/>
          <w:color w:val="auto"/>
          <w:sz w:val="28"/>
          <w:szCs w:val="28"/>
          <w:lang w:val="en-US" w:eastAsia="zh-CN"/>
        </w:rPr>
        <w:t>1.9%</w:t>
      </w:r>
      <w:r>
        <w:rPr>
          <w:rFonts w:hint="eastAsia" w:ascii="Times New Roman" w:hAnsi="Times New Roman" w:eastAsia="方正仿宋_GBK" w:cs="方正仿宋_GBK"/>
          <w:b w:val="0"/>
          <w:bCs w:val="0"/>
          <w:color w:val="auto"/>
          <w:sz w:val="28"/>
          <w:szCs w:val="28"/>
          <w:lang w:val="en-US" w:eastAsia="zh-CN"/>
        </w:rPr>
        <w:t>。</w:t>
      </w:r>
    </w:p>
    <w:p w14:paraId="0064EFE2">
      <w:pPr>
        <w:pStyle w:val="5"/>
        <w:pageBreakBefore w:val="0"/>
        <w:kinsoku/>
        <w:wordWrap/>
        <w:overflowPunct/>
        <w:topLinePunct w:val="0"/>
        <w:autoSpaceDE/>
        <w:autoSpaceDN/>
        <w:bidi w:val="0"/>
        <w:spacing w:before="120" w:after="120" w:line="500" w:lineRule="exact"/>
        <w:ind w:firstLine="0" w:firstLineChars="0"/>
        <w:textAlignment w:val="auto"/>
        <w:rPr>
          <w:rFonts w:hint="eastAsia" w:eastAsia="仿宋"/>
          <w:snapToGrid w:val="0"/>
          <w:color w:val="auto"/>
          <w:sz w:val="28"/>
          <w:szCs w:val="28"/>
        </w:rPr>
      </w:pPr>
      <w:bookmarkStart w:id="65" w:name="_Toc14729"/>
      <w:r>
        <w:rPr>
          <w:rFonts w:hint="eastAsia" w:eastAsia="仿宋"/>
          <w:snapToGrid w:val="0"/>
          <w:color w:val="auto"/>
          <w:sz w:val="28"/>
          <w:szCs w:val="28"/>
        </w:rPr>
        <w:t>2.2.</w:t>
      </w:r>
      <w:r>
        <w:rPr>
          <w:rFonts w:hint="eastAsia" w:eastAsia="仿宋"/>
          <w:snapToGrid w:val="0"/>
          <w:color w:val="auto"/>
          <w:sz w:val="28"/>
          <w:szCs w:val="28"/>
          <w:lang w:val="en-US" w:eastAsia="zh-CN"/>
        </w:rPr>
        <w:t>5</w:t>
      </w:r>
      <w:r>
        <w:rPr>
          <w:rFonts w:hint="eastAsia" w:eastAsia="仿宋"/>
          <w:snapToGrid w:val="0"/>
          <w:color w:val="auto"/>
          <w:sz w:val="28"/>
          <w:szCs w:val="28"/>
        </w:rPr>
        <w:t>坚持</w:t>
      </w:r>
      <w:r>
        <w:rPr>
          <w:rFonts w:hint="eastAsia" w:eastAsia="仿宋"/>
          <w:snapToGrid w:val="0"/>
          <w:color w:val="auto"/>
          <w:sz w:val="28"/>
          <w:szCs w:val="28"/>
          <w:lang w:val="en-US" w:eastAsia="zh-CN"/>
        </w:rPr>
        <w:t>城乡</w:t>
      </w:r>
      <w:r>
        <w:rPr>
          <w:rFonts w:hint="eastAsia" w:eastAsia="仿宋"/>
          <w:snapToGrid w:val="0"/>
          <w:color w:val="auto"/>
          <w:sz w:val="28"/>
          <w:szCs w:val="28"/>
        </w:rPr>
        <w:t>协同共进，城乡人居环境</w:t>
      </w:r>
      <w:r>
        <w:rPr>
          <w:rFonts w:hint="eastAsia" w:eastAsia="仿宋"/>
          <w:snapToGrid w:val="0"/>
          <w:color w:val="auto"/>
          <w:sz w:val="28"/>
          <w:szCs w:val="28"/>
          <w:lang w:val="en-US" w:eastAsia="zh-CN"/>
        </w:rPr>
        <w:t>持续</w:t>
      </w:r>
      <w:r>
        <w:rPr>
          <w:rFonts w:hint="eastAsia" w:eastAsia="仿宋"/>
          <w:snapToGrid w:val="0"/>
          <w:color w:val="auto"/>
          <w:sz w:val="28"/>
          <w:szCs w:val="28"/>
        </w:rPr>
        <w:t>改善</w:t>
      </w:r>
      <w:bookmarkEnd w:id="65"/>
    </w:p>
    <w:p w14:paraId="26A7A165">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城市更新加速实施。有效衔接城市更新与美丽县城建设，完成县城污水处理厂改扩建和西园路、桂山公园提升改造，县城市政和环境基础设施补短板项目启动实施，老城片区综合开发、老旧小区改造等项目快速推进，县城品质不断提升。智慧县城建设稳中有进，完成城市模型及信息化管理建设项目，开工建设智慧化停车项目，城市精细化数字化管理水平持续提升。2020年1月，新平县被省政府命名为“云南省美丽县城”，成为云南省首批20个获此殊荣的县市之一。2021年，新平县建成区面积6.53平方公里，绿地面积228.8公顷，绿地率为35.04%，县城公园绿地面积80公顷，人均公园绿地面积12.03㎡/人。2016年被评为“全国绿化模范单位”，2017年成功创建为“国家园林县城”。</w:t>
      </w:r>
    </w:p>
    <w:p w14:paraId="5E1B6703">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乡村建设稳步推进。加快推进区域协调发展，扬武大开门片区综合开发稳步实施，戛洒腰街、平掌曼干片区开发前期工作有序推进，者竜、老厂、建兴集镇新区加快扩容，集镇和中心村服务功能更加完善。实施乡村振兴“十百千”工程和绿美乡村三年行动，加快建设一批美丽乡村，戛洒镇被评为省级乡村振兴示范乡镇和绿美乡镇，新化阿宝、平甸桃孔入选省级精品村，新寨村杧木树小组和太平社区上斗戛小组入选省级绿美村庄；全面启动“多规合一”实用性村庄规划编制，完成</w:t>
      </w:r>
      <w:r>
        <w:rPr>
          <w:rFonts w:hint="default" w:ascii="Times New Roman" w:hAnsi="Times New Roman" w:eastAsia="方正仿宋_GBK" w:cs="方正仿宋_GBK"/>
          <w:b w:val="0"/>
          <w:bCs w:val="0"/>
          <w:color w:val="auto"/>
          <w:sz w:val="28"/>
          <w:szCs w:val="28"/>
          <w:lang w:val="en-US" w:eastAsia="zh-CN"/>
        </w:rPr>
        <w:t>117</w:t>
      </w:r>
      <w:r>
        <w:rPr>
          <w:rFonts w:hint="eastAsia" w:ascii="Times New Roman" w:hAnsi="Times New Roman" w:eastAsia="方正仿宋_GBK" w:cs="方正仿宋_GBK"/>
          <w:b w:val="0"/>
          <w:bCs w:val="0"/>
          <w:color w:val="auto"/>
          <w:sz w:val="28"/>
          <w:szCs w:val="28"/>
          <w:lang w:val="en-US" w:eastAsia="zh-CN"/>
        </w:rPr>
        <w:t>个村庄规划县级审查，实现全县村庄规划编制全覆盖；深入实施农村人居环境整治提升五年行动，建成扬武、漠沙、戛洒“两污”项目，农村生活污水治理成效明显，治理率达</w:t>
      </w:r>
      <w:r>
        <w:rPr>
          <w:rFonts w:hint="default" w:ascii="Times New Roman" w:hAnsi="Times New Roman" w:eastAsia="方正仿宋_GBK" w:cs="方正仿宋_GBK"/>
          <w:b w:val="0"/>
          <w:bCs w:val="0"/>
          <w:color w:val="auto"/>
          <w:sz w:val="28"/>
          <w:szCs w:val="28"/>
          <w:lang w:val="en-US" w:eastAsia="zh-CN"/>
        </w:rPr>
        <w:t>89.96%</w:t>
      </w:r>
      <w:r>
        <w:rPr>
          <w:rFonts w:hint="eastAsia" w:ascii="Times New Roman" w:hAnsi="Times New Roman" w:eastAsia="方正仿宋_GBK" w:cs="方正仿宋_GBK"/>
          <w:b w:val="0"/>
          <w:bCs w:val="0"/>
          <w:color w:val="auto"/>
          <w:sz w:val="28"/>
          <w:szCs w:val="28"/>
          <w:lang w:val="en-US" w:eastAsia="zh-CN"/>
        </w:rPr>
        <w:t>；扎实推进农村厕所革命，年度公厕建设和户厕改建顺利完成；农村危房闲置旧房安心拆除成效显著，累计拆除</w:t>
      </w:r>
      <w:r>
        <w:rPr>
          <w:rFonts w:hint="default" w:ascii="Times New Roman" w:hAnsi="Times New Roman" w:eastAsia="方正仿宋_GBK" w:cs="方正仿宋_GBK"/>
          <w:b w:val="0"/>
          <w:bCs w:val="0"/>
          <w:color w:val="auto"/>
          <w:sz w:val="28"/>
          <w:szCs w:val="28"/>
          <w:lang w:val="en-US" w:eastAsia="zh-CN"/>
        </w:rPr>
        <w:t>1.1</w:t>
      </w:r>
      <w:r>
        <w:rPr>
          <w:rFonts w:hint="eastAsia" w:ascii="Times New Roman" w:hAnsi="Times New Roman" w:eastAsia="方正仿宋_GBK" w:cs="方正仿宋_GBK"/>
          <w:b w:val="0"/>
          <w:bCs w:val="0"/>
          <w:color w:val="auto"/>
          <w:sz w:val="28"/>
          <w:szCs w:val="28"/>
          <w:lang w:val="en-US" w:eastAsia="zh-CN"/>
        </w:rPr>
        <w:t>万宗</w:t>
      </w:r>
      <w:r>
        <w:rPr>
          <w:rFonts w:hint="default" w:ascii="Times New Roman" w:hAnsi="Times New Roman" w:eastAsia="方正仿宋_GBK" w:cs="方正仿宋_GBK"/>
          <w:b w:val="0"/>
          <w:bCs w:val="0"/>
          <w:color w:val="auto"/>
          <w:sz w:val="28"/>
          <w:szCs w:val="28"/>
          <w:lang w:val="en-US" w:eastAsia="zh-CN"/>
        </w:rPr>
        <w:t>67</w:t>
      </w:r>
      <w:r>
        <w:rPr>
          <w:rFonts w:hint="eastAsia" w:ascii="Times New Roman" w:hAnsi="Times New Roman" w:eastAsia="方正仿宋_GBK" w:cs="方正仿宋_GBK"/>
          <w:b w:val="0"/>
          <w:bCs w:val="0"/>
          <w:color w:val="auto"/>
          <w:sz w:val="28"/>
          <w:szCs w:val="28"/>
          <w:lang w:val="en-US" w:eastAsia="zh-CN"/>
        </w:rPr>
        <w:t>万平方米，村庄土地有效盘活利用，成功打造桂山洒树依、新化米达起等</w:t>
      </w:r>
      <w:r>
        <w:rPr>
          <w:rFonts w:hint="default" w:ascii="Times New Roman" w:hAnsi="Times New Roman" w:eastAsia="方正仿宋_GBK" w:cs="方正仿宋_GBK"/>
          <w:b w:val="0"/>
          <w:bCs w:val="0"/>
          <w:color w:val="auto"/>
          <w:sz w:val="28"/>
          <w:szCs w:val="28"/>
          <w:lang w:val="en-US" w:eastAsia="zh-CN"/>
        </w:rPr>
        <w:t>36</w:t>
      </w:r>
      <w:r>
        <w:rPr>
          <w:rFonts w:hint="eastAsia" w:ascii="Times New Roman" w:hAnsi="Times New Roman" w:eastAsia="方正仿宋_GBK" w:cs="方正仿宋_GBK"/>
          <w:b w:val="0"/>
          <w:bCs w:val="0"/>
          <w:color w:val="auto"/>
          <w:sz w:val="28"/>
          <w:szCs w:val="28"/>
          <w:lang w:val="en-US" w:eastAsia="zh-CN"/>
        </w:rPr>
        <w:t>个示范点，农村人居环境大幅改善。加快数字乡村建设，被列为首批省级数字乡村试点县。全县认定国家森林乡村1个、省级森林乡村25个，创建省级绿色学校18所、绿色社区7个、环境教育基地2个，荣获省级生态文明县称号，桂山被命名为国家级生态文明乡镇。爱国卫生“7个专项行动”和农村人居环境整治深入开展，10个乡镇、105个村被命名为省卫生乡镇、卫生村，上榜省级美丽村庄3个。</w:t>
      </w:r>
    </w:p>
    <w:p w14:paraId="28D82BDD">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新平县全力推进生态文明示范创建工作，以创建国家生态文明建设示范区作为推进生态文明建设的重要抓手和载体，提升生态文明建设水平，巩固生态文明建设工作成效。全县12个乡镇（街道）全部创建为云南省生态文明乡镇（街道），桂山镇于2010年被原国家环保部命名为“全国环境优美乡镇”，2017年新平荣获省人民政府命名的省生态文明县称号，成为云南省第二批省生态文明县（市、区），2018年《新平国家生态文明建设示范县规划》通过省生态环境厅审查，并组织实施；累计创建省级绿色社区7个、省级绿色学校18所、省级环境教育基地2个，市级绿色社区14个，市级绿色学校36所。</w:t>
      </w:r>
    </w:p>
    <w:p w14:paraId="5BFBC0DD">
      <w:pPr>
        <w:pStyle w:val="11"/>
        <w:pageBreakBefore w:val="0"/>
        <w:kinsoku/>
        <w:wordWrap/>
        <w:overflowPunct/>
        <w:topLinePunct w:val="0"/>
        <w:autoSpaceDE/>
        <w:autoSpaceDN/>
        <w:bidi w:val="0"/>
        <w:spacing w:line="500" w:lineRule="exact"/>
        <w:textAlignment w:val="auto"/>
        <w:rPr>
          <w:rFonts w:ascii="Times New Roman" w:hAnsi="Times New Roman" w:eastAsia="仿宋" w:cs="Times New Roman"/>
          <w:color w:val="FF0000"/>
          <w:sz w:val="24"/>
        </w:rPr>
      </w:pPr>
    </w:p>
    <w:p w14:paraId="3A33C0D5">
      <w:pPr>
        <w:pageBreakBefore w:val="0"/>
        <w:widowControl/>
        <w:kinsoku/>
        <w:wordWrap/>
        <w:overflowPunct/>
        <w:topLinePunct w:val="0"/>
        <w:autoSpaceDE/>
        <w:autoSpaceDN/>
        <w:bidi w:val="0"/>
        <w:spacing w:line="500" w:lineRule="exact"/>
        <w:ind w:firstLine="880" w:firstLineChars="200"/>
        <w:textAlignment w:val="auto"/>
        <w:rPr>
          <w:rFonts w:ascii="Times New Roman" w:hAnsi="Times New Roman" w:eastAsia="仿宋" w:cs="Times New Roman"/>
          <w:color w:val="FF0000"/>
          <w:sz w:val="44"/>
        </w:rPr>
      </w:pPr>
      <w:r>
        <w:rPr>
          <w:rFonts w:ascii="Times New Roman" w:hAnsi="Times New Roman" w:eastAsia="仿宋" w:cs="Times New Roman"/>
          <w:color w:val="FF0000"/>
          <w:sz w:val="44"/>
        </w:rPr>
        <w:br w:type="page"/>
      </w:r>
    </w:p>
    <w:bookmarkEnd w:id="14"/>
    <w:bookmarkEnd w:id="15"/>
    <w:bookmarkEnd w:id="16"/>
    <w:bookmarkEnd w:id="17"/>
    <w:bookmarkEnd w:id="18"/>
    <w:bookmarkEnd w:id="19"/>
    <w:bookmarkEnd w:id="20"/>
    <w:p w14:paraId="5477AB7A">
      <w:pPr>
        <w:pStyle w:val="3"/>
        <w:pageBreakBefore w:val="0"/>
        <w:kinsoku/>
        <w:wordWrap/>
        <w:overflowPunct/>
        <w:topLinePunct w:val="0"/>
        <w:autoSpaceDE/>
        <w:autoSpaceDN/>
        <w:bidi w:val="0"/>
        <w:spacing w:before="0" w:after="0" w:line="500" w:lineRule="exact"/>
        <w:jc w:val="center"/>
        <w:textAlignment w:val="auto"/>
        <w:rPr>
          <w:rFonts w:hint="default" w:ascii="Times New Roman" w:hAnsi="Times New Roman" w:eastAsia="仿宋" w:cs="Times New Roman"/>
          <w:color w:val="auto"/>
          <w:sz w:val="44"/>
          <w:lang w:val="en-US" w:eastAsia="zh-CN"/>
        </w:rPr>
      </w:pPr>
      <w:bookmarkStart w:id="66" w:name="_Toc15140"/>
      <w:bookmarkStart w:id="67" w:name="_Toc25514"/>
      <w:bookmarkStart w:id="68" w:name="_Toc35697745"/>
      <w:bookmarkStart w:id="69" w:name="_Toc3826"/>
      <w:bookmarkStart w:id="70" w:name="_Toc16414"/>
      <w:bookmarkStart w:id="71" w:name="_Toc3232"/>
      <w:bookmarkStart w:id="72" w:name="_Toc31343"/>
      <w:bookmarkStart w:id="73" w:name="_Toc32728"/>
      <w:bookmarkStart w:id="74" w:name="_Toc2050"/>
      <w:bookmarkStart w:id="75" w:name="_Toc21946"/>
      <w:bookmarkStart w:id="76" w:name="_Toc18953"/>
      <w:r>
        <w:rPr>
          <w:rFonts w:hint="default" w:ascii="Times New Roman" w:hAnsi="Times New Roman" w:eastAsia="仿宋" w:cs="Times New Roman"/>
          <w:color w:val="auto"/>
          <w:sz w:val="44"/>
          <w:lang w:val="en-US" w:eastAsia="zh-CN"/>
        </w:rPr>
        <w:t>3形势分析</w:t>
      </w:r>
      <w:bookmarkEnd w:id="66"/>
      <w:bookmarkEnd w:id="67"/>
      <w:bookmarkEnd w:id="68"/>
      <w:bookmarkEnd w:id="69"/>
      <w:bookmarkEnd w:id="70"/>
      <w:bookmarkEnd w:id="71"/>
      <w:bookmarkEnd w:id="72"/>
      <w:bookmarkEnd w:id="73"/>
      <w:bookmarkEnd w:id="74"/>
      <w:bookmarkEnd w:id="75"/>
      <w:bookmarkEnd w:id="76"/>
    </w:p>
    <w:p w14:paraId="6E82333F">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en-US" w:eastAsia="zh-CN"/>
        </w:rPr>
      </w:pPr>
      <w:bookmarkStart w:id="77" w:name="_Toc23648"/>
      <w:bookmarkStart w:id="78" w:name="_Toc4940"/>
      <w:bookmarkStart w:id="79" w:name="_Toc4620"/>
      <w:bookmarkStart w:id="80" w:name="_Toc5459"/>
      <w:bookmarkStart w:id="81" w:name="_Toc8318"/>
      <w:bookmarkStart w:id="82" w:name="_Toc26314"/>
      <w:bookmarkStart w:id="83" w:name="_Toc8881"/>
      <w:bookmarkStart w:id="84" w:name="_Toc28291"/>
      <w:bookmarkStart w:id="85" w:name="_Toc12193"/>
      <w:bookmarkStart w:id="86" w:name="_Toc385"/>
      <w:r>
        <w:rPr>
          <w:rFonts w:hint="eastAsia" w:ascii="Times New Roman" w:hAnsi="Times New Roman" w:eastAsia="仿宋" w:cs="Times New Roman"/>
          <w:color w:val="auto"/>
          <w:sz w:val="32"/>
          <w:lang w:val="en-US" w:eastAsia="zh-CN"/>
        </w:rPr>
        <w:t>3.1</w:t>
      </w:r>
      <w:r>
        <w:rPr>
          <w:rFonts w:hint="default" w:ascii="Times New Roman" w:hAnsi="Times New Roman" w:eastAsia="仿宋" w:cs="Times New Roman"/>
          <w:color w:val="auto"/>
          <w:sz w:val="32"/>
          <w:lang w:val="en-US" w:eastAsia="zh-CN"/>
        </w:rPr>
        <w:t>存在问题</w:t>
      </w:r>
      <w:bookmarkEnd w:id="77"/>
      <w:bookmarkEnd w:id="78"/>
      <w:bookmarkEnd w:id="79"/>
      <w:bookmarkEnd w:id="80"/>
      <w:bookmarkEnd w:id="81"/>
      <w:bookmarkEnd w:id="82"/>
      <w:bookmarkEnd w:id="83"/>
      <w:bookmarkEnd w:id="84"/>
      <w:bookmarkEnd w:id="85"/>
      <w:bookmarkEnd w:id="86"/>
    </w:p>
    <w:p w14:paraId="13733B7C">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87" w:name="_Toc27379"/>
      <w:bookmarkStart w:id="88" w:name="_Toc32538"/>
      <w:bookmarkStart w:id="89" w:name="_Toc23982"/>
      <w:r>
        <w:rPr>
          <w:rFonts w:hint="eastAsia" w:eastAsia="仿宋"/>
          <w:snapToGrid w:val="0"/>
          <w:color w:val="auto"/>
          <w:sz w:val="28"/>
          <w:szCs w:val="28"/>
          <w:lang w:val="en-US" w:eastAsia="zh-CN"/>
        </w:rPr>
        <w:t>3.1</w:t>
      </w:r>
      <w:r>
        <w:rPr>
          <w:rFonts w:hint="default" w:eastAsia="仿宋"/>
          <w:snapToGrid w:val="0"/>
          <w:color w:val="auto"/>
          <w:sz w:val="28"/>
          <w:szCs w:val="28"/>
          <w:lang w:val="en-US" w:eastAsia="zh-CN"/>
        </w:rPr>
        <w:t>.1</w:t>
      </w:r>
      <w:bookmarkEnd w:id="87"/>
      <w:bookmarkEnd w:id="88"/>
      <w:r>
        <w:rPr>
          <w:rFonts w:hint="default" w:eastAsia="仿宋"/>
          <w:snapToGrid w:val="0"/>
          <w:color w:val="auto"/>
          <w:sz w:val="28"/>
          <w:szCs w:val="28"/>
          <w:lang w:val="en-US" w:eastAsia="zh-CN"/>
        </w:rPr>
        <w:t>产业高质量绿色发展压力仍然较大</w:t>
      </w:r>
      <w:bookmarkEnd w:id="89"/>
    </w:p>
    <w:p w14:paraId="13665F3C">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方正仿宋_GBK" w:cs="方正仿宋_GBK"/>
          <w:b w:val="0"/>
          <w:bCs w:val="0"/>
          <w:color w:val="auto"/>
          <w:sz w:val="28"/>
          <w:szCs w:val="28"/>
          <w:lang w:val="en-US" w:eastAsia="zh-CN"/>
        </w:rPr>
      </w:pPr>
      <w:r>
        <w:rPr>
          <w:rFonts w:hint="default" w:ascii="Times New Roman" w:hAnsi="Times New Roman" w:eastAsia="方正仿宋_GBK" w:cs="方正仿宋_GBK"/>
          <w:b w:val="0"/>
          <w:bCs w:val="0"/>
          <w:color w:val="auto"/>
          <w:sz w:val="28"/>
          <w:szCs w:val="28"/>
          <w:lang w:val="en-US" w:eastAsia="zh-CN"/>
        </w:rPr>
        <w:t>在绿色发展的要求下，新平县要实现产业转型升级，走高质量绿色发展之路仍有较大压力。</w:t>
      </w:r>
      <w:r>
        <w:rPr>
          <w:rFonts w:hint="eastAsia" w:ascii="Times New Roman" w:hAnsi="Times New Roman" w:eastAsia="方正仿宋_GBK" w:cs="方正仿宋_GBK"/>
          <w:b w:val="0"/>
          <w:bCs w:val="0"/>
          <w:color w:val="auto"/>
          <w:sz w:val="28"/>
          <w:szCs w:val="28"/>
          <w:lang w:val="en-US" w:eastAsia="zh-CN"/>
        </w:rPr>
        <w:t>一</w:t>
      </w:r>
      <w:r>
        <w:rPr>
          <w:rFonts w:hint="default" w:ascii="Times New Roman" w:hAnsi="Times New Roman" w:eastAsia="方正仿宋_GBK" w:cs="方正仿宋_GBK"/>
          <w:b w:val="0"/>
          <w:bCs w:val="0"/>
          <w:color w:val="auto"/>
          <w:sz w:val="28"/>
          <w:szCs w:val="28"/>
          <w:lang w:val="en-US" w:eastAsia="zh-CN"/>
        </w:rPr>
        <w:t>是工业转型升级压力持续加大，新兴产业发展迟缓。从产业结构上看，矿冶产业是新平县的传统支柱产业，也是工业经济的重要支撑，经济总量所占</w:t>
      </w:r>
      <w:r>
        <w:rPr>
          <w:rFonts w:hint="eastAsia" w:ascii="Times New Roman" w:hAnsi="Times New Roman" w:eastAsia="方正仿宋_GBK" w:cs="方正仿宋_GBK"/>
          <w:b w:val="0"/>
          <w:bCs w:val="0"/>
          <w:color w:val="auto"/>
          <w:sz w:val="28"/>
          <w:szCs w:val="28"/>
          <w:lang w:val="en-US" w:eastAsia="zh-CN"/>
        </w:rPr>
        <w:t>比</w:t>
      </w:r>
      <w:r>
        <w:rPr>
          <w:rFonts w:hint="default" w:ascii="Times New Roman" w:hAnsi="Times New Roman" w:eastAsia="方正仿宋_GBK" w:cs="方正仿宋_GBK"/>
          <w:b w:val="0"/>
          <w:bCs w:val="0"/>
          <w:color w:val="auto"/>
          <w:sz w:val="28"/>
          <w:szCs w:val="28"/>
          <w:lang w:val="en-US" w:eastAsia="zh-CN"/>
        </w:rPr>
        <w:t>重太高，特点依然是以资源初级加工为主，资源利用水平低、产品单一、装备工艺水平不高，存在着“大而不强、多而不精”的问题。而以食品加工、装备制造等加工制造业占比又过低，装备制造业和以农产品加工、箱包生产为主的轻工业仍然是以初加工为主，产品仍处于产业链前端和产值链底端。农产品精深加工、生物医药、新材料、新能源、先进装备制造和电子信息等新兴产业发展严重迟缓，特别是新材料、新能源、高科技生物医药和先进装备制造业仍处于空白。</w:t>
      </w:r>
      <w:r>
        <w:rPr>
          <w:rFonts w:hint="eastAsia" w:ascii="Times New Roman" w:hAnsi="Times New Roman" w:eastAsia="方正仿宋_GBK" w:cs="方正仿宋_GBK"/>
          <w:b w:val="0"/>
          <w:bCs w:val="0"/>
          <w:color w:val="auto"/>
          <w:sz w:val="28"/>
          <w:szCs w:val="28"/>
          <w:lang w:val="en-US" w:eastAsia="zh-CN"/>
        </w:rPr>
        <w:t>二</w:t>
      </w:r>
      <w:r>
        <w:rPr>
          <w:rFonts w:hint="default" w:ascii="Times New Roman" w:hAnsi="Times New Roman" w:eastAsia="方正仿宋_GBK" w:cs="方正仿宋_GBK"/>
          <w:b w:val="0"/>
          <w:bCs w:val="0"/>
          <w:color w:val="auto"/>
          <w:sz w:val="28"/>
          <w:szCs w:val="28"/>
          <w:lang w:val="en-US" w:eastAsia="zh-CN"/>
        </w:rPr>
        <w:t>是文化旅游产业综合效益不高、竞争力偏弱。文化和旅游基础设施不够完善旅游产品仍以观光型为主，形式单一，体验单调，缺少大项目、大企业、大品牌拉动，娱乐、休闲、体验、度假、康养等旅游产品开发较少或缺失，产业综合效益不高。与文化和旅游产业相伴相生的餐饮业、旅馆业、休闲娱乐等服务行业的建设相对滞后，不能满足广大游客的需求。</w:t>
      </w:r>
      <w:r>
        <w:rPr>
          <w:rFonts w:hint="eastAsia" w:ascii="Times New Roman" w:hAnsi="Times New Roman" w:eastAsia="方正仿宋_GBK" w:cs="方正仿宋_GBK"/>
          <w:b w:val="0"/>
          <w:bCs w:val="0"/>
          <w:color w:val="auto"/>
          <w:sz w:val="28"/>
          <w:szCs w:val="28"/>
          <w:lang w:val="en-US" w:eastAsia="zh-CN"/>
        </w:rPr>
        <w:t>三</w:t>
      </w:r>
      <w:r>
        <w:rPr>
          <w:rFonts w:hint="default" w:ascii="Times New Roman" w:hAnsi="Times New Roman" w:eastAsia="方正仿宋_GBK" w:cs="方正仿宋_GBK"/>
          <w:b w:val="0"/>
          <w:bCs w:val="0"/>
          <w:color w:val="auto"/>
          <w:sz w:val="28"/>
          <w:szCs w:val="28"/>
          <w:lang w:val="en-US" w:eastAsia="zh-CN"/>
        </w:rPr>
        <w:t>是农业绿色发展观念不牢，农业产业链不健全，农业绿色发展观念不牢。部分农业行业管理者和从业者难以从整体上对农业可持续发展和绿色发展进行有效</w:t>
      </w:r>
      <w:r>
        <w:rPr>
          <w:rFonts w:hint="eastAsia" w:ascii="Times New Roman" w:hAnsi="Times New Roman" w:eastAsia="方正仿宋_GBK" w:cs="方正仿宋_GBK"/>
          <w:b w:val="0"/>
          <w:bCs w:val="0"/>
          <w:color w:val="auto"/>
          <w:sz w:val="28"/>
          <w:szCs w:val="28"/>
          <w:lang w:val="en-US" w:eastAsia="zh-CN"/>
        </w:rPr>
        <w:t>地</w:t>
      </w:r>
      <w:r>
        <w:rPr>
          <w:rFonts w:hint="default" w:ascii="Times New Roman" w:hAnsi="Times New Roman" w:eastAsia="方正仿宋_GBK" w:cs="方正仿宋_GBK"/>
          <w:b w:val="0"/>
          <w:bCs w:val="0"/>
          <w:color w:val="auto"/>
          <w:sz w:val="28"/>
          <w:szCs w:val="28"/>
          <w:lang w:val="en-US" w:eastAsia="zh-CN"/>
        </w:rPr>
        <w:t>把握，工作思考和实践不多，使得新平县高原特色农业向更高层次转型发展内生动力不足。农业产业链不健全</w:t>
      </w:r>
      <w:r>
        <w:rPr>
          <w:rFonts w:hint="eastAsia" w:ascii="Times New Roman" w:hAnsi="Times New Roman" w:eastAsia="方正仿宋_GBK" w:cs="方正仿宋_GBK"/>
          <w:b w:val="0"/>
          <w:bCs w:val="0"/>
          <w:color w:val="auto"/>
          <w:sz w:val="28"/>
          <w:szCs w:val="28"/>
          <w:lang w:val="en-US" w:eastAsia="zh-CN"/>
        </w:rPr>
        <w:t>，</w:t>
      </w:r>
      <w:r>
        <w:rPr>
          <w:rFonts w:hint="default" w:ascii="Times New Roman" w:hAnsi="Times New Roman" w:eastAsia="方正仿宋_GBK" w:cs="方正仿宋_GBK"/>
          <w:b w:val="0"/>
          <w:bCs w:val="0"/>
          <w:color w:val="auto"/>
          <w:sz w:val="28"/>
          <w:szCs w:val="28"/>
          <w:lang w:val="en-US" w:eastAsia="zh-CN"/>
        </w:rPr>
        <w:t>农产品初加工能力配置不完善，精深加工能力薄弱，无法支撑农业产业转型升级</w:t>
      </w:r>
      <w:r>
        <w:rPr>
          <w:rFonts w:hint="eastAsia" w:ascii="Times New Roman" w:hAnsi="Times New Roman" w:eastAsia="方正仿宋_GBK" w:cs="方正仿宋_GBK"/>
          <w:b w:val="0"/>
          <w:bCs w:val="0"/>
          <w:color w:val="auto"/>
          <w:sz w:val="28"/>
          <w:szCs w:val="28"/>
          <w:lang w:val="en-US" w:eastAsia="zh-CN"/>
        </w:rPr>
        <w:t>；</w:t>
      </w:r>
      <w:r>
        <w:rPr>
          <w:rFonts w:hint="default" w:ascii="Times New Roman" w:hAnsi="Times New Roman" w:eastAsia="方正仿宋_GBK" w:cs="方正仿宋_GBK"/>
          <w:b w:val="0"/>
          <w:bCs w:val="0"/>
          <w:color w:val="auto"/>
          <w:sz w:val="28"/>
          <w:szCs w:val="28"/>
          <w:lang w:val="en-US" w:eastAsia="zh-CN"/>
        </w:rPr>
        <w:t>支撑外向型农业发展的大型冷链物流中心依然缺失</w:t>
      </w:r>
      <w:r>
        <w:rPr>
          <w:rFonts w:hint="eastAsia" w:ascii="Times New Roman" w:hAnsi="Times New Roman" w:eastAsia="方正仿宋_GBK" w:cs="方正仿宋_GBK"/>
          <w:b w:val="0"/>
          <w:bCs w:val="0"/>
          <w:color w:val="auto"/>
          <w:sz w:val="28"/>
          <w:szCs w:val="28"/>
          <w:lang w:val="en-US" w:eastAsia="zh-CN"/>
        </w:rPr>
        <w:t>；</w:t>
      </w:r>
      <w:r>
        <w:rPr>
          <w:rFonts w:hint="default" w:ascii="Times New Roman" w:hAnsi="Times New Roman" w:eastAsia="方正仿宋_GBK" w:cs="方正仿宋_GBK"/>
          <w:b w:val="0"/>
          <w:bCs w:val="0"/>
          <w:color w:val="auto"/>
          <w:sz w:val="28"/>
          <w:szCs w:val="28"/>
          <w:lang w:val="en-US" w:eastAsia="zh-CN"/>
        </w:rPr>
        <w:t>农业文化传承、生态治理等方面功能挖掘不足，休闲农业、乡村旅游发展迟缓。</w:t>
      </w:r>
    </w:p>
    <w:p w14:paraId="071501E2">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90" w:name="_Toc18665"/>
      <w:r>
        <w:rPr>
          <w:rFonts w:hint="eastAsia" w:eastAsia="仿宋"/>
          <w:snapToGrid w:val="0"/>
          <w:color w:val="auto"/>
          <w:sz w:val="28"/>
          <w:szCs w:val="28"/>
          <w:lang w:val="en-US" w:eastAsia="zh-CN"/>
        </w:rPr>
        <w:t>3.1</w:t>
      </w:r>
      <w:r>
        <w:rPr>
          <w:rFonts w:hint="default" w:eastAsia="仿宋"/>
          <w:snapToGrid w:val="0"/>
          <w:color w:val="auto"/>
          <w:sz w:val="28"/>
          <w:szCs w:val="28"/>
          <w:lang w:val="en-US" w:eastAsia="zh-CN"/>
        </w:rPr>
        <w:t>.2污染防治工作任务依然艰巨</w:t>
      </w:r>
      <w:bookmarkEnd w:id="90"/>
    </w:p>
    <w:p w14:paraId="4B4216F7">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91" w:name="_Toc25930"/>
      <w:bookmarkStart w:id="92" w:name="_Toc11279"/>
      <w:bookmarkStart w:id="93" w:name="_Toc5745"/>
      <w:bookmarkStart w:id="94" w:name="_Toc23735"/>
      <w:bookmarkStart w:id="95" w:name="_Toc879"/>
      <w:bookmarkStart w:id="96" w:name="_Toc19488"/>
      <w:bookmarkStart w:id="97" w:name="_Toc30937"/>
      <w:bookmarkStart w:id="98" w:name="_Toc5257"/>
      <w:bookmarkStart w:id="99" w:name="_Toc3868"/>
      <w:bookmarkStart w:id="100" w:name="_Toc9642"/>
      <w:bookmarkStart w:id="101" w:name="_Toc20021"/>
      <w:bookmarkStart w:id="102" w:name="_Toc12424"/>
      <w:bookmarkStart w:id="103" w:name="_Toc16604"/>
      <w:bookmarkStart w:id="104" w:name="_Toc2742"/>
      <w:bookmarkStart w:id="105" w:name="_Toc20876"/>
      <w:bookmarkStart w:id="106" w:name="_Toc23272"/>
      <w:r>
        <w:rPr>
          <w:rFonts w:hint="eastAsia" w:eastAsia="仿宋"/>
          <w:snapToGrid w:val="0"/>
          <w:color w:val="auto"/>
          <w:sz w:val="28"/>
          <w:szCs w:val="28"/>
          <w:lang w:val="en-US" w:eastAsia="zh-CN"/>
        </w:rPr>
        <w:t>3.1</w:t>
      </w:r>
      <w:r>
        <w:rPr>
          <w:rFonts w:hint="default" w:eastAsia="仿宋"/>
          <w:snapToGrid w:val="0"/>
          <w:color w:val="auto"/>
          <w:sz w:val="28"/>
          <w:szCs w:val="28"/>
          <w:lang w:val="en-US" w:eastAsia="zh-CN"/>
        </w:rPr>
        <w:t>.</w:t>
      </w:r>
      <w:bookmarkEnd w:id="91"/>
      <w:bookmarkEnd w:id="92"/>
      <w:bookmarkEnd w:id="93"/>
      <w:bookmarkEnd w:id="94"/>
      <w:bookmarkEnd w:id="95"/>
      <w:r>
        <w:rPr>
          <w:rFonts w:hint="default" w:eastAsia="仿宋"/>
          <w:snapToGrid w:val="0"/>
          <w:color w:val="auto"/>
          <w:sz w:val="28"/>
          <w:szCs w:val="28"/>
          <w:lang w:val="en-US" w:eastAsia="zh-CN"/>
        </w:rPr>
        <w:t>3</w:t>
      </w:r>
      <w:r>
        <w:rPr>
          <w:rFonts w:hint="eastAsia" w:eastAsia="仿宋"/>
          <w:snapToGrid w:val="0"/>
          <w:color w:val="auto"/>
          <w:sz w:val="28"/>
          <w:szCs w:val="28"/>
          <w:lang w:val="en-US" w:eastAsia="zh-CN"/>
        </w:rPr>
        <w:t>城乡环保设施</w:t>
      </w:r>
      <w:r>
        <w:rPr>
          <w:rFonts w:hint="default" w:eastAsia="仿宋"/>
          <w:snapToGrid w:val="0"/>
          <w:color w:val="auto"/>
          <w:sz w:val="28"/>
          <w:szCs w:val="28"/>
          <w:lang w:val="en-US" w:eastAsia="zh-CN"/>
        </w:rPr>
        <w:t>等公共基础设施建设滞后</w:t>
      </w:r>
      <w:bookmarkEnd w:id="96"/>
    </w:p>
    <w:p w14:paraId="62125A2D">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城乡</w:t>
      </w:r>
      <w:r>
        <w:rPr>
          <w:rFonts w:hint="default" w:ascii="Times New Roman" w:hAnsi="Times New Roman" w:eastAsia="方正仿宋_GBK" w:cs="方正仿宋_GBK"/>
          <w:b w:val="0"/>
          <w:bCs w:val="0"/>
          <w:color w:val="auto"/>
          <w:sz w:val="28"/>
          <w:szCs w:val="28"/>
          <w:lang w:val="en-US" w:eastAsia="zh-CN"/>
        </w:rPr>
        <w:t>环境基础设施不完善。乡镇污水和垃圾处理是薄弱环节，且除县城外，部分乡镇的“两污”项目建设滞后。乡镇生活垃圾无卫生填埋处理处置，垃圾收集转运清理系统不完善，垃圾处于乱堆乱放状态存在安全隐患。生活污水无规范处理设施，随地形自然漫流污染地表水体。尤其是乡村污水收集处理、垃圾收集处理等环保基础设施薄弱，不能满足基本需要，导致污水散排、垃圾围村现象普遍存在，对地表水、地下水、土壤环境都有很大的污染风险。</w:t>
      </w:r>
    </w:p>
    <w:p w14:paraId="15E62B0E">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方正仿宋_GBK"/>
          <w:b w:val="0"/>
          <w:bCs w:val="0"/>
          <w:color w:val="auto"/>
          <w:sz w:val="28"/>
          <w:szCs w:val="28"/>
          <w:lang w:val="en-US" w:eastAsia="zh-CN"/>
        </w:rPr>
        <w:t>基础设施和公共服务设施仍然薄弱。资源性缺水和工程性缺水问题并存，县城与平掌、建兴、者竜等乡镇缺乏快速路网连接，农村公路建设、养护资金配套严重不足；城镇化水平较低，乡镇之间发展差距大，城乡之间在医疗、教育、就业、文化、社会保障等方面资源均衡配置尚待加强，与人民群众对美好生活的向往、对品质生活的追求还有较大差距。</w:t>
      </w:r>
    </w:p>
    <w:p w14:paraId="625ED0DD">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107" w:name="_Toc8485"/>
      <w:bookmarkStart w:id="108" w:name="_Toc11771"/>
      <w:bookmarkStart w:id="109" w:name="_Toc26425"/>
      <w:r>
        <w:rPr>
          <w:rFonts w:hint="eastAsia" w:eastAsia="仿宋"/>
          <w:snapToGrid w:val="0"/>
          <w:color w:val="auto"/>
          <w:sz w:val="28"/>
          <w:szCs w:val="28"/>
          <w:lang w:val="en-US" w:eastAsia="zh-CN"/>
        </w:rPr>
        <w:t>3.1</w:t>
      </w:r>
      <w:r>
        <w:rPr>
          <w:rFonts w:hint="default" w:eastAsia="仿宋"/>
          <w:snapToGrid w:val="0"/>
          <w:color w:val="auto"/>
          <w:sz w:val="28"/>
          <w:szCs w:val="28"/>
          <w:lang w:val="en-US" w:eastAsia="zh-CN"/>
        </w:rPr>
        <w:t>.</w:t>
      </w:r>
      <w:bookmarkEnd w:id="107"/>
      <w:bookmarkEnd w:id="108"/>
      <w:r>
        <w:rPr>
          <w:rFonts w:hint="default" w:eastAsia="仿宋"/>
          <w:snapToGrid w:val="0"/>
          <w:color w:val="auto"/>
          <w:sz w:val="28"/>
          <w:szCs w:val="28"/>
          <w:lang w:val="en-US" w:eastAsia="zh-CN"/>
        </w:rPr>
        <w:t>4资源开发与环境保护压力较大</w:t>
      </w:r>
      <w:bookmarkEnd w:id="109"/>
    </w:p>
    <w:p w14:paraId="448D6884">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方正仿宋_GBK" w:cs="方正仿宋_GBK"/>
          <w:b w:val="0"/>
          <w:bCs w:val="0"/>
          <w:color w:val="auto"/>
          <w:sz w:val="28"/>
          <w:szCs w:val="28"/>
          <w:lang w:val="en-US" w:eastAsia="zh-CN"/>
        </w:rPr>
      </w:pPr>
      <w:r>
        <w:rPr>
          <w:rFonts w:hint="default" w:ascii="Times New Roman" w:hAnsi="Times New Roman" w:eastAsia="方正仿宋_GBK" w:cs="方正仿宋_GBK"/>
          <w:b w:val="0"/>
          <w:bCs w:val="0"/>
          <w:color w:val="auto"/>
          <w:sz w:val="28"/>
          <w:szCs w:val="28"/>
          <w:lang w:val="en-US" w:eastAsia="zh-CN"/>
        </w:rPr>
        <w:t>矿山修复治理压力较大。新平县矿山地质环境条件比较脆弱，问题积累时间长，历史欠账较多，尽管矿山地质环境保护与恢复治理工作取得了一定的成效，受经济因素和其他众多自然人为因素的影响，面临的困难多，存在问题突出。且矿山地质环境治理工程投入大，其经济效益不凸显或滞后，造成矿山地质环境治理投资回报率不大，缺乏有效的投入和融资渠道，造成治理进行缓慢，再加上缺乏矿山地质环境治理相关的鼓励政策措施，极少有社会资金参与，因而资金缺口大。在生态文明建设新形势下，矿山管理、治理难度大。目前新平县矿山企业规模开采和集约化经营水平较低，矿产资源综合开发利用程度不高，造成的地质环境破坏较多且分散。在国土空间规划“三区三线”空间布局和管控要求下，管理、治理难度大，较难满足现行生态文明建设要求。响和破坏、废水固废影响等，造成治理难度大。</w:t>
      </w:r>
    </w:p>
    <w:p w14:paraId="5899DEF3">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方正仿宋_GBK" w:cs="方正仿宋_GBK"/>
          <w:b w:val="0"/>
          <w:bCs w:val="0"/>
          <w:color w:val="auto"/>
          <w:sz w:val="28"/>
          <w:szCs w:val="28"/>
          <w:lang w:val="en-US" w:eastAsia="zh-CN"/>
        </w:rPr>
      </w:pPr>
      <w:r>
        <w:rPr>
          <w:rFonts w:hint="default" w:ascii="Times New Roman" w:hAnsi="Times New Roman" w:eastAsia="方正仿宋_GBK" w:cs="方正仿宋_GBK"/>
          <w:b w:val="0"/>
          <w:bCs w:val="0"/>
          <w:color w:val="auto"/>
          <w:sz w:val="28"/>
          <w:szCs w:val="28"/>
          <w:lang w:val="en-US" w:eastAsia="zh-CN"/>
        </w:rPr>
        <w:t>森林资源保护任务艰巨。近年来，全县虽然持续开展绿化造林、森林抚育等工作，但林草建设同国民经济发展的要求以及人民群众的生态需求还不适应，森林资源保护与经济发展的矛盾突出，经济社会活动对自然资源的利用强度还在不断加大，违法占用林地现象时有发生；林地</w:t>
      </w:r>
      <w:r>
        <w:rPr>
          <w:rFonts w:hint="eastAsia" w:ascii="Times New Roman" w:hAnsi="Times New Roman" w:eastAsia="方正仿宋_GBK" w:cs="方正仿宋_GBK"/>
          <w:b w:val="0"/>
          <w:bCs w:val="0"/>
          <w:color w:val="auto"/>
          <w:sz w:val="28"/>
          <w:szCs w:val="28"/>
          <w:lang w:val="en-US" w:eastAsia="zh-CN"/>
        </w:rPr>
        <w:t>与其他</w:t>
      </w:r>
      <w:r>
        <w:rPr>
          <w:rFonts w:hint="default" w:ascii="Times New Roman" w:hAnsi="Times New Roman" w:eastAsia="方正仿宋_GBK" w:cs="方正仿宋_GBK"/>
          <w:b w:val="0"/>
          <w:bCs w:val="0"/>
          <w:color w:val="auto"/>
          <w:sz w:val="28"/>
          <w:szCs w:val="28"/>
          <w:lang w:val="en-US" w:eastAsia="zh-CN"/>
        </w:rPr>
        <w:t>地类存在交叉重叠，给林地管理和使用带来诸多矛盾和纠纷；森林安全保护压力仍然巨大，森林火灾和林草有害生物防控能力还需不断提升；森林、自然保护地、湿地等监测体系建设有待加强，监测能力和监测水平还需提升。</w:t>
      </w:r>
    </w:p>
    <w:p w14:paraId="1E755936">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110" w:name="_Toc27869"/>
      <w:bookmarkStart w:id="111" w:name="_Toc13228"/>
      <w:bookmarkStart w:id="112" w:name="_Toc6193"/>
      <w:bookmarkStart w:id="113" w:name="_Toc5747"/>
      <w:bookmarkStart w:id="114" w:name="_Toc3429"/>
      <w:r>
        <w:rPr>
          <w:rFonts w:hint="default" w:eastAsia="仿宋"/>
          <w:snapToGrid w:val="0"/>
          <w:color w:val="auto"/>
          <w:sz w:val="28"/>
          <w:szCs w:val="28"/>
          <w:lang w:val="en-US" w:eastAsia="zh-CN"/>
        </w:rPr>
        <w:t>3.</w:t>
      </w:r>
      <w:r>
        <w:rPr>
          <w:rFonts w:hint="eastAsia" w:eastAsia="仿宋"/>
          <w:snapToGrid w:val="0"/>
          <w:color w:val="auto"/>
          <w:sz w:val="28"/>
          <w:szCs w:val="28"/>
          <w:lang w:val="en-US" w:eastAsia="zh-CN"/>
        </w:rPr>
        <w:t>1</w:t>
      </w:r>
      <w:r>
        <w:rPr>
          <w:rFonts w:hint="default" w:eastAsia="仿宋"/>
          <w:snapToGrid w:val="0"/>
          <w:color w:val="auto"/>
          <w:sz w:val="28"/>
          <w:szCs w:val="28"/>
          <w:lang w:val="en-US" w:eastAsia="zh-CN"/>
        </w:rPr>
        <w:t>.</w:t>
      </w:r>
      <w:bookmarkEnd w:id="110"/>
      <w:bookmarkEnd w:id="111"/>
      <w:bookmarkEnd w:id="112"/>
      <w:bookmarkEnd w:id="113"/>
      <w:r>
        <w:rPr>
          <w:rFonts w:hint="default" w:eastAsia="仿宋"/>
          <w:snapToGrid w:val="0"/>
          <w:color w:val="auto"/>
          <w:sz w:val="28"/>
          <w:szCs w:val="28"/>
          <w:lang w:val="en-US" w:eastAsia="zh-CN"/>
        </w:rPr>
        <w:t>5治理体系和治理能力现代化尚未形成</w:t>
      </w:r>
      <w:bookmarkEnd w:id="114"/>
    </w:p>
    <w:p w14:paraId="7BC8CFCC">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方正仿宋_GBK" w:cs="方正仿宋_GBK"/>
          <w:b w:val="0"/>
          <w:bCs w:val="0"/>
          <w:color w:val="auto"/>
          <w:sz w:val="28"/>
          <w:szCs w:val="28"/>
          <w:lang w:val="en-US" w:eastAsia="zh-CN"/>
        </w:rPr>
      </w:pPr>
      <w:r>
        <w:rPr>
          <w:rFonts w:hint="default" w:ascii="Times New Roman" w:hAnsi="Times New Roman" w:eastAsia="方正仿宋_GBK" w:cs="方正仿宋_GBK"/>
          <w:b w:val="0"/>
          <w:bCs w:val="0"/>
          <w:color w:val="auto"/>
          <w:sz w:val="28"/>
          <w:szCs w:val="28"/>
          <w:lang w:val="en-US" w:eastAsia="zh-CN"/>
        </w:rPr>
        <w:t>随着水、大气、土壤等重大污染防治行动计划的实施，环保监管、污染治理投入、治污技术手段、政策制度保障等各方面的需求将急剧增加，然而目前环境管理能力相对滞后，健全的环保机制、政策和手段体系尚未全面建立，环保技术、资金保障仍然不足，基层环保高水平人员严重欠缺，</w:t>
      </w:r>
      <w:r>
        <w:rPr>
          <w:rFonts w:hint="eastAsia" w:ascii="Times New Roman" w:hAnsi="Times New Roman" w:eastAsia="方正仿宋_GBK" w:cs="方正仿宋_GBK"/>
          <w:b w:val="0"/>
          <w:bCs w:val="0"/>
          <w:color w:val="auto"/>
          <w:sz w:val="28"/>
          <w:szCs w:val="28"/>
          <w:lang w:val="en-US" w:eastAsia="zh-CN"/>
        </w:rPr>
        <w:t>特别是</w:t>
      </w:r>
      <w:r>
        <w:rPr>
          <w:rFonts w:hint="default" w:ascii="Times New Roman" w:hAnsi="Times New Roman" w:eastAsia="方正仿宋_GBK" w:cs="方正仿宋_GBK"/>
          <w:b w:val="0"/>
          <w:bCs w:val="0"/>
          <w:color w:val="auto"/>
          <w:sz w:val="28"/>
          <w:szCs w:val="28"/>
          <w:lang w:val="en-US" w:eastAsia="zh-CN"/>
        </w:rPr>
        <w:t>环境监测监管能力相对弱，覆盖度不够也成为困扰新平县环境保护工作的重要问题。跟当前面临的生态环境问题相比、跟解决问题的手段要求相比还有较大差距，生态环境治理体系不完善，治理基础设施建设滞后，治理体系和治理能力现代化步伐尚不能满足新情况和新任务的要求，政府、企业和社会依法共治合作的格局尚未建立，现代生态环境治理能力薄弱。</w:t>
      </w:r>
    </w:p>
    <w:bookmarkEnd w:id="97"/>
    <w:p w14:paraId="1660DFA2">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en-US" w:eastAsia="zh-CN"/>
        </w:rPr>
      </w:pPr>
      <w:bookmarkStart w:id="115" w:name="_Toc17261"/>
      <w:r>
        <w:rPr>
          <w:rFonts w:hint="eastAsia" w:ascii="Times New Roman" w:hAnsi="Times New Roman" w:eastAsia="仿宋" w:cs="Times New Roman"/>
          <w:color w:val="auto"/>
          <w:sz w:val="32"/>
          <w:lang w:val="en-US" w:eastAsia="zh-CN"/>
        </w:rPr>
        <w:t>3.2</w:t>
      </w:r>
      <w:r>
        <w:rPr>
          <w:rFonts w:hint="default" w:ascii="Times New Roman" w:hAnsi="Times New Roman" w:eastAsia="仿宋" w:cs="Times New Roman"/>
          <w:color w:val="auto"/>
          <w:sz w:val="32"/>
          <w:lang w:val="en-US" w:eastAsia="zh-CN"/>
        </w:rPr>
        <w:t>机遇</w:t>
      </w:r>
      <w:bookmarkEnd w:id="98"/>
      <w:bookmarkEnd w:id="99"/>
      <w:bookmarkEnd w:id="100"/>
      <w:bookmarkEnd w:id="101"/>
      <w:bookmarkEnd w:id="102"/>
      <w:bookmarkEnd w:id="103"/>
      <w:bookmarkEnd w:id="104"/>
      <w:bookmarkEnd w:id="105"/>
      <w:bookmarkEnd w:id="106"/>
      <w:bookmarkEnd w:id="115"/>
    </w:p>
    <w:p w14:paraId="1ACDD2BE">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116" w:name="_Toc27474"/>
      <w:bookmarkStart w:id="117" w:name="_Toc8165"/>
      <w:bookmarkStart w:id="118" w:name="_Toc27918"/>
      <w:bookmarkStart w:id="119" w:name="_Toc17393"/>
      <w:bookmarkStart w:id="120" w:name="_Toc15075"/>
      <w:bookmarkStart w:id="121" w:name="_Toc14659"/>
      <w:r>
        <w:rPr>
          <w:rFonts w:hint="eastAsia" w:eastAsia="仿宋"/>
          <w:snapToGrid w:val="0"/>
          <w:color w:val="auto"/>
          <w:sz w:val="28"/>
          <w:szCs w:val="28"/>
          <w:lang w:val="en-US" w:eastAsia="zh-CN"/>
        </w:rPr>
        <w:t>3.2</w:t>
      </w:r>
      <w:r>
        <w:rPr>
          <w:rFonts w:hint="default" w:eastAsia="仿宋"/>
          <w:snapToGrid w:val="0"/>
          <w:color w:val="auto"/>
          <w:sz w:val="28"/>
          <w:szCs w:val="28"/>
          <w:lang w:val="en-US" w:eastAsia="zh-CN"/>
        </w:rPr>
        <w:t>.1国家发展战略带来的政策机遇</w:t>
      </w:r>
      <w:bookmarkEnd w:id="116"/>
      <w:bookmarkEnd w:id="117"/>
      <w:bookmarkEnd w:id="118"/>
      <w:bookmarkEnd w:id="119"/>
      <w:bookmarkEnd w:id="120"/>
      <w:bookmarkEnd w:id="121"/>
    </w:p>
    <w:p w14:paraId="07D365BD">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方正仿宋_GBK" w:cs="方正仿宋_GBK"/>
          <w:b w:val="0"/>
          <w:bCs w:val="0"/>
          <w:color w:val="auto"/>
          <w:sz w:val="28"/>
          <w:szCs w:val="28"/>
          <w:lang w:val="en-US" w:eastAsia="zh-CN"/>
        </w:rPr>
      </w:pPr>
      <w:bookmarkStart w:id="122" w:name="_Toc21473"/>
      <w:bookmarkStart w:id="123" w:name="_Toc10323"/>
      <w:bookmarkStart w:id="124" w:name="_Toc25896"/>
      <w:bookmarkStart w:id="125" w:name="_Toc1982"/>
      <w:r>
        <w:rPr>
          <w:rFonts w:hint="default" w:ascii="Times New Roman" w:hAnsi="Times New Roman" w:eastAsia="方正仿宋_GBK" w:cs="方正仿宋_GBK"/>
          <w:b w:val="0"/>
          <w:bCs w:val="0"/>
          <w:color w:val="auto"/>
          <w:sz w:val="28"/>
          <w:szCs w:val="28"/>
          <w:lang w:val="en-US" w:eastAsia="zh-CN"/>
        </w:rPr>
        <w:t>生态文明建设迈向新征程的机遇：党的二十大报告提出，必须牢固树立和践行绿水青山就是金山银山的理念，站在人与自然和谐共生的高度谋划发展。我国迈上全面建设社会主义现代化国家新征程，生态文明建设也进入了以降碳为重要战略方向，减污降碳协同增效、实现生态环境质量根本性变化的新阶段。在此背景下，生态文明建设的深入推进将对新平县产业结构调整、污染治理、生态保护、应对气候变化等方面带来新的要求和机遇，为实现协同推进降碳、减污、扩绿、增长打下基础，助力全县建设人与自然和谐共生的美丽家园。</w:t>
      </w:r>
    </w:p>
    <w:p w14:paraId="11983651">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方正仿宋_GBK" w:cs="方正仿宋_GBK"/>
          <w:b w:val="0"/>
          <w:bCs w:val="0"/>
          <w:color w:val="auto"/>
          <w:sz w:val="28"/>
          <w:szCs w:val="28"/>
          <w:lang w:val="en-US" w:eastAsia="zh-CN"/>
        </w:rPr>
      </w:pPr>
      <w:r>
        <w:rPr>
          <w:rFonts w:hint="default" w:ascii="Times New Roman" w:hAnsi="Times New Roman" w:eastAsia="方正仿宋_GBK" w:cs="方正仿宋_GBK"/>
          <w:b w:val="0"/>
          <w:bCs w:val="0"/>
          <w:color w:val="auto"/>
          <w:sz w:val="28"/>
          <w:szCs w:val="28"/>
          <w:lang w:val="en-US" w:eastAsia="zh-CN"/>
        </w:rPr>
        <w:t>新时代推进西部大开发形成新格局：中共中央、国务院发布《关于新时代推进西部大开发形成新格局的指导意见》，提出打好三大攻坚战、不断提升创新发展能力、推动形成现代化产业体系等36条具体意见。在国家、省级政府大力支持新时代西部大开发的新格局下，新平县社会经济、城乡建设、基础设施等将会得到更大的提升，综合实力将不断增强，为生态文明建设奠定物质和社会基础。</w:t>
      </w:r>
    </w:p>
    <w:p w14:paraId="57667AFC">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方正仿宋_GBK" w:cs="方正仿宋_GBK"/>
          <w:b w:val="0"/>
          <w:bCs w:val="0"/>
          <w:color w:val="auto"/>
          <w:sz w:val="28"/>
          <w:szCs w:val="28"/>
          <w:lang w:val="en-US" w:eastAsia="zh-CN"/>
        </w:rPr>
      </w:pPr>
      <w:r>
        <w:rPr>
          <w:rFonts w:hint="default" w:ascii="Times New Roman" w:hAnsi="Times New Roman" w:eastAsia="方正仿宋_GBK" w:cs="方正仿宋_GBK"/>
          <w:b w:val="0"/>
          <w:bCs w:val="0"/>
          <w:color w:val="auto"/>
          <w:sz w:val="28"/>
          <w:szCs w:val="28"/>
          <w:lang w:val="en-US" w:eastAsia="zh-CN"/>
        </w:rPr>
        <w:t>全面推进乡村振兴的机遇：党的十九届五中全会审议通过的《中共中央关于制定国民经济和社会发展第十四个五年规划和二〇三五年远景目标的建议》，对新发展阶段优先发展农业农村、全面推进乡村振兴作出总体部署，为做好当前和今后一个时期“三农”工作指明了方向。近年来，新平县以实施乡村振兴战略为总抓手，紧紧围绕中央和省、市党委、政府关于“三农”工作的决策部署，强化政策融合、深化改革融合、细化产业融合，助推乡村振兴，取得了良好的成果。乡村战略的持续实施将推动全县农业全面升级、农村全面进步、农民全面发展，推进巩固脱贫成果与乡村振兴的有效衔接，为农村基础设施建设、人居环境提升、农民增收带来新的机遇。</w:t>
      </w:r>
    </w:p>
    <w:p w14:paraId="4C410B99">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126" w:name="_Toc3650"/>
      <w:r>
        <w:rPr>
          <w:rFonts w:hint="eastAsia" w:eastAsia="仿宋"/>
          <w:snapToGrid w:val="0"/>
          <w:color w:val="auto"/>
          <w:sz w:val="28"/>
          <w:szCs w:val="28"/>
          <w:lang w:val="en-US" w:eastAsia="zh-CN"/>
        </w:rPr>
        <w:t>3.2</w:t>
      </w:r>
      <w:r>
        <w:rPr>
          <w:rFonts w:hint="default" w:eastAsia="仿宋"/>
          <w:snapToGrid w:val="0"/>
          <w:color w:val="auto"/>
          <w:sz w:val="28"/>
          <w:szCs w:val="28"/>
          <w:lang w:val="en-US" w:eastAsia="zh-CN"/>
        </w:rPr>
        <w:t>.2云南省发展战略带来的机遇</w:t>
      </w:r>
      <w:bookmarkEnd w:id="122"/>
      <w:bookmarkEnd w:id="123"/>
      <w:bookmarkEnd w:id="124"/>
      <w:bookmarkEnd w:id="125"/>
      <w:bookmarkEnd w:id="126"/>
    </w:p>
    <w:p w14:paraId="1C2B560C">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方正仿宋_GBK" w:cs="方正仿宋_GBK"/>
          <w:b w:val="0"/>
          <w:bCs w:val="0"/>
          <w:color w:val="auto"/>
          <w:sz w:val="28"/>
          <w:szCs w:val="28"/>
          <w:lang w:val="en-US" w:eastAsia="zh-CN"/>
        </w:rPr>
      </w:pPr>
      <w:r>
        <w:rPr>
          <w:rFonts w:hint="default" w:ascii="Times New Roman" w:hAnsi="Times New Roman" w:eastAsia="方正仿宋_GBK" w:cs="方正仿宋_GBK"/>
          <w:b w:val="0"/>
          <w:bCs w:val="0"/>
          <w:color w:val="auto"/>
          <w:sz w:val="28"/>
          <w:szCs w:val="28"/>
          <w:lang w:val="en-US" w:eastAsia="zh-CN"/>
        </w:rPr>
        <w:t>云南省加快构建现代化产业体系</w:t>
      </w:r>
      <w:r>
        <w:rPr>
          <w:rFonts w:hint="eastAsia" w:ascii="Times New Roman" w:hAnsi="Times New Roman" w:eastAsia="方正仿宋_GBK" w:cs="方正仿宋_GBK"/>
          <w:b w:val="0"/>
          <w:bCs w:val="0"/>
          <w:color w:val="auto"/>
          <w:sz w:val="28"/>
          <w:szCs w:val="28"/>
          <w:lang w:val="en-US" w:eastAsia="zh-CN"/>
        </w:rPr>
        <w:t>，</w:t>
      </w:r>
      <w:r>
        <w:rPr>
          <w:rFonts w:hint="default" w:ascii="Times New Roman" w:hAnsi="Times New Roman" w:eastAsia="方正仿宋_GBK" w:cs="方正仿宋_GBK"/>
          <w:b w:val="0"/>
          <w:bCs w:val="0"/>
          <w:color w:val="auto"/>
          <w:sz w:val="28"/>
          <w:szCs w:val="28"/>
          <w:lang w:val="en-US" w:eastAsia="zh-CN"/>
        </w:rPr>
        <w:t>不断优化八大产业结构，深化“三张牌”内涵，培育先进制造业、文化旅游业、高原特色现代农业、现代物流、健康服务等若干万亿级产业，绿色能源、数字经济、生物医药、新材料、环保产业、金融服务业等若干千亿级产业，巩固提升房地产、烟草等传统产业，玉溪市加快产业转型升级，建设“云南省绿色钢城”，都将极大地激活潜力，为新平县建设绿色矿冶集聚区、高原特色农业示范区、中国花腰傣旅游目的地，实现产业转型升级和高质量发展创造良好条件。</w:t>
      </w:r>
    </w:p>
    <w:p w14:paraId="0877BA52">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127" w:name="_Toc5004"/>
      <w:r>
        <w:rPr>
          <w:rFonts w:hint="eastAsia" w:eastAsia="仿宋"/>
          <w:snapToGrid w:val="0"/>
          <w:color w:val="auto"/>
          <w:sz w:val="28"/>
          <w:szCs w:val="28"/>
          <w:lang w:val="en-US" w:eastAsia="zh-CN"/>
        </w:rPr>
        <w:t>3.2</w:t>
      </w:r>
      <w:r>
        <w:rPr>
          <w:rFonts w:hint="default" w:eastAsia="仿宋"/>
          <w:snapToGrid w:val="0"/>
          <w:color w:val="auto"/>
          <w:sz w:val="28"/>
          <w:szCs w:val="28"/>
          <w:lang w:val="en-US" w:eastAsia="zh-CN"/>
        </w:rPr>
        <w:t>.3滇中城市群发展带来的机遇</w:t>
      </w:r>
      <w:bookmarkEnd w:id="127"/>
    </w:p>
    <w:p w14:paraId="71E7BC32">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方正仿宋_GBK" w:cs="方正仿宋_GBK"/>
          <w:b w:val="0"/>
          <w:bCs w:val="0"/>
          <w:color w:val="auto"/>
          <w:sz w:val="28"/>
          <w:szCs w:val="28"/>
          <w:lang w:val="en-US" w:eastAsia="zh-CN"/>
        </w:rPr>
      </w:pPr>
      <w:r>
        <w:rPr>
          <w:rFonts w:hint="default" w:ascii="Times New Roman" w:hAnsi="Times New Roman" w:eastAsia="方正仿宋_GBK" w:cs="方正仿宋_GBK"/>
          <w:b w:val="0"/>
          <w:bCs w:val="0"/>
          <w:color w:val="auto"/>
          <w:sz w:val="28"/>
          <w:szCs w:val="28"/>
          <w:lang w:val="en-US" w:eastAsia="zh-CN"/>
        </w:rPr>
        <w:t>“滇中崛起、沿边开放、滇东北开发、滇西一体化”，是云南省“十四五”规划和二〇三五年远景目标中，推动区域协调发展的关键布局，特别是“滇中崛起”，发挥好核心带动作用、成为强大的动力引擎，对于要努力与全国同步基本实现社会主义现代化的云南。云南省“滇中崛起”区域战略落实，《滇中城市群发展规划》推进实施，昆玉同城化加速步伐，以及玉临高速、永金高速、新平（扬武）—墨江（孟弄）高速、玉磨铁路建设，新平在融入滇中城市群发展、扩大对内对外开放、推进区域协调发展、搭建生态环境保护平台等方面将迎来更为广阔的发展空间。</w:t>
      </w:r>
    </w:p>
    <w:p w14:paraId="0880F391">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128" w:name="_Toc16238"/>
      <w:bookmarkStart w:id="129" w:name="_Toc9464"/>
      <w:bookmarkStart w:id="130" w:name="_Toc2545"/>
      <w:r>
        <w:rPr>
          <w:rFonts w:hint="eastAsia" w:eastAsia="仿宋"/>
          <w:snapToGrid w:val="0"/>
          <w:color w:val="auto"/>
          <w:sz w:val="28"/>
          <w:szCs w:val="28"/>
          <w:lang w:val="en-US" w:eastAsia="zh-CN"/>
        </w:rPr>
        <w:t>3.2</w:t>
      </w:r>
      <w:r>
        <w:rPr>
          <w:rFonts w:hint="default" w:eastAsia="仿宋"/>
          <w:snapToGrid w:val="0"/>
          <w:color w:val="auto"/>
          <w:sz w:val="28"/>
          <w:szCs w:val="28"/>
          <w:lang w:val="en-US" w:eastAsia="zh-CN"/>
        </w:rPr>
        <w:t>.4玉溪市生态建设和环境保护带来的发展机遇</w:t>
      </w:r>
      <w:bookmarkEnd w:id="128"/>
      <w:bookmarkEnd w:id="129"/>
      <w:bookmarkEnd w:id="130"/>
    </w:p>
    <w:p w14:paraId="57C4C45D">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方正仿宋_GBK" w:cs="方正仿宋_GBK"/>
          <w:b w:val="0"/>
          <w:bCs w:val="0"/>
          <w:color w:val="auto"/>
          <w:sz w:val="28"/>
          <w:szCs w:val="28"/>
          <w:lang w:val="en-US" w:eastAsia="zh-CN"/>
        </w:rPr>
      </w:pPr>
      <w:r>
        <w:rPr>
          <w:rFonts w:hint="default" w:ascii="Times New Roman" w:hAnsi="Times New Roman" w:eastAsia="方正仿宋_GBK" w:cs="方正仿宋_GBK"/>
          <w:b w:val="0"/>
          <w:bCs w:val="0"/>
          <w:color w:val="auto"/>
          <w:sz w:val="28"/>
          <w:szCs w:val="28"/>
          <w:lang w:val="en-US" w:eastAsia="zh-CN"/>
        </w:rPr>
        <w:t>玉溪市深入贯彻习近平生态文明思想，立足新发展阶段，完整、准确、全面贯彻新发展理念，构建新发展格局，以实现减污降碳协同增效为总抓手，以改善生态环境质量为核心，以精准治污、科学治污、依法治污为工作方针，统筹污染治理、生态保护、应对气候变化，保持力度、延伸深度、拓宽广度，以更高标准打好蓝天、碧水、净土保卫战；把碳达峰、碳中和纳入经济社会发展全局，以经济社会发展全面绿色转型为引领，以高水平保护推动高质量发展、创造高品质生活，努力建设人与自然和谐共生的美丽玉溪。玉溪生态建设和环境保护为新平县环境美丽宜居宜业、城乡居民收入水平提高、产业绿色发展、社会环境共建共治、公共服务优质共享等方面带来了新的重大机遇。</w:t>
      </w:r>
    </w:p>
    <w:p w14:paraId="67150FEB">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en-US" w:eastAsia="zh-CN"/>
        </w:rPr>
      </w:pPr>
      <w:bookmarkStart w:id="131" w:name="_Toc6842"/>
      <w:bookmarkStart w:id="132" w:name="_Toc14192"/>
      <w:bookmarkStart w:id="133" w:name="_Toc21890"/>
      <w:bookmarkStart w:id="134" w:name="_Toc17584"/>
      <w:bookmarkStart w:id="135" w:name="_Toc22361"/>
      <w:bookmarkStart w:id="136" w:name="_Toc11454"/>
      <w:bookmarkStart w:id="137" w:name="_Toc8267"/>
      <w:bookmarkStart w:id="138" w:name="_Toc13595"/>
      <w:bookmarkStart w:id="139" w:name="_Toc32484"/>
      <w:bookmarkStart w:id="140" w:name="_Toc30477"/>
      <w:r>
        <w:rPr>
          <w:rFonts w:hint="eastAsia" w:ascii="Times New Roman" w:hAnsi="Times New Roman" w:eastAsia="仿宋" w:cs="Times New Roman"/>
          <w:color w:val="auto"/>
          <w:sz w:val="32"/>
          <w:lang w:val="en-US" w:eastAsia="zh-CN"/>
        </w:rPr>
        <w:t>3.3</w:t>
      </w:r>
      <w:r>
        <w:rPr>
          <w:rFonts w:hint="default" w:ascii="Times New Roman" w:hAnsi="Times New Roman" w:eastAsia="仿宋" w:cs="Times New Roman"/>
          <w:color w:val="auto"/>
          <w:sz w:val="32"/>
          <w:lang w:val="en-US" w:eastAsia="zh-CN"/>
        </w:rPr>
        <w:t>挑战</w:t>
      </w:r>
      <w:bookmarkEnd w:id="131"/>
      <w:bookmarkEnd w:id="132"/>
      <w:bookmarkEnd w:id="133"/>
      <w:bookmarkEnd w:id="134"/>
      <w:bookmarkEnd w:id="135"/>
      <w:bookmarkEnd w:id="136"/>
      <w:bookmarkEnd w:id="137"/>
      <w:bookmarkEnd w:id="138"/>
      <w:bookmarkEnd w:id="139"/>
      <w:bookmarkEnd w:id="140"/>
    </w:p>
    <w:p w14:paraId="43207C7F">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141" w:name="_Toc1494"/>
      <w:bookmarkStart w:id="142" w:name="_Toc20321"/>
      <w:bookmarkStart w:id="143" w:name="_Toc15870"/>
      <w:bookmarkStart w:id="144" w:name="_Toc4526"/>
      <w:bookmarkStart w:id="145" w:name="_Toc30059"/>
      <w:bookmarkStart w:id="146" w:name="_Toc4854"/>
      <w:r>
        <w:rPr>
          <w:rFonts w:hint="eastAsia" w:eastAsia="仿宋"/>
          <w:snapToGrid w:val="0"/>
          <w:color w:val="auto"/>
          <w:sz w:val="28"/>
          <w:szCs w:val="28"/>
          <w:lang w:val="en-US" w:eastAsia="zh-CN"/>
        </w:rPr>
        <w:t>3.3</w:t>
      </w:r>
      <w:r>
        <w:rPr>
          <w:rFonts w:hint="default" w:eastAsia="仿宋"/>
          <w:snapToGrid w:val="0"/>
          <w:color w:val="auto"/>
          <w:sz w:val="28"/>
          <w:szCs w:val="28"/>
          <w:lang w:val="en-US" w:eastAsia="zh-CN"/>
        </w:rPr>
        <w:t>.1</w:t>
      </w:r>
      <w:bookmarkEnd w:id="141"/>
      <w:bookmarkEnd w:id="142"/>
      <w:bookmarkEnd w:id="143"/>
      <w:r>
        <w:rPr>
          <w:rFonts w:hint="default" w:eastAsia="仿宋"/>
          <w:snapToGrid w:val="0"/>
          <w:color w:val="auto"/>
          <w:sz w:val="28"/>
          <w:szCs w:val="28"/>
          <w:lang w:val="en-US" w:eastAsia="zh-CN"/>
        </w:rPr>
        <w:t>产业转型升级，绿色高质量发展的挑战</w:t>
      </w:r>
      <w:bookmarkEnd w:id="144"/>
      <w:bookmarkEnd w:id="145"/>
      <w:bookmarkEnd w:id="146"/>
    </w:p>
    <w:p w14:paraId="0CE25A42">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方正仿宋_GBK" w:cs="方正仿宋_GBK"/>
          <w:b w:val="0"/>
          <w:bCs w:val="0"/>
          <w:color w:val="auto"/>
          <w:sz w:val="28"/>
          <w:szCs w:val="28"/>
          <w:lang w:val="en-US" w:eastAsia="zh-CN"/>
        </w:rPr>
      </w:pPr>
      <w:r>
        <w:rPr>
          <w:rFonts w:hint="default" w:ascii="Times New Roman" w:hAnsi="Times New Roman" w:eastAsia="方正仿宋_GBK" w:cs="方正仿宋_GBK"/>
          <w:b w:val="0"/>
          <w:bCs w:val="0"/>
          <w:color w:val="auto"/>
          <w:sz w:val="28"/>
          <w:szCs w:val="28"/>
          <w:lang w:val="en-US" w:eastAsia="zh-CN"/>
        </w:rPr>
        <w:t>新平县经济增长对矿冶产业依赖度过高，而矿冶属于“两高”产业，且矿冶产业处于产业链前端和价值链低端，亟待转型升级，经济结构不尽合理；农业产业链短，精深加工能力，绿色化水平有待提升；文化旅游产业综合效益不高、竞争力偏弱，新兴产业发展缓慢。新平正处于转变发展方式、优化经济结构的关键阶段，如何以“生态+”为引领，牢固树立和坚持“绿水青山就是金山银山”发展理念，坚定不移推进“四化”融合，深入实施“五大战略”，坚定不移推进改革攻坚，实现结构调整和经济转型，实施产业转型升级，推动创新发展，走向绿色高质量发展之路将面临着巨大考验。</w:t>
      </w:r>
    </w:p>
    <w:p w14:paraId="0B7601CE">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147" w:name="_Toc26887"/>
      <w:bookmarkStart w:id="148" w:name="_Toc12422"/>
      <w:bookmarkStart w:id="149" w:name="_Toc17224"/>
      <w:r>
        <w:rPr>
          <w:rFonts w:hint="eastAsia" w:eastAsia="仿宋"/>
          <w:snapToGrid w:val="0"/>
          <w:color w:val="auto"/>
          <w:sz w:val="28"/>
          <w:szCs w:val="28"/>
          <w:lang w:val="en-US" w:eastAsia="zh-CN"/>
        </w:rPr>
        <w:t>3.3</w:t>
      </w:r>
      <w:r>
        <w:rPr>
          <w:rFonts w:hint="default" w:eastAsia="仿宋"/>
          <w:snapToGrid w:val="0"/>
          <w:color w:val="auto"/>
          <w:sz w:val="28"/>
          <w:szCs w:val="28"/>
          <w:lang w:val="en-US" w:eastAsia="zh-CN"/>
        </w:rPr>
        <w:t>.</w:t>
      </w:r>
      <w:bookmarkEnd w:id="147"/>
      <w:r>
        <w:rPr>
          <w:rFonts w:hint="default" w:eastAsia="仿宋"/>
          <w:snapToGrid w:val="0"/>
          <w:color w:val="auto"/>
          <w:sz w:val="28"/>
          <w:szCs w:val="28"/>
          <w:lang w:val="en-US" w:eastAsia="zh-CN"/>
        </w:rPr>
        <w:t>2</w:t>
      </w:r>
      <w:bookmarkEnd w:id="148"/>
      <w:r>
        <w:rPr>
          <w:rFonts w:hint="default" w:eastAsia="仿宋"/>
          <w:snapToGrid w:val="0"/>
          <w:color w:val="auto"/>
          <w:sz w:val="28"/>
          <w:szCs w:val="28"/>
          <w:lang w:val="en-US" w:eastAsia="zh-CN"/>
        </w:rPr>
        <w:t>生态保护与经济发展的挑战</w:t>
      </w:r>
      <w:bookmarkEnd w:id="149"/>
    </w:p>
    <w:p w14:paraId="3FA7F104">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方正仿宋_GBK" w:cs="方正仿宋_GBK"/>
          <w:b w:val="0"/>
          <w:bCs w:val="0"/>
          <w:color w:val="auto"/>
          <w:sz w:val="28"/>
          <w:szCs w:val="28"/>
          <w:lang w:val="en-US" w:eastAsia="zh-CN"/>
        </w:rPr>
      </w:pPr>
      <w:r>
        <w:rPr>
          <w:rFonts w:hint="default" w:ascii="Times New Roman" w:hAnsi="Times New Roman" w:eastAsia="方正仿宋_GBK" w:cs="方正仿宋_GBK"/>
          <w:b w:val="0"/>
          <w:bCs w:val="0"/>
          <w:color w:val="auto"/>
          <w:sz w:val="28"/>
          <w:szCs w:val="28"/>
          <w:lang w:val="en-US" w:eastAsia="zh-CN"/>
        </w:rPr>
        <w:t>《新平县国民经济和社会发展第十四个五年规划和二〇三五年远景目标》要求新平县县域经济高质量发展走在全省前列，到2025年，地区生产总值年均增速达7%以上，力争到2025年突破300亿元，人均地区生产总值达到9.8万元以上。同时，也提出深入主体功能区战略实施，国土空间开发保护格局基本形成，山水林田湖草得到系统治理，矿区生态环境逐步修复，哀牢山、磨盘山、红河谷等重点生态功能区保护不断加强，生产生活方式实现绿色转型的目标。在保护与发展的要求下，新平县建设云南绿色矿冶集聚区、云南高原特色现代农业示范区、打造中国花腰傣文化旅游目的地为主攻方向的现代产业体系，将减污降碳、农村面源污染、生态系统保护与修复、生态空间管控等方面带来压力，生态环境保护和社会经济持续增长的矛盾将会更加凸显。总的来说，新平县发展处于重要战略机遇期，经济发展是必然要求，如何平衡生态环境保护与社会发展成为新平面临的首要挑战。</w:t>
      </w:r>
    </w:p>
    <w:p w14:paraId="28517825">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150" w:name="_Toc5330"/>
      <w:r>
        <w:rPr>
          <w:rFonts w:hint="eastAsia" w:eastAsia="仿宋"/>
          <w:snapToGrid w:val="0"/>
          <w:color w:val="auto"/>
          <w:sz w:val="28"/>
          <w:szCs w:val="28"/>
          <w:lang w:val="en-US" w:eastAsia="zh-CN"/>
        </w:rPr>
        <w:t>3.3</w:t>
      </w:r>
      <w:r>
        <w:rPr>
          <w:rFonts w:hint="default" w:eastAsia="仿宋"/>
          <w:snapToGrid w:val="0"/>
          <w:color w:val="auto"/>
          <w:sz w:val="28"/>
          <w:szCs w:val="28"/>
          <w:lang w:val="en-US" w:eastAsia="zh-CN"/>
        </w:rPr>
        <w:t>.3实现碳达峰碳中和的挑战</w:t>
      </w:r>
      <w:bookmarkEnd w:id="150"/>
    </w:p>
    <w:p w14:paraId="16E48C8B">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方正仿宋_GBK" w:cs="方正仿宋_GBK"/>
          <w:b w:val="0"/>
          <w:bCs w:val="0"/>
          <w:color w:val="auto"/>
          <w:sz w:val="28"/>
          <w:szCs w:val="28"/>
          <w:lang w:val="en-US" w:eastAsia="zh-CN"/>
        </w:rPr>
      </w:pPr>
      <w:r>
        <w:rPr>
          <w:rFonts w:hint="default" w:ascii="Times New Roman" w:hAnsi="Times New Roman" w:eastAsia="方正仿宋_GBK" w:cs="方正仿宋_GBK"/>
          <w:b w:val="0"/>
          <w:bCs w:val="0"/>
          <w:color w:val="auto"/>
          <w:sz w:val="28"/>
          <w:szCs w:val="28"/>
          <w:lang w:val="en-US" w:eastAsia="zh-CN"/>
        </w:rPr>
        <w:t>在中国共产党第二十次全国代表大会上，习近平总书记明确提出要积极稳妥推进碳达峰碳中和，要完善能源消耗总量和强度调控，逐步转向碳排放总量和强度“双控”制度；推进工业、建筑、交通等领域清洁低碳转型；提升生态系统碳汇能力。在《中共云南省委云南省人民政府关于完整准确全面贯彻新发展理念做好碳达峰碳中和工作的实施意见》，提出到2030年，经济社会发展全面绿色低碳转型取得显著成效，绿色能源强省建设取得显著成效，城乡扩绿增汇水平走在全国前列；单位地区生产总值能耗大幅下降，单位地区生产总值二氧化碳排放持续下降。到2060年，绿色低碳循环发展的经济体系和清洁低碳安全高效的能源体系全面建立，非化石能源消费比重达到80%以上，城乡扩绿增汇领先全国，碳中和目标顺利实现，生态文明建设取得丰硕成果。“十三五”末全县总能耗是230.59万吨标煤，工业能耗占83.5%，能源消费总量和碳排放总量呈现刚性增长，“十三五”期间玉溪市能耗指标未完成，仙福公司焦化、带钢等高耗能项目能评将受到直接影响；“十四五”期间，随着仙福技改、瀛洲水泥技改、红山球团恢复生产以及下一步计划实施南恩公司技改搬迁、仙福公司焦化等项目，到2025年新平县工业能耗预计将增加70万吨以上。尽管总体来看能源消费总量和碳排放增长趋缓，能源消费结构趋于清洁化、低碳化，但以目前的发展速度短期内难以达到峰值并下降，要在不到10年的时间里实现碳达峰，最终达到碳中和，对新平县而言也是一大挑战。</w:t>
      </w:r>
    </w:p>
    <w:p w14:paraId="5A45807D">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151" w:name="_Toc12296"/>
      <w:r>
        <w:rPr>
          <w:rFonts w:hint="eastAsia" w:eastAsia="仿宋"/>
          <w:snapToGrid w:val="0"/>
          <w:color w:val="auto"/>
          <w:sz w:val="28"/>
          <w:szCs w:val="28"/>
          <w:lang w:val="en-US" w:eastAsia="zh-CN"/>
        </w:rPr>
        <w:t>3.3</w:t>
      </w:r>
      <w:r>
        <w:rPr>
          <w:rFonts w:hint="default" w:eastAsia="仿宋"/>
          <w:snapToGrid w:val="0"/>
          <w:color w:val="auto"/>
          <w:sz w:val="28"/>
          <w:szCs w:val="28"/>
          <w:lang w:val="en-US" w:eastAsia="zh-CN"/>
        </w:rPr>
        <w:t>.4生物多样性保护面临的挑战</w:t>
      </w:r>
      <w:bookmarkEnd w:id="151"/>
    </w:p>
    <w:p w14:paraId="22A3D293">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bookmarkStart w:id="152" w:name="_Toc9516103"/>
      <w:bookmarkStart w:id="153" w:name="_Toc29497"/>
      <w:bookmarkStart w:id="154" w:name="_Toc18049"/>
      <w:bookmarkStart w:id="155" w:name="_Toc18892"/>
      <w:bookmarkStart w:id="156" w:name="_Toc1361"/>
      <w:bookmarkStart w:id="157" w:name="_Toc29139"/>
      <w:bookmarkStart w:id="158" w:name="_Toc35697761"/>
      <w:bookmarkStart w:id="159" w:name="_Toc8111"/>
      <w:bookmarkStart w:id="160" w:name="_Toc302"/>
      <w:bookmarkStart w:id="161" w:name="_Toc22204"/>
      <w:bookmarkStart w:id="162" w:name="_Toc514661255"/>
      <w:bookmarkStart w:id="163" w:name="_Toc18150"/>
      <w:r>
        <w:rPr>
          <w:rFonts w:hint="default" w:ascii="Times New Roman" w:hAnsi="Times New Roman" w:eastAsia="方正仿宋_GBK" w:cs="方正仿宋_GBK"/>
          <w:b w:val="0"/>
          <w:bCs w:val="0"/>
          <w:color w:val="auto"/>
          <w:sz w:val="28"/>
          <w:szCs w:val="28"/>
          <w:lang w:val="en-US" w:eastAsia="zh-CN"/>
        </w:rPr>
        <w:t>新平县区位独特，光热条件较好，具备亚热带、温带、高山寒带等多种气候类型，适宜多种生物的生长发育。县域境内有云南省哀牢山国家级自然保护区（新平段）、玉白顶林场市级自然保护区、哀牢山县级自然保护区、磨盘山县级自然保护区和磨盘山国家级森林公园5个自然保护地，动、植物资源丰富。但目前境内自然保护地建设及管护投入不足，野生动植物保护及科研人才缺乏，野生动植物资源保护缺乏长效机制，加之新平县正处于发展阶段，矿产资源开发、公路、水利工程等建设活动显著增加，矿产资源开发、公路、水利工程建设使野生动植物栖息环境遭到破坏，动植物种群长期繁衍面临着较大威胁。另外，矿产资源开发和水利工程设施建设使得河流水系连通性下降，对水生生物产生一定的影响。生物多样性的保护关系到生态平衡的维持，保护好县域的生物多样性不仅对国家社会经济持续发展具有重要意义，对全球的环境保护和促进人类社会进步也会产生深远的影响</w:t>
      </w:r>
      <w:r>
        <w:rPr>
          <w:rFonts w:hint="eastAsia" w:ascii="Times New Roman" w:hAnsi="Times New Roman" w:eastAsia="方正仿宋_GBK" w:cs="方正仿宋_GBK"/>
          <w:b w:val="0"/>
          <w:bCs w:val="0"/>
          <w:color w:val="auto"/>
          <w:sz w:val="28"/>
          <w:szCs w:val="28"/>
          <w:lang w:val="en-US" w:eastAsia="zh-CN"/>
        </w:rPr>
        <w:t>。</w:t>
      </w:r>
    </w:p>
    <w:p w14:paraId="2AEE1C40">
      <w:pPr>
        <w:pStyle w:val="3"/>
        <w:pageBreakBefore w:val="0"/>
        <w:kinsoku/>
        <w:wordWrap/>
        <w:overflowPunct/>
        <w:topLinePunct w:val="0"/>
        <w:autoSpaceDE/>
        <w:autoSpaceDN/>
        <w:bidi w:val="0"/>
        <w:spacing w:before="0" w:after="0" w:line="500" w:lineRule="exact"/>
        <w:jc w:val="center"/>
        <w:textAlignment w:val="auto"/>
        <w:rPr>
          <w:rFonts w:hint="default" w:ascii="Times New Roman" w:hAnsi="Times New Roman" w:eastAsia="仿宋" w:cs="Times New Roman"/>
          <w:color w:val="auto"/>
          <w:sz w:val="44"/>
          <w:lang w:val="en-US" w:eastAsia="zh-CN"/>
        </w:rPr>
        <w:sectPr>
          <w:footerReference r:id="rId8" w:type="default"/>
          <w:pgSz w:w="11906" w:h="16838"/>
          <w:pgMar w:top="1440" w:right="1800" w:bottom="1440" w:left="1800" w:header="851" w:footer="992" w:gutter="0"/>
          <w:pgNumType w:fmt="decimal" w:start="1"/>
          <w:cols w:space="425" w:num="1"/>
          <w:docGrid w:type="lines" w:linePitch="312" w:charSpace="0"/>
        </w:sectPr>
      </w:pPr>
    </w:p>
    <w:p w14:paraId="19C2E2E6">
      <w:pPr>
        <w:pStyle w:val="3"/>
        <w:pageBreakBefore w:val="0"/>
        <w:kinsoku/>
        <w:wordWrap/>
        <w:overflowPunct/>
        <w:topLinePunct w:val="0"/>
        <w:autoSpaceDE/>
        <w:autoSpaceDN/>
        <w:bidi w:val="0"/>
        <w:spacing w:before="0" w:after="0" w:line="500" w:lineRule="exact"/>
        <w:jc w:val="center"/>
        <w:textAlignment w:val="auto"/>
        <w:rPr>
          <w:rFonts w:hint="default" w:ascii="Times New Roman" w:hAnsi="Times New Roman" w:eastAsia="仿宋" w:cs="Times New Roman"/>
          <w:color w:val="auto"/>
          <w:sz w:val="44"/>
          <w:lang w:val="en-US" w:eastAsia="zh-CN"/>
        </w:rPr>
      </w:pPr>
      <w:bookmarkStart w:id="164" w:name="_Toc11095"/>
      <w:r>
        <w:rPr>
          <w:rFonts w:hint="default" w:ascii="Times New Roman" w:hAnsi="Times New Roman" w:eastAsia="仿宋" w:cs="Times New Roman"/>
          <w:color w:val="auto"/>
          <w:sz w:val="44"/>
          <w:lang w:val="en-US" w:eastAsia="zh-CN"/>
        </w:rPr>
        <w:t>4规划总则</w:t>
      </w:r>
      <w:bookmarkEnd w:id="152"/>
      <w:bookmarkEnd w:id="153"/>
      <w:bookmarkEnd w:id="154"/>
      <w:bookmarkEnd w:id="155"/>
      <w:bookmarkEnd w:id="156"/>
      <w:bookmarkEnd w:id="157"/>
      <w:bookmarkEnd w:id="158"/>
      <w:bookmarkEnd w:id="159"/>
      <w:bookmarkEnd w:id="160"/>
      <w:bookmarkEnd w:id="161"/>
      <w:bookmarkEnd w:id="162"/>
      <w:bookmarkEnd w:id="163"/>
      <w:bookmarkEnd w:id="164"/>
    </w:p>
    <w:p w14:paraId="5EF3F953">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en-US" w:eastAsia="zh-CN"/>
        </w:rPr>
      </w:pPr>
      <w:bookmarkStart w:id="165" w:name="_Toc6160"/>
      <w:bookmarkStart w:id="166" w:name="_Toc7491"/>
      <w:bookmarkStart w:id="167" w:name="_Toc15548"/>
      <w:r>
        <w:rPr>
          <w:rFonts w:hint="default" w:ascii="Times New Roman" w:hAnsi="Times New Roman" w:eastAsia="仿宋" w:cs="Times New Roman"/>
          <w:color w:val="auto"/>
          <w:sz w:val="32"/>
          <w:lang w:val="en-US" w:eastAsia="zh-CN"/>
        </w:rPr>
        <w:t>4.1指导思想</w:t>
      </w:r>
      <w:bookmarkEnd w:id="165"/>
      <w:bookmarkEnd w:id="166"/>
      <w:bookmarkEnd w:id="167"/>
    </w:p>
    <w:p w14:paraId="436B2D69">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Times New Roman"/>
          <w:color w:val="auto"/>
          <w:kern w:val="2"/>
          <w:sz w:val="32"/>
          <w:szCs w:val="32"/>
          <w:lang w:val="en-US" w:eastAsia="zh-CN" w:bidi="ar-SA"/>
        </w:rPr>
      </w:pPr>
      <w:bookmarkStart w:id="168" w:name="_Toc8847"/>
      <w:bookmarkStart w:id="169" w:name="_Toc32402"/>
      <w:r>
        <w:rPr>
          <w:rFonts w:hint="default" w:ascii="Times New Roman" w:hAnsi="Times New Roman" w:eastAsia="方正仿宋_GBK" w:cs="方正仿宋_GBK"/>
          <w:b w:val="0"/>
          <w:bCs w:val="0"/>
          <w:color w:val="auto"/>
          <w:kern w:val="2"/>
          <w:sz w:val="28"/>
          <w:szCs w:val="28"/>
          <w:lang w:val="en-US" w:eastAsia="zh-CN" w:bidi="ar-SA"/>
        </w:rPr>
        <w:t>坚持以习近平生态文明思想和习近平总书记考察云南重要讲话精神为指引，全面贯彻党的十九大、十九届历次全会和</w:t>
      </w:r>
      <w:r>
        <w:rPr>
          <w:rFonts w:hint="eastAsia" w:ascii="Times New Roman" w:hAnsi="Times New Roman" w:eastAsia="方正仿宋_GBK" w:cs="方正仿宋_GBK"/>
          <w:b w:val="0"/>
          <w:bCs w:val="0"/>
          <w:color w:val="auto"/>
          <w:kern w:val="2"/>
          <w:sz w:val="28"/>
          <w:szCs w:val="28"/>
          <w:lang w:val="en-US" w:eastAsia="zh-CN" w:bidi="ar-SA"/>
        </w:rPr>
        <w:t>党的</w:t>
      </w:r>
      <w:r>
        <w:rPr>
          <w:rFonts w:hint="default" w:ascii="Times New Roman" w:hAnsi="Times New Roman" w:eastAsia="方正仿宋_GBK" w:cs="方正仿宋_GBK"/>
          <w:b w:val="0"/>
          <w:bCs w:val="0"/>
          <w:color w:val="auto"/>
          <w:kern w:val="2"/>
          <w:sz w:val="28"/>
          <w:szCs w:val="28"/>
          <w:lang w:val="en-US" w:eastAsia="zh-CN" w:bidi="ar-SA"/>
        </w:rPr>
        <w:t>二十大精神，牢固树立“绿水青山就是金山银山”的理念，扎实践行绿色发展理念，坚持尊重自然、顺应自然、保护自然，坚持节约优先、保护优先、自然恢复为主，以实现减污降碳协同增效为导向，坚持“生态立县”发展战略，围绕县委打造“滇中绿谷”发展目标和落实“12345”发展战略，紧扣云南绿色矿冶集聚区、云南高原特色现代农业示范区、中国花腰傣文化旅游目的地三大发展定位，通过加快发展方式绿色转型、深入推进环境污染防治、提升生态系统多样性</w:t>
      </w:r>
      <w:r>
        <w:rPr>
          <w:rFonts w:hint="eastAsia" w:ascii="Times New Roman" w:hAnsi="Times New Roman" w:eastAsia="方正仿宋_GBK" w:cs="方正仿宋_GBK"/>
          <w:b w:val="0"/>
          <w:bCs w:val="0"/>
          <w:color w:val="auto"/>
          <w:kern w:val="2"/>
          <w:sz w:val="28"/>
          <w:szCs w:val="28"/>
          <w:lang w:val="en-US" w:eastAsia="zh-CN" w:bidi="ar-SA"/>
        </w:rPr>
        <w:t>和</w:t>
      </w:r>
      <w:r>
        <w:rPr>
          <w:rFonts w:hint="default" w:ascii="Times New Roman" w:hAnsi="Times New Roman" w:eastAsia="方正仿宋_GBK" w:cs="方正仿宋_GBK"/>
          <w:b w:val="0"/>
          <w:bCs w:val="0"/>
          <w:color w:val="auto"/>
          <w:kern w:val="2"/>
          <w:sz w:val="28"/>
          <w:szCs w:val="28"/>
          <w:lang w:val="en-US" w:eastAsia="zh-CN" w:bidi="ar-SA"/>
        </w:rPr>
        <w:t>持续性、积极稳妥推进碳达峰碳中和、</w:t>
      </w:r>
      <w:r>
        <w:rPr>
          <w:rFonts w:hint="eastAsia" w:ascii="Times New Roman" w:hAnsi="Times New Roman" w:eastAsia="方正仿宋_GBK" w:cs="方正仿宋_GBK"/>
          <w:b w:val="0"/>
          <w:bCs w:val="0"/>
          <w:color w:val="auto"/>
          <w:kern w:val="2"/>
          <w:sz w:val="28"/>
          <w:szCs w:val="28"/>
          <w:lang w:val="en-US" w:eastAsia="zh-CN" w:bidi="ar-SA"/>
        </w:rPr>
        <w:t>持续提升城乡人居环境、弘扬民族生态文化</w:t>
      </w:r>
      <w:r>
        <w:rPr>
          <w:rFonts w:hint="default" w:ascii="Times New Roman" w:hAnsi="Times New Roman" w:eastAsia="方正仿宋_GBK" w:cs="方正仿宋_GBK"/>
          <w:b w:val="0"/>
          <w:bCs w:val="0"/>
          <w:color w:val="auto"/>
          <w:kern w:val="2"/>
          <w:sz w:val="28"/>
          <w:szCs w:val="28"/>
          <w:lang w:val="en-US" w:eastAsia="zh-CN" w:bidi="ar-SA"/>
        </w:rPr>
        <w:t>等，努力建设生态新平、富强新平、活力新平、文化新平、美丽新平、和谐新平</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力争成为全市绿色引领发展和生态文明建设的先行区和示范区。</w:t>
      </w:r>
    </w:p>
    <w:p w14:paraId="2539A0EF">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en-US" w:eastAsia="zh-CN"/>
        </w:rPr>
      </w:pPr>
      <w:bookmarkStart w:id="170" w:name="_Toc31720"/>
      <w:r>
        <w:rPr>
          <w:rFonts w:hint="default" w:ascii="Times New Roman" w:hAnsi="Times New Roman" w:eastAsia="仿宋" w:cs="Times New Roman"/>
          <w:color w:val="auto"/>
          <w:sz w:val="32"/>
          <w:lang w:val="en-US" w:eastAsia="zh-CN"/>
        </w:rPr>
        <w:t>4.2规划原则</w:t>
      </w:r>
      <w:bookmarkEnd w:id="168"/>
      <w:bookmarkEnd w:id="169"/>
      <w:bookmarkEnd w:id="170"/>
    </w:p>
    <w:p w14:paraId="1A8DDBFD">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坚持生态优先，绿色发展。深入践行“绿水青山就是金山银山”的理念，坚持山水林田湖草系统治理，以筑牢哀牢山生态屏障为重点，保持生态文明战略定力，持续深入打好污染防治攻坚战，推进矿山生态修复和重点区域环境治理，开展全域国土综合整治，完善自然保护地体系，加强生物多样性保护，推进绿色发展方式和生活方式，加快构建绿色循环低碳发展产业体系，确保“滇中绿谷”建设取得突破进展。</w:t>
      </w:r>
    </w:p>
    <w:p w14:paraId="3C2B8B75">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坚持典型引领，重点突破。以争当全市生态文明建设排头兵为目标，努力在生物多样性保护、环境治理、减碳增汇、“两山”创建等方面创先争优。针对重点难点和突出问题，在环境风险防范等重点领域取得新突破，带动生态环境保护整体推进。</w:t>
      </w:r>
    </w:p>
    <w:p w14:paraId="26AC69F4">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坚持系统治理，统筹推进。树牢系统观念，坚持精准、科学、依法治污，预防和治理相结合，减污和增容并重，追根溯源、综合施策，加强山水林田湖草保护修复，统筹推进生态保护与环境治理、城市治理与乡村建设，推动生态环境源头治理、整体治理。</w:t>
      </w:r>
    </w:p>
    <w:p w14:paraId="1BC14F3F">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坚持改革创新，开拓进取。积极适应加快提升生态环境治理现代化的要求，在全面落实国家、省、市改革任务的基础上，结合实际加大改革创新力度。</w:t>
      </w:r>
    </w:p>
    <w:p w14:paraId="54EE491B">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坚持共治共享，多方互动。综合运用政府“有形之手”、市场“无形之手”和社会“自治之手”，建立健全紧密联系的制度框架，对政府、企业和社会的生态环境行为进行有效规范、引导和监督。加强政府和企事业单位环境信息公开，强化环境监管执法，构筑多渠道公众参与机制，形成政府、企业和社会多元主体参与及多方互动的“共治共享”的生态环境治理模式。</w:t>
      </w:r>
    </w:p>
    <w:p w14:paraId="3BDF0204">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en-US" w:eastAsia="zh-CN"/>
        </w:rPr>
      </w:pPr>
      <w:bookmarkStart w:id="171" w:name="_Toc9315"/>
      <w:bookmarkStart w:id="172" w:name="_Toc3616"/>
      <w:bookmarkStart w:id="173" w:name="_Toc25323"/>
      <w:r>
        <w:rPr>
          <w:rFonts w:hint="default" w:ascii="Times New Roman" w:hAnsi="Times New Roman" w:eastAsia="仿宋" w:cs="Times New Roman"/>
          <w:color w:val="auto"/>
          <w:sz w:val="32"/>
          <w:lang w:val="en-US" w:eastAsia="zh-CN"/>
        </w:rPr>
        <w:t>4.3编制依据</w:t>
      </w:r>
      <w:bookmarkEnd w:id="171"/>
      <w:bookmarkEnd w:id="172"/>
      <w:bookmarkEnd w:id="173"/>
    </w:p>
    <w:p w14:paraId="0968FB9E">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174" w:name="_Toc14451"/>
      <w:bookmarkStart w:id="175" w:name="_Toc1149"/>
      <w:bookmarkStart w:id="176" w:name="_Toc23973"/>
      <w:r>
        <w:rPr>
          <w:rFonts w:hint="default" w:eastAsia="仿宋"/>
          <w:snapToGrid w:val="0"/>
          <w:color w:val="auto"/>
          <w:sz w:val="28"/>
          <w:szCs w:val="28"/>
          <w:lang w:val="en-US" w:eastAsia="zh-CN"/>
        </w:rPr>
        <w:t>4.3.1法律法规</w:t>
      </w:r>
      <w:bookmarkEnd w:id="174"/>
      <w:bookmarkEnd w:id="175"/>
      <w:bookmarkEnd w:id="176"/>
    </w:p>
    <w:p w14:paraId="4FCD5B3A">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《中华人民共和国环境保护法》（2015年1月1日施行）；</w:t>
      </w:r>
    </w:p>
    <w:p w14:paraId="7AEF8FC9">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中华人民共和国森林法》（2019年12月28日修订）；</w:t>
      </w:r>
    </w:p>
    <w:p w14:paraId="256FF86D">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3</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《中华人民共和国水污染防治法》（2017年6月27日修正）；</w:t>
      </w:r>
    </w:p>
    <w:p w14:paraId="15A65DF2">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4</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《中华人民共和国大气污染防治法》（2018年10月26日修正）；</w:t>
      </w:r>
    </w:p>
    <w:p w14:paraId="09678160">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5</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《中华人民共和国土壤污染防治法》（2018年1月1日施行）；</w:t>
      </w:r>
    </w:p>
    <w:p w14:paraId="126CC3AA">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6</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《中华人民共和国固体废物污染环境防治法》（2020年4月29日修订）；</w:t>
      </w:r>
    </w:p>
    <w:p w14:paraId="62B1D931">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7</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《中华人民共和国噪声污染防治法》（2021年12月24日修正）；</w:t>
      </w:r>
    </w:p>
    <w:p w14:paraId="1E2FCD1E">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8</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《中华人民共和国矿产资源法》（2009年8月27日修订）；</w:t>
      </w:r>
    </w:p>
    <w:p w14:paraId="37B01D9F">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9</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《中华人民共和国水法》（2016年7月修订）；</w:t>
      </w:r>
    </w:p>
    <w:p w14:paraId="0BCD2D11">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10</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《中华人民共和国土地管理法》（2019年8月26日修正）；</w:t>
      </w:r>
    </w:p>
    <w:p w14:paraId="45561EA2">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11</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《中华人民共和国节约能源法》（2018年10月26日修正）；</w:t>
      </w:r>
    </w:p>
    <w:p w14:paraId="5596007A">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12</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《中华人民共和国水土保持法》（2010年12月25日修订）；</w:t>
      </w:r>
    </w:p>
    <w:p w14:paraId="07848369">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13</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《中华人民共和国循环经济促进法》（2018年10月26日修正）；</w:t>
      </w:r>
    </w:p>
    <w:p w14:paraId="715637D5">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14</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《中华人民共和国清洁生产促进法》（2012年2月29日修正）；</w:t>
      </w:r>
    </w:p>
    <w:p w14:paraId="49B76800">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15</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《中华人民共和国城乡规划法》（2019年4月23日修正）；</w:t>
      </w:r>
    </w:p>
    <w:p w14:paraId="27AE21ED">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16</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《中华人民共和国乡村振兴促进法》（2021年6月1日施行）；</w:t>
      </w:r>
    </w:p>
    <w:p w14:paraId="62CE8FC3">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17</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《地下水管理条例》（2021年12月1日施行）；</w:t>
      </w:r>
    </w:p>
    <w:p w14:paraId="081254E1">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18</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《中国生物多样性保护战略与行动计划》（2011年）；</w:t>
      </w:r>
    </w:p>
    <w:p w14:paraId="6807ECB4">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19</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中共中央办公厅、国务院办公厅印发《党政领导干部生态环境损害责任追究办法（试行）》（2015年8月9日）；</w:t>
      </w:r>
    </w:p>
    <w:p w14:paraId="6A00E59D">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20</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《云南省创建生态文明建设排头兵促进条例》（2020年7月1日起施行）；</w:t>
      </w:r>
    </w:p>
    <w:p w14:paraId="0E2A3220">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21</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《云南省大气污染防治条例》（2018年）；</w:t>
      </w:r>
    </w:p>
    <w:p w14:paraId="1CDD321F">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22</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《云南省生物多样性保护条例》（2019年）；</w:t>
      </w:r>
    </w:p>
    <w:p w14:paraId="09C139B8">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23</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《云南省土壤污染防治条例》（2022年5月1日起施行）；</w:t>
      </w:r>
    </w:p>
    <w:p w14:paraId="375E3BA6">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177" w:name="_Toc11183"/>
      <w:bookmarkStart w:id="178" w:name="_Toc2005"/>
      <w:bookmarkStart w:id="179" w:name="_Toc15779"/>
      <w:r>
        <w:rPr>
          <w:rFonts w:hint="default" w:eastAsia="仿宋"/>
          <w:snapToGrid w:val="0"/>
          <w:color w:val="auto"/>
          <w:sz w:val="28"/>
          <w:szCs w:val="28"/>
          <w:lang w:val="en-US" w:eastAsia="zh-CN"/>
        </w:rPr>
        <w:t>4.3.2政策文件</w:t>
      </w:r>
      <w:bookmarkEnd w:id="177"/>
      <w:bookmarkEnd w:id="178"/>
      <w:bookmarkEnd w:id="179"/>
    </w:p>
    <w:p w14:paraId="35085DB7">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中共中央、国务院《关于加快推进生态文明建设的意见》（中发〔2015〕12号）；</w:t>
      </w:r>
    </w:p>
    <w:p w14:paraId="57521CFC">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中共中央、国务院印发《生态文明体制改革总体方案》（中发〔2015〕25号）；</w:t>
      </w:r>
    </w:p>
    <w:p w14:paraId="663C2905">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3</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中共中央办公厅、国务院办公厅印发《关于全面推行河长制的意见》（2016年12月11日）；</w:t>
      </w:r>
    </w:p>
    <w:p w14:paraId="07F4FE2C">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4</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中共中央、国务院《关于全面加强生态环境保护坚决打好污染防治攻坚战的意见》（2018年6月）；</w:t>
      </w:r>
    </w:p>
    <w:p w14:paraId="1765C6CF">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5</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中共中央、国务院《关于建立国土空间规划体系并监督实施的若干意见》（2019年5月）；</w:t>
      </w:r>
    </w:p>
    <w:p w14:paraId="2DE8E492">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6</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中共中央办公厅</w:t>
      </w:r>
      <w:r>
        <w:rPr>
          <w:rFonts w:hint="default"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zh-CN" w:eastAsia="zh-CN" w:bidi="ar-SA"/>
        </w:rPr>
        <w:t>国务院办公厅</w:t>
      </w:r>
      <w:r>
        <w:rPr>
          <w:rFonts w:hint="default" w:ascii="Times New Roman" w:hAnsi="Times New Roman" w:eastAsia="方正仿宋_GBK" w:cs="方正仿宋_GBK"/>
          <w:b w:val="0"/>
          <w:bCs w:val="0"/>
          <w:color w:val="auto"/>
          <w:kern w:val="2"/>
          <w:sz w:val="28"/>
          <w:szCs w:val="28"/>
          <w:lang w:val="en-US" w:eastAsia="zh-CN" w:bidi="ar-SA"/>
        </w:rPr>
        <w:t>印发</w:t>
      </w:r>
      <w:r>
        <w:rPr>
          <w:rFonts w:hint="default" w:ascii="Times New Roman" w:hAnsi="Times New Roman" w:eastAsia="方正仿宋_GBK" w:cs="方正仿宋_GBK"/>
          <w:b w:val="0"/>
          <w:bCs w:val="0"/>
          <w:color w:val="auto"/>
          <w:kern w:val="2"/>
          <w:sz w:val="28"/>
          <w:szCs w:val="28"/>
          <w:lang w:val="zh-CN" w:eastAsia="zh-CN" w:bidi="ar-SA"/>
        </w:rPr>
        <w:t>《关于构建现代环境治理体系的指导意见》（2020年3月）；</w:t>
      </w:r>
    </w:p>
    <w:p w14:paraId="1EB6E50A">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7</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《关于“十四五”大宗固体废弃物综合利用的指导意见》（发改环资〔2021〕381号）；</w:t>
      </w:r>
    </w:p>
    <w:p w14:paraId="6DCB2008">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8</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中共中央办公厅、国务院办公厅印发《关于全面推行林长制的意见》（</w:t>
      </w:r>
      <w:r>
        <w:rPr>
          <w:rFonts w:hint="default" w:ascii="Times New Roman" w:hAnsi="Times New Roman" w:eastAsia="方正仿宋_GBK" w:cs="方正仿宋_GBK"/>
          <w:b w:val="0"/>
          <w:bCs w:val="0"/>
          <w:color w:val="auto"/>
          <w:kern w:val="2"/>
          <w:sz w:val="28"/>
          <w:szCs w:val="28"/>
          <w:lang w:val="en-US" w:eastAsia="zh-CN" w:bidi="ar-SA"/>
        </w:rPr>
        <w:t>2021年1月</w:t>
      </w:r>
      <w:r>
        <w:rPr>
          <w:rFonts w:hint="default" w:ascii="Times New Roman" w:hAnsi="Times New Roman" w:eastAsia="方正仿宋_GBK" w:cs="方正仿宋_GBK"/>
          <w:b w:val="0"/>
          <w:bCs w:val="0"/>
          <w:color w:val="auto"/>
          <w:kern w:val="2"/>
          <w:sz w:val="28"/>
          <w:szCs w:val="28"/>
          <w:lang w:val="zh-CN" w:eastAsia="zh-CN" w:bidi="ar-SA"/>
        </w:rPr>
        <w:t>）；</w:t>
      </w:r>
    </w:p>
    <w:p w14:paraId="37855879">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9</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中共中央办公厅、国务院办公厅印发《关于进一步加强生物多样性保护的意见》（2021年8月）；</w:t>
      </w:r>
    </w:p>
    <w:p w14:paraId="28CED2DF">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10</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中共中央、国务院《关于深入打好污染防治攻坚战的意见》（2021年11月）；</w:t>
      </w:r>
    </w:p>
    <w:p w14:paraId="2BF80761">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11</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中共中央办公厅、国务院办公厅印发《关于深化生态保护补偿制度改革的意见》（2021年5月）；</w:t>
      </w:r>
    </w:p>
    <w:p w14:paraId="0AF940AA">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12</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《“十四五”全国清洁生产推行方案》（发改环资〔2021〕1524号）；</w:t>
      </w:r>
    </w:p>
    <w:p w14:paraId="72C7230C">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13</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《关于加强产融合作推动工业绿色发展的指导意见》（工信部联财〔2021〕159号）；</w:t>
      </w:r>
    </w:p>
    <w:p w14:paraId="4FA642CD">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14</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国务院《关于加快建立健全绿色低碳循环发展经济体系的指导意见》（国发〔2021〕4号）；</w:t>
      </w:r>
    </w:p>
    <w:p w14:paraId="0FB2FF70">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15</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中共中央办公厅、国务院办公厅印发《关于建立健全生态产品价值实现机制的意见》（2021年2月）；</w:t>
      </w:r>
    </w:p>
    <w:p w14:paraId="29388BEE">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16</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中共中央、国务院发布《关于完整准确全面贯彻新发展理念做好碳达峰碳中和工作的意见》（2021年10月24日）；</w:t>
      </w:r>
    </w:p>
    <w:p w14:paraId="1F4DC645">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17</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国务院关于印发《2030年前碳达峰行动方案的通知》（2021年10月24日）；</w:t>
      </w:r>
    </w:p>
    <w:p w14:paraId="3B8B458F">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18</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中共中央办公厅、国务院印发《农村人居环境整治提升五年行动方案（2021－2025年）》（2021年）；</w:t>
      </w:r>
    </w:p>
    <w:p w14:paraId="13014191">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19</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《关于实施“三线一单”生态环境分区管控的指导意见（试行）》（环环评〔2021〕108号）（环监测〔2021〕99号）；</w:t>
      </w:r>
    </w:p>
    <w:p w14:paraId="765C9623">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20</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《“十四五”时期“无废城市”建设工作方案》（环固体〔2021〕114号）；</w:t>
      </w:r>
    </w:p>
    <w:p w14:paraId="645BEF15">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21</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《关于深化生态环境领域依法行政持续强化依法治污的指导意见》（环法规〔2021〕107号）；</w:t>
      </w:r>
    </w:p>
    <w:p w14:paraId="31F434F2">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22</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《关于加强国家重点生态功能区环境保护和管理的意见》（国发〔2011〕35号）；</w:t>
      </w:r>
    </w:p>
    <w:p w14:paraId="7E2B8DA0">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23</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中共云南省委办公厅、云南省人民政府办公厅关于印发《云南省全面深化生态文明体制改革总体实施方案》的通知（云办发〔2014〕49号）；</w:t>
      </w:r>
    </w:p>
    <w:p w14:paraId="28E50165">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24</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中共云南省委《关于深入贯彻落实习近平总书记考察云南重要讲话精神闯出跨越式发展路子的决定》（云发〔2015〕9号）；</w:t>
      </w:r>
    </w:p>
    <w:p w14:paraId="602132CE">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25</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中共云南省委、云南省人民政府《关于争当生态文明建设排头兵的决定》（云发〔2013〕11号）；</w:t>
      </w:r>
    </w:p>
    <w:p w14:paraId="1D30275D">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26</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中共云南省委、云南省人民政府《关于努力成为生态文明建设排头兵的实施意见》（云发〔2015〕23号）；</w:t>
      </w:r>
    </w:p>
    <w:p w14:paraId="14712AF1">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27</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中共云南省委云南省人民政府《关于贯彻落实生态文明体制改革总体方案的实施意见》（云发〔2016〕22号）；</w:t>
      </w:r>
    </w:p>
    <w:p w14:paraId="68815E5D">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28</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《云南省人民政府关于发布云南省生态保护红线的通知》（云政发〔2018〕32号）；</w:t>
      </w:r>
    </w:p>
    <w:p w14:paraId="4FC3F296">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29</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《关于印发〈云南省生态保护红线划定方案〉的通知》（云环发〔2018〕28号）；</w:t>
      </w:r>
    </w:p>
    <w:p w14:paraId="5BDBE2D4">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30</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《云南省农业农村污染治理攻坚战作战方案》（云环发〔2018〕44号）；</w:t>
      </w:r>
    </w:p>
    <w:p w14:paraId="60734A2D">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31</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《云南省固体废物污染治理攻坚战实施方案》（云环发〔2018〕46号）；</w:t>
      </w:r>
    </w:p>
    <w:p w14:paraId="514C7D96">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32</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《云南省水源地保护攻坚战实施方案》（云环发〔2019〕4号）；</w:t>
      </w:r>
    </w:p>
    <w:p w14:paraId="50010CB6">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33</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中共云南省委办公厅、云南省人民政府办公厅《关于努力将云南建设成为中国最美丽省份的指导意见》（2019年）；</w:t>
      </w:r>
    </w:p>
    <w:p w14:paraId="15FCB444">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34</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中共云南省委、云南省人民政府《关于全面加强生态环境保护坚决打好污染防治攻坚战的实施意见》（云发〔2018〕16号）；</w:t>
      </w:r>
    </w:p>
    <w:p w14:paraId="03A3EA1B">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35</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《云南省生态保护修复攻坚战实施方案》（云林联发〔2019〕8号）</w:t>
      </w:r>
    </w:p>
    <w:p w14:paraId="49152300">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36</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《云南省各类开发区优化提升总体方案》（云委〔2020〕287号）；</w:t>
      </w:r>
    </w:p>
    <w:p w14:paraId="477E353D">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37</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《云南省创建生态文明建设排头兵促进条例实施细则》（云政规〔2021〕2号）；</w:t>
      </w:r>
    </w:p>
    <w:p w14:paraId="1378E169">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38</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中共云南省委、云南省人民政府《关于全面推进乡村振兴加快农业农村现代化的实施意见》（云发〔2021〕1号）；</w:t>
      </w:r>
    </w:p>
    <w:p w14:paraId="52FFCDEB">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39</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云南省人民政府《关于实施“三线一单”生态环境分区管控的意见》（云政发〔2020〕29号）；</w:t>
      </w:r>
    </w:p>
    <w:p w14:paraId="0A38E8E7">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40</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云南省人民政府办公厅《关于加强草原保护修复的实施意见》（云政办发〔2021〕41号）；</w:t>
      </w:r>
    </w:p>
    <w:p w14:paraId="1EBB16F7">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41</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中共云南省委、云南省人民政府《关于贯彻发展理念推动各州市高质量跨越式发展的指导意见》（2021年10月8日）；</w:t>
      </w:r>
    </w:p>
    <w:p w14:paraId="0211E514">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42</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中共云南省委、云南省人民政府《关于“湖泊革命”攻坚战的实施意见》（2021年9月27日）；</w:t>
      </w:r>
    </w:p>
    <w:p w14:paraId="4FA24B04">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43</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《云南省农村人居环境整治工作领导小组关于扎实推进云南省“十四五”农村厕所革命的实施意见的通知》（云农人居〔2021〕1号）；</w:t>
      </w:r>
    </w:p>
    <w:p w14:paraId="6ED1773A">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44</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《关于推进云南省农村生活污水治理的实施意见》（云农人居办〔2020〕1号）；</w:t>
      </w:r>
    </w:p>
    <w:p w14:paraId="74FEDB08">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45</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云南省生态环境厅《关于推进农村环境整治工作的通知》（云环通〔2020〕51号）；</w:t>
      </w:r>
    </w:p>
    <w:p w14:paraId="0676FD7D">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46</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中共云南省委办公厅、云南省人民政府办公厅印发《关于全面推行林长制的实施意见》（云厅字〔2021〕11号）；</w:t>
      </w:r>
    </w:p>
    <w:p w14:paraId="656B681D">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47</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云南省人民政府办公厅《关于科学绿化的实施意见》（云政办发〔2021〕60号）；</w:t>
      </w:r>
    </w:p>
    <w:p w14:paraId="397D728D">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48</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云南省委办公厅、云南省人民政府办公厅联合印发《云南省城乡绿化美化三年行动（2022—2024年）》</w:t>
      </w:r>
    </w:p>
    <w:p w14:paraId="18F24C1E">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49</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en-US" w:eastAsia="zh-CN" w:bidi="ar-SA"/>
        </w:rPr>
        <w:t>《中共云南省委云南省人民政府关于完整准确全面贯彻新发展理念做好碳达峰碳中和工作的实施意见》</w:t>
      </w:r>
      <w:r>
        <w:rPr>
          <w:rFonts w:hint="default" w:ascii="Times New Roman" w:hAnsi="Times New Roman" w:eastAsia="方正仿宋_GBK" w:cs="方正仿宋_GBK"/>
          <w:b w:val="0"/>
          <w:bCs w:val="0"/>
          <w:color w:val="auto"/>
          <w:kern w:val="2"/>
          <w:sz w:val="28"/>
          <w:szCs w:val="28"/>
          <w:lang w:val="zh-CN" w:eastAsia="zh-CN" w:bidi="ar-SA"/>
        </w:rPr>
        <w:t>（2022年）；</w:t>
      </w:r>
    </w:p>
    <w:p w14:paraId="609F01E8">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50</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中共玉溪市委、玉溪市人民政府《关于全面加强生态环境保护坚决打好污染防治攻坚战的实施意见》；</w:t>
      </w:r>
    </w:p>
    <w:p w14:paraId="108EBB8C">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51</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中共玉溪市委、玉溪市人民政府《关于争当生态保护修复排头兵的实施意见》（</w:t>
      </w:r>
      <w:r>
        <w:rPr>
          <w:rFonts w:hint="default" w:ascii="Times New Roman" w:hAnsi="Times New Roman" w:eastAsia="方正仿宋_GBK" w:cs="方正仿宋_GBK"/>
          <w:b w:val="0"/>
          <w:bCs w:val="0"/>
          <w:color w:val="auto"/>
          <w:kern w:val="2"/>
          <w:sz w:val="28"/>
          <w:szCs w:val="28"/>
          <w:lang w:val="en-US" w:eastAsia="zh-CN" w:bidi="ar-SA"/>
        </w:rPr>
        <w:t>2021年</w:t>
      </w:r>
      <w:r>
        <w:rPr>
          <w:rFonts w:hint="default" w:ascii="Times New Roman" w:hAnsi="Times New Roman" w:eastAsia="方正仿宋_GBK" w:cs="方正仿宋_GBK"/>
          <w:b w:val="0"/>
          <w:bCs w:val="0"/>
          <w:color w:val="auto"/>
          <w:kern w:val="2"/>
          <w:sz w:val="28"/>
          <w:szCs w:val="28"/>
          <w:lang w:val="zh-CN" w:eastAsia="zh-CN" w:bidi="ar-SA"/>
        </w:rPr>
        <w:t>）；</w:t>
      </w:r>
    </w:p>
    <w:p w14:paraId="252BDB20">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52</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《新平县创建乡村振兴示范区实施意见》（</w:t>
      </w:r>
      <w:r>
        <w:rPr>
          <w:rFonts w:hint="default" w:ascii="Times New Roman" w:hAnsi="Times New Roman" w:eastAsia="方正仿宋_GBK" w:cs="方正仿宋_GBK"/>
          <w:b w:val="0"/>
          <w:bCs w:val="0"/>
          <w:color w:val="auto"/>
          <w:kern w:val="2"/>
          <w:sz w:val="28"/>
          <w:szCs w:val="28"/>
          <w:lang w:val="en-US" w:eastAsia="zh-CN" w:bidi="ar-SA"/>
        </w:rPr>
        <w:t>2021年</w:t>
      </w:r>
      <w:r>
        <w:rPr>
          <w:rFonts w:hint="default" w:ascii="Times New Roman" w:hAnsi="Times New Roman" w:eastAsia="方正仿宋_GBK" w:cs="方正仿宋_GBK"/>
          <w:b w:val="0"/>
          <w:bCs w:val="0"/>
          <w:color w:val="auto"/>
          <w:kern w:val="2"/>
          <w:sz w:val="28"/>
          <w:szCs w:val="28"/>
          <w:lang w:val="zh-CN" w:eastAsia="zh-CN" w:bidi="ar-SA"/>
        </w:rPr>
        <w:t>）；</w:t>
      </w:r>
    </w:p>
    <w:p w14:paraId="61989217">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53</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《新平“一县一业”示范创建实施方案》（</w:t>
      </w:r>
      <w:r>
        <w:rPr>
          <w:rFonts w:hint="default" w:ascii="Times New Roman" w:hAnsi="Times New Roman" w:eastAsia="方正仿宋_GBK" w:cs="方正仿宋_GBK"/>
          <w:b w:val="0"/>
          <w:bCs w:val="0"/>
          <w:color w:val="auto"/>
          <w:kern w:val="2"/>
          <w:sz w:val="28"/>
          <w:szCs w:val="28"/>
          <w:lang w:val="en-US" w:eastAsia="zh-CN" w:bidi="ar-SA"/>
        </w:rPr>
        <w:t>2021年</w:t>
      </w:r>
      <w:r>
        <w:rPr>
          <w:rFonts w:hint="default" w:ascii="Times New Roman" w:hAnsi="Times New Roman" w:eastAsia="方正仿宋_GBK" w:cs="方正仿宋_GBK"/>
          <w:b w:val="0"/>
          <w:bCs w:val="0"/>
          <w:color w:val="auto"/>
          <w:kern w:val="2"/>
          <w:sz w:val="28"/>
          <w:szCs w:val="28"/>
          <w:lang w:val="zh-CN" w:eastAsia="zh-CN" w:bidi="ar-SA"/>
        </w:rPr>
        <w:t>）。</w:t>
      </w:r>
    </w:p>
    <w:p w14:paraId="2EAAB14F">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180" w:name="_Toc20871"/>
      <w:bookmarkStart w:id="181" w:name="_Toc11853"/>
      <w:bookmarkStart w:id="182" w:name="_Toc5011"/>
      <w:r>
        <w:rPr>
          <w:rFonts w:hint="default" w:eastAsia="仿宋"/>
          <w:snapToGrid w:val="0"/>
          <w:color w:val="auto"/>
          <w:sz w:val="28"/>
          <w:szCs w:val="28"/>
          <w:lang w:val="en-US" w:eastAsia="zh-CN"/>
        </w:rPr>
        <w:t>4.3.3规划计划</w:t>
      </w:r>
      <w:bookmarkEnd w:id="180"/>
      <w:bookmarkEnd w:id="181"/>
      <w:bookmarkEnd w:id="182"/>
    </w:p>
    <w:p w14:paraId="30E4C575">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《全国主体功能区规划》（2010年）；</w:t>
      </w:r>
    </w:p>
    <w:p w14:paraId="7541C721">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《“美丽中国，我是行动者”提升公民生态文明意识行动计划（2021</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2025年）》（环宣教〔2021〕19号）；</w:t>
      </w:r>
    </w:p>
    <w:p w14:paraId="2317898F">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3</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《“十四五”城镇污水处理及资源化利用发展规划》（发改环资〔2021〕827号）；</w:t>
      </w:r>
    </w:p>
    <w:p w14:paraId="5041FFE4">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4</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《云南省生态功能区划》（2009年）；</w:t>
      </w:r>
    </w:p>
    <w:p w14:paraId="484AC1CE">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5</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《云南省主体功能区规划》（2014年）；</w:t>
      </w:r>
    </w:p>
    <w:p w14:paraId="1D86C618">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6</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《云南省国民经济和社会发展第十四个五年规划和二〇三五年远景目标纲要》；</w:t>
      </w:r>
    </w:p>
    <w:p w14:paraId="7ACBF93C">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7</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《云南省农村人居环境整治三年行动实施方案（2018</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2020年）》（云办发〔2018〕15号）；</w:t>
      </w:r>
    </w:p>
    <w:p w14:paraId="76D420B5">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8</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《云南省城镇生活垃圾分类和处理设施建设“十四五”规划》（2021年11月）；</w:t>
      </w:r>
    </w:p>
    <w:p w14:paraId="60B78404">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9</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《云南省工业绿色发展“十四五”规划》；</w:t>
      </w:r>
    </w:p>
    <w:p w14:paraId="349242CA">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10</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《云南省“十四五”高原特色现代农业发展规划》；</w:t>
      </w:r>
    </w:p>
    <w:p w14:paraId="5A0FBE29">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11</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《云南省乡村振兴战略规划（2018</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2022年）》；</w:t>
      </w:r>
    </w:p>
    <w:p w14:paraId="2FC604C4">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12</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《云南省人民政府关于印发云南省“十四五”科技创新规划的通知》（云政发〔2021〕22号）；</w:t>
      </w:r>
    </w:p>
    <w:p w14:paraId="5E27B172">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13</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《云南省“十四五”现代服务业发展规划》（云政办发〔2022〕12号）；</w:t>
      </w:r>
    </w:p>
    <w:p w14:paraId="37958776">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14</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《云南省“十四五”农业农村现代化发展规划》（云政发〔2022〕22号）；</w:t>
      </w:r>
    </w:p>
    <w:p w14:paraId="40D6AD59">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15</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《云南省“十四五”林草产业发展规划》（2022年3月）；</w:t>
      </w:r>
    </w:p>
    <w:p w14:paraId="5A8E3C1E">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16</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《云南省农村人居环境整治提升五年行动实施方案（2021</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2025年）》（2022年4月）；</w:t>
      </w:r>
    </w:p>
    <w:p w14:paraId="4142471B">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17</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《云南省“十四五”质量发展规划》（2021年9月）；</w:t>
      </w:r>
    </w:p>
    <w:p w14:paraId="56AD5CF8">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18</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《云南省“十四五”生态环境保护规划》（云环发〔2022〕13号）；</w:t>
      </w:r>
    </w:p>
    <w:p w14:paraId="34FA772E">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19</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《云南省生态文明建设排头兵规划（2021</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2025年）》</w:t>
      </w:r>
    </w:p>
    <w:p w14:paraId="3540BEC1">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20</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《玉溪市国民经济和社会发展第十四个五年规划纲要》（</w:t>
      </w:r>
      <w:r>
        <w:rPr>
          <w:rFonts w:hint="default" w:ascii="Times New Roman" w:hAnsi="Times New Roman" w:eastAsia="方正仿宋_GBK" w:cs="方正仿宋_GBK"/>
          <w:b w:val="0"/>
          <w:bCs w:val="0"/>
          <w:color w:val="auto"/>
          <w:kern w:val="2"/>
          <w:sz w:val="28"/>
          <w:szCs w:val="28"/>
          <w:lang w:val="en-US" w:eastAsia="zh-CN" w:bidi="ar-SA"/>
        </w:rPr>
        <w:t>2021年</w:t>
      </w:r>
      <w:r>
        <w:rPr>
          <w:rFonts w:hint="default" w:ascii="Times New Roman" w:hAnsi="Times New Roman" w:eastAsia="方正仿宋_GBK" w:cs="方正仿宋_GBK"/>
          <w:b w:val="0"/>
          <w:bCs w:val="0"/>
          <w:color w:val="auto"/>
          <w:kern w:val="2"/>
          <w:sz w:val="28"/>
          <w:szCs w:val="28"/>
          <w:lang w:val="zh-CN" w:eastAsia="zh-CN" w:bidi="ar-SA"/>
        </w:rPr>
        <w:t>）；</w:t>
      </w:r>
    </w:p>
    <w:p w14:paraId="375377DE">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21</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《玉溪市“三线一单”研究报告》（2019年）</w:t>
      </w:r>
    </w:p>
    <w:p w14:paraId="56D86B9C">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22</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《玉溪市生态建设和环境保护规划（2021—2025年）》；</w:t>
      </w:r>
    </w:p>
    <w:p w14:paraId="2D08F3E3">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23</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《新平县国民经济和社会发展第十四个五年规划纲要》（</w:t>
      </w:r>
      <w:r>
        <w:rPr>
          <w:rFonts w:hint="default" w:ascii="Times New Roman" w:hAnsi="Times New Roman" w:eastAsia="方正仿宋_GBK" w:cs="方正仿宋_GBK"/>
          <w:b w:val="0"/>
          <w:bCs w:val="0"/>
          <w:color w:val="auto"/>
          <w:kern w:val="2"/>
          <w:sz w:val="28"/>
          <w:szCs w:val="28"/>
          <w:lang w:val="en-US" w:eastAsia="zh-CN" w:bidi="ar-SA"/>
        </w:rPr>
        <w:t>2021年</w:t>
      </w:r>
      <w:r>
        <w:rPr>
          <w:rFonts w:hint="default" w:ascii="Times New Roman" w:hAnsi="Times New Roman" w:eastAsia="方正仿宋_GBK" w:cs="方正仿宋_GBK"/>
          <w:b w:val="0"/>
          <w:bCs w:val="0"/>
          <w:color w:val="auto"/>
          <w:kern w:val="2"/>
          <w:sz w:val="28"/>
          <w:szCs w:val="28"/>
          <w:lang w:val="zh-CN" w:eastAsia="zh-CN" w:bidi="ar-SA"/>
        </w:rPr>
        <w:t>）；</w:t>
      </w:r>
    </w:p>
    <w:p w14:paraId="7D399D87">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24</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《新平县国土空间总体规划（202</w:t>
      </w:r>
      <w:r>
        <w:rPr>
          <w:rFonts w:hint="eastAsia" w:ascii="Times New Roman" w:hAnsi="Times New Roman" w:eastAsia="方正仿宋_GBK" w:cs="方正仿宋_GBK"/>
          <w:b w:val="0"/>
          <w:bCs w:val="0"/>
          <w:color w:val="auto"/>
          <w:kern w:val="2"/>
          <w:sz w:val="28"/>
          <w:szCs w:val="28"/>
          <w:lang w:val="en-US" w:eastAsia="zh-CN" w:bidi="ar-SA"/>
        </w:rPr>
        <w:t>1—</w:t>
      </w:r>
      <w:r>
        <w:rPr>
          <w:rFonts w:hint="default" w:ascii="Times New Roman" w:hAnsi="Times New Roman" w:eastAsia="方正仿宋_GBK" w:cs="方正仿宋_GBK"/>
          <w:b w:val="0"/>
          <w:bCs w:val="0"/>
          <w:color w:val="auto"/>
          <w:kern w:val="2"/>
          <w:sz w:val="28"/>
          <w:szCs w:val="28"/>
          <w:lang w:val="zh-CN" w:eastAsia="zh-CN" w:bidi="ar-SA"/>
        </w:rPr>
        <w:t>2035年）》；</w:t>
      </w:r>
    </w:p>
    <w:p w14:paraId="32B17055">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25</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《新平县</w:t>
      </w:r>
      <w:r>
        <w:rPr>
          <w:rFonts w:hint="default" w:ascii="Times New Roman" w:hAnsi="Times New Roman" w:eastAsia="方正仿宋_GBK" w:cs="方正仿宋_GBK"/>
          <w:b w:val="0"/>
          <w:bCs w:val="0"/>
          <w:color w:val="auto"/>
          <w:kern w:val="2"/>
          <w:sz w:val="28"/>
          <w:szCs w:val="28"/>
          <w:lang w:val="en-US" w:eastAsia="zh-CN" w:bidi="ar-SA"/>
        </w:rPr>
        <w:t>城市</w:t>
      </w:r>
      <w:r>
        <w:rPr>
          <w:rFonts w:hint="default" w:ascii="Times New Roman" w:hAnsi="Times New Roman" w:eastAsia="方正仿宋_GBK" w:cs="方正仿宋_GBK"/>
          <w:b w:val="0"/>
          <w:bCs w:val="0"/>
          <w:color w:val="auto"/>
          <w:kern w:val="2"/>
          <w:sz w:val="28"/>
          <w:szCs w:val="28"/>
          <w:lang w:val="zh-CN" w:eastAsia="zh-CN" w:bidi="ar-SA"/>
        </w:rPr>
        <w:t>总体规划》；</w:t>
      </w:r>
    </w:p>
    <w:p w14:paraId="2D81CF53">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26</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《新平县城镇（乡）供水、污水和生活垃圾处理设施体系规划（2014</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2030年）》；</w:t>
      </w:r>
    </w:p>
    <w:p w14:paraId="1A58151C">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27</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《新平县水资源利用规划》；</w:t>
      </w:r>
    </w:p>
    <w:p w14:paraId="2E8EF591">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28</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《新平县“十三五”环境保护规划（2016</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2020年）》；</w:t>
      </w:r>
    </w:p>
    <w:p w14:paraId="23481A4A">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29</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《新平县“十四五”旅游文化发展规划（2021</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2025年）》；</w:t>
      </w:r>
    </w:p>
    <w:p w14:paraId="2ECEAB9E">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30</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《新平县住房和城乡建设“十四五”专项规划》；</w:t>
      </w:r>
    </w:p>
    <w:p w14:paraId="44C268A1">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Times New Roman"/>
          <w:color w:val="auto"/>
          <w:kern w:val="2"/>
          <w:sz w:val="32"/>
          <w:szCs w:val="32"/>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31</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《新平县“十四五”生态环境保护规划（2021</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2025年）》。</w:t>
      </w:r>
    </w:p>
    <w:p w14:paraId="3337C856">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183" w:name="_Toc15564"/>
      <w:bookmarkStart w:id="184" w:name="_Toc15874"/>
      <w:bookmarkStart w:id="185" w:name="_Toc25137"/>
      <w:r>
        <w:rPr>
          <w:rFonts w:hint="default" w:eastAsia="仿宋"/>
          <w:snapToGrid w:val="0"/>
          <w:color w:val="auto"/>
          <w:sz w:val="28"/>
          <w:szCs w:val="28"/>
          <w:lang w:val="en-US" w:eastAsia="zh-CN"/>
        </w:rPr>
        <w:t>4.3.4相关技术文件</w:t>
      </w:r>
      <w:bookmarkEnd w:id="183"/>
      <w:bookmarkEnd w:id="184"/>
      <w:bookmarkEnd w:id="185"/>
    </w:p>
    <w:p w14:paraId="138DDF5C">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《国家生态文明建设示范区建设指标（修订版）》（2021年）；</w:t>
      </w:r>
    </w:p>
    <w:p w14:paraId="126BB10A">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《国家生态文明建设示范区管理规程（修订版）》（2021年）；</w:t>
      </w:r>
    </w:p>
    <w:p w14:paraId="7BCCB36C">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3</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《国家生态文明建设示范区规划编制指南（试行）》（2021年）；</w:t>
      </w:r>
    </w:p>
    <w:p w14:paraId="57E6ADFC">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4</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《云南省省级生态文明建设示范区管理规程》（2022年）；</w:t>
      </w:r>
    </w:p>
    <w:p w14:paraId="7B0D1D97">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5</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《云南省省级生态文明建设示范区建设指标》（2022年）；</w:t>
      </w:r>
    </w:p>
    <w:p w14:paraId="6F2A7F77">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6</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《区域生态质量评价办法（试行）》；</w:t>
      </w:r>
    </w:p>
    <w:p w14:paraId="1F1EDDBA">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7</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《国家重点保护野生动物名录》（2021版）；</w:t>
      </w:r>
    </w:p>
    <w:p w14:paraId="065C7EEB">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8</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《国家重点保护野生植物名录》（2021版）；</w:t>
      </w:r>
    </w:p>
    <w:p w14:paraId="26A4CED7">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9</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《云南省外来入侵物种名录（2019版）》。</w:t>
      </w:r>
    </w:p>
    <w:p w14:paraId="3F3F9000">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en-US" w:eastAsia="zh-CN"/>
        </w:rPr>
      </w:pPr>
      <w:bookmarkStart w:id="186" w:name="_Toc3682"/>
      <w:bookmarkStart w:id="187" w:name="_Toc698"/>
      <w:bookmarkStart w:id="188" w:name="_Toc29298"/>
      <w:r>
        <w:rPr>
          <w:rFonts w:hint="default" w:ascii="Times New Roman" w:hAnsi="Times New Roman" w:eastAsia="仿宋" w:cs="Times New Roman"/>
          <w:color w:val="auto"/>
          <w:sz w:val="32"/>
          <w:lang w:val="en-US" w:eastAsia="zh-CN"/>
        </w:rPr>
        <w:t>4.4规划范围与期限</w:t>
      </w:r>
      <w:bookmarkEnd w:id="186"/>
      <w:bookmarkEnd w:id="187"/>
      <w:bookmarkEnd w:id="188"/>
    </w:p>
    <w:p w14:paraId="76FDE468">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189" w:name="_Toc8571"/>
      <w:bookmarkStart w:id="190" w:name="_Toc28787"/>
      <w:bookmarkStart w:id="191" w:name="_Toc26169"/>
      <w:r>
        <w:rPr>
          <w:rFonts w:hint="default" w:eastAsia="仿宋"/>
          <w:snapToGrid w:val="0"/>
          <w:color w:val="auto"/>
          <w:sz w:val="28"/>
          <w:szCs w:val="28"/>
          <w:lang w:val="en-US" w:eastAsia="zh-CN"/>
        </w:rPr>
        <w:t>4.4.1规划范围</w:t>
      </w:r>
      <w:bookmarkEnd w:id="189"/>
      <w:bookmarkEnd w:id="190"/>
      <w:bookmarkEnd w:id="191"/>
    </w:p>
    <w:p w14:paraId="788B8C93">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default" w:ascii="Times New Roman" w:hAnsi="Times New Roman" w:eastAsia="方正仿宋_GBK" w:cs="方正仿宋_GBK"/>
          <w:b w:val="0"/>
          <w:bCs w:val="0"/>
          <w:color w:val="auto"/>
          <w:kern w:val="2"/>
          <w:sz w:val="28"/>
          <w:szCs w:val="28"/>
          <w:lang w:val="zh-CN" w:eastAsia="zh-CN" w:bidi="ar-SA"/>
        </w:rPr>
        <w:t>本规划编制范围为新平县行政管辖的</w:t>
      </w:r>
      <w:r>
        <w:rPr>
          <w:rFonts w:hint="default" w:ascii="Times New Roman" w:hAnsi="Times New Roman" w:eastAsia="方正仿宋_GBK" w:cs="方正仿宋_GBK"/>
          <w:b w:val="0"/>
          <w:bCs w:val="0"/>
          <w:color w:val="auto"/>
          <w:kern w:val="2"/>
          <w:sz w:val="28"/>
          <w:szCs w:val="28"/>
          <w:lang w:val="en-US" w:eastAsia="zh-CN" w:bidi="ar-SA"/>
        </w:rPr>
        <w:t>2个街道4镇6乡，即桂山街道、古城街道、扬武镇、漠沙镇、戛洒镇、水塘镇及平甸乡、新化乡、老厂乡、建兴乡、平掌乡、者竜乡，</w:t>
      </w:r>
      <w:r>
        <w:rPr>
          <w:rFonts w:hint="default" w:ascii="Times New Roman" w:hAnsi="Times New Roman" w:eastAsia="方正仿宋_GBK" w:cs="方正仿宋_GBK"/>
          <w:b w:val="0"/>
          <w:bCs w:val="0"/>
          <w:color w:val="auto"/>
          <w:kern w:val="2"/>
          <w:sz w:val="28"/>
          <w:szCs w:val="28"/>
          <w:lang w:val="zh-CN" w:eastAsia="zh-CN" w:bidi="ar-SA"/>
        </w:rPr>
        <w:t>行政区划总面积</w:t>
      </w:r>
      <w:r>
        <w:rPr>
          <w:rFonts w:hint="default" w:ascii="Times New Roman" w:hAnsi="Times New Roman" w:eastAsia="方正仿宋_GBK" w:cs="方正仿宋_GBK"/>
          <w:b w:val="0"/>
          <w:bCs w:val="0"/>
          <w:color w:val="auto"/>
          <w:kern w:val="2"/>
          <w:sz w:val="28"/>
          <w:szCs w:val="28"/>
          <w:lang w:val="en-US" w:eastAsia="zh-CN" w:bidi="ar-SA"/>
        </w:rPr>
        <w:t>4223</w:t>
      </w:r>
      <w:r>
        <w:rPr>
          <w:rFonts w:hint="default" w:ascii="Times New Roman" w:hAnsi="Times New Roman" w:eastAsia="方正仿宋_GBK" w:cs="方正仿宋_GBK"/>
          <w:b w:val="0"/>
          <w:bCs w:val="0"/>
          <w:color w:val="auto"/>
          <w:kern w:val="2"/>
          <w:sz w:val="28"/>
          <w:szCs w:val="28"/>
          <w:lang w:val="zh-CN" w:eastAsia="zh-CN" w:bidi="ar-SA"/>
        </w:rPr>
        <w:t>平方千米。</w:t>
      </w:r>
    </w:p>
    <w:p w14:paraId="0C486560">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192" w:name="_Toc25899"/>
      <w:bookmarkStart w:id="193" w:name="_Toc21188"/>
      <w:bookmarkStart w:id="194" w:name="_Toc4779"/>
      <w:r>
        <w:rPr>
          <w:rFonts w:hint="default" w:eastAsia="仿宋"/>
          <w:snapToGrid w:val="0"/>
          <w:color w:val="auto"/>
          <w:sz w:val="28"/>
          <w:szCs w:val="28"/>
          <w:lang w:val="en-US" w:eastAsia="zh-CN"/>
        </w:rPr>
        <w:t>4.4.2规划时限</w:t>
      </w:r>
      <w:bookmarkEnd w:id="192"/>
      <w:bookmarkEnd w:id="193"/>
      <w:bookmarkEnd w:id="194"/>
    </w:p>
    <w:p w14:paraId="2586CCFF">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default" w:ascii="Times New Roman" w:hAnsi="Times New Roman" w:eastAsia="方正仿宋_GBK" w:cs="方正仿宋_GBK"/>
          <w:b w:val="0"/>
          <w:bCs w:val="0"/>
          <w:color w:val="auto"/>
          <w:kern w:val="2"/>
          <w:sz w:val="28"/>
          <w:szCs w:val="28"/>
          <w:lang w:val="zh-CN" w:eastAsia="zh-CN" w:bidi="ar-SA"/>
        </w:rPr>
        <w:t>规划期限为</w:t>
      </w:r>
      <w:r>
        <w:rPr>
          <w:rFonts w:hint="eastAsia" w:ascii="Times New Roman" w:hAnsi="Times New Roman" w:eastAsia="方正仿宋_GBK" w:cs="方正仿宋_GBK"/>
          <w:b w:val="0"/>
          <w:bCs w:val="0"/>
          <w:color w:val="auto"/>
          <w:kern w:val="2"/>
          <w:sz w:val="28"/>
          <w:szCs w:val="28"/>
          <w:lang w:val="en-US" w:eastAsia="zh-CN" w:bidi="ar-SA"/>
        </w:rPr>
        <w:t>14</w:t>
      </w:r>
      <w:r>
        <w:rPr>
          <w:rFonts w:hint="default" w:ascii="Times New Roman" w:hAnsi="Times New Roman" w:eastAsia="方正仿宋_GBK" w:cs="方正仿宋_GBK"/>
          <w:b w:val="0"/>
          <w:bCs w:val="0"/>
          <w:color w:val="auto"/>
          <w:kern w:val="2"/>
          <w:sz w:val="28"/>
          <w:szCs w:val="28"/>
          <w:lang w:val="zh-CN" w:eastAsia="zh-CN" w:bidi="ar-SA"/>
        </w:rPr>
        <w:t>年，202</w:t>
      </w:r>
      <w:r>
        <w:rPr>
          <w:rFonts w:hint="default" w:ascii="Times New Roman" w:hAnsi="Times New Roman" w:eastAsia="方正仿宋_GBK" w:cs="方正仿宋_GBK"/>
          <w:b w:val="0"/>
          <w:bCs w:val="0"/>
          <w:color w:val="auto"/>
          <w:kern w:val="2"/>
          <w:sz w:val="28"/>
          <w:szCs w:val="28"/>
          <w:lang w:val="en-US" w:eastAsia="zh-CN" w:bidi="ar-SA"/>
        </w:rPr>
        <w:t>1</w:t>
      </w:r>
      <w:r>
        <w:rPr>
          <w:rFonts w:hint="default" w:ascii="Times New Roman" w:hAnsi="Times New Roman" w:eastAsia="方正仿宋_GBK" w:cs="方正仿宋_GBK"/>
          <w:b w:val="0"/>
          <w:bCs w:val="0"/>
          <w:color w:val="auto"/>
          <w:kern w:val="2"/>
          <w:sz w:val="28"/>
          <w:szCs w:val="28"/>
          <w:lang w:val="zh-CN" w:eastAsia="zh-CN" w:bidi="ar-SA"/>
        </w:rPr>
        <w:t>年为规划基准年。规划期：202</w:t>
      </w:r>
      <w:r>
        <w:rPr>
          <w:rFonts w:hint="default" w:ascii="Times New Roman" w:hAnsi="Times New Roman" w:eastAsia="方正仿宋_GBK" w:cs="方正仿宋_GBK"/>
          <w:b w:val="0"/>
          <w:bCs w:val="0"/>
          <w:color w:val="auto"/>
          <w:kern w:val="2"/>
          <w:sz w:val="28"/>
          <w:szCs w:val="28"/>
          <w:lang w:val="en-US" w:eastAsia="zh-CN" w:bidi="ar-SA"/>
        </w:rPr>
        <w:t>2</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zh-CN" w:eastAsia="zh-CN" w:bidi="ar-SA"/>
        </w:rPr>
        <w:t>203</w:t>
      </w:r>
      <w:r>
        <w:rPr>
          <w:rFonts w:hint="eastAsia" w:ascii="Times New Roman" w:hAnsi="Times New Roman" w:eastAsia="方正仿宋_GBK" w:cs="方正仿宋_GBK"/>
          <w:b w:val="0"/>
          <w:bCs w:val="0"/>
          <w:color w:val="auto"/>
          <w:kern w:val="2"/>
          <w:sz w:val="28"/>
          <w:szCs w:val="28"/>
          <w:lang w:val="en-US" w:eastAsia="zh-CN" w:bidi="ar-SA"/>
        </w:rPr>
        <w:t>5</w:t>
      </w:r>
      <w:r>
        <w:rPr>
          <w:rFonts w:hint="default" w:ascii="Times New Roman" w:hAnsi="Times New Roman" w:eastAsia="方正仿宋_GBK" w:cs="方正仿宋_GBK"/>
          <w:b w:val="0"/>
          <w:bCs w:val="0"/>
          <w:color w:val="auto"/>
          <w:kern w:val="2"/>
          <w:sz w:val="28"/>
          <w:szCs w:val="28"/>
          <w:lang w:val="zh-CN" w:eastAsia="zh-CN" w:bidi="ar-SA"/>
        </w:rPr>
        <w:t>年。</w:t>
      </w:r>
    </w:p>
    <w:p w14:paraId="5A7D0F28">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en-US" w:eastAsia="zh-CN"/>
        </w:rPr>
      </w:pPr>
      <w:bookmarkStart w:id="195" w:name="_Toc15105"/>
      <w:bookmarkStart w:id="196" w:name="_Toc7415"/>
      <w:bookmarkStart w:id="197" w:name="_Toc25653"/>
      <w:r>
        <w:rPr>
          <w:rFonts w:hint="default" w:ascii="Times New Roman" w:hAnsi="Times New Roman" w:eastAsia="仿宋" w:cs="Times New Roman"/>
          <w:color w:val="auto"/>
          <w:sz w:val="32"/>
          <w:lang w:val="en-US" w:eastAsia="zh-CN"/>
        </w:rPr>
        <w:t>4.5定位分析</w:t>
      </w:r>
      <w:bookmarkEnd w:id="195"/>
      <w:bookmarkEnd w:id="196"/>
      <w:bookmarkEnd w:id="197"/>
    </w:p>
    <w:p w14:paraId="05E593BC">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198" w:name="_Toc24683"/>
      <w:bookmarkStart w:id="199" w:name="_Toc88"/>
      <w:bookmarkStart w:id="200" w:name="_Toc2775"/>
      <w:r>
        <w:rPr>
          <w:rFonts w:hint="default" w:eastAsia="仿宋"/>
          <w:snapToGrid w:val="0"/>
          <w:color w:val="auto"/>
          <w:sz w:val="28"/>
          <w:szCs w:val="28"/>
          <w:lang w:val="en-US" w:eastAsia="zh-CN"/>
        </w:rPr>
        <w:t>4.5.1上位规划</w:t>
      </w:r>
      <w:bookmarkEnd w:id="198"/>
      <w:bookmarkEnd w:id="199"/>
      <w:bookmarkEnd w:id="200"/>
    </w:p>
    <w:p w14:paraId="2A17FABD">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default" w:ascii="Times New Roman" w:hAnsi="Times New Roman" w:eastAsia="方正仿宋_GBK" w:cs="方正仿宋_GBK"/>
          <w:b w:val="0"/>
          <w:bCs w:val="0"/>
          <w:color w:val="auto"/>
          <w:kern w:val="2"/>
          <w:sz w:val="28"/>
          <w:szCs w:val="28"/>
          <w:lang w:val="zh-CN" w:eastAsia="zh-CN" w:bidi="ar-SA"/>
        </w:rPr>
        <w:t>《云南省主体功能区划》：</w:t>
      </w:r>
      <w:r>
        <w:rPr>
          <w:rFonts w:hint="default" w:ascii="Times New Roman" w:hAnsi="Times New Roman" w:eastAsia="方正仿宋_GBK" w:cs="方正仿宋_GBK"/>
          <w:b w:val="0"/>
          <w:bCs w:val="0"/>
          <w:color w:val="auto"/>
          <w:kern w:val="2"/>
          <w:sz w:val="28"/>
          <w:szCs w:val="28"/>
          <w:lang w:val="en-US" w:eastAsia="zh-CN" w:bidi="ar-SA"/>
        </w:rPr>
        <w:t>新平县</w:t>
      </w:r>
      <w:r>
        <w:rPr>
          <w:rFonts w:hint="default" w:ascii="Times New Roman" w:hAnsi="Times New Roman" w:eastAsia="方正仿宋_GBK" w:cs="方正仿宋_GBK"/>
          <w:b w:val="0"/>
          <w:bCs w:val="0"/>
          <w:color w:val="auto"/>
          <w:kern w:val="2"/>
          <w:sz w:val="28"/>
          <w:szCs w:val="28"/>
          <w:lang w:val="zh-CN" w:eastAsia="zh-CN" w:bidi="ar-SA"/>
        </w:rPr>
        <w:t>属于农产品主产区，重点开发小镇有嘎洒镇、杨武镇。禁止开发区域有哀牢山自然保护区，主要保护对象为以云南特有树种为优势的中山湿性常绿阔叶林生态系统和黑冠长臂猿等珍稀动植物、候鸟迁徙地；磨盘山县级自然保护区，主要保护对象中山湿润常绿阔叶林、云南松林；新平哀牢山县级自然保护区，主要保护对象中山湿性常绿阔叶林、半湿性常绿阔叶林。</w:t>
      </w:r>
    </w:p>
    <w:p w14:paraId="1E49CFA3">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default" w:ascii="Times New Roman" w:hAnsi="Times New Roman" w:eastAsia="方正仿宋_GBK" w:cs="方正仿宋_GBK"/>
          <w:b w:val="0"/>
          <w:bCs w:val="0"/>
          <w:color w:val="auto"/>
          <w:kern w:val="2"/>
          <w:sz w:val="28"/>
          <w:szCs w:val="28"/>
          <w:lang w:val="zh-CN" w:eastAsia="zh-CN" w:bidi="ar-SA"/>
        </w:rPr>
        <w:t>《云南省生态文明建设排头兵规划（2021</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2025年）》：锚定二〇三五年远景目标，以争当生态文明建设排头兵为统领，补短板、树典型、创模式、推机制，推动实现绿色低碳循环发展经济体系达到新水平，生态环境质量得到新改善，生态安全得到新巩固，生态文明制度实现新突破，生态价值观念实现新提升。</w:t>
      </w:r>
    </w:p>
    <w:p w14:paraId="2FC2B8F0">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default" w:ascii="Times New Roman" w:hAnsi="Times New Roman" w:eastAsia="方正仿宋_GBK" w:cs="方正仿宋_GBK"/>
          <w:b w:val="0"/>
          <w:bCs w:val="0"/>
          <w:color w:val="auto"/>
          <w:kern w:val="2"/>
          <w:sz w:val="28"/>
          <w:szCs w:val="28"/>
          <w:lang w:val="zh-CN" w:eastAsia="zh-CN" w:bidi="ar-SA"/>
        </w:rPr>
        <w:t>《云南省“十四五”生态环境保护规划》：推动滇中地区高质量发展。充分发挥滇中地区对全省高质量发展、高水平保护的带动作用，加快滇中新区、各类开发区循环化、生态化、低碳化改造，提高资源能源利用效率，明显增强绿色竞争力。加强区域联防联控，实施重点区域大气污染分策治理，完善区域污染天气联合应对机制。建立统一、高效的环境监测体系以及跨区域环境联合防治协调机制、环境联合执法监督机制、规划环评会商机制。</w:t>
      </w:r>
    </w:p>
    <w:p w14:paraId="4A7D8DF7">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default" w:ascii="Times New Roman" w:hAnsi="Times New Roman" w:eastAsia="方正仿宋_GBK" w:cs="方正仿宋_GBK"/>
          <w:b w:val="0"/>
          <w:bCs w:val="0"/>
          <w:color w:val="auto"/>
          <w:kern w:val="2"/>
          <w:sz w:val="28"/>
          <w:szCs w:val="28"/>
          <w:lang w:val="zh-CN" w:eastAsia="zh-CN" w:bidi="ar-SA"/>
        </w:rPr>
        <w:t>《玉溪市国民经济和社会发展第十四个五年规划纲要》：提出玉溪市要深入贯彻落实新发展理念，立足高质量发展要求，落实“云南社会主义现代化建设先行区、全国绿色创新发展示范区、国际高品质康养旅居新高地”发展定位。提出新平县定位云南绿色矿冶集聚区、云南高原特色现代农业示范区、中国花腰傣旅游文化目的地。</w:t>
      </w:r>
    </w:p>
    <w:p w14:paraId="76D46CFA">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default" w:ascii="Times New Roman" w:hAnsi="Times New Roman" w:eastAsia="方正仿宋_GBK" w:cs="方正仿宋_GBK"/>
          <w:b w:val="0"/>
          <w:bCs w:val="0"/>
          <w:color w:val="auto"/>
          <w:kern w:val="2"/>
          <w:sz w:val="28"/>
          <w:szCs w:val="28"/>
          <w:lang w:val="zh-CN" w:eastAsia="zh-CN" w:bidi="ar-SA"/>
        </w:rPr>
        <w:t>《新平县国民经济和社会发展第十四个五年规划纲要》：</w:t>
      </w:r>
      <w:r>
        <w:rPr>
          <w:rFonts w:hint="default" w:ascii="Times New Roman" w:hAnsi="Times New Roman" w:eastAsia="方正仿宋_GBK" w:cs="方正仿宋_GBK"/>
          <w:b w:val="0"/>
          <w:bCs w:val="0"/>
          <w:color w:val="auto"/>
          <w:kern w:val="2"/>
          <w:sz w:val="28"/>
          <w:szCs w:val="28"/>
          <w:lang w:val="en-US" w:eastAsia="zh-CN" w:bidi="ar-SA"/>
        </w:rPr>
        <w:t>努力在产业转型升级、基础设施补短板、城乡融合发展、生态文明建设上取得重大突破，打造云南绿色矿冶集聚区、云南高原特色现代农业示范区和中国花腰傣文化旅游目的地，全力推动县域经济高质量发展走在全省前列。</w:t>
      </w:r>
    </w:p>
    <w:p w14:paraId="7A5B71CE">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201" w:name="_Toc15352"/>
      <w:bookmarkStart w:id="202" w:name="_Toc17080"/>
      <w:bookmarkStart w:id="203" w:name="_Toc30971"/>
      <w:r>
        <w:rPr>
          <w:rFonts w:hint="default" w:eastAsia="仿宋"/>
          <w:snapToGrid w:val="0"/>
          <w:color w:val="auto"/>
          <w:sz w:val="28"/>
          <w:szCs w:val="28"/>
          <w:lang w:val="en-US" w:eastAsia="zh-CN"/>
        </w:rPr>
        <w:t>4.5.2示范创建定位</w:t>
      </w:r>
      <w:bookmarkEnd w:id="201"/>
      <w:bookmarkEnd w:id="202"/>
      <w:bookmarkEnd w:id="203"/>
    </w:p>
    <w:p w14:paraId="06186B63">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en-US" w:eastAsia="zh-CN" w:bidi="ar-SA"/>
        </w:rPr>
      </w:pPr>
      <w:bookmarkStart w:id="204" w:name="_Toc22467"/>
      <w:bookmarkStart w:id="205" w:name="_Toc2905"/>
      <w:r>
        <w:rPr>
          <w:rFonts w:hint="default" w:ascii="Times New Roman" w:hAnsi="Times New Roman" w:eastAsia="方正仿宋_GBK" w:cs="方正仿宋_GBK"/>
          <w:b w:val="0"/>
          <w:bCs w:val="0"/>
          <w:color w:val="auto"/>
          <w:kern w:val="2"/>
          <w:sz w:val="28"/>
          <w:szCs w:val="28"/>
          <w:lang w:val="en-US" w:eastAsia="zh-CN" w:bidi="ar-SA"/>
        </w:rPr>
        <w:t>云南绿色矿冶集聚区。立足新平丰富的矿产资源优势及矿冶产业发展基础，抓住玉溪市全产业链塑造绿色钢铁新优势契机，以云南绿色钢城为引领打造优势矿冶产业集群，加强原料资源保障能力，积极协调大红山两大国有铜、铁矿采选企业加大向仙福公司和红山球团公司等矿冶企业供给铁精矿产品力度。积极引导和支持仙福公司开发生产型钢、复合板材、管材、不锈钢及高性能合金钢等新产品，不断延伸产业链，提高产品附加值。推进企业“两化”深度融合，加快实施重大技改项目，力争规模以上矿冶企业实现生产经营管理全过程的信息化、现代化，推动矿冶产业向现代化、绿色化迈进，率先把新平打造为全省绿色矿冶集聚区。</w:t>
      </w:r>
    </w:p>
    <w:p w14:paraId="06CCB26D">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云南高原特色现代农业示范区。立足新平高原特色农业发展基础及优越的气候条件，以“绿色食品牌”打造为抓手，以农业增效、农民增收为中心任务，深入实施乡村振兴战略，加快红河谷—绿汁江热区产业经济带建设，打造高产、优质、高效、生态、安全的高原特色农产品主产区和现代农业品牌。开展农业“一二三”行动，在保障粮食安全生产的基础上，发展壮大优势特色产业，强化科技推广运用，着力补齐农业基础短板，构建完善农业经营体系，实现一产“接二连三”，不断提高现代农业综合效益、竞争力和影响力，率先把新平打造为云南高原特色农业示范区。</w:t>
      </w:r>
    </w:p>
    <w:p w14:paraId="688A1134">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default" w:ascii="Times New Roman" w:hAnsi="Times New Roman" w:eastAsia="方正仿宋_GBK" w:cs="方正仿宋_GBK"/>
          <w:b w:val="0"/>
          <w:bCs w:val="0"/>
          <w:color w:val="auto"/>
          <w:kern w:val="2"/>
          <w:sz w:val="28"/>
          <w:szCs w:val="28"/>
          <w:lang w:val="en-US" w:eastAsia="zh-CN" w:bidi="ar-SA"/>
        </w:rPr>
        <w:t>中国花腰傣文化旅游目的地。主打中国“花腰傣之乡”品牌，立足哀牢山、磨盘山、红河谷、戛洒花腰傣风情小镇、特色农产品等资源，以打造“健康生活目的地牌”为抓手，积极融入滇中核心旅游圈，着力推进服务业专业化，强化龙头带动，加强花腰傣等文化资源进行合理开发利用，加快乡村精品旅游、康体养生、现代物流、电子商务、数字经济等服务业融合发展，擦亮“花腰傣之乡”“中国天然氧吧”等名片，努力把新平打造为中国花腰傣文化旅游目的地。</w:t>
      </w:r>
    </w:p>
    <w:p w14:paraId="557E49AD">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en-US" w:eastAsia="zh-CN"/>
        </w:rPr>
      </w:pPr>
      <w:bookmarkStart w:id="206" w:name="_Toc10400"/>
      <w:r>
        <w:rPr>
          <w:rFonts w:hint="default" w:ascii="Times New Roman" w:hAnsi="Times New Roman" w:eastAsia="仿宋" w:cs="Times New Roman"/>
          <w:color w:val="auto"/>
          <w:sz w:val="32"/>
          <w:lang w:val="en-US" w:eastAsia="zh-CN"/>
        </w:rPr>
        <w:t>4.6规划目标</w:t>
      </w:r>
      <w:bookmarkEnd w:id="204"/>
      <w:bookmarkEnd w:id="205"/>
      <w:bookmarkEnd w:id="206"/>
    </w:p>
    <w:p w14:paraId="6ED1EC67">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207" w:name="_Toc2786"/>
      <w:bookmarkStart w:id="208" w:name="_Toc22669"/>
      <w:bookmarkStart w:id="209" w:name="_Toc28003"/>
      <w:r>
        <w:rPr>
          <w:rFonts w:hint="default" w:eastAsia="仿宋"/>
          <w:snapToGrid w:val="0"/>
          <w:color w:val="auto"/>
          <w:sz w:val="28"/>
          <w:szCs w:val="28"/>
          <w:lang w:val="en-US" w:eastAsia="zh-CN"/>
        </w:rPr>
        <w:t>4.6.1总体目标</w:t>
      </w:r>
      <w:bookmarkEnd w:id="207"/>
      <w:bookmarkEnd w:id="208"/>
      <w:bookmarkEnd w:id="209"/>
    </w:p>
    <w:p w14:paraId="08998CAB">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围绕县委打造“滇中绿谷”发展目标和落实“12345”发展战略，践行“绿水青山就是金山银山”理念，坚持保护优先，强化全域生态保护，统筹山水林田湖草</w:t>
      </w:r>
      <w:r>
        <w:rPr>
          <w:rFonts w:hint="eastAsia" w:ascii="Times New Roman" w:hAnsi="Times New Roman" w:eastAsia="方正仿宋_GBK" w:cs="方正仿宋_GBK"/>
          <w:b w:val="0"/>
          <w:bCs w:val="0"/>
          <w:color w:val="auto"/>
          <w:kern w:val="2"/>
          <w:sz w:val="28"/>
          <w:szCs w:val="28"/>
          <w:lang w:val="en-US" w:eastAsia="zh-CN" w:bidi="ar-SA"/>
        </w:rPr>
        <w:t>沙</w:t>
      </w:r>
      <w:bookmarkStart w:id="765" w:name="_GoBack"/>
      <w:bookmarkEnd w:id="765"/>
      <w:r>
        <w:rPr>
          <w:rFonts w:hint="default" w:ascii="Times New Roman" w:hAnsi="Times New Roman" w:eastAsia="方正仿宋_GBK" w:cs="方正仿宋_GBK"/>
          <w:b w:val="0"/>
          <w:bCs w:val="0"/>
          <w:color w:val="auto"/>
          <w:kern w:val="2"/>
          <w:sz w:val="28"/>
          <w:szCs w:val="28"/>
          <w:lang w:val="en-US" w:eastAsia="zh-CN" w:bidi="ar-SA"/>
        </w:rPr>
        <w:t>系统治理，做好“生态+”融合文章，打通“绿水青山”向“金山银山”转换通道，促进全面发展绿色转型</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产业结构更趋合理，资源利用效率进一步提升，资源节约型和环境友好型社会建设取得重大进展</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国土空间开发格局更加优化，符合主体功能定位的空间开发格局全面形成，空间治理体系基本建立</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严守生态保护红线，生态系统功能全面提升，生态安全进一步巩固</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城市空气质量优良率不断提升，县城饮用水源地水环境质量持续保持稳定达标，土壤环境质量总体保持稳定，生态环境质量总体保持优良</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环境安全得到有效保障，重点流域和重点区域环境质量明显改善，生态系统稳定性持续增强</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成为全市绿色引领发展和生态文明建设的先行区和示范区。</w:t>
      </w:r>
    </w:p>
    <w:p w14:paraId="4A9AC472">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210" w:name="_Toc4591"/>
      <w:bookmarkStart w:id="211" w:name="_Toc14590"/>
      <w:bookmarkStart w:id="212" w:name="_Toc29857"/>
      <w:r>
        <w:rPr>
          <w:rFonts w:hint="default" w:eastAsia="仿宋"/>
          <w:snapToGrid w:val="0"/>
          <w:color w:val="auto"/>
          <w:sz w:val="28"/>
          <w:szCs w:val="28"/>
          <w:lang w:val="en-US" w:eastAsia="zh-CN"/>
        </w:rPr>
        <w:t>4.6.2阶段目标</w:t>
      </w:r>
      <w:bookmarkEnd w:id="210"/>
      <w:bookmarkEnd w:id="211"/>
      <w:bookmarkEnd w:id="212"/>
    </w:p>
    <w:p w14:paraId="2D271F2B">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en-US" w:eastAsia="zh-CN" w:bidi="ar-SA"/>
        </w:rPr>
      </w:pPr>
      <w:bookmarkStart w:id="213" w:name="_Toc9516114"/>
      <w:bookmarkStart w:id="214" w:name="_Toc16567"/>
      <w:bookmarkStart w:id="215" w:name="_Toc35697772"/>
      <w:bookmarkStart w:id="216" w:name="_Toc514661266"/>
      <w:bookmarkStart w:id="217" w:name="_Toc25072"/>
      <w:bookmarkStart w:id="218" w:name="_Toc456"/>
      <w:bookmarkStart w:id="219" w:name="_Toc47"/>
      <w:bookmarkStart w:id="220" w:name="_Toc24102"/>
      <w:bookmarkStart w:id="221" w:name="_Toc19036"/>
      <w:bookmarkStart w:id="222" w:name="_Toc15353"/>
      <w:bookmarkStart w:id="223" w:name="_Toc21905"/>
      <w:bookmarkStart w:id="224" w:name="_Toc2304"/>
      <w:r>
        <w:rPr>
          <w:rFonts w:hint="default" w:ascii="Times New Roman" w:hAnsi="Times New Roman" w:eastAsia="方正仿宋_GBK" w:cs="方正仿宋_GBK"/>
          <w:b w:val="0"/>
          <w:bCs w:val="0"/>
          <w:color w:val="auto"/>
          <w:kern w:val="2"/>
          <w:sz w:val="28"/>
          <w:szCs w:val="28"/>
          <w:lang w:val="en-US" w:eastAsia="zh-CN" w:bidi="ar-SA"/>
        </w:rPr>
        <w:t>近期目标：到2025年，力争各项指标达到国家生态文明建设示范区指标考核要求，力争创建为国家生态文明建设示范区。全面实现生态文明建设治理体系和治理能力现代化；全面完成省、市下达主要污染物减排、环境风险防控、生态空间管控等约束性指标，生态文明制度体系逐步完善；国控、省控地表水达到或优于Ⅲ类水质断面比例100%，大气环境指标稳中向好，空气优良率和控制因子达到上级下达目标；生物多样性保护效果显著；生态经济产业体系基本建立，将“绿水青山”真正转变为社会经济发展的“金山银山”，以优质的生态产品支撑全县各族人民的幸福感生态产品价值实现机制取得成效；村镇环境基础设施建设逐步完善，村庄环境综合整治基本完成，农村生活污水处理显著提高，美丽乡村建设成效明显；绿色生产生活方式逐步建立，居民生态文明满意度参与度稳步提升。</w:t>
      </w:r>
    </w:p>
    <w:p w14:paraId="2F45C691">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远期规划：2026</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2030年持续巩固提升国家生态文明建设示范区创建成果。创新生态文明体制机制，区域生态环境共保联治机制建设取得成效；土地集约节约利用，城乡布局合理，国土空间开发保护格局得到持续优化；空气质量保持优良，水环境质量保持稳定，水生态恢复取得明显成效，土壤环境安全得到有效保障；山水林田湖草生态系统服务功能总体恢复；建成以产业生态化和生态产业化为主体的现代化生态经济产业体系；城乡人居环境得到显著提升，生态文明建设成效更加显著</w:t>
      </w:r>
      <w:r>
        <w:rPr>
          <w:rFonts w:hint="eastAsia" w:ascii="Times New Roman" w:hAnsi="Times New Roman" w:eastAsia="方正仿宋_GBK" w:cs="方正仿宋_GBK"/>
          <w:b w:val="0"/>
          <w:bCs w:val="0"/>
          <w:color w:val="auto"/>
          <w:kern w:val="2"/>
          <w:sz w:val="28"/>
          <w:szCs w:val="28"/>
          <w:lang w:val="en-US" w:eastAsia="zh-CN" w:bidi="ar-SA"/>
        </w:rPr>
        <w:t>。</w:t>
      </w:r>
    </w:p>
    <w:p w14:paraId="51836217">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远景目标：到2035年，富强新平、活力新平、文化新平、美丽新平、和谐新平基本建成；基本实现新型工业化、信息化、城镇化、农业现代化，建成现代化绿色经济体系；基本实现环境治理体系和治理能力现代化；广泛形成绿色生产生活方式，生态环境根本好转；中等收入群体显著扩大，城乡区域发展差距和居民生活水平差距显著缩小；人民生活更加美好，人的全面发展、全体人民共同富裕取得更为明显的实质性进展，</w:t>
      </w:r>
      <w:r>
        <w:rPr>
          <w:rFonts w:hint="default" w:ascii="Times New Roman" w:hAnsi="Times New Roman" w:eastAsia="方正仿宋_GBK" w:cs="方正仿宋_GBK"/>
          <w:b w:val="0"/>
          <w:bCs w:val="0"/>
          <w:color w:val="auto"/>
          <w:kern w:val="2"/>
          <w:sz w:val="28"/>
          <w:szCs w:val="28"/>
          <w:lang w:val="en-US" w:eastAsia="zh-CN" w:bidi="ar-SA"/>
        </w:rPr>
        <w:t>成为全市绿色引领发展和生态文明建设的先行区和示范区。</w:t>
      </w:r>
    </w:p>
    <w:p w14:paraId="64565E15">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en-US" w:eastAsia="zh-CN"/>
        </w:rPr>
      </w:pPr>
      <w:bookmarkStart w:id="225" w:name="_Toc30389"/>
      <w:r>
        <w:rPr>
          <w:rFonts w:hint="default" w:ascii="Times New Roman" w:hAnsi="Times New Roman" w:eastAsia="仿宋" w:cs="Times New Roman"/>
          <w:color w:val="auto"/>
          <w:sz w:val="32"/>
          <w:lang w:val="en-US" w:eastAsia="zh-CN"/>
        </w:rPr>
        <w:t>4</w:t>
      </w:r>
      <w:bookmarkEnd w:id="213"/>
      <w:bookmarkEnd w:id="214"/>
      <w:bookmarkEnd w:id="215"/>
      <w:bookmarkEnd w:id="216"/>
      <w:r>
        <w:rPr>
          <w:rFonts w:hint="default" w:ascii="Times New Roman" w:hAnsi="Times New Roman" w:eastAsia="仿宋" w:cs="Times New Roman"/>
          <w:color w:val="auto"/>
          <w:sz w:val="32"/>
          <w:lang w:val="en-US" w:eastAsia="zh-CN"/>
        </w:rPr>
        <w:t>.7规划指标</w:t>
      </w:r>
      <w:bookmarkEnd w:id="217"/>
      <w:bookmarkEnd w:id="218"/>
      <w:bookmarkEnd w:id="219"/>
      <w:bookmarkEnd w:id="220"/>
      <w:bookmarkEnd w:id="221"/>
      <w:bookmarkEnd w:id="222"/>
      <w:bookmarkEnd w:id="223"/>
      <w:bookmarkEnd w:id="224"/>
      <w:bookmarkEnd w:id="225"/>
    </w:p>
    <w:bookmarkEnd w:id="21"/>
    <w:p w14:paraId="51916F94">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226" w:name="_Toc20832"/>
      <w:r>
        <w:rPr>
          <w:rFonts w:hint="default" w:eastAsia="仿宋"/>
          <w:snapToGrid w:val="0"/>
          <w:color w:val="auto"/>
          <w:sz w:val="28"/>
          <w:szCs w:val="28"/>
          <w:lang w:val="en-US" w:eastAsia="zh-CN"/>
        </w:rPr>
        <w:t>4.</w:t>
      </w:r>
      <w:r>
        <w:rPr>
          <w:rFonts w:hint="eastAsia" w:eastAsia="仿宋"/>
          <w:snapToGrid w:val="0"/>
          <w:color w:val="auto"/>
          <w:sz w:val="28"/>
          <w:szCs w:val="28"/>
          <w:lang w:val="en-US" w:eastAsia="zh-CN"/>
        </w:rPr>
        <w:t>7</w:t>
      </w:r>
      <w:r>
        <w:rPr>
          <w:rFonts w:hint="default" w:eastAsia="仿宋"/>
          <w:snapToGrid w:val="0"/>
          <w:color w:val="auto"/>
          <w:sz w:val="28"/>
          <w:szCs w:val="28"/>
          <w:lang w:val="en-US" w:eastAsia="zh-CN"/>
        </w:rPr>
        <w:t>.1指标现状</w:t>
      </w:r>
      <w:bookmarkEnd w:id="226"/>
    </w:p>
    <w:p w14:paraId="105AF4B2">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1、申报条件</w:t>
      </w:r>
    </w:p>
    <w:p w14:paraId="6F45B75B">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根据《国家生态文明建设示范区管理规程（修订版）》和《云南省省级生态文明建设示范区管理规程》（2022年），对申报条件进行分析。新平县印发《新平生态县建设规划》，2022年启动《新平县生态文明建设示范区规划（2022</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2030年）》规划编制；相关法律法规得到严格落实；35项国家级指标中达标</w:t>
      </w:r>
      <w:r>
        <w:rPr>
          <w:rFonts w:hint="eastAsia" w:ascii="Times New Roman" w:hAnsi="Times New Roman" w:eastAsia="方正仿宋_GBK" w:cs="方正仿宋_GBK"/>
          <w:b w:val="0"/>
          <w:bCs w:val="0"/>
          <w:color w:val="auto"/>
          <w:kern w:val="2"/>
          <w:sz w:val="28"/>
          <w:szCs w:val="28"/>
          <w:lang w:val="en-US" w:eastAsia="zh-CN" w:bidi="ar-SA"/>
        </w:rPr>
        <w:t>32</w:t>
      </w:r>
      <w:r>
        <w:rPr>
          <w:rFonts w:hint="default" w:ascii="Times New Roman" w:hAnsi="Times New Roman" w:eastAsia="方正仿宋_GBK" w:cs="方正仿宋_GBK"/>
          <w:b w:val="0"/>
          <w:bCs w:val="0"/>
          <w:color w:val="auto"/>
          <w:kern w:val="2"/>
          <w:sz w:val="28"/>
          <w:szCs w:val="28"/>
          <w:lang w:val="en-US" w:eastAsia="zh-CN" w:bidi="ar-SA"/>
        </w:rPr>
        <w:t>项、39项省级指标中达标</w:t>
      </w:r>
      <w:r>
        <w:rPr>
          <w:rFonts w:hint="eastAsia" w:ascii="Times New Roman" w:hAnsi="Times New Roman" w:eastAsia="方正仿宋_GBK" w:cs="方正仿宋_GBK"/>
          <w:b w:val="0"/>
          <w:bCs w:val="0"/>
          <w:color w:val="auto"/>
          <w:kern w:val="2"/>
          <w:sz w:val="28"/>
          <w:szCs w:val="28"/>
          <w:lang w:val="en-US" w:eastAsia="zh-CN" w:bidi="ar-SA"/>
        </w:rPr>
        <w:t>38</w:t>
      </w:r>
      <w:r>
        <w:rPr>
          <w:rFonts w:hint="default" w:ascii="Times New Roman" w:hAnsi="Times New Roman" w:eastAsia="方正仿宋_GBK" w:cs="方正仿宋_GBK"/>
          <w:b w:val="0"/>
          <w:bCs w:val="0"/>
          <w:color w:val="auto"/>
          <w:kern w:val="2"/>
          <w:sz w:val="28"/>
          <w:szCs w:val="28"/>
          <w:lang w:val="en-US" w:eastAsia="zh-CN" w:bidi="ar-SA"/>
        </w:rPr>
        <w:t>项，国家级、省级建设指标未</w:t>
      </w:r>
      <w:r>
        <w:rPr>
          <w:rFonts w:hint="eastAsia" w:ascii="Times New Roman" w:hAnsi="Times New Roman" w:eastAsia="方正仿宋_GBK" w:cs="方正仿宋_GBK"/>
          <w:b w:val="0"/>
          <w:bCs w:val="0"/>
          <w:color w:val="auto"/>
          <w:kern w:val="2"/>
          <w:sz w:val="28"/>
          <w:szCs w:val="28"/>
          <w:lang w:val="en-US" w:eastAsia="zh-CN" w:bidi="ar-SA"/>
        </w:rPr>
        <w:t>达标率分别为91.43%、97.43%；</w:t>
      </w:r>
      <w:r>
        <w:rPr>
          <w:rFonts w:hint="default" w:ascii="Times New Roman" w:hAnsi="Times New Roman" w:eastAsia="方正仿宋_GBK" w:cs="方正仿宋_GBK"/>
          <w:b w:val="0"/>
          <w:bCs w:val="0"/>
          <w:color w:val="auto"/>
          <w:kern w:val="2"/>
          <w:sz w:val="28"/>
          <w:szCs w:val="28"/>
          <w:lang w:val="en-US" w:eastAsia="zh-CN" w:bidi="ar-SA"/>
        </w:rPr>
        <w:t>中央生态环境保护督察和生态环境部组织的各类专项督查中不存在重大问题，各级督查整改任务按计划进行；完成国家、省下达的生态环境质量、节能、减排、排污许可证核发等生态环境保护重点工作任务；近三年未发生重特大突发环境事件或生态破坏事件，没有发生因重大生态环境问题被生态环境部约谈，无挂牌督办和区域限批问题；近三年，新平县生态环境案件办结率均为100%；2018</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202</w:t>
      </w:r>
      <w:r>
        <w:rPr>
          <w:rFonts w:hint="eastAsia" w:ascii="Times New Roman" w:hAnsi="Times New Roman" w:eastAsia="方正仿宋_GBK" w:cs="方正仿宋_GBK"/>
          <w:b w:val="0"/>
          <w:bCs w:val="0"/>
          <w:color w:val="auto"/>
          <w:kern w:val="2"/>
          <w:sz w:val="28"/>
          <w:szCs w:val="28"/>
          <w:lang w:val="en-US" w:eastAsia="zh-CN" w:bidi="ar-SA"/>
        </w:rPr>
        <w:t>1</w:t>
      </w:r>
      <w:r>
        <w:rPr>
          <w:rFonts w:hint="default" w:ascii="Times New Roman" w:hAnsi="Times New Roman" w:eastAsia="方正仿宋_GBK" w:cs="方正仿宋_GBK"/>
          <w:b w:val="0"/>
          <w:bCs w:val="0"/>
          <w:color w:val="auto"/>
          <w:kern w:val="2"/>
          <w:sz w:val="28"/>
          <w:szCs w:val="28"/>
          <w:lang w:val="en-US" w:eastAsia="zh-CN" w:bidi="ar-SA"/>
        </w:rPr>
        <w:t>年云南省县域生态环境质量监测评价与考核结果均为“基本稳定”。</w:t>
      </w:r>
    </w:p>
    <w:p w14:paraId="4DABB3F1">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2、建设指标现状值</w:t>
      </w:r>
    </w:p>
    <w:p w14:paraId="3B49656C">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仿宋" w:cs="Times New Roman"/>
          <w:color w:val="auto"/>
          <w:kern w:val="2"/>
          <w:sz w:val="32"/>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根据《国家生态文明建设示范区建设指标（修订版）》《云南省省级生态文明建设示范区建设指标》（2022），国家生态文明建设示范区指标考核新平县的共有35项，35项指标中已达标</w:t>
      </w:r>
      <w:r>
        <w:rPr>
          <w:rFonts w:hint="eastAsia" w:ascii="Times New Roman" w:hAnsi="Times New Roman" w:eastAsia="方正仿宋_GBK" w:cs="方正仿宋_GBK"/>
          <w:b w:val="0"/>
          <w:bCs w:val="0"/>
          <w:color w:val="auto"/>
          <w:kern w:val="2"/>
          <w:sz w:val="28"/>
          <w:szCs w:val="28"/>
          <w:lang w:val="en-US" w:eastAsia="zh-CN" w:bidi="ar-SA"/>
        </w:rPr>
        <w:t>32</w:t>
      </w:r>
      <w:r>
        <w:rPr>
          <w:rFonts w:hint="default" w:ascii="Times New Roman" w:hAnsi="Times New Roman" w:eastAsia="方正仿宋_GBK" w:cs="方正仿宋_GBK"/>
          <w:b w:val="0"/>
          <w:bCs w:val="0"/>
          <w:color w:val="auto"/>
          <w:kern w:val="2"/>
          <w:sz w:val="28"/>
          <w:szCs w:val="28"/>
          <w:lang w:val="en-US" w:eastAsia="zh-CN" w:bidi="ar-SA"/>
        </w:rPr>
        <w:t>项，</w:t>
      </w:r>
      <w:r>
        <w:rPr>
          <w:rFonts w:hint="eastAsia" w:ascii="Times New Roman" w:hAnsi="Times New Roman" w:eastAsia="方正仿宋_GBK" w:cs="方正仿宋_GBK"/>
          <w:b w:val="0"/>
          <w:bCs w:val="0"/>
          <w:color w:val="auto"/>
          <w:kern w:val="2"/>
          <w:sz w:val="28"/>
          <w:szCs w:val="28"/>
          <w:lang w:val="en-US" w:eastAsia="zh-CN" w:bidi="ar-SA"/>
        </w:rPr>
        <w:t>其中</w:t>
      </w:r>
      <w:r>
        <w:rPr>
          <w:rFonts w:hint="default" w:ascii="Times New Roman" w:hAnsi="Times New Roman" w:eastAsia="方正仿宋_GBK" w:cs="方正仿宋_GBK"/>
          <w:b w:val="0"/>
          <w:bCs w:val="0"/>
          <w:color w:val="auto"/>
          <w:kern w:val="2"/>
          <w:sz w:val="28"/>
          <w:szCs w:val="28"/>
          <w:lang w:val="en-US" w:eastAsia="zh-CN" w:bidi="ar-SA"/>
        </w:rPr>
        <w:t>单位地区生产总值能耗</w:t>
      </w:r>
      <w:r>
        <w:rPr>
          <w:rFonts w:hint="eastAsia" w:ascii="Times New Roman" w:hAnsi="Times New Roman" w:eastAsia="方正仿宋_GBK" w:cs="方正仿宋_GBK"/>
          <w:b w:val="0"/>
          <w:bCs w:val="0"/>
          <w:color w:val="auto"/>
          <w:kern w:val="2"/>
          <w:sz w:val="28"/>
          <w:szCs w:val="28"/>
          <w:lang w:val="en-US" w:eastAsia="zh-CN" w:bidi="ar-SA"/>
        </w:rPr>
        <w:t>、农村生活污水治理率、农村饮用水水质合格率等3指标</w:t>
      </w:r>
      <w:r>
        <w:rPr>
          <w:rFonts w:hint="default" w:ascii="Times New Roman" w:hAnsi="Times New Roman" w:eastAsia="方正仿宋_GBK" w:cs="方正仿宋_GBK"/>
          <w:b w:val="0"/>
          <w:bCs w:val="0"/>
          <w:color w:val="auto"/>
          <w:kern w:val="2"/>
          <w:sz w:val="28"/>
          <w:szCs w:val="28"/>
          <w:lang w:val="en-US" w:eastAsia="zh-CN" w:bidi="ar-SA"/>
        </w:rPr>
        <w:t>不达标，达标率为</w:t>
      </w:r>
      <w:r>
        <w:rPr>
          <w:rFonts w:hint="eastAsia" w:ascii="Times New Roman" w:hAnsi="Times New Roman" w:eastAsia="方正仿宋_GBK" w:cs="方正仿宋_GBK"/>
          <w:b w:val="0"/>
          <w:bCs w:val="0"/>
          <w:color w:val="auto"/>
          <w:kern w:val="2"/>
          <w:sz w:val="28"/>
          <w:szCs w:val="28"/>
          <w:lang w:val="en-US" w:eastAsia="zh-CN" w:bidi="ar-SA"/>
        </w:rPr>
        <w:t>91.43</w:t>
      </w:r>
      <w:r>
        <w:rPr>
          <w:rFonts w:hint="default" w:ascii="Times New Roman" w:hAnsi="Times New Roman" w:eastAsia="方正仿宋_GBK" w:cs="方正仿宋_GBK"/>
          <w:b w:val="0"/>
          <w:bCs w:val="0"/>
          <w:color w:val="auto"/>
          <w:kern w:val="2"/>
          <w:sz w:val="28"/>
          <w:szCs w:val="28"/>
          <w:lang w:val="en-US" w:eastAsia="zh-CN" w:bidi="ar-SA"/>
        </w:rPr>
        <w:t>%；云南省省级生态文明建设示范区指标考核新平县的共有39项，39项指标中已达标</w:t>
      </w:r>
      <w:r>
        <w:rPr>
          <w:rFonts w:hint="eastAsia" w:ascii="Times New Roman" w:hAnsi="Times New Roman" w:eastAsia="方正仿宋_GBK" w:cs="方正仿宋_GBK"/>
          <w:b w:val="0"/>
          <w:bCs w:val="0"/>
          <w:color w:val="auto"/>
          <w:kern w:val="2"/>
          <w:sz w:val="28"/>
          <w:szCs w:val="28"/>
          <w:lang w:val="en-US" w:eastAsia="zh-CN" w:bidi="ar-SA"/>
        </w:rPr>
        <w:t>38</w:t>
      </w:r>
      <w:r>
        <w:rPr>
          <w:rFonts w:hint="default" w:ascii="Times New Roman" w:hAnsi="Times New Roman" w:eastAsia="方正仿宋_GBK" w:cs="方正仿宋_GBK"/>
          <w:b w:val="0"/>
          <w:bCs w:val="0"/>
          <w:color w:val="auto"/>
          <w:kern w:val="2"/>
          <w:sz w:val="28"/>
          <w:szCs w:val="28"/>
          <w:lang w:val="en-US" w:eastAsia="zh-CN" w:bidi="ar-SA"/>
        </w:rPr>
        <w:t>项，单位地区生产总值能耗</w:t>
      </w:r>
      <w:r>
        <w:rPr>
          <w:rFonts w:hint="eastAsia" w:ascii="Times New Roman" w:hAnsi="Times New Roman" w:eastAsia="方正仿宋_GBK" w:cs="方正仿宋_GBK"/>
          <w:b w:val="0"/>
          <w:bCs w:val="0"/>
          <w:color w:val="auto"/>
          <w:kern w:val="2"/>
          <w:sz w:val="28"/>
          <w:szCs w:val="28"/>
          <w:lang w:val="en-US" w:eastAsia="zh-CN" w:bidi="ar-SA"/>
        </w:rPr>
        <w:t>1</w:t>
      </w:r>
      <w:r>
        <w:rPr>
          <w:rFonts w:hint="default" w:ascii="Times New Roman" w:hAnsi="Times New Roman" w:eastAsia="方正仿宋_GBK" w:cs="方正仿宋_GBK"/>
          <w:b w:val="0"/>
          <w:bCs w:val="0"/>
          <w:color w:val="auto"/>
          <w:kern w:val="2"/>
          <w:sz w:val="28"/>
          <w:szCs w:val="28"/>
          <w:lang w:val="en-US" w:eastAsia="zh-CN" w:bidi="ar-SA"/>
        </w:rPr>
        <w:t>项</w:t>
      </w:r>
      <w:r>
        <w:rPr>
          <w:rFonts w:hint="eastAsia" w:ascii="Times New Roman" w:hAnsi="Times New Roman" w:eastAsia="方正仿宋_GBK" w:cs="方正仿宋_GBK"/>
          <w:b w:val="0"/>
          <w:bCs w:val="0"/>
          <w:color w:val="auto"/>
          <w:kern w:val="2"/>
          <w:sz w:val="28"/>
          <w:szCs w:val="28"/>
          <w:lang w:val="en-US" w:eastAsia="zh-CN" w:bidi="ar-SA"/>
        </w:rPr>
        <w:t>指标</w:t>
      </w:r>
      <w:r>
        <w:rPr>
          <w:rFonts w:hint="default" w:ascii="Times New Roman" w:hAnsi="Times New Roman" w:eastAsia="方正仿宋_GBK" w:cs="方正仿宋_GBK"/>
          <w:b w:val="0"/>
          <w:bCs w:val="0"/>
          <w:color w:val="auto"/>
          <w:kern w:val="2"/>
          <w:sz w:val="28"/>
          <w:szCs w:val="28"/>
          <w:lang w:val="en-US" w:eastAsia="zh-CN" w:bidi="ar-SA"/>
        </w:rPr>
        <w:t>不达标，达标率为</w:t>
      </w:r>
      <w:r>
        <w:rPr>
          <w:rFonts w:hint="eastAsia" w:ascii="Times New Roman" w:hAnsi="Times New Roman" w:eastAsia="方正仿宋_GBK" w:cs="方正仿宋_GBK"/>
          <w:b w:val="0"/>
          <w:bCs w:val="0"/>
          <w:color w:val="auto"/>
          <w:kern w:val="2"/>
          <w:sz w:val="28"/>
          <w:szCs w:val="28"/>
          <w:lang w:val="en-US" w:eastAsia="zh-CN" w:bidi="ar-SA"/>
        </w:rPr>
        <w:t>97.43</w:t>
      </w:r>
      <w:r>
        <w:rPr>
          <w:rFonts w:hint="default" w:ascii="Times New Roman" w:hAnsi="Times New Roman" w:eastAsia="方正仿宋_GBK" w:cs="方正仿宋_GBK"/>
          <w:b w:val="0"/>
          <w:bCs w:val="0"/>
          <w:color w:val="auto"/>
          <w:kern w:val="2"/>
          <w:sz w:val="28"/>
          <w:szCs w:val="28"/>
          <w:lang w:val="en-US" w:eastAsia="zh-CN" w:bidi="ar-SA"/>
        </w:rPr>
        <w:t>%。详见下表。</w:t>
      </w:r>
    </w:p>
    <w:p w14:paraId="3429B6AA">
      <w:pPr>
        <w:pStyle w:val="9"/>
        <w:rPr>
          <w:rFonts w:ascii="Times New Roman" w:hAnsi="Times New Roman" w:eastAsia="仿宋" w:cs="Times New Roman"/>
          <w:color w:val="FF0000"/>
        </w:rPr>
      </w:pPr>
    </w:p>
    <w:p w14:paraId="4C2B26BC">
      <w:pPr>
        <w:widowControl/>
        <w:ind w:firstLine="480" w:firstLineChars="200"/>
        <w:rPr>
          <w:rFonts w:ascii="Times New Roman" w:hAnsi="Times New Roman" w:eastAsia="仿宋" w:cs="Times New Roman"/>
          <w:color w:val="FF0000"/>
          <w:sz w:val="24"/>
        </w:rPr>
      </w:pPr>
    </w:p>
    <w:p w14:paraId="3D13DF48">
      <w:pPr>
        <w:pStyle w:val="9"/>
        <w:rPr>
          <w:rFonts w:ascii="Times New Roman" w:hAnsi="Times New Roman" w:eastAsia="仿宋" w:cs="Times New Roman"/>
          <w:color w:val="FF0000"/>
        </w:rPr>
        <w:sectPr>
          <w:pgSz w:w="11906" w:h="16838"/>
          <w:pgMar w:top="1440" w:right="1800" w:bottom="1440" w:left="1800" w:header="851" w:footer="992" w:gutter="0"/>
          <w:pgNumType w:fmt="decimal"/>
          <w:cols w:space="425" w:num="1"/>
          <w:docGrid w:type="lines" w:linePitch="312" w:charSpace="0"/>
        </w:sectPr>
      </w:pPr>
    </w:p>
    <w:p w14:paraId="00DD5415">
      <w:pPr>
        <w:widowControl/>
        <w:jc w:val="center"/>
        <w:rPr>
          <w:rFonts w:ascii="Times New Roman" w:hAnsi="Times New Roman" w:eastAsia="仿宋" w:cs="Times New Roman"/>
          <w:color w:val="auto"/>
          <w:sz w:val="24"/>
          <w:szCs w:val="24"/>
        </w:rPr>
      </w:pPr>
      <w:r>
        <w:rPr>
          <w:rFonts w:ascii="Times New Roman" w:hAnsi="Times New Roman" w:eastAsia="仿宋" w:cs="Times New Roman"/>
          <w:b/>
          <w:bCs/>
          <w:color w:val="auto"/>
          <w:sz w:val="24"/>
          <w:szCs w:val="24"/>
        </w:rPr>
        <w:t>表4.6.1</w:t>
      </w:r>
      <w:r>
        <w:rPr>
          <w:rFonts w:hint="eastAsia" w:ascii="Times New Roman" w:hAnsi="Times New Roman" w:eastAsia="仿宋" w:cs="Times New Roman"/>
          <w:b/>
          <w:bCs/>
          <w:color w:val="auto"/>
          <w:sz w:val="24"/>
          <w:szCs w:val="24"/>
          <w:lang w:eastAsia="zh-CN"/>
        </w:rPr>
        <w:t>新平县</w:t>
      </w:r>
      <w:r>
        <w:rPr>
          <w:rFonts w:ascii="Times New Roman" w:hAnsi="Times New Roman" w:eastAsia="仿宋" w:cs="Times New Roman"/>
          <w:b/>
          <w:bCs/>
          <w:color w:val="auto"/>
          <w:sz w:val="24"/>
          <w:szCs w:val="24"/>
        </w:rPr>
        <w:t>国家、省级生态文明建设示范区指标现状表</w:t>
      </w:r>
    </w:p>
    <w:tbl>
      <w:tblPr>
        <w:tblStyle w:val="25"/>
        <w:tblW w:w="52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1"/>
        <w:gridCol w:w="629"/>
        <w:gridCol w:w="302"/>
        <w:gridCol w:w="1006"/>
        <w:gridCol w:w="13"/>
        <w:gridCol w:w="262"/>
        <w:gridCol w:w="727"/>
        <w:gridCol w:w="568"/>
        <w:gridCol w:w="952"/>
        <w:gridCol w:w="955"/>
        <w:gridCol w:w="949"/>
        <w:gridCol w:w="1088"/>
        <w:gridCol w:w="1070"/>
        <w:gridCol w:w="1129"/>
        <w:gridCol w:w="1058"/>
        <w:gridCol w:w="3777"/>
      </w:tblGrid>
      <w:tr w14:paraId="776CE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105" w:type="pct"/>
            <w:vMerge w:val="restart"/>
            <w:noWrap w:val="0"/>
            <w:vAlign w:val="center"/>
          </w:tcPr>
          <w:p w14:paraId="486FBC38">
            <w:pPr>
              <w:spacing w:line="26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领域</w:t>
            </w:r>
          </w:p>
        </w:tc>
        <w:tc>
          <w:tcPr>
            <w:tcW w:w="212" w:type="pct"/>
            <w:vMerge w:val="restart"/>
            <w:noWrap w:val="0"/>
            <w:vAlign w:val="center"/>
          </w:tcPr>
          <w:p w14:paraId="3AF82FAD">
            <w:pPr>
              <w:spacing w:line="26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任务</w:t>
            </w:r>
          </w:p>
        </w:tc>
        <w:tc>
          <w:tcPr>
            <w:tcW w:w="102" w:type="pct"/>
            <w:vMerge w:val="restart"/>
            <w:noWrap w:val="0"/>
            <w:vAlign w:val="center"/>
          </w:tcPr>
          <w:p w14:paraId="1458A109">
            <w:pPr>
              <w:spacing w:line="26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序号</w:t>
            </w:r>
          </w:p>
        </w:tc>
        <w:tc>
          <w:tcPr>
            <w:tcW w:w="678" w:type="pct"/>
            <w:gridSpan w:val="4"/>
            <w:vMerge w:val="restart"/>
            <w:noWrap w:val="0"/>
            <w:vAlign w:val="center"/>
          </w:tcPr>
          <w:p w14:paraId="58D514F2">
            <w:pPr>
              <w:spacing w:line="26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指标名称</w:t>
            </w:r>
          </w:p>
        </w:tc>
        <w:tc>
          <w:tcPr>
            <w:tcW w:w="192" w:type="pct"/>
            <w:vMerge w:val="restart"/>
            <w:noWrap w:val="0"/>
            <w:vAlign w:val="center"/>
          </w:tcPr>
          <w:p w14:paraId="19EF45CA">
            <w:pPr>
              <w:spacing w:line="26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单位</w:t>
            </w:r>
          </w:p>
        </w:tc>
        <w:tc>
          <w:tcPr>
            <w:tcW w:w="644" w:type="pct"/>
            <w:gridSpan w:val="2"/>
            <w:noWrap w:val="0"/>
            <w:vAlign w:val="center"/>
          </w:tcPr>
          <w:p w14:paraId="7F453B8E">
            <w:pPr>
              <w:spacing w:line="26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指标值</w:t>
            </w:r>
          </w:p>
        </w:tc>
        <w:tc>
          <w:tcPr>
            <w:tcW w:w="1788" w:type="pct"/>
            <w:gridSpan w:val="5"/>
            <w:noWrap w:val="0"/>
            <w:vAlign w:val="center"/>
          </w:tcPr>
          <w:p w14:paraId="38BFA574">
            <w:pPr>
              <w:spacing w:line="26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指标完成情况</w:t>
            </w:r>
          </w:p>
        </w:tc>
        <w:tc>
          <w:tcPr>
            <w:tcW w:w="1276" w:type="pct"/>
            <w:vMerge w:val="restart"/>
            <w:noWrap w:val="0"/>
            <w:vAlign w:val="center"/>
          </w:tcPr>
          <w:p w14:paraId="5268A6FE">
            <w:pPr>
              <w:spacing w:line="26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数据来源、计算过程</w:t>
            </w:r>
          </w:p>
        </w:tc>
      </w:tr>
      <w:tr w14:paraId="432D2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105" w:type="pct"/>
            <w:vMerge w:val="continue"/>
            <w:noWrap w:val="0"/>
            <w:vAlign w:val="center"/>
          </w:tcPr>
          <w:p w14:paraId="1548CBDF">
            <w:pPr>
              <w:spacing w:line="260" w:lineRule="exact"/>
              <w:jc w:val="center"/>
              <w:rPr>
                <w:rFonts w:hint="default" w:ascii="Times New Roman" w:hAnsi="Times New Roman" w:eastAsia="宋体" w:cs="Times New Roman"/>
                <w:b/>
                <w:color w:val="auto"/>
                <w:sz w:val="21"/>
                <w:szCs w:val="21"/>
              </w:rPr>
            </w:pPr>
          </w:p>
        </w:tc>
        <w:tc>
          <w:tcPr>
            <w:tcW w:w="212" w:type="pct"/>
            <w:vMerge w:val="continue"/>
            <w:noWrap w:val="0"/>
            <w:vAlign w:val="center"/>
          </w:tcPr>
          <w:p w14:paraId="23F48726">
            <w:pPr>
              <w:spacing w:line="260" w:lineRule="exact"/>
              <w:jc w:val="center"/>
              <w:rPr>
                <w:rFonts w:hint="default" w:ascii="Times New Roman" w:hAnsi="Times New Roman" w:eastAsia="宋体" w:cs="Times New Roman"/>
                <w:b/>
                <w:color w:val="auto"/>
                <w:sz w:val="21"/>
                <w:szCs w:val="21"/>
              </w:rPr>
            </w:pPr>
          </w:p>
        </w:tc>
        <w:tc>
          <w:tcPr>
            <w:tcW w:w="102" w:type="pct"/>
            <w:vMerge w:val="continue"/>
            <w:noWrap w:val="0"/>
            <w:vAlign w:val="center"/>
          </w:tcPr>
          <w:p w14:paraId="4FD54F4C">
            <w:pPr>
              <w:spacing w:line="260" w:lineRule="exact"/>
              <w:jc w:val="center"/>
              <w:rPr>
                <w:rFonts w:hint="default" w:ascii="Times New Roman" w:hAnsi="Times New Roman" w:eastAsia="宋体" w:cs="Times New Roman"/>
                <w:b/>
                <w:color w:val="auto"/>
                <w:sz w:val="21"/>
                <w:szCs w:val="21"/>
              </w:rPr>
            </w:pPr>
          </w:p>
        </w:tc>
        <w:tc>
          <w:tcPr>
            <w:tcW w:w="678" w:type="pct"/>
            <w:gridSpan w:val="4"/>
            <w:vMerge w:val="continue"/>
            <w:noWrap w:val="0"/>
            <w:vAlign w:val="center"/>
          </w:tcPr>
          <w:p w14:paraId="43BF4156">
            <w:pPr>
              <w:spacing w:line="260" w:lineRule="exact"/>
              <w:jc w:val="center"/>
              <w:rPr>
                <w:rFonts w:hint="default" w:ascii="Times New Roman" w:hAnsi="Times New Roman" w:eastAsia="宋体" w:cs="Times New Roman"/>
                <w:b/>
                <w:color w:val="auto"/>
                <w:sz w:val="21"/>
                <w:szCs w:val="21"/>
              </w:rPr>
            </w:pPr>
          </w:p>
        </w:tc>
        <w:tc>
          <w:tcPr>
            <w:tcW w:w="192" w:type="pct"/>
            <w:vMerge w:val="continue"/>
            <w:noWrap w:val="0"/>
            <w:vAlign w:val="center"/>
          </w:tcPr>
          <w:p w14:paraId="40FDFD71">
            <w:pPr>
              <w:spacing w:line="260" w:lineRule="exact"/>
              <w:jc w:val="center"/>
              <w:rPr>
                <w:rFonts w:hint="default" w:ascii="Times New Roman" w:hAnsi="Times New Roman" w:eastAsia="宋体" w:cs="Times New Roman"/>
                <w:b/>
                <w:color w:val="auto"/>
                <w:sz w:val="21"/>
                <w:szCs w:val="21"/>
              </w:rPr>
            </w:pPr>
          </w:p>
        </w:tc>
        <w:tc>
          <w:tcPr>
            <w:tcW w:w="321" w:type="pct"/>
            <w:noWrap w:val="0"/>
            <w:vAlign w:val="center"/>
          </w:tcPr>
          <w:p w14:paraId="29AB14D6">
            <w:pPr>
              <w:spacing w:line="26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国家考核</w:t>
            </w:r>
          </w:p>
        </w:tc>
        <w:tc>
          <w:tcPr>
            <w:tcW w:w="322" w:type="pct"/>
            <w:noWrap w:val="0"/>
            <w:vAlign w:val="center"/>
          </w:tcPr>
          <w:p w14:paraId="14013099">
            <w:pPr>
              <w:spacing w:line="26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省级考核</w:t>
            </w:r>
          </w:p>
        </w:tc>
        <w:tc>
          <w:tcPr>
            <w:tcW w:w="320" w:type="pct"/>
            <w:noWrap w:val="0"/>
            <w:vAlign w:val="center"/>
          </w:tcPr>
          <w:p w14:paraId="7BF89BFA">
            <w:pPr>
              <w:spacing w:line="26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201</w:t>
            </w:r>
            <w:r>
              <w:rPr>
                <w:rFonts w:hint="default" w:ascii="Times New Roman" w:hAnsi="Times New Roman" w:eastAsia="宋体" w:cs="Times New Roman"/>
                <w:b/>
                <w:color w:val="auto"/>
                <w:sz w:val="21"/>
                <w:szCs w:val="21"/>
                <w:lang w:val="en-US" w:eastAsia="zh-CN"/>
              </w:rPr>
              <w:t>7</w:t>
            </w:r>
            <w:r>
              <w:rPr>
                <w:rFonts w:hint="default" w:ascii="Times New Roman" w:hAnsi="Times New Roman" w:eastAsia="宋体" w:cs="Times New Roman"/>
                <w:b/>
                <w:color w:val="auto"/>
                <w:sz w:val="21"/>
                <w:szCs w:val="21"/>
              </w:rPr>
              <w:t>年</w:t>
            </w:r>
          </w:p>
        </w:tc>
        <w:tc>
          <w:tcPr>
            <w:tcW w:w="367" w:type="pct"/>
            <w:noWrap w:val="0"/>
            <w:vAlign w:val="center"/>
          </w:tcPr>
          <w:p w14:paraId="6DE11189">
            <w:pPr>
              <w:spacing w:line="26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201</w:t>
            </w:r>
            <w:r>
              <w:rPr>
                <w:rFonts w:hint="default" w:ascii="Times New Roman" w:hAnsi="Times New Roman" w:eastAsia="宋体" w:cs="Times New Roman"/>
                <w:b/>
                <w:color w:val="auto"/>
                <w:sz w:val="21"/>
                <w:szCs w:val="21"/>
                <w:lang w:val="en-US" w:eastAsia="zh-CN"/>
              </w:rPr>
              <w:t>8</w:t>
            </w:r>
            <w:r>
              <w:rPr>
                <w:rFonts w:hint="default" w:ascii="Times New Roman" w:hAnsi="Times New Roman" w:eastAsia="宋体" w:cs="Times New Roman"/>
                <w:b/>
                <w:color w:val="auto"/>
                <w:sz w:val="21"/>
                <w:szCs w:val="21"/>
              </w:rPr>
              <w:t>年</w:t>
            </w:r>
          </w:p>
        </w:tc>
        <w:tc>
          <w:tcPr>
            <w:tcW w:w="361" w:type="pct"/>
            <w:noWrap w:val="0"/>
            <w:vAlign w:val="center"/>
          </w:tcPr>
          <w:p w14:paraId="327DA1E0">
            <w:pPr>
              <w:spacing w:line="26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201</w:t>
            </w:r>
            <w:r>
              <w:rPr>
                <w:rFonts w:hint="default" w:ascii="Times New Roman" w:hAnsi="Times New Roman" w:eastAsia="宋体" w:cs="Times New Roman"/>
                <w:b/>
                <w:color w:val="auto"/>
                <w:sz w:val="21"/>
                <w:szCs w:val="21"/>
                <w:lang w:val="en-US" w:eastAsia="zh-CN"/>
              </w:rPr>
              <w:t>9</w:t>
            </w:r>
            <w:r>
              <w:rPr>
                <w:rFonts w:hint="default" w:ascii="Times New Roman" w:hAnsi="Times New Roman" w:eastAsia="宋体" w:cs="Times New Roman"/>
                <w:b/>
                <w:color w:val="auto"/>
                <w:sz w:val="21"/>
                <w:szCs w:val="21"/>
              </w:rPr>
              <w:t>年</w:t>
            </w:r>
          </w:p>
        </w:tc>
        <w:tc>
          <w:tcPr>
            <w:tcW w:w="381" w:type="pct"/>
            <w:noWrap w:val="0"/>
            <w:vAlign w:val="center"/>
          </w:tcPr>
          <w:p w14:paraId="066FD844">
            <w:pPr>
              <w:spacing w:line="26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20</w:t>
            </w:r>
            <w:r>
              <w:rPr>
                <w:rFonts w:hint="default" w:ascii="Times New Roman" w:hAnsi="Times New Roman" w:eastAsia="宋体" w:cs="Times New Roman"/>
                <w:b/>
                <w:color w:val="auto"/>
                <w:sz w:val="21"/>
                <w:szCs w:val="21"/>
                <w:lang w:val="en-US" w:eastAsia="zh-CN"/>
              </w:rPr>
              <w:t>20</w:t>
            </w:r>
            <w:r>
              <w:rPr>
                <w:rFonts w:hint="default" w:ascii="Times New Roman" w:hAnsi="Times New Roman" w:eastAsia="宋体" w:cs="Times New Roman"/>
                <w:b/>
                <w:color w:val="auto"/>
                <w:sz w:val="21"/>
                <w:szCs w:val="21"/>
              </w:rPr>
              <w:t>年</w:t>
            </w:r>
          </w:p>
        </w:tc>
        <w:tc>
          <w:tcPr>
            <w:tcW w:w="357" w:type="pct"/>
            <w:noWrap w:val="0"/>
            <w:vAlign w:val="center"/>
          </w:tcPr>
          <w:p w14:paraId="13F58982">
            <w:pPr>
              <w:spacing w:line="26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202</w:t>
            </w:r>
            <w:r>
              <w:rPr>
                <w:rFonts w:hint="default" w:ascii="Times New Roman" w:hAnsi="Times New Roman" w:eastAsia="宋体" w:cs="Times New Roman"/>
                <w:b/>
                <w:color w:val="auto"/>
                <w:sz w:val="21"/>
                <w:szCs w:val="21"/>
                <w:lang w:val="en-US" w:eastAsia="zh-CN"/>
              </w:rPr>
              <w:t>1</w:t>
            </w:r>
            <w:r>
              <w:rPr>
                <w:rFonts w:hint="default" w:ascii="Times New Roman" w:hAnsi="Times New Roman" w:eastAsia="宋体" w:cs="Times New Roman"/>
                <w:b/>
                <w:color w:val="auto"/>
                <w:sz w:val="21"/>
                <w:szCs w:val="21"/>
              </w:rPr>
              <w:t>年</w:t>
            </w:r>
          </w:p>
        </w:tc>
        <w:tc>
          <w:tcPr>
            <w:tcW w:w="1276" w:type="pct"/>
            <w:vMerge w:val="continue"/>
            <w:noWrap w:val="0"/>
            <w:vAlign w:val="center"/>
          </w:tcPr>
          <w:p w14:paraId="55CC47BC">
            <w:pPr>
              <w:spacing w:line="260" w:lineRule="exact"/>
              <w:jc w:val="center"/>
              <w:rPr>
                <w:rFonts w:hint="default" w:ascii="Times New Roman" w:hAnsi="Times New Roman" w:eastAsia="宋体" w:cs="Times New Roman"/>
                <w:b/>
                <w:color w:val="auto"/>
                <w:sz w:val="21"/>
                <w:szCs w:val="21"/>
              </w:rPr>
            </w:pPr>
          </w:p>
        </w:tc>
      </w:tr>
      <w:tr w14:paraId="69483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94" w:hRule="atLeast"/>
          <w:jc w:val="center"/>
        </w:trPr>
        <w:tc>
          <w:tcPr>
            <w:tcW w:w="105" w:type="pct"/>
            <w:vMerge w:val="restart"/>
            <w:noWrap w:val="0"/>
            <w:vAlign w:val="center"/>
          </w:tcPr>
          <w:p w14:paraId="0C5EF70E">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生态制度</w:t>
            </w:r>
          </w:p>
        </w:tc>
        <w:tc>
          <w:tcPr>
            <w:tcW w:w="212" w:type="pct"/>
            <w:vMerge w:val="restart"/>
            <w:noWrap w:val="0"/>
            <w:vAlign w:val="center"/>
          </w:tcPr>
          <w:p w14:paraId="69BB7E68">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（一）</w:t>
            </w:r>
          </w:p>
          <w:p w14:paraId="03A0D550">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目标责任体系与制度建设</w:t>
            </w:r>
          </w:p>
        </w:tc>
        <w:tc>
          <w:tcPr>
            <w:tcW w:w="102" w:type="pct"/>
            <w:noWrap w:val="0"/>
            <w:vAlign w:val="center"/>
          </w:tcPr>
          <w:p w14:paraId="625966BA">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w:t>
            </w:r>
          </w:p>
        </w:tc>
        <w:tc>
          <w:tcPr>
            <w:tcW w:w="678" w:type="pct"/>
            <w:gridSpan w:val="4"/>
            <w:noWrap w:val="0"/>
            <w:vAlign w:val="center"/>
          </w:tcPr>
          <w:p w14:paraId="6D2EBDCF">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生态文明建设示范区规划</w:t>
            </w:r>
          </w:p>
        </w:tc>
        <w:tc>
          <w:tcPr>
            <w:tcW w:w="192" w:type="pct"/>
            <w:noWrap w:val="0"/>
            <w:vAlign w:val="center"/>
          </w:tcPr>
          <w:p w14:paraId="441AC59C">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14:paraId="0D4248B0">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制定实施</w:t>
            </w:r>
          </w:p>
        </w:tc>
        <w:tc>
          <w:tcPr>
            <w:tcW w:w="322" w:type="pct"/>
            <w:noWrap w:val="0"/>
            <w:vAlign w:val="center"/>
          </w:tcPr>
          <w:p w14:paraId="763B360F">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制定实施</w:t>
            </w:r>
          </w:p>
        </w:tc>
        <w:tc>
          <w:tcPr>
            <w:tcW w:w="320" w:type="pct"/>
            <w:noWrap w:val="0"/>
            <w:vAlign w:val="center"/>
          </w:tcPr>
          <w:p w14:paraId="4313C0C5">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制定实施</w:t>
            </w:r>
          </w:p>
        </w:tc>
        <w:tc>
          <w:tcPr>
            <w:tcW w:w="367" w:type="pct"/>
            <w:noWrap w:val="0"/>
            <w:vAlign w:val="center"/>
          </w:tcPr>
          <w:p w14:paraId="628AD405">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制定实施</w:t>
            </w:r>
          </w:p>
        </w:tc>
        <w:tc>
          <w:tcPr>
            <w:tcW w:w="361" w:type="pct"/>
            <w:noWrap w:val="0"/>
            <w:vAlign w:val="center"/>
          </w:tcPr>
          <w:p w14:paraId="644B78F8">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制定实施</w:t>
            </w:r>
          </w:p>
        </w:tc>
        <w:tc>
          <w:tcPr>
            <w:tcW w:w="381" w:type="pct"/>
            <w:noWrap w:val="0"/>
            <w:vAlign w:val="center"/>
          </w:tcPr>
          <w:p w14:paraId="3F8FA3BA">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制定实施</w:t>
            </w:r>
          </w:p>
        </w:tc>
        <w:tc>
          <w:tcPr>
            <w:tcW w:w="357" w:type="pct"/>
            <w:noWrap w:val="0"/>
            <w:vAlign w:val="center"/>
          </w:tcPr>
          <w:p w14:paraId="51D79316">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制定实施</w:t>
            </w:r>
          </w:p>
        </w:tc>
        <w:tc>
          <w:tcPr>
            <w:tcW w:w="1276" w:type="pct"/>
            <w:noWrap w:val="0"/>
            <w:vAlign w:val="center"/>
          </w:tcPr>
          <w:p w14:paraId="58A6B17E">
            <w:pPr>
              <w:spacing w:line="260" w:lineRule="exact"/>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2013年初开展了《新平彝族傣族自治县生态县建设规划（2012年</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2020年）》编制工作，并于2013年10月批准实施。201</w:t>
            </w:r>
            <w:r>
              <w:rPr>
                <w:rFonts w:hint="eastAsia" w:ascii="Times New Roman" w:hAnsi="Times New Roman" w:eastAsia="仿宋" w:cs="Times New Roman"/>
                <w:color w:val="auto"/>
                <w:sz w:val="21"/>
                <w:szCs w:val="21"/>
                <w:lang w:val="en-US" w:eastAsia="zh-CN"/>
              </w:rPr>
              <w:t>8</w:t>
            </w:r>
            <w:r>
              <w:rPr>
                <w:rFonts w:hint="default" w:ascii="Times New Roman" w:hAnsi="Times New Roman" w:eastAsia="仿宋" w:cs="Times New Roman"/>
                <w:color w:val="auto"/>
                <w:sz w:val="21"/>
                <w:szCs w:val="21"/>
                <w:lang w:val="en-US" w:eastAsia="zh-CN"/>
              </w:rPr>
              <w:t>年开展了《新平国家生态文明建设示范县规划（2017</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2020年）》编制工作，并于2019年4月印发实施。</w:t>
            </w:r>
            <w:r>
              <w:rPr>
                <w:rFonts w:hint="default" w:ascii="Times New Roman" w:hAnsi="Times New Roman" w:eastAsia="仿宋" w:cs="Times New Roman"/>
                <w:color w:val="auto"/>
                <w:sz w:val="21"/>
                <w:szCs w:val="21"/>
              </w:rPr>
              <w:t>2022年</w:t>
            </w:r>
            <w:r>
              <w:rPr>
                <w:rFonts w:hint="eastAsia" w:ascii="Times New Roman" w:hAnsi="Times New Roman" w:eastAsia="仿宋" w:cs="Times New Roman"/>
                <w:color w:val="auto"/>
                <w:sz w:val="21"/>
                <w:szCs w:val="21"/>
                <w:lang w:val="en-US" w:eastAsia="zh-CN"/>
              </w:rPr>
              <w:t>11</w:t>
            </w:r>
            <w:r>
              <w:rPr>
                <w:rFonts w:hint="default" w:ascii="Times New Roman" w:hAnsi="Times New Roman" w:eastAsia="仿宋" w:cs="Times New Roman"/>
                <w:color w:val="auto"/>
                <w:sz w:val="21"/>
                <w:szCs w:val="21"/>
              </w:rPr>
              <w:t>月启动编《</w:t>
            </w:r>
            <w:r>
              <w:rPr>
                <w:rFonts w:hint="eastAsia" w:ascii="Times New Roman" w:hAnsi="Times New Roman" w:eastAsia="仿宋" w:cs="Times New Roman"/>
                <w:color w:val="auto"/>
                <w:sz w:val="21"/>
                <w:szCs w:val="21"/>
                <w:lang w:val="en-US" w:eastAsia="zh-CN"/>
              </w:rPr>
              <w:t>新平县</w:t>
            </w:r>
            <w:r>
              <w:rPr>
                <w:rFonts w:hint="default" w:ascii="Times New Roman" w:hAnsi="Times New Roman" w:eastAsia="仿宋" w:cs="Times New Roman"/>
                <w:color w:val="auto"/>
                <w:sz w:val="21"/>
                <w:szCs w:val="21"/>
              </w:rPr>
              <w:t>生态文明建设示范区规划（20</w:t>
            </w:r>
            <w:r>
              <w:rPr>
                <w:rFonts w:hint="default" w:ascii="Times New Roman" w:hAnsi="Times New Roman" w:eastAsia="仿宋" w:cs="Times New Roman"/>
                <w:color w:val="auto"/>
                <w:sz w:val="21"/>
                <w:szCs w:val="21"/>
                <w:lang w:val="en-US" w:eastAsia="zh-CN"/>
              </w:rPr>
              <w:t>22</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eastAsia="zh-CN"/>
              </w:rPr>
              <w:t>203</w:t>
            </w:r>
            <w:r>
              <w:rPr>
                <w:rFonts w:hint="eastAsia" w:ascii="Times New Roman" w:hAnsi="Times New Roman" w:eastAsia="仿宋" w:cs="Times New Roman"/>
                <w:color w:val="auto"/>
                <w:sz w:val="21"/>
                <w:szCs w:val="21"/>
                <w:lang w:val="en-US" w:eastAsia="zh-CN"/>
              </w:rPr>
              <w:t>5</w:t>
            </w:r>
            <w:r>
              <w:rPr>
                <w:rFonts w:hint="default" w:ascii="Times New Roman" w:hAnsi="Times New Roman" w:eastAsia="仿宋" w:cs="Times New Roman"/>
                <w:color w:val="auto"/>
                <w:sz w:val="21"/>
                <w:szCs w:val="21"/>
                <w:lang w:eastAsia="zh-CN"/>
              </w:rPr>
              <w:t>年</w:t>
            </w:r>
            <w:r>
              <w:rPr>
                <w:rFonts w:hint="default" w:ascii="Times New Roman" w:hAnsi="Times New Roman" w:eastAsia="仿宋" w:cs="Times New Roman"/>
                <w:color w:val="auto"/>
                <w:sz w:val="21"/>
                <w:szCs w:val="21"/>
              </w:rPr>
              <w:t>）》制，预计202</w:t>
            </w:r>
            <w:r>
              <w:rPr>
                <w:rFonts w:hint="eastAsia" w:ascii="Times New Roman" w:hAnsi="Times New Roman" w:eastAsia="仿宋" w:cs="Times New Roman"/>
                <w:color w:val="auto"/>
                <w:sz w:val="21"/>
                <w:szCs w:val="21"/>
                <w:lang w:val="en-US" w:eastAsia="zh-CN"/>
              </w:rPr>
              <w:t>3</w:t>
            </w:r>
            <w:r>
              <w:rPr>
                <w:rFonts w:hint="default" w:ascii="Times New Roman" w:hAnsi="Times New Roman" w:eastAsia="仿宋" w:cs="Times New Roman"/>
                <w:color w:val="auto"/>
                <w:sz w:val="21"/>
                <w:szCs w:val="21"/>
              </w:rPr>
              <w:t>年完成编制，通过审查，</w:t>
            </w:r>
            <w:r>
              <w:rPr>
                <w:rFonts w:hint="eastAsia" w:ascii="Times New Roman" w:hAnsi="Times New Roman" w:eastAsia="仿宋" w:cs="Times New Roman"/>
                <w:color w:val="auto"/>
                <w:sz w:val="21"/>
                <w:szCs w:val="21"/>
                <w:lang w:val="en-US" w:eastAsia="zh-CN"/>
              </w:rPr>
              <w:t>县</w:t>
            </w:r>
            <w:r>
              <w:rPr>
                <w:rFonts w:hint="default" w:ascii="Times New Roman" w:hAnsi="Times New Roman" w:eastAsia="仿宋" w:cs="Times New Roman"/>
                <w:color w:val="auto"/>
                <w:sz w:val="21"/>
                <w:szCs w:val="21"/>
              </w:rPr>
              <w:t>人大或区政府审议后颁布实施。</w:t>
            </w:r>
          </w:p>
        </w:tc>
      </w:tr>
      <w:tr w14:paraId="4F556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14:paraId="55C78A47">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14:paraId="7265D510">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noWrap w:val="0"/>
            <w:vAlign w:val="center"/>
          </w:tcPr>
          <w:p w14:paraId="56A10A77">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2</w:t>
            </w:r>
          </w:p>
        </w:tc>
        <w:tc>
          <w:tcPr>
            <w:tcW w:w="678" w:type="pct"/>
            <w:gridSpan w:val="4"/>
            <w:noWrap w:val="0"/>
            <w:vAlign w:val="center"/>
          </w:tcPr>
          <w:p w14:paraId="7BEBB336">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党委政府对生态文明建设的安排部署、责任落实以及生态文明制度的落实情况</w:t>
            </w:r>
          </w:p>
        </w:tc>
        <w:tc>
          <w:tcPr>
            <w:tcW w:w="192" w:type="pct"/>
            <w:noWrap w:val="0"/>
            <w:vAlign w:val="center"/>
          </w:tcPr>
          <w:p w14:paraId="3DE83353">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14:paraId="62AC6EFE">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有效开展</w:t>
            </w:r>
          </w:p>
        </w:tc>
        <w:tc>
          <w:tcPr>
            <w:tcW w:w="322" w:type="pct"/>
            <w:noWrap w:val="0"/>
            <w:vAlign w:val="center"/>
          </w:tcPr>
          <w:p w14:paraId="28BA92C2">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有效开展和实施</w:t>
            </w:r>
          </w:p>
        </w:tc>
        <w:tc>
          <w:tcPr>
            <w:tcW w:w="320" w:type="pct"/>
            <w:noWrap w:val="0"/>
            <w:vAlign w:val="center"/>
          </w:tcPr>
          <w:p w14:paraId="25AE22FC">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有效开展和实施</w:t>
            </w:r>
          </w:p>
        </w:tc>
        <w:tc>
          <w:tcPr>
            <w:tcW w:w="367" w:type="pct"/>
            <w:noWrap w:val="0"/>
            <w:vAlign w:val="center"/>
          </w:tcPr>
          <w:p w14:paraId="1091A7E5">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有效开展和实施</w:t>
            </w:r>
          </w:p>
        </w:tc>
        <w:tc>
          <w:tcPr>
            <w:tcW w:w="361" w:type="pct"/>
            <w:noWrap w:val="0"/>
            <w:vAlign w:val="center"/>
          </w:tcPr>
          <w:p w14:paraId="36ECDB1C">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有效开展和实施</w:t>
            </w:r>
          </w:p>
        </w:tc>
        <w:tc>
          <w:tcPr>
            <w:tcW w:w="381" w:type="pct"/>
            <w:noWrap w:val="0"/>
            <w:vAlign w:val="center"/>
          </w:tcPr>
          <w:p w14:paraId="3B94F5DF">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有效开展和实施</w:t>
            </w:r>
          </w:p>
        </w:tc>
        <w:tc>
          <w:tcPr>
            <w:tcW w:w="357" w:type="pct"/>
            <w:noWrap w:val="0"/>
            <w:vAlign w:val="center"/>
          </w:tcPr>
          <w:p w14:paraId="78ACB6A3">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有效开展和实施</w:t>
            </w:r>
          </w:p>
        </w:tc>
        <w:tc>
          <w:tcPr>
            <w:tcW w:w="1276" w:type="pct"/>
            <w:noWrap w:val="0"/>
            <w:vAlign w:val="center"/>
          </w:tcPr>
          <w:p w14:paraId="56A71718">
            <w:pPr>
              <w:spacing w:line="260" w:lineRule="exact"/>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根据</w:t>
            </w:r>
            <w:r>
              <w:rPr>
                <w:rFonts w:hint="eastAsia" w:ascii="Times New Roman" w:hAnsi="Times New Roman" w:eastAsia="仿宋" w:cs="Times New Roman"/>
                <w:color w:val="auto"/>
                <w:sz w:val="21"/>
                <w:szCs w:val="21"/>
                <w:lang w:val="en-US" w:eastAsia="zh-CN"/>
              </w:rPr>
              <w:t>县</w:t>
            </w:r>
            <w:r>
              <w:rPr>
                <w:rFonts w:hint="default" w:ascii="Times New Roman" w:hAnsi="Times New Roman" w:eastAsia="仿宋" w:cs="Times New Roman"/>
                <w:color w:val="auto"/>
                <w:sz w:val="21"/>
                <w:szCs w:val="21"/>
              </w:rPr>
              <w:t>委常委会、政府常务会会议纪要，党委政府有效宣传生态文明建设精神、部署生态文明建设重大目标任务。</w:t>
            </w:r>
          </w:p>
        </w:tc>
      </w:tr>
      <w:tr w14:paraId="6E221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5" w:type="pct"/>
            <w:vMerge w:val="continue"/>
            <w:noWrap w:val="0"/>
            <w:vAlign w:val="center"/>
          </w:tcPr>
          <w:p w14:paraId="7E167A43">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14:paraId="04A22788">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noWrap w:val="0"/>
            <w:vAlign w:val="center"/>
          </w:tcPr>
          <w:p w14:paraId="414A2ECF">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3</w:t>
            </w:r>
          </w:p>
        </w:tc>
        <w:tc>
          <w:tcPr>
            <w:tcW w:w="678" w:type="pct"/>
            <w:gridSpan w:val="4"/>
            <w:noWrap w:val="0"/>
            <w:vAlign w:val="center"/>
          </w:tcPr>
          <w:p w14:paraId="70EE6DA3">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生态文明建设工作占党政实绩考核的比例</w:t>
            </w:r>
          </w:p>
        </w:tc>
        <w:tc>
          <w:tcPr>
            <w:tcW w:w="192" w:type="pct"/>
            <w:noWrap w:val="0"/>
            <w:vAlign w:val="center"/>
          </w:tcPr>
          <w:p w14:paraId="4088819E">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14:paraId="5AED378D">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≥20</w:t>
            </w:r>
          </w:p>
        </w:tc>
        <w:tc>
          <w:tcPr>
            <w:tcW w:w="322" w:type="pct"/>
            <w:noWrap w:val="0"/>
            <w:vAlign w:val="center"/>
          </w:tcPr>
          <w:p w14:paraId="315337E2">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≥20</w:t>
            </w:r>
          </w:p>
        </w:tc>
        <w:tc>
          <w:tcPr>
            <w:tcW w:w="320" w:type="pct"/>
            <w:noWrap w:val="0"/>
            <w:vAlign w:val="center"/>
          </w:tcPr>
          <w:p w14:paraId="768B5D54">
            <w:pPr>
              <w:spacing w:line="260" w:lineRule="exact"/>
              <w:jc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7" w:type="pct"/>
            <w:noWrap w:val="0"/>
            <w:vAlign w:val="center"/>
          </w:tcPr>
          <w:p w14:paraId="45BA69DB">
            <w:pPr>
              <w:spacing w:line="260" w:lineRule="exact"/>
              <w:jc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1" w:type="pct"/>
            <w:noWrap w:val="0"/>
            <w:vAlign w:val="center"/>
          </w:tcPr>
          <w:p w14:paraId="4BC9B884">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20.5</w:t>
            </w:r>
          </w:p>
        </w:tc>
        <w:tc>
          <w:tcPr>
            <w:tcW w:w="381" w:type="pct"/>
            <w:noWrap w:val="0"/>
            <w:vAlign w:val="center"/>
          </w:tcPr>
          <w:p w14:paraId="7F882C53">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21</w:t>
            </w:r>
          </w:p>
        </w:tc>
        <w:tc>
          <w:tcPr>
            <w:tcW w:w="357" w:type="pct"/>
            <w:noWrap w:val="0"/>
            <w:vAlign w:val="center"/>
          </w:tcPr>
          <w:p w14:paraId="2CC40604">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21.4</w:t>
            </w:r>
          </w:p>
        </w:tc>
        <w:tc>
          <w:tcPr>
            <w:tcW w:w="1276" w:type="pct"/>
            <w:noWrap w:val="0"/>
            <w:vAlign w:val="center"/>
          </w:tcPr>
          <w:p w14:paraId="0346554F">
            <w:pPr>
              <w:spacing w:line="260" w:lineRule="exact"/>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根据201</w:t>
            </w:r>
            <w:r>
              <w:rPr>
                <w:rFonts w:hint="eastAsia" w:ascii="Times New Roman" w:hAnsi="Times New Roman" w:eastAsia="仿宋" w:cs="Times New Roman"/>
                <w:color w:val="auto"/>
                <w:sz w:val="21"/>
                <w:szCs w:val="21"/>
                <w:lang w:val="en-US" w:eastAsia="zh-CN"/>
              </w:rPr>
              <w:t>9—</w:t>
            </w:r>
            <w:r>
              <w:rPr>
                <w:rFonts w:hint="default" w:ascii="Times New Roman" w:hAnsi="Times New Roman" w:eastAsia="仿宋" w:cs="Times New Roman"/>
                <w:color w:val="auto"/>
                <w:sz w:val="21"/>
                <w:szCs w:val="21"/>
              </w:rPr>
              <w:t>202</w:t>
            </w:r>
            <w:r>
              <w:rPr>
                <w:rFonts w:hint="eastAsia" w:ascii="Times New Roman" w:hAnsi="Times New Roman" w:eastAsia="仿宋" w:cs="Times New Roman"/>
                <w:color w:val="auto"/>
                <w:sz w:val="21"/>
                <w:szCs w:val="21"/>
                <w:lang w:val="en-US" w:eastAsia="zh-CN"/>
              </w:rPr>
              <w:t>1</w:t>
            </w:r>
            <w:r>
              <w:rPr>
                <w:rFonts w:hint="default" w:ascii="Times New Roman" w:hAnsi="Times New Roman" w:eastAsia="仿宋" w:cs="Times New Roman"/>
                <w:color w:val="auto"/>
                <w:sz w:val="21"/>
                <w:szCs w:val="21"/>
              </w:rPr>
              <w:t>年中共</w:t>
            </w:r>
            <w:r>
              <w:rPr>
                <w:rFonts w:hint="eastAsia" w:ascii="Times New Roman" w:hAnsi="Times New Roman" w:eastAsia="仿宋" w:cs="Times New Roman"/>
                <w:color w:val="auto"/>
                <w:sz w:val="21"/>
                <w:szCs w:val="21"/>
                <w:lang w:val="en-US" w:eastAsia="zh-CN"/>
              </w:rPr>
              <w:t>新平县</w:t>
            </w:r>
            <w:r>
              <w:rPr>
                <w:rFonts w:hint="default" w:ascii="Times New Roman" w:hAnsi="Times New Roman" w:eastAsia="仿宋" w:cs="Times New Roman"/>
                <w:color w:val="auto"/>
                <w:sz w:val="21"/>
                <w:szCs w:val="21"/>
              </w:rPr>
              <w:t>委</w:t>
            </w:r>
            <w:r>
              <w:rPr>
                <w:rFonts w:hint="eastAsia" w:ascii="Times New Roman" w:hAnsi="Times New Roman" w:eastAsia="仿宋" w:cs="Times New Roman"/>
                <w:color w:val="auto"/>
                <w:sz w:val="21"/>
                <w:szCs w:val="21"/>
                <w:lang w:val="en-US" w:eastAsia="zh-CN"/>
              </w:rPr>
              <w:t xml:space="preserve"> 县</w:t>
            </w:r>
            <w:r>
              <w:rPr>
                <w:rFonts w:hint="default" w:ascii="Times New Roman" w:hAnsi="Times New Roman" w:eastAsia="仿宋" w:cs="Times New Roman"/>
                <w:color w:val="auto"/>
                <w:sz w:val="21"/>
                <w:szCs w:val="21"/>
              </w:rPr>
              <w:t>人民政府印发的</w:t>
            </w:r>
            <w:r>
              <w:rPr>
                <w:rFonts w:hint="eastAsia" w:ascii="Times New Roman" w:hAnsi="Times New Roman" w:eastAsia="仿宋" w:cs="Times New Roman"/>
                <w:color w:val="auto"/>
                <w:sz w:val="21"/>
                <w:szCs w:val="21"/>
                <w:lang w:val="en-US" w:eastAsia="zh-CN"/>
              </w:rPr>
              <w:t>新平县</w:t>
            </w:r>
            <w:r>
              <w:rPr>
                <w:rFonts w:hint="default" w:ascii="Times New Roman" w:hAnsi="Times New Roman" w:eastAsia="仿宋" w:cs="Times New Roman"/>
                <w:color w:val="auto"/>
                <w:sz w:val="21"/>
                <w:szCs w:val="21"/>
              </w:rPr>
              <w:t>综合考核办法及实施细则中生态文明建设工作考核分值占比计算所得。</w:t>
            </w:r>
          </w:p>
        </w:tc>
      </w:tr>
      <w:tr w14:paraId="6E177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14:paraId="2C7A28F4">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14:paraId="339D197C">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noWrap w:val="0"/>
            <w:vAlign w:val="center"/>
          </w:tcPr>
          <w:p w14:paraId="3FBC979E">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4</w:t>
            </w:r>
          </w:p>
        </w:tc>
        <w:tc>
          <w:tcPr>
            <w:tcW w:w="678" w:type="pct"/>
            <w:gridSpan w:val="4"/>
            <w:noWrap w:val="0"/>
            <w:vAlign w:val="center"/>
          </w:tcPr>
          <w:p w14:paraId="354468ED">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河（湖）长制</w:t>
            </w:r>
          </w:p>
        </w:tc>
        <w:tc>
          <w:tcPr>
            <w:tcW w:w="192" w:type="pct"/>
            <w:noWrap w:val="0"/>
            <w:vAlign w:val="center"/>
          </w:tcPr>
          <w:p w14:paraId="5F02F442">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14:paraId="4BB39B77">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全面实施</w:t>
            </w:r>
          </w:p>
        </w:tc>
        <w:tc>
          <w:tcPr>
            <w:tcW w:w="322" w:type="pct"/>
            <w:noWrap w:val="0"/>
            <w:vAlign w:val="center"/>
          </w:tcPr>
          <w:p w14:paraId="31B47390">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全面实施</w:t>
            </w:r>
          </w:p>
        </w:tc>
        <w:tc>
          <w:tcPr>
            <w:tcW w:w="320" w:type="pct"/>
            <w:noWrap w:val="0"/>
            <w:vAlign w:val="center"/>
          </w:tcPr>
          <w:p w14:paraId="4B418EEE">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全面实施</w:t>
            </w:r>
          </w:p>
        </w:tc>
        <w:tc>
          <w:tcPr>
            <w:tcW w:w="367" w:type="pct"/>
            <w:noWrap w:val="0"/>
            <w:vAlign w:val="center"/>
          </w:tcPr>
          <w:p w14:paraId="3B60C2CB">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全面实施</w:t>
            </w:r>
          </w:p>
        </w:tc>
        <w:tc>
          <w:tcPr>
            <w:tcW w:w="361" w:type="pct"/>
            <w:noWrap w:val="0"/>
            <w:vAlign w:val="center"/>
          </w:tcPr>
          <w:p w14:paraId="64DCB2E2">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全面实施</w:t>
            </w:r>
          </w:p>
        </w:tc>
        <w:tc>
          <w:tcPr>
            <w:tcW w:w="381" w:type="pct"/>
            <w:noWrap w:val="0"/>
            <w:vAlign w:val="center"/>
          </w:tcPr>
          <w:p w14:paraId="197377F1">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全面实施</w:t>
            </w:r>
          </w:p>
        </w:tc>
        <w:tc>
          <w:tcPr>
            <w:tcW w:w="357" w:type="pct"/>
            <w:noWrap w:val="0"/>
            <w:vAlign w:val="center"/>
          </w:tcPr>
          <w:p w14:paraId="401D1138">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全面实施</w:t>
            </w:r>
          </w:p>
        </w:tc>
        <w:tc>
          <w:tcPr>
            <w:tcW w:w="1276" w:type="pct"/>
            <w:noWrap w:val="0"/>
            <w:vAlign w:val="center"/>
          </w:tcPr>
          <w:p w14:paraId="2E6F993C">
            <w:pPr>
              <w:spacing w:line="260" w:lineRule="exact"/>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2017年制定并印发《</w:t>
            </w:r>
            <w:r>
              <w:rPr>
                <w:rFonts w:hint="eastAsia" w:ascii="Times New Roman" w:hAnsi="Times New Roman" w:eastAsia="仿宋" w:cs="Times New Roman"/>
                <w:color w:val="auto"/>
                <w:sz w:val="21"/>
                <w:szCs w:val="21"/>
                <w:lang w:val="en-US" w:eastAsia="zh-CN"/>
              </w:rPr>
              <w:t>新平县</w:t>
            </w:r>
            <w:r>
              <w:rPr>
                <w:rFonts w:hint="default" w:ascii="Times New Roman" w:hAnsi="Times New Roman" w:eastAsia="仿宋" w:cs="Times New Roman"/>
                <w:color w:val="auto"/>
                <w:sz w:val="21"/>
                <w:szCs w:val="21"/>
              </w:rPr>
              <w:t>全面推行河长制工作实施方案》，</w:t>
            </w:r>
            <w:r>
              <w:rPr>
                <w:rFonts w:hint="eastAsia" w:ascii="Times New Roman" w:hAnsi="Times New Roman" w:eastAsia="仿宋" w:cs="Times New Roman"/>
                <w:color w:val="auto"/>
                <w:sz w:val="21"/>
                <w:szCs w:val="21"/>
                <w:lang w:val="en-US" w:eastAsia="zh-CN"/>
              </w:rPr>
              <w:t>12</w:t>
            </w:r>
            <w:r>
              <w:rPr>
                <w:rFonts w:hint="default" w:ascii="Times New Roman" w:hAnsi="Times New Roman" w:eastAsia="仿宋" w:cs="Times New Roman"/>
                <w:color w:val="auto"/>
                <w:sz w:val="21"/>
                <w:szCs w:val="21"/>
              </w:rPr>
              <w:t>个乡镇（街道）</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全部出台了实施方案，全面建立了</w:t>
            </w:r>
            <w:r>
              <w:rPr>
                <w:rFonts w:hint="eastAsia" w:ascii="Times New Roman" w:hAnsi="Times New Roman" w:eastAsia="仿宋" w:cs="Times New Roman"/>
                <w:color w:val="auto"/>
                <w:sz w:val="21"/>
                <w:szCs w:val="21"/>
                <w:lang w:val="en-US" w:eastAsia="zh-CN"/>
              </w:rPr>
              <w:t>县</w:t>
            </w:r>
            <w:r>
              <w:rPr>
                <w:rFonts w:hint="default" w:ascii="Times New Roman" w:hAnsi="Times New Roman" w:eastAsia="仿宋" w:cs="Times New Roman"/>
                <w:color w:val="auto"/>
                <w:sz w:val="21"/>
                <w:szCs w:val="21"/>
              </w:rPr>
              <w:t>、乡、村三级河长及</w:t>
            </w:r>
            <w:r>
              <w:rPr>
                <w:rFonts w:hint="eastAsia" w:ascii="Times New Roman" w:hAnsi="Times New Roman" w:eastAsia="仿宋" w:cs="Times New Roman"/>
                <w:color w:val="auto"/>
                <w:sz w:val="21"/>
                <w:szCs w:val="21"/>
                <w:lang w:val="en-US" w:eastAsia="zh-CN"/>
              </w:rPr>
              <w:t>县</w:t>
            </w:r>
            <w:r>
              <w:rPr>
                <w:rFonts w:hint="default" w:ascii="Times New Roman" w:hAnsi="Times New Roman" w:eastAsia="仿宋" w:cs="Times New Roman"/>
                <w:color w:val="auto"/>
                <w:sz w:val="21"/>
                <w:szCs w:val="21"/>
              </w:rPr>
              <w:t>、乡、村、组四级治理体系；201</w:t>
            </w:r>
            <w:r>
              <w:rPr>
                <w:rFonts w:hint="eastAsia" w:ascii="Times New Roman" w:hAnsi="Times New Roman" w:eastAsia="仿宋" w:cs="Times New Roman"/>
                <w:color w:val="auto"/>
                <w:sz w:val="21"/>
                <w:szCs w:val="21"/>
                <w:lang w:val="en-US" w:eastAsia="zh-CN"/>
              </w:rPr>
              <w:t>8—</w:t>
            </w:r>
            <w:r>
              <w:rPr>
                <w:rFonts w:hint="default" w:ascii="Times New Roman" w:hAnsi="Times New Roman" w:eastAsia="仿宋" w:cs="Times New Roman"/>
                <w:color w:val="auto"/>
                <w:sz w:val="21"/>
                <w:szCs w:val="21"/>
              </w:rPr>
              <w:t>202</w:t>
            </w:r>
            <w:r>
              <w:rPr>
                <w:rFonts w:hint="eastAsia" w:ascii="Times New Roman" w:hAnsi="Times New Roman" w:eastAsia="仿宋" w:cs="Times New Roman"/>
                <w:color w:val="auto"/>
                <w:sz w:val="21"/>
                <w:szCs w:val="21"/>
                <w:lang w:val="en-US" w:eastAsia="zh-CN"/>
              </w:rPr>
              <w:t>1</w:t>
            </w:r>
            <w:r>
              <w:rPr>
                <w:rFonts w:hint="default" w:ascii="Times New Roman" w:hAnsi="Times New Roman" w:eastAsia="仿宋" w:cs="Times New Roman"/>
                <w:color w:val="auto"/>
                <w:sz w:val="21"/>
                <w:szCs w:val="21"/>
              </w:rPr>
              <w:t>年年先后出台了</w:t>
            </w:r>
            <w:r>
              <w:rPr>
                <w:rFonts w:hint="eastAsia" w:ascii="Times New Roman" w:hAnsi="Times New Roman" w:eastAsia="仿宋" w:cs="Times New Roman"/>
                <w:color w:val="auto"/>
                <w:sz w:val="21"/>
                <w:szCs w:val="21"/>
                <w:lang w:eastAsia="zh-CN"/>
              </w:rPr>
              <w:t>《新平县全面贯彻落实湖长制的实施方案》</w:t>
            </w:r>
            <w:r>
              <w:rPr>
                <w:rFonts w:hint="default" w:ascii="Times New Roman" w:hAnsi="Times New Roman" w:eastAsia="仿宋" w:cs="Times New Roman"/>
                <w:color w:val="auto"/>
                <w:sz w:val="21"/>
                <w:szCs w:val="21"/>
              </w:rPr>
              <w:t>《新平县全面推行河（湖）长制工作考核实施方案的通知》，《新平县红河水系保护修复攻坚战</w:t>
            </w:r>
          </w:p>
          <w:p w14:paraId="643B23E8">
            <w:pPr>
              <w:spacing w:line="260" w:lineRule="exact"/>
              <w:jc w:val="left"/>
              <w:rPr>
                <w:rFonts w:hint="eastAsia"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实施方案》</w:t>
            </w:r>
            <w:r>
              <w:rPr>
                <w:rFonts w:hint="eastAsia" w:ascii="Times New Roman" w:hAnsi="Times New Roman" w:eastAsia="仿宋" w:cs="Times New Roman"/>
                <w:color w:val="auto"/>
                <w:sz w:val="21"/>
                <w:szCs w:val="21"/>
                <w:lang w:eastAsia="zh-CN"/>
              </w:rPr>
              <w:t>。</w:t>
            </w:r>
          </w:p>
        </w:tc>
      </w:tr>
      <w:tr w14:paraId="4478D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14:paraId="7B25AB9C">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14:paraId="424505B8">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noWrap w:val="0"/>
            <w:vAlign w:val="center"/>
          </w:tcPr>
          <w:p w14:paraId="084F099E">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5</w:t>
            </w:r>
          </w:p>
        </w:tc>
        <w:tc>
          <w:tcPr>
            <w:tcW w:w="678" w:type="pct"/>
            <w:gridSpan w:val="4"/>
            <w:noWrap w:val="0"/>
            <w:vAlign w:val="center"/>
          </w:tcPr>
          <w:p w14:paraId="38C77C24">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林长制</w:t>
            </w:r>
          </w:p>
        </w:tc>
        <w:tc>
          <w:tcPr>
            <w:tcW w:w="192" w:type="pct"/>
            <w:noWrap w:val="0"/>
            <w:vAlign w:val="center"/>
          </w:tcPr>
          <w:p w14:paraId="009E5886">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14:paraId="64A0CE40">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2" w:type="pct"/>
            <w:noWrap w:val="0"/>
            <w:vAlign w:val="center"/>
          </w:tcPr>
          <w:p w14:paraId="6C6F6C76">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全面实施</w:t>
            </w:r>
          </w:p>
        </w:tc>
        <w:tc>
          <w:tcPr>
            <w:tcW w:w="320" w:type="pct"/>
            <w:noWrap w:val="0"/>
            <w:vAlign w:val="center"/>
          </w:tcPr>
          <w:p w14:paraId="34CD1ECB">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67" w:type="pct"/>
            <w:noWrap w:val="0"/>
            <w:vAlign w:val="center"/>
          </w:tcPr>
          <w:p w14:paraId="6D5B019A">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61" w:type="pct"/>
            <w:noWrap w:val="0"/>
            <w:vAlign w:val="center"/>
          </w:tcPr>
          <w:p w14:paraId="7E2B35AD">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81" w:type="pct"/>
            <w:noWrap w:val="0"/>
            <w:vAlign w:val="center"/>
          </w:tcPr>
          <w:p w14:paraId="09F33C35">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57" w:type="pct"/>
            <w:noWrap w:val="0"/>
            <w:vAlign w:val="center"/>
          </w:tcPr>
          <w:p w14:paraId="492FFE28">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全面实施</w:t>
            </w:r>
          </w:p>
        </w:tc>
        <w:tc>
          <w:tcPr>
            <w:tcW w:w="1276" w:type="pct"/>
            <w:noWrap w:val="0"/>
            <w:vAlign w:val="center"/>
          </w:tcPr>
          <w:p w14:paraId="14530874">
            <w:pPr>
              <w:spacing w:line="260" w:lineRule="exact"/>
              <w:jc w:val="left"/>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2021年</w:t>
            </w:r>
            <w:r>
              <w:rPr>
                <w:rFonts w:hint="eastAsia" w:ascii="Times New Roman" w:hAnsi="Times New Roman" w:eastAsia="仿宋" w:cs="Times New Roman"/>
                <w:color w:val="auto"/>
                <w:sz w:val="21"/>
                <w:szCs w:val="21"/>
                <w:lang w:val="en-US" w:eastAsia="zh-CN"/>
              </w:rPr>
              <w:t>新平县</w:t>
            </w:r>
            <w:r>
              <w:rPr>
                <w:rFonts w:hint="default" w:ascii="Times New Roman" w:hAnsi="Times New Roman" w:eastAsia="仿宋" w:cs="Times New Roman"/>
                <w:color w:val="auto"/>
                <w:sz w:val="21"/>
                <w:szCs w:val="21"/>
                <w:lang w:val="en-US" w:eastAsia="zh-CN"/>
              </w:rPr>
              <w:t>制定并印发《新平彝族傣族自治县全面推行林长制的实施方案》，启动实施林长制改革，成立了林长制办公室，全面建立</w:t>
            </w:r>
            <w:r>
              <w:rPr>
                <w:rFonts w:hint="eastAsia" w:ascii="Times New Roman" w:hAnsi="Times New Roman" w:eastAsia="仿宋" w:cs="Times New Roman"/>
                <w:color w:val="auto"/>
                <w:sz w:val="21"/>
                <w:szCs w:val="21"/>
                <w:lang w:val="en-US" w:eastAsia="zh-CN"/>
              </w:rPr>
              <w:t>县</w:t>
            </w:r>
            <w:r>
              <w:rPr>
                <w:rFonts w:hint="default" w:ascii="Times New Roman" w:hAnsi="Times New Roman" w:eastAsia="仿宋" w:cs="Times New Roman"/>
                <w:color w:val="auto"/>
                <w:sz w:val="21"/>
                <w:szCs w:val="21"/>
                <w:lang w:val="en-US" w:eastAsia="zh-CN"/>
              </w:rPr>
              <w:t>、乡（镇、街道）、村（社区）三级林长体系，形成党政同责、责任明确、部门协同、齐抓共管、任务明确的林长制工作格局，建立相关制度框架体系</w:t>
            </w:r>
            <w:r>
              <w:rPr>
                <w:rFonts w:hint="eastAsia" w:ascii="Times New Roman" w:hAnsi="Times New Roman" w:eastAsia="仿宋" w:cs="Times New Roman"/>
                <w:color w:val="auto"/>
                <w:sz w:val="21"/>
                <w:szCs w:val="21"/>
                <w:lang w:val="en-US" w:eastAsia="zh-CN"/>
              </w:rPr>
              <w:t>。</w:t>
            </w:r>
          </w:p>
        </w:tc>
      </w:tr>
      <w:tr w14:paraId="0A5B7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14:paraId="58B8AA3F">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14:paraId="57A5B58F">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noWrap w:val="0"/>
            <w:vAlign w:val="center"/>
          </w:tcPr>
          <w:p w14:paraId="23517E0C">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6</w:t>
            </w:r>
          </w:p>
        </w:tc>
        <w:tc>
          <w:tcPr>
            <w:tcW w:w="678" w:type="pct"/>
            <w:gridSpan w:val="4"/>
            <w:noWrap w:val="0"/>
            <w:vAlign w:val="center"/>
          </w:tcPr>
          <w:p w14:paraId="3CDAA929">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生态环境信息公开率</w:t>
            </w:r>
          </w:p>
        </w:tc>
        <w:tc>
          <w:tcPr>
            <w:tcW w:w="192" w:type="pct"/>
            <w:noWrap w:val="0"/>
            <w:vAlign w:val="center"/>
          </w:tcPr>
          <w:p w14:paraId="4D71BC15">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14:paraId="2170A760">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22" w:type="pct"/>
            <w:noWrap w:val="0"/>
            <w:vAlign w:val="center"/>
          </w:tcPr>
          <w:p w14:paraId="72870B61">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20" w:type="pct"/>
            <w:noWrap w:val="0"/>
            <w:vAlign w:val="center"/>
          </w:tcPr>
          <w:p w14:paraId="2A65C27A">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67" w:type="pct"/>
            <w:noWrap w:val="0"/>
            <w:vAlign w:val="center"/>
          </w:tcPr>
          <w:p w14:paraId="2264FB35">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61" w:type="pct"/>
            <w:noWrap w:val="0"/>
            <w:vAlign w:val="center"/>
          </w:tcPr>
          <w:p w14:paraId="504C5141">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81" w:type="pct"/>
            <w:noWrap w:val="0"/>
            <w:vAlign w:val="center"/>
          </w:tcPr>
          <w:p w14:paraId="7A70DD49">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57" w:type="pct"/>
            <w:noWrap w:val="0"/>
            <w:vAlign w:val="center"/>
          </w:tcPr>
          <w:p w14:paraId="5C978501">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1276" w:type="pct"/>
            <w:noWrap w:val="0"/>
            <w:vAlign w:val="center"/>
          </w:tcPr>
          <w:p w14:paraId="208F1B89">
            <w:pPr>
              <w:spacing w:line="260" w:lineRule="exact"/>
              <w:jc w:val="left"/>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政府有关部门依托</w:t>
            </w:r>
            <w:r>
              <w:rPr>
                <w:rFonts w:hint="eastAsia" w:ascii="Times New Roman" w:hAnsi="Times New Roman" w:eastAsia="仿宋" w:cs="Times New Roman"/>
                <w:color w:val="auto"/>
                <w:sz w:val="21"/>
                <w:szCs w:val="21"/>
                <w:lang w:val="en-US" w:eastAsia="zh-CN"/>
              </w:rPr>
              <w:t>新平县</w:t>
            </w:r>
            <w:r>
              <w:rPr>
                <w:rFonts w:hint="default" w:ascii="Times New Roman" w:hAnsi="Times New Roman" w:eastAsia="仿宋" w:cs="Times New Roman"/>
                <w:color w:val="auto"/>
                <w:sz w:val="21"/>
                <w:szCs w:val="21"/>
                <w:lang w:val="en-US" w:eastAsia="zh-CN"/>
              </w:rPr>
              <w:t>人民政府、</w:t>
            </w:r>
            <w:r>
              <w:rPr>
                <w:rFonts w:hint="eastAsia" w:ascii="Times New Roman" w:hAnsi="Times New Roman" w:eastAsia="仿宋" w:cs="Times New Roman"/>
                <w:color w:val="auto"/>
                <w:sz w:val="21"/>
                <w:szCs w:val="21"/>
                <w:lang w:val="en-US" w:eastAsia="zh-CN"/>
              </w:rPr>
              <w:t>玉溪</w:t>
            </w:r>
            <w:r>
              <w:rPr>
                <w:rFonts w:hint="default" w:ascii="Times New Roman" w:hAnsi="Times New Roman" w:eastAsia="仿宋" w:cs="Times New Roman"/>
                <w:color w:val="auto"/>
                <w:sz w:val="21"/>
                <w:szCs w:val="21"/>
                <w:lang w:val="en-US" w:eastAsia="zh-CN"/>
              </w:rPr>
              <w:t>市生态环境局等网站公开相关法律法规、环境质量、污染控制、清洁生产、环境影响评价、污染源监测、执法检查等环境信息。企业依托全国排污许可证管理信息平台、全国污染源监测信息管理与共享平台以及重点企业网站等公开污染物排放、污染防治设施建设运行、自行监测等环境信息。</w:t>
            </w:r>
          </w:p>
        </w:tc>
      </w:tr>
      <w:tr w14:paraId="2B5EA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14:paraId="5BAB196F">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14:paraId="70D609A0">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noWrap w:val="0"/>
            <w:vAlign w:val="center"/>
          </w:tcPr>
          <w:p w14:paraId="7F287318">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7</w:t>
            </w:r>
          </w:p>
        </w:tc>
        <w:tc>
          <w:tcPr>
            <w:tcW w:w="678" w:type="pct"/>
            <w:gridSpan w:val="4"/>
            <w:noWrap w:val="0"/>
            <w:vAlign w:val="center"/>
          </w:tcPr>
          <w:p w14:paraId="618B0FF7">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依法开展规划环境影响评价</w:t>
            </w:r>
          </w:p>
        </w:tc>
        <w:tc>
          <w:tcPr>
            <w:tcW w:w="192" w:type="pct"/>
            <w:noWrap w:val="0"/>
            <w:vAlign w:val="center"/>
          </w:tcPr>
          <w:p w14:paraId="2906C803">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14:paraId="5E04FFDA">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开展</w:t>
            </w:r>
          </w:p>
        </w:tc>
        <w:tc>
          <w:tcPr>
            <w:tcW w:w="322" w:type="pct"/>
            <w:noWrap w:val="0"/>
            <w:vAlign w:val="center"/>
          </w:tcPr>
          <w:p w14:paraId="2648346B">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开展</w:t>
            </w:r>
          </w:p>
        </w:tc>
        <w:tc>
          <w:tcPr>
            <w:tcW w:w="320" w:type="pct"/>
            <w:noWrap w:val="0"/>
            <w:vAlign w:val="center"/>
          </w:tcPr>
          <w:p w14:paraId="7962EFC5">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开展</w:t>
            </w:r>
          </w:p>
        </w:tc>
        <w:tc>
          <w:tcPr>
            <w:tcW w:w="367" w:type="pct"/>
            <w:noWrap w:val="0"/>
            <w:vAlign w:val="center"/>
          </w:tcPr>
          <w:p w14:paraId="7C49C488">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开展</w:t>
            </w:r>
          </w:p>
        </w:tc>
        <w:tc>
          <w:tcPr>
            <w:tcW w:w="361" w:type="pct"/>
            <w:noWrap w:val="0"/>
            <w:vAlign w:val="center"/>
          </w:tcPr>
          <w:p w14:paraId="10204632">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开展</w:t>
            </w:r>
          </w:p>
        </w:tc>
        <w:tc>
          <w:tcPr>
            <w:tcW w:w="381" w:type="pct"/>
            <w:noWrap w:val="0"/>
            <w:vAlign w:val="center"/>
          </w:tcPr>
          <w:p w14:paraId="7C7897C7">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开展</w:t>
            </w:r>
          </w:p>
        </w:tc>
        <w:tc>
          <w:tcPr>
            <w:tcW w:w="357" w:type="pct"/>
            <w:noWrap w:val="0"/>
            <w:vAlign w:val="center"/>
          </w:tcPr>
          <w:p w14:paraId="79ADCBBA">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开展</w:t>
            </w:r>
          </w:p>
        </w:tc>
        <w:tc>
          <w:tcPr>
            <w:tcW w:w="1276" w:type="pct"/>
            <w:noWrap w:val="0"/>
            <w:vAlign w:val="center"/>
          </w:tcPr>
          <w:p w14:paraId="0149A409">
            <w:pPr>
              <w:spacing w:line="260" w:lineRule="exact"/>
              <w:jc w:val="left"/>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依法开展了《</w:t>
            </w:r>
            <w:r>
              <w:rPr>
                <w:rFonts w:hint="eastAsia" w:ascii="Times New Roman" w:hAnsi="Times New Roman" w:eastAsia="仿宋" w:cs="Times New Roman"/>
                <w:color w:val="auto"/>
                <w:sz w:val="21"/>
                <w:szCs w:val="21"/>
                <w:lang w:val="en-US" w:eastAsia="zh-CN"/>
              </w:rPr>
              <w:t>云南新平产业园区总体规划（修编）（2021-2035）环境影响报告书》《云南新平产业园区总体规划修编</w:t>
            </w:r>
            <w:r>
              <w:rPr>
                <w:rFonts w:hint="eastAsia" w:ascii="Times New Roman" w:hAnsi="Times New Roman" w:eastAsia="仿宋" w:cs="Times New Roman"/>
                <w:color w:val="auto"/>
                <w:sz w:val="21"/>
                <w:szCs w:val="21"/>
                <w:lang w:val="en" w:eastAsia="zh-CN"/>
              </w:rPr>
              <w:t>（2021-2035）</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规划环境影响评价。</w:t>
            </w:r>
          </w:p>
        </w:tc>
      </w:tr>
      <w:tr w14:paraId="20BF4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105" w:type="pct"/>
            <w:vMerge w:val="restart"/>
            <w:noWrap w:val="0"/>
            <w:vAlign w:val="center"/>
          </w:tcPr>
          <w:p w14:paraId="25AAFF3C">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生态安全</w:t>
            </w:r>
          </w:p>
        </w:tc>
        <w:tc>
          <w:tcPr>
            <w:tcW w:w="212" w:type="pct"/>
            <w:vMerge w:val="restart"/>
            <w:noWrap w:val="0"/>
            <w:vAlign w:val="center"/>
          </w:tcPr>
          <w:p w14:paraId="4075FA36">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（二）生态环境质量改善</w:t>
            </w:r>
          </w:p>
        </w:tc>
        <w:tc>
          <w:tcPr>
            <w:tcW w:w="102" w:type="pct"/>
            <w:vMerge w:val="restart"/>
            <w:noWrap w:val="0"/>
            <w:vAlign w:val="center"/>
          </w:tcPr>
          <w:p w14:paraId="58C9A75D">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w:t>
            </w:r>
          </w:p>
        </w:tc>
        <w:tc>
          <w:tcPr>
            <w:tcW w:w="678" w:type="pct"/>
            <w:gridSpan w:val="4"/>
            <w:noWrap w:val="0"/>
            <w:vAlign w:val="center"/>
          </w:tcPr>
          <w:p w14:paraId="402D6225">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环境空气质量</w:t>
            </w:r>
          </w:p>
        </w:tc>
        <w:tc>
          <w:tcPr>
            <w:tcW w:w="192" w:type="pct"/>
            <w:noWrap w:val="0"/>
            <w:vAlign w:val="center"/>
          </w:tcPr>
          <w:p w14:paraId="62944EC5">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1" w:type="pct"/>
            <w:vMerge w:val="restart"/>
            <w:noWrap w:val="0"/>
            <w:vAlign w:val="center"/>
          </w:tcPr>
          <w:p w14:paraId="00CB9C71">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完成上级规定的考核任务；保持稳定或持续改善</w:t>
            </w:r>
          </w:p>
        </w:tc>
        <w:tc>
          <w:tcPr>
            <w:tcW w:w="322" w:type="pct"/>
            <w:vMerge w:val="restart"/>
            <w:noWrap w:val="0"/>
            <w:vAlign w:val="center"/>
          </w:tcPr>
          <w:p w14:paraId="4B305EBB">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完成上级规定的考核任务；保持稳定或持续改善</w:t>
            </w:r>
          </w:p>
        </w:tc>
        <w:tc>
          <w:tcPr>
            <w:tcW w:w="320" w:type="pct"/>
            <w:noWrap w:val="0"/>
            <w:vAlign w:val="center"/>
          </w:tcPr>
          <w:p w14:paraId="261D4914">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67" w:type="pct"/>
            <w:noWrap w:val="0"/>
            <w:vAlign w:val="center"/>
          </w:tcPr>
          <w:p w14:paraId="465FD2AC">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61" w:type="pct"/>
            <w:noWrap w:val="0"/>
            <w:vAlign w:val="center"/>
          </w:tcPr>
          <w:p w14:paraId="733A98AE">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81" w:type="pct"/>
            <w:noWrap w:val="0"/>
            <w:vAlign w:val="center"/>
          </w:tcPr>
          <w:p w14:paraId="0AB3ECA8">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57" w:type="pct"/>
            <w:noWrap w:val="0"/>
            <w:vAlign w:val="center"/>
          </w:tcPr>
          <w:p w14:paraId="339EF306">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276" w:type="pct"/>
            <w:vMerge w:val="restart"/>
            <w:noWrap w:val="0"/>
            <w:vAlign w:val="center"/>
          </w:tcPr>
          <w:p w14:paraId="7FB31C32">
            <w:pPr>
              <w:spacing w:line="26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根据2017</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2021年玉溪市生态环境局提供的大气约束性考核文件《玉溪市人民政府办公室关于印发2017年度环保约束性指标计划的通知》《玉溪市2018年度大气污染防治约束性指标计划的通知》《玉溪市环境污染防治工作领导小组办公室关于印发玉溪市2019年度大气污染防治约束性指标计划的通知》等文件，确定上级考核目标；根据《玉溪市生态环境质量公报》及约束性考核结果文件及证明材料等，新平县2017-2021年均完成上级考核要求。</w:t>
            </w:r>
          </w:p>
        </w:tc>
      </w:tr>
      <w:tr w14:paraId="5FD05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14:paraId="2B78D092">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14:paraId="3EDE4B6F">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vMerge w:val="continue"/>
            <w:noWrap w:val="0"/>
            <w:vAlign w:val="center"/>
          </w:tcPr>
          <w:p w14:paraId="4EF8EB7D">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432" w:type="pct"/>
            <w:gridSpan w:val="3"/>
            <w:vMerge w:val="restart"/>
            <w:noWrap w:val="0"/>
            <w:vAlign w:val="center"/>
          </w:tcPr>
          <w:p w14:paraId="44DFE87A">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（1）优良天数比例</w:t>
            </w:r>
          </w:p>
        </w:tc>
        <w:tc>
          <w:tcPr>
            <w:tcW w:w="245" w:type="pct"/>
            <w:noWrap w:val="0"/>
            <w:vAlign w:val="center"/>
          </w:tcPr>
          <w:p w14:paraId="59A2EF9B">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上级考核目标</w:t>
            </w:r>
          </w:p>
        </w:tc>
        <w:tc>
          <w:tcPr>
            <w:tcW w:w="192" w:type="pct"/>
            <w:vMerge w:val="restart"/>
            <w:noWrap w:val="0"/>
            <w:vAlign w:val="center"/>
          </w:tcPr>
          <w:p w14:paraId="50806AC4">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vMerge w:val="continue"/>
            <w:noWrap w:val="0"/>
            <w:vAlign w:val="center"/>
          </w:tcPr>
          <w:p w14:paraId="6D9F6EF4">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2" w:type="pct"/>
            <w:vMerge w:val="continue"/>
            <w:noWrap w:val="0"/>
            <w:vAlign w:val="center"/>
          </w:tcPr>
          <w:p w14:paraId="0D8E536E">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0" w:type="pct"/>
            <w:noWrap w:val="0"/>
            <w:vAlign w:val="center"/>
          </w:tcPr>
          <w:p w14:paraId="5D6F9F16">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县政府所在地≥99.2</w:t>
            </w:r>
          </w:p>
        </w:tc>
        <w:tc>
          <w:tcPr>
            <w:tcW w:w="367" w:type="pct"/>
            <w:noWrap w:val="0"/>
            <w:vAlign w:val="center"/>
          </w:tcPr>
          <w:p w14:paraId="37414155">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县政府所在地≥99.2</w:t>
            </w:r>
          </w:p>
        </w:tc>
        <w:tc>
          <w:tcPr>
            <w:tcW w:w="361" w:type="pct"/>
            <w:noWrap w:val="0"/>
            <w:vAlign w:val="center"/>
          </w:tcPr>
          <w:p w14:paraId="5BC8C78D">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县政府所在地≥99.2</w:t>
            </w:r>
          </w:p>
        </w:tc>
        <w:tc>
          <w:tcPr>
            <w:tcW w:w="381" w:type="pct"/>
            <w:noWrap w:val="0"/>
            <w:vAlign w:val="center"/>
          </w:tcPr>
          <w:p w14:paraId="38DF10AC">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县政府所在地≥99.2</w:t>
            </w:r>
          </w:p>
        </w:tc>
        <w:tc>
          <w:tcPr>
            <w:tcW w:w="357" w:type="pct"/>
            <w:noWrap w:val="0"/>
            <w:vAlign w:val="center"/>
          </w:tcPr>
          <w:p w14:paraId="52CABCBE">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县政府所在地≥99.2</w:t>
            </w:r>
          </w:p>
        </w:tc>
        <w:tc>
          <w:tcPr>
            <w:tcW w:w="1276" w:type="pct"/>
            <w:vMerge w:val="continue"/>
            <w:noWrap w:val="0"/>
            <w:vAlign w:val="center"/>
          </w:tcPr>
          <w:p w14:paraId="2C497148">
            <w:pPr>
              <w:spacing w:line="260" w:lineRule="exact"/>
              <w:jc w:val="center"/>
              <w:rPr>
                <w:rFonts w:hint="default" w:ascii="Times New Roman" w:hAnsi="Times New Roman" w:eastAsia="仿宋" w:cs="Times New Roman"/>
                <w:color w:val="auto"/>
                <w:sz w:val="21"/>
                <w:szCs w:val="21"/>
                <w:lang w:val="en-US" w:eastAsia="zh-CN"/>
              </w:rPr>
            </w:pPr>
          </w:p>
        </w:tc>
      </w:tr>
      <w:tr w14:paraId="27026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14:paraId="16F010E7">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14:paraId="116F9F2C">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vMerge w:val="continue"/>
            <w:noWrap w:val="0"/>
            <w:vAlign w:val="center"/>
          </w:tcPr>
          <w:p w14:paraId="797DE1F2">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432" w:type="pct"/>
            <w:gridSpan w:val="3"/>
            <w:vMerge w:val="continue"/>
            <w:noWrap w:val="0"/>
            <w:vAlign w:val="center"/>
          </w:tcPr>
          <w:p w14:paraId="6D8466F8">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45" w:type="pct"/>
            <w:noWrap w:val="0"/>
            <w:vAlign w:val="center"/>
          </w:tcPr>
          <w:p w14:paraId="63AFD764">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完成情况</w:t>
            </w:r>
          </w:p>
        </w:tc>
        <w:tc>
          <w:tcPr>
            <w:tcW w:w="192" w:type="pct"/>
            <w:vMerge w:val="continue"/>
            <w:noWrap w:val="0"/>
            <w:vAlign w:val="center"/>
          </w:tcPr>
          <w:p w14:paraId="22FFD11B">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1" w:type="pct"/>
            <w:vMerge w:val="continue"/>
            <w:noWrap w:val="0"/>
            <w:vAlign w:val="center"/>
          </w:tcPr>
          <w:p w14:paraId="0092DE58">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2" w:type="pct"/>
            <w:vMerge w:val="continue"/>
            <w:noWrap w:val="0"/>
            <w:vAlign w:val="center"/>
          </w:tcPr>
          <w:p w14:paraId="4308C16E">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0" w:type="pct"/>
            <w:noWrap w:val="0"/>
            <w:vAlign w:val="center"/>
          </w:tcPr>
          <w:p w14:paraId="3AF685FF">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98.9</w:t>
            </w:r>
          </w:p>
        </w:tc>
        <w:tc>
          <w:tcPr>
            <w:tcW w:w="367" w:type="pct"/>
            <w:noWrap w:val="0"/>
            <w:vAlign w:val="center"/>
          </w:tcPr>
          <w:p w14:paraId="63113411">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99.4</w:t>
            </w:r>
          </w:p>
        </w:tc>
        <w:tc>
          <w:tcPr>
            <w:tcW w:w="361" w:type="pct"/>
            <w:noWrap w:val="0"/>
            <w:vAlign w:val="center"/>
          </w:tcPr>
          <w:p w14:paraId="7AB11067">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98.6</w:t>
            </w:r>
          </w:p>
        </w:tc>
        <w:tc>
          <w:tcPr>
            <w:tcW w:w="381" w:type="pct"/>
            <w:noWrap w:val="0"/>
            <w:vAlign w:val="center"/>
          </w:tcPr>
          <w:p w14:paraId="0D425DCE">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57" w:type="pct"/>
            <w:noWrap w:val="0"/>
            <w:vAlign w:val="center"/>
          </w:tcPr>
          <w:p w14:paraId="7A8F7EA6">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99.72</w:t>
            </w:r>
          </w:p>
        </w:tc>
        <w:tc>
          <w:tcPr>
            <w:tcW w:w="1276" w:type="pct"/>
            <w:vMerge w:val="continue"/>
            <w:noWrap w:val="0"/>
            <w:vAlign w:val="center"/>
          </w:tcPr>
          <w:p w14:paraId="01F9A185">
            <w:pPr>
              <w:spacing w:line="260" w:lineRule="exact"/>
              <w:jc w:val="center"/>
              <w:rPr>
                <w:rFonts w:hint="default" w:ascii="Times New Roman" w:hAnsi="Times New Roman" w:eastAsia="仿宋" w:cs="Times New Roman"/>
                <w:color w:val="auto"/>
                <w:sz w:val="21"/>
                <w:szCs w:val="21"/>
                <w:lang w:val="en-US" w:eastAsia="zh-CN"/>
              </w:rPr>
            </w:pPr>
          </w:p>
        </w:tc>
      </w:tr>
      <w:tr w14:paraId="2EE16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14:paraId="141B46F6">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14:paraId="092F2099">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vMerge w:val="continue"/>
            <w:noWrap w:val="0"/>
            <w:vAlign w:val="center"/>
          </w:tcPr>
          <w:p w14:paraId="2D31CA07">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432" w:type="pct"/>
            <w:gridSpan w:val="3"/>
            <w:vMerge w:val="restart"/>
            <w:noWrap w:val="0"/>
            <w:vAlign w:val="center"/>
          </w:tcPr>
          <w:p w14:paraId="0449ABF5">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（2）细颗粒物（PM</w:t>
            </w:r>
            <w:r>
              <w:rPr>
                <w:rFonts w:hint="default" w:ascii="Times New Roman" w:hAnsi="Times New Roman" w:eastAsia="仿宋" w:cs="Times New Roman"/>
                <w:color w:val="auto"/>
                <w:kern w:val="2"/>
                <w:sz w:val="21"/>
                <w:szCs w:val="21"/>
                <w:vertAlign w:val="subscript"/>
                <w:lang w:val="en-US" w:eastAsia="zh-CN" w:bidi="ar-SA"/>
              </w:rPr>
              <w:t>2.5</w:t>
            </w:r>
            <w:r>
              <w:rPr>
                <w:rFonts w:hint="default" w:ascii="Times New Roman" w:hAnsi="Times New Roman" w:eastAsia="仿宋" w:cs="Times New Roman"/>
                <w:color w:val="auto"/>
                <w:kern w:val="2"/>
                <w:sz w:val="21"/>
                <w:szCs w:val="21"/>
                <w:lang w:val="en-US" w:eastAsia="zh-CN" w:bidi="ar-SA"/>
              </w:rPr>
              <w:t>）浓度</w:t>
            </w:r>
          </w:p>
        </w:tc>
        <w:tc>
          <w:tcPr>
            <w:tcW w:w="245" w:type="pct"/>
            <w:noWrap w:val="0"/>
            <w:vAlign w:val="center"/>
          </w:tcPr>
          <w:p w14:paraId="1EF2994B">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上级考核目标（未下达下降幅度要求，考核浓度）</w:t>
            </w:r>
          </w:p>
        </w:tc>
        <w:tc>
          <w:tcPr>
            <w:tcW w:w="192" w:type="pct"/>
            <w:vMerge w:val="restart"/>
            <w:noWrap w:val="0"/>
            <w:vAlign w:val="center"/>
          </w:tcPr>
          <w:p w14:paraId="73F9DDD5">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微克/立方米</w:t>
            </w:r>
          </w:p>
        </w:tc>
        <w:tc>
          <w:tcPr>
            <w:tcW w:w="321" w:type="pct"/>
            <w:vMerge w:val="continue"/>
            <w:noWrap w:val="0"/>
            <w:vAlign w:val="center"/>
          </w:tcPr>
          <w:p w14:paraId="0355E5BD">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2" w:type="pct"/>
            <w:vMerge w:val="continue"/>
            <w:noWrap w:val="0"/>
            <w:vAlign w:val="center"/>
          </w:tcPr>
          <w:p w14:paraId="790FC5A9">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0" w:type="pct"/>
            <w:noWrap w:val="0"/>
            <w:vAlign w:val="center"/>
          </w:tcPr>
          <w:p w14:paraId="24144825">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≤35</w:t>
            </w:r>
          </w:p>
        </w:tc>
        <w:tc>
          <w:tcPr>
            <w:tcW w:w="367" w:type="pct"/>
            <w:noWrap w:val="0"/>
            <w:vAlign w:val="center"/>
          </w:tcPr>
          <w:p w14:paraId="5001129E">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≤35</w:t>
            </w:r>
          </w:p>
        </w:tc>
        <w:tc>
          <w:tcPr>
            <w:tcW w:w="361" w:type="pct"/>
            <w:noWrap w:val="0"/>
            <w:vAlign w:val="center"/>
          </w:tcPr>
          <w:p w14:paraId="092670B5">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≤35</w:t>
            </w:r>
          </w:p>
        </w:tc>
        <w:tc>
          <w:tcPr>
            <w:tcW w:w="381" w:type="pct"/>
            <w:noWrap w:val="0"/>
            <w:vAlign w:val="center"/>
          </w:tcPr>
          <w:p w14:paraId="504ABDC7">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≤35</w:t>
            </w:r>
          </w:p>
        </w:tc>
        <w:tc>
          <w:tcPr>
            <w:tcW w:w="357" w:type="pct"/>
            <w:noWrap w:val="0"/>
            <w:vAlign w:val="center"/>
          </w:tcPr>
          <w:p w14:paraId="3D7C483D">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≤35</w:t>
            </w:r>
          </w:p>
        </w:tc>
        <w:tc>
          <w:tcPr>
            <w:tcW w:w="1276" w:type="pct"/>
            <w:vMerge w:val="continue"/>
            <w:noWrap w:val="0"/>
            <w:vAlign w:val="center"/>
          </w:tcPr>
          <w:p w14:paraId="6350505E">
            <w:pPr>
              <w:spacing w:line="260" w:lineRule="exact"/>
              <w:jc w:val="center"/>
              <w:rPr>
                <w:rFonts w:hint="default" w:ascii="Times New Roman" w:hAnsi="Times New Roman" w:eastAsia="仿宋" w:cs="Times New Roman"/>
                <w:color w:val="auto"/>
                <w:sz w:val="21"/>
                <w:szCs w:val="21"/>
                <w:lang w:val="en-US" w:eastAsia="zh-CN"/>
              </w:rPr>
            </w:pPr>
          </w:p>
        </w:tc>
      </w:tr>
      <w:tr w14:paraId="61EB4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14:paraId="14A4CD14">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14:paraId="78AFE3E2">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vMerge w:val="continue"/>
            <w:noWrap w:val="0"/>
            <w:vAlign w:val="center"/>
          </w:tcPr>
          <w:p w14:paraId="09F2A918">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432" w:type="pct"/>
            <w:gridSpan w:val="3"/>
            <w:vMerge w:val="continue"/>
            <w:noWrap w:val="0"/>
            <w:vAlign w:val="center"/>
          </w:tcPr>
          <w:p w14:paraId="28271D70">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45" w:type="pct"/>
            <w:noWrap w:val="0"/>
            <w:vAlign w:val="center"/>
          </w:tcPr>
          <w:p w14:paraId="017EF7DA">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完成情况</w:t>
            </w:r>
          </w:p>
        </w:tc>
        <w:tc>
          <w:tcPr>
            <w:tcW w:w="192" w:type="pct"/>
            <w:vMerge w:val="continue"/>
            <w:noWrap w:val="0"/>
            <w:vAlign w:val="center"/>
          </w:tcPr>
          <w:p w14:paraId="614A0821">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1" w:type="pct"/>
            <w:vMerge w:val="continue"/>
            <w:noWrap w:val="0"/>
            <w:vAlign w:val="center"/>
          </w:tcPr>
          <w:p w14:paraId="72A3305E">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2" w:type="pct"/>
            <w:vMerge w:val="continue"/>
            <w:noWrap w:val="0"/>
            <w:vAlign w:val="center"/>
          </w:tcPr>
          <w:p w14:paraId="02DB9A06">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0" w:type="pct"/>
            <w:noWrap w:val="0"/>
            <w:vAlign w:val="center"/>
          </w:tcPr>
          <w:p w14:paraId="725F6039">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18</w:t>
            </w:r>
          </w:p>
        </w:tc>
        <w:tc>
          <w:tcPr>
            <w:tcW w:w="367" w:type="pct"/>
            <w:noWrap w:val="0"/>
            <w:vAlign w:val="center"/>
          </w:tcPr>
          <w:p w14:paraId="590E3985">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19</w:t>
            </w:r>
          </w:p>
        </w:tc>
        <w:tc>
          <w:tcPr>
            <w:tcW w:w="361" w:type="pct"/>
            <w:noWrap w:val="0"/>
            <w:vAlign w:val="center"/>
          </w:tcPr>
          <w:p w14:paraId="71D5A35D">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18</w:t>
            </w:r>
          </w:p>
        </w:tc>
        <w:tc>
          <w:tcPr>
            <w:tcW w:w="381" w:type="pct"/>
            <w:noWrap w:val="0"/>
            <w:vAlign w:val="center"/>
          </w:tcPr>
          <w:p w14:paraId="7356C8D9">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16</w:t>
            </w:r>
          </w:p>
        </w:tc>
        <w:tc>
          <w:tcPr>
            <w:tcW w:w="357" w:type="pct"/>
            <w:noWrap w:val="0"/>
            <w:vAlign w:val="center"/>
          </w:tcPr>
          <w:p w14:paraId="562D6E09">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18</w:t>
            </w:r>
          </w:p>
        </w:tc>
        <w:tc>
          <w:tcPr>
            <w:tcW w:w="1276" w:type="pct"/>
            <w:vMerge w:val="continue"/>
            <w:noWrap w:val="0"/>
            <w:vAlign w:val="center"/>
          </w:tcPr>
          <w:p w14:paraId="68DEC786">
            <w:pPr>
              <w:spacing w:line="260" w:lineRule="exact"/>
              <w:jc w:val="center"/>
              <w:rPr>
                <w:rFonts w:hint="default" w:ascii="Times New Roman" w:hAnsi="Times New Roman" w:eastAsia="仿宋" w:cs="Times New Roman"/>
                <w:color w:val="auto"/>
                <w:sz w:val="21"/>
                <w:szCs w:val="21"/>
                <w:lang w:val="en-US" w:eastAsia="zh-CN"/>
              </w:rPr>
            </w:pPr>
          </w:p>
        </w:tc>
      </w:tr>
      <w:tr w14:paraId="6ECEA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14:paraId="57FF0E13">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14:paraId="6D05C4C8">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vMerge w:val="restart"/>
            <w:noWrap w:val="0"/>
            <w:vAlign w:val="center"/>
          </w:tcPr>
          <w:p w14:paraId="74322AB4">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9</w:t>
            </w:r>
          </w:p>
        </w:tc>
        <w:tc>
          <w:tcPr>
            <w:tcW w:w="678" w:type="pct"/>
            <w:gridSpan w:val="4"/>
            <w:noWrap w:val="0"/>
            <w:vAlign w:val="center"/>
          </w:tcPr>
          <w:p w14:paraId="1DB3D9BA">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水环境质量</w:t>
            </w:r>
          </w:p>
        </w:tc>
        <w:tc>
          <w:tcPr>
            <w:tcW w:w="192" w:type="pct"/>
            <w:vMerge w:val="restart"/>
            <w:noWrap w:val="0"/>
            <w:vAlign w:val="center"/>
          </w:tcPr>
          <w:p w14:paraId="1D7E1A1F">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vMerge w:val="restart"/>
            <w:noWrap w:val="0"/>
            <w:vAlign w:val="center"/>
          </w:tcPr>
          <w:p w14:paraId="6A4025CA">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完成上级规定的考核任务；保持稳定或持续改善</w:t>
            </w:r>
          </w:p>
        </w:tc>
        <w:tc>
          <w:tcPr>
            <w:tcW w:w="322" w:type="pct"/>
            <w:vMerge w:val="restart"/>
            <w:noWrap w:val="0"/>
            <w:vAlign w:val="center"/>
          </w:tcPr>
          <w:p w14:paraId="54A4E977">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完成上级规定的考核任务；保持稳定或持续改善</w:t>
            </w:r>
          </w:p>
        </w:tc>
        <w:tc>
          <w:tcPr>
            <w:tcW w:w="320" w:type="pct"/>
            <w:noWrap w:val="0"/>
            <w:vAlign w:val="center"/>
          </w:tcPr>
          <w:p w14:paraId="16A61364">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67" w:type="pct"/>
            <w:noWrap w:val="0"/>
            <w:vAlign w:val="center"/>
          </w:tcPr>
          <w:p w14:paraId="339B7000">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61" w:type="pct"/>
            <w:noWrap w:val="0"/>
            <w:vAlign w:val="center"/>
          </w:tcPr>
          <w:p w14:paraId="0FE28D23">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81" w:type="pct"/>
            <w:noWrap w:val="0"/>
            <w:vAlign w:val="center"/>
          </w:tcPr>
          <w:p w14:paraId="4E664309">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57" w:type="pct"/>
            <w:noWrap w:val="0"/>
            <w:vAlign w:val="center"/>
          </w:tcPr>
          <w:p w14:paraId="279D732F">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276" w:type="pct"/>
            <w:vMerge w:val="restart"/>
            <w:noWrap w:val="0"/>
            <w:vAlign w:val="center"/>
          </w:tcPr>
          <w:p w14:paraId="458EABF8">
            <w:pPr>
              <w:spacing w:line="26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根据2016</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2021年玉溪市生态环境局提供的水环境约束性考核文件《玉溪市2018年水污染防治实施计划》《玉溪市2019年水污染防治实施计划》《玉溪市2020年水污染防治实施计划》《玉溪市十四五及2021</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2022年生态环境有关指标计划的函》等文件，确定上级考核目标；根据《玉溪市生态环境质量公报》及约束性考核结果文件及证明材料等，新平县2017-2021年均完成上级考核要求。</w:t>
            </w:r>
          </w:p>
        </w:tc>
      </w:tr>
      <w:tr w14:paraId="49713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5" w:type="pct"/>
            <w:vMerge w:val="continue"/>
            <w:noWrap w:val="0"/>
            <w:vAlign w:val="center"/>
          </w:tcPr>
          <w:p w14:paraId="607E9A8B">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14:paraId="36411F1A">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vMerge w:val="continue"/>
            <w:noWrap w:val="0"/>
            <w:vAlign w:val="center"/>
          </w:tcPr>
          <w:p w14:paraId="0592B93C">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432" w:type="pct"/>
            <w:gridSpan w:val="3"/>
            <w:vMerge w:val="restart"/>
            <w:noWrap w:val="0"/>
            <w:vAlign w:val="center"/>
          </w:tcPr>
          <w:p w14:paraId="110090E1">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（1）水质达到或优于Ⅲ类比例</w:t>
            </w:r>
          </w:p>
        </w:tc>
        <w:tc>
          <w:tcPr>
            <w:tcW w:w="245" w:type="pct"/>
            <w:noWrap w:val="0"/>
            <w:vAlign w:val="center"/>
          </w:tcPr>
          <w:p w14:paraId="2D88CEFC">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上级考核目标</w:t>
            </w:r>
          </w:p>
        </w:tc>
        <w:tc>
          <w:tcPr>
            <w:tcW w:w="192" w:type="pct"/>
            <w:vMerge w:val="continue"/>
            <w:noWrap w:val="0"/>
            <w:vAlign w:val="center"/>
          </w:tcPr>
          <w:p w14:paraId="2031EFCE">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1" w:type="pct"/>
            <w:vMerge w:val="continue"/>
            <w:noWrap w:val="0"/>
            <w:vAlign w:val="center"/>
          </w:tcPr>
          <w:p w14:paraId="7BC04C48">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2" w:type="pct"/>
            <w:vMerge w:val="continue"/>
            <w:noWrap w:val="0"/>
            <w:vAlign w:val="center"/>
          </w:tcPr>
          <w:p w14:paraId="7FD9AC0A">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0" w:type="pct"/>
            <w:noWrap w:val="0"/>
            <w:vAlign w:val="center"/>
          </w:tcPr>
          <w:p w14:paraId="13D7F60F">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67" w:type="pct"/>
            <w:noWrap w:val="0"/>
            <w:vAlign w:val="center"/>
          </w:tcPr>
          <w:p w14:paraId="70F490EC">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61" w:type="pct"/>
            <w:noWrap w:val="0"/>
            <w:vAlign w:val="center"/>
          </w:tcPr>
          <w:p w14:paraId="7DE03E90">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81" w:type="pct"/>
            <w:noWrap w:val="0"/>
            <w:vAlign w:val="center"/>
          </w:tcPr>
          <w:p w14:paraId="1EFB0908">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57" w:type="pct"/>
            <w:noWrap w:val="0"/>
            <w:vAlign w:val="center"/>
          </w:tcPr>
          <w:p w14:paraId="047C3348">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1276" w:type="pct"/>
            <w:vMerge w:val="continue"/>
            <w:noWrap w:val="0"/>
            <w:vAlign w:val="center"/>
          </w:tcPr>
          <w:p w14:paraId="7976181F">
            <w:pPr>
              <w:spacing w:line="260" w:lineRule="exact"/>
              <w:jc w:val="center"/>
              <w:rPr>
                <w:rFonts w:hint="default" w:ascii="Times New Roman" w:hAnsi="Times New Roman" w:eastAsia="仿宋" w:cs="Times New Roman"/>
                <w:color w:val="auto"/>
                <w:sz w:val="21"/>
                <w:szCs w:val="21"/>
                <w:lang w:val="en-US" w:eastAsia="zh-CN"/>
              </w:rPr>
            </w:pPr>
          </w:p>
        </w:tc>
      </w:tr>
      <w:tr w14:paraId="6257F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14:paraId="5023D2B1">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14:paraId="29D6BCEB">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vMerge w:val="continue"/>
            <w:noWrap w:val="0"/>
            <w:vAlign w:val="center"/>
          </w:tcPr>
          <w:p w14:paraId="318E49C3">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432" w:type="pct"/>
            <w:gridSpan w:val="3"/>
            <w:vMerge w:val="continue"/>
            <w:noWrap w:val="0"/>
            <w:vAlign w:val="center"/>
          </w:tcPr>
          <w:p w14:paraId="7A43CD0D">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45" w:type="pct"/>
            <w:noWrap w:val="0"/>
            <w:vAlign w:val="center"/>
          </w:tcPr>
          <w:p w14:paraId="768435C0">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完成情况</w:t>
            </w:r>
          </w:p>
        </w:tc>
        <w:tc>
          <w:tcPr>
            <w:tcW w:w="192" w:type="pct"/>
            <w:vMerge w:val="continue"/>
            <w:noWrap w:val="0"/>
            <w:vAlign w:val="center"/>
          </w:tcPr>
          <w:p w14:paraId="38298B78">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1" w:type="pct"/>
            <w:vMerge w:val="continue"/>
            <w:noWrap w:val="0"/>
            <w:vAlign w:val="center"/>
          </w:tcPr>
          <w:p w14:paraId="55731E7B">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2" w:type="pct"/>
            <w:vMerge w:val="continue"/>
            <w:noWrap w:val="0"/>
            <w:vAlign w:val="center"/>
          </w:tcPr>
          <w:p w14:paraId="68B102C2">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0" w:type="pct"/>
            <w:noWrap w:val="0"/>
            <w:vAlign w:val="center"/>
          </w:tcPr>
          <w:p w14:paraId="2256C429">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67" w:type="pct"/>
            <w:noWrap w:val="0"/>
            <w:vAlign w:val="center"/>
          </w:tcPr>
          <w:p w14:paraId="7022E331">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61" w:type="pct"/>
            <w:noWrap w:val="0"/>
            <w:vAlign w:val="center"/>
          </w:tcPr>
          <w:p w14:paraId="06C4BF67">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81" w:type="pct"/>
            <w:noWrap w:val="0"/>
            <w:vAlign w:val="center"/>
          </w:tcPr>
          <w:p w14:paraId="1E7FC0B9">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57" w:type="pct"/>
            <w:noWrap w:val="0"/>
            <w:vAlign w:val="center"/>
          </w:tcPr>
          <w:p w14:paraId="2C4A2365">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1276" w:type="pct"/>
            <w:vMerge w:val="continue"/>
            <w:noWrap w:val="0"/>
            <w:vAlign w:val="center"/>
          </w:tcPr>
          <w:p w14:paraId="7562B89D">
            <w:pPr>
              <w:spacing w:line="260" w:lineRule="exact"/>
              <w:jc w:val="center"/>
              <w:rPr>
                <w:rFonts w:hint="default" w:ascii="Times New Roman" w:hAnsi="Times New Roman" w:eastAsia="仿宋" w:cs="Times New Roman"/>
                <w:color w:val="auto"/>
                <w:sz w:val="21"/>
                <w:szCs w:val="21"/>
                <w:lang w:val="en-US" w:eastAsia="zh-CN"/>
              </w:rPr>
            </w:pPr>
          </w:p>
        </w:tc>
      </w:tr>
      <w:tr w14:paraId="0635F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7" w:hRule="atLeast"/>
          <w:jc w:val="center"/>
        </w:trPr>
        <w:tc>
          <w:tcPr>
            <w:tcW w:w="105" w:type="pct"/>
            <w:vMerge w:val="continue"/>
            <w:noWrap w:val="0"/>
            <w:vAlign w:val="center"/>
          </w:tcPr>
          <w:p w14:paraId="26294C42">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14:paraId="77AE51D0">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vMerge w:val="continue"/>
            <w:noWrap w:val="0"/>
            <w:vAlign w:val="center"/>
          </w:tcPr>
          <w:p w14:paraId="2B7B2459">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432" w:type="pct"/>
            <w:gridSpan w:val="3"/>
            <w:vMerge w:val="restart"/>
            <w:noWrap w:val="0"/>
            <w:vAlign w:val="center"/>
          </w:tcPr>
          <w:p w14:paraId="6AD6E397">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（2）劣V类水体比例</w:t>
            </w:r>
          </w:p>
        </w:tc>
        <w:tc>
          <w:tcPr>
            <w:tcW w:w="245" w:type="pct"/>
            <w:noWrap w:val="0"/>
            <w:vAlign w:val="center"/>
          </w:tcPr>
          <w:p w14:paraId="13AF8205">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上级考核目标</w:t>
            </w:r>
          </w:p>
        </w:tc>
        <w:tc>
          <w:tcPr>
            <w:tcW w:w="192" w:type="pct"/>
            <w:vMerge w:val="continue"/>
            <w:noWrap w:val="0"/>
            <w:vAlign w:val="center"/>
          </w:tcPr>
          <w:p w14:paraId="16B54162">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1" w:type="pct"/>
            <w:vMerge w:val="continue"/>
            <w:noWrap w:val="0"/>
            <w:vAlign w:val="center"/>
          </w:tcPr>
          <w:p w14:paraId="1BC1D22B">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2" w:type="pct"/>
            <w:vMerge w:val="continue"/>
            <w:noWrap w:val="0"/>
            <w:vAlign w:val="center"/>
          </w:tcPr>
          <w:p w14:paraId="66F18E19">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0" w:type="pct"/>
            <w:noWrap w:val="0"/>
            <w:vAlign w:val="center"/>
          </w:tcPr>
          <w:p w14:paraId="4348DDC8">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无劣V类水体</w:t>
            </w:r>
          </w:p>
        </w:tc>
        <w:tc>
          <w:tcPr>
            <w:tcW w:w="367" w:type="pct"/>
            <w:noWrap w:val="0"/>
            <w:vAlign w:val="center"/>
          </w:tcPr>
          <w:p w14:paraId="31A27C35">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无劣V类水体</w:t>
            </w:r>
          </w:p>
        </w:tc>
        <w:tc>
          <w:tcPr>
            <w:tcW w:w="361" w:type="pct"/>
            <w:noWrap w:val="0"/>
            <w:vAlign w:val="center"/>
          </w:tcPr>
          <w:p w14:paraId="0064583B">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无劣V类水体</w:t>
            </w:r>
          </w:p>
        </w:tc>
        <w:tc>
          <w:tcPr>
            <w:tcW w:w="381" w:type="pct"/>
            <w:noWrap w:val="0"/>
            <w:vAlign w:val="center"/>
          </w:tcPr>
          <w:p w14:paraId="34AC93DC">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无劣V类水体</w:t>
            </w:r>
          </w:p>
        </w:tc>
        <w:tc>
          <w:tcPr>
            <w:tcW w:w="357" w:type="pct"/>
            <w:noWrap w:val="0"/>
            <w:vAlign w:val="center"/>
          </w:tcPr>
          <w:p w14:paraId="77F465AF">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无劣V类水体</w:t>
            </w:r>
          </w:p>
        </w:tc>
        <w:tc>
          <w:tcPr>
            <w:tcW w:w="1276" w:type="pct"/>
            <w:vMerge w:val="continue"/>
            <w:noWrap w:val="0"/>
            <w:vAlign w:val="center"/>
          </w:tcPr>
          <w:p w14:paraId="0A257F3E">
            <w:pPr>
              <w:spacing w:line="260" w:lineRule="exact"/>
              <w:jc w:val="center"/>
              <w:rPr>
                <w:rFonts w:hint="default" w:ascii="Times New Roman" w:hAnsi="Times New Roman" w:eastAsia="仿宋" w:cs="Times New Roman"/>
                <w:color w:val="auto"/>
                <w:sz w:val="21"/>
                <w:szCs w:val="21"/>
                <w:lang w:val="en-US" w:eastAsia="zh-CN"/>
              </w:rPr>
            </w:pPr>
          </w:p>
        </w:tc>
      </w:tr>
      <w:tr w14:paraId="32551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14:paraId="5307556F">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14:paraId="7C5676ED">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vMerge w:val="continue"/>
            <w:noWrap w:val="0"/>
            <w:vAlign w:val="center"/>
          </w:tcPr>
          <w:p w14:paraId="2EA7F8B5">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432" w:type="pct"/>
            <w:gridSpan w:val="3"/>
            <w:vMerge w:val="continue"/>
            <w:noWrap w:val="0"/>
            <w:vAlign w:val="center"/>
          </w:tcPr>
          <w:p w14:paraId="33AD730B">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45" w:type="pct"/>
            <w:noWrap w:val="0"/>
            <w:vAlign w:val="center"/>
          </w:tcPr>
          <w:p w14:paraId="51987ABA">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完成情况</w:t>
            </w:r>
          </w:p>
        </w:tc>
        <w:tc>
          <w:tcPr>
            <w:tcW w:w="192" w:type="pct"/>
            <w:vMerge w:val="continue"/>
            <w:noWrap w:val="0"/>
            <w:vAlign w:val="center"/>
          </w:tcPr>
          <w:p w14:paraId="0992F139">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1" w:type="pct"/>
            <w:vMerge w:val="continue"/>
            <w:noWrap w:val="0"/>
            <w:vAlign w:val="center"/>
          </w:tcPr>
          <w:p w14:paraId="7F4B1DD6">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2" w:type="pct"/>
            <w:vMerge w:val="continue"/>
            <w:noWrap w:val="0"/>
            <w:vAlign w:val="center"/>
          </w:tcPr>
          <w:p w14:paraId="5A504C9E">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0" w:type="pct"/>
            <w:noWrap w:val="0"/>
            <w:vAlign w:val="center"/>
          </w:tcPr>
          <w:p w14:paraId="65E756CD">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无劣V类水体</w:t>
            </w:r>
          </w:p>
        </w:tc>
        <w:tc>
          <w:tcPr>
            <w:tcW w:w="367" w:type="pct"/>
            <w:noWrap w:val="0"/>
            <w:vAlign w:val="center"/>
          </w:tcPr>
          <w:p w14:paraId="0B2A6509">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无劣V类水体</w:t>
            </w:r>
          </w:p>
        </w:tc>
        <w:tc>
          <w:tcPr>
            <w:tcW w:w="361" w:type="pct"/>
            <w:noWrap w:val="0"/>
            <w:vAlign w:val="center"/>
          </w:tcPr>
          <w:p w14:paraId="71DF2E97">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无劣V类水体</w:t>
            </w:r>
          </w:p>
        </w:tc>
        <w:tc>
          <w:tcPr>
            <w:tcW w:w="381" w:type="pct"/>
            <w:noWrap w:val="0"/>
            <w:vAlign w:val="center"/>
          </w:tcPr>
          <w:p w14:paraId="744183B7">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无劣V类水体</w:t>
            </w:r>
          </w:p>
        </w:tc>
        <w:tc>
          <w:tcPr>
            <w:tcW w:w="357" w:type="pct"/>
            <w:noWrap w:val="0"/>
            <w:vAlign w:val="center"/>
          </w:tcPr>
          <w:p w14:paraId="3CA17708">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无劣V类水体</w:t>
            </w:r>
          </w:p>
        </w:tc>
        <w:tc>
          <w:tcPr>
            <w:tcW w:w="1276" w:type="pct"/>
            <w:vMerge w:val="continue"/>
            <w:noWrap w:val="0"/>
            <w:vAlign w:val="center"/>
          </w:tcPr>
          <w:p w14:paraId="7230ED17">
            <w:pPr>
              <w:spacing w:line="260" w:lineRule="exact"/>
              <w:jc w:val="center"/>
              <w:rPr>
                <w:rFonts w:hint="default" w:ascii="Times New Roman" w:hAnsi="Times New Roman" w:eastAsia="仿宋" w:cs="Times New Roman"/>
                <w:color w:val="auto"/>
                <w:sz w:val="21"/>
                <w:szCs w:val="21"/>
                <w:lang w:val="en-US" w:eastAsia="zh-CN"/>
              </w:rPr>
            </w:pPr>
          </w:p>
        </w:tc>
      </w:tr>
      <w:tr w14:paraId="754F5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14:paraId="60C3DB7F">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14:paraId="1256BD9C">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vMerge w:val="continue"/>
            <w:noWrap w:val="0"/>
            <w:vAlign w:val="center"/>
          </w:tcPr>
          <w:p w14:paraId="07544999">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432" w:type="pct"/>
            <w:gridSpan w:val="3"/>
            <w:vMerge w:val="restart"/>
            <w:noWrap w:val="0"/>
            <w:vAlign w:val="center"/>
          </w:tcPr>
          <w:p w14:paraId="4C4EDD0E">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（3）城市黑臭水体消除比例</w:t>
            </w:r>
          </w:p>
        </w:tc>
        <w:tc>
          <w:tcPr>
            <w:tcW w:w="245" w:type="pct"/>
            <w:noWrap w:val="0"/>
            <w:vAlign w:val="center"/>
          </w:tcPr>
          <w:p w14:paraId="7FFCC03F">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上级考核目标</w:t>
            </w:r>
          </w:p>
        </w:tc>
        <w:tc>
          <w:tcPr>
            <w:tcW w:w="192" w:type="pct"/>
            <w:vMerge w:val="continue"/>
            <w:noWrap w:val="0"/>
            <w:vAlign w:val="center"/>
          </w:tcPr>
          <w:p w14:paraId="5692E1BC">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1" w:type="pct"/>
            <w:vMerge w:val="continue"/>
            <w:noWrap w:val="0"/>
            <w:vAlign w:val="center"/>
          </w:tcPr>
          <w:p w14:paraId="12876B8A">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2" w:type="pct"/>
            <w:vMerge w:val="continue"/>
            <w:noWrap w:val="0"/>
            <w:vAlign w:val="center"/>
          </w:tcPr>
          <w:p w14:paraId="60AA09D0">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0" w:type="pct"/>
            <w:noWrap w:val="0"/>
            <w:vAlign w:val="center"/>
          </w:tcPr>
          <w:p w14:paraId="2B78DB46">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无黑臭水体</w:t>
            </w:r>
          </w:p>
        </w:tc>
        <w:tc>
          <w:tcPr>
            <w:tcW w:w="367" w:type="pct"/>
            <w:noWrap w:val="0"/>
            <w:vAlign w:val="center"/>
          </w:tcPr>
          <w:p w14:paraId="6BA8CABD">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无黑臭水体</w:t>
            </w:r>
          </w:p>
        </w:tc>
        <w:tc>
          <w:tcPr>
            <w:tcW w:w="361" w:type="pct"/>
            <w:noWrap w:val="0"/>
            <w:vAlign w:val="center"/>
          </w:tcPr>
          <w:p w14:paraId="15B07383">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无黑臭水体</w:t>
            </w:r>
          </w:p>
        </w:tc>
        <w:tc>
          <w:tcPr>
            <w:tcW w:w="381" w:type="pct"/>
            <w:noWrap w:val="0"/>
            <w:vAlign w:val="center"/>
          </w:tcPr>
          <w:p w14:paraId="7B600B08">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无黑臭水体</w:t>
            </w:r>
          </w:p>
        </w:tc>
        <w:tc>
          <w:tcPr>
            <w:tcW w:w="357" w:type="pct"/>
            <w:noWrap w:val="0"/>
            <w:vAlign w:val="center"/>
          </w:tcPr>
          <w:p w14:paraId="4753728C">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无黑臭水体</w:t>
            </w:r>
          </w:p>
        </w:tc>
        <w:tc>
          <w:tcPr>
            <w:tcW w:w="1276" w:type="pct"/>
            <w:vMerge w:val="continue"/>
            <w:noWrap w:val="0"/>
            <w:vAlign w:val="center"/>
          </w:tcPr>
          <w:p w14:paraId="479ECC19">
            <w:pPr>
              <w:spacing w:line="260" w:lineRule="exact"/>
              <w:jc w:val="center"/>
              <w:rPr>
                <w:rFonts w:hint="default" w:ascii="Times New Roman" w:hAnsi="Times New Roman" w:eastAsia="仿宋" w:cs="Times New Roman"/>
                <w:color w:val="auto"/>
                <w:sz w:val="21"/>
                <w:szCs w:val="21"/>
                <w:lang w:val="en-US" w:eastAsia="zh-CN"/>
              </w:rPr>
            </w:pPr>
          </w:p>
        </w:tc>
      </w:tr>
      <w:tr w14:paraId="4EE62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14:paraId="74D7A96D">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14:paraId="47BC6EBA">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vMerge w:val="continue"/>
            <w:noWrap w:val="0"/>
            <w:vAlign w:val="center"/>
          </w:tcPr>
          <w:p w14:paraId="6D03473F">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432" w:type="pct"/>
            <w:gridSpan w:val="3"/>
            <w:vMerge w:val="continue"/>
            <w:noWrap w:val="0"/>
            <w:vAlign w:val="center"/>
          </w:tcPr>
          <w:p w14:paraId="3908202E">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45" w:type="pct"/>
            <w:noWrap w:val="0"/>
            <w:vAlign w:val="center"/>
          </w:tcPr>
          <w:p w14:paraId="33F292E3">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完成情况</w:t>
            </w:r>
          </w:p>
        </w:tc>
        <w:tc>
          <w:tcPr>
            <w:tcW w:w="192" w:type="pct"/>
            <w:vMerge w:val="continue"/>
            <w:noWrap w:val="0"/>
            <w:vAlign w:val="center"/>
          </w:tcPr>
          <w:p w14:paraId="4D256903">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1" w:type="pct"/>
            <w:vMerge w:val="continue"/>
            <w:noWrap w:val="0"/>
            <w:vAlign w:val="center"/>
          </w:tcPr>
          <w:p w14:paraId="1DA582CE">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2" w:type="pct"/>
            <w:vMerge w:val="continue"/>
            <w:noWrap w:val="0"/>
            <w:vAlign w:val="center"/>
          </w:tcPr>
          <w:p w14:paraId="7311BBB2">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0" w:type="pct"/>
            <w:noWrap w:val="0"/>
            <w:vAlign w:val="center"/>
          </w:tcPr>
          <w:p w14:paraId="09B40E49">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无黑臭水体</w:t>
            </w:r>
          </w:p>
        </w:tc>
        <w:tc>
          <w:tcPr>
            <w:tcW w:w="367" w:type="pct"/>
            <w:noWrap w:val="0"/>
            <w:vAlign w:val="center"/>
          </w:tcPr>
          <w:p w14:paraId="4936E290">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无黑臭水体</w:t>
            </w:r>
          </w:p>
        </w:tc>
        <w:tc>
          <w:tcPr>
            <w:tcW w:w="361" w:type="pct"/>
            <w:noWrap w:val="0"/>
            <w:vAlign w:val="center"/>
          </w:tcPr>
          <w:p w14:paraId="1C465546">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无黑臭水体</w:t>
            </w:r>
          </w:p>
        </w:tc>
        <w:tc>
          <w:tcPr>
            <w:tcW w:w="381" w:type="pct"/>
            <w:noWrap w:val="0"/>
            <w:vAlign w:val="center"/>
          </w:tcPr>
          <w:p w14:paraId="10D6ADDE">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无黑臭水体</w:t>
            </w:r>
          </w:p>
        </w:tc>
        <w:tc>
          <w:tcPr>
            <w:tcW w:w="357" w:type="pct"/>
            <w:noWrap w:val="0"/>
            <w:vAlign w:val="center"/>
          </w:tcPr>
          <w:p w14:paraId="7231D471">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无黑臭水体</w:t>
            </w:r>
          </w:p>
        </w:tc>
        <w:tc>
          <w:tcPr>
            <w:tcW w:w="1276" w:type="pct"/>
            <w:vMerge w:val="continue"/>
            <w:noWrap w:val="0"/>
            <w:vAlign w:val="center"/>
          </w:tcPr>
          <w:p w14:paraId="1BE631FE">
            <w:pPr>
              <w:spacing w:line="260" w:lineRule="exact"/>
              <w:jc w:val="center"/>
              <w:rPr>
                <w:rFonts w:hint="default" w:ascii="Times New Roman" w:hAnsi="Times New Roman" w:eastAsia="仿宋" w:cs="Times New Roman"/>
                <w:color w:val="auto"/>
                <w:sz w:val="21"/>
                <w:szCs w:val="21"/>
                <w:lang w:val="en-US" w:eastAsia="zh-CN"/>
              </w:rPr>
            </w:pPr>
          </w:p>
        </w:tc>
      </w:tr>
      <w:tr w14:paraId="34459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14:paraId="4B855CAF">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14:paraId="248C5086">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noWrap w:val="0"/>
            <w:vAlign w:val="center"/>
          </w:tcPr>
          <w:p w14:paraId="36351D00">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w:t>
            </w:r>
          </w:p>
        </w:tc>
        <w:tc>
          <w:tcPr>
            <w:tcW w:w="678" w:type="pct"/>
            <w:gridSpan w:val="4"/>
            <w:noWrap w:val="0"/>
            <w:vAlign w:val="center"/>
          </w:tcPr>
          <w:p w14:paraId="6190BB51">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城市声环境质量</w:t>
            </w:r>
          </w:p>
        </w:tc>
        <w:tc>
          <w:tcPr>
            <w:tcW w:w="192" w:type="pct"/>
            <w:noWrap w:val="0"/>
            <w:vAlign w:val="center"/>
          </w:tcPr>
          <w:p w14:paraId="518A09DC">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14:paraId="3FF7397F">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2" w:type="pct"/>
            <w:noWrap w:val="0"/>
            <w:vAlign w:val="center"/>
          </w:tcPr>
          <w:p w14:paraId="0ADE8734">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声环境功能区夜间达标率≥85</w:t>
            </w:r>
          </w:p>
        </w:tc>
        <w:tc>
          <w:tcPr>
            <w:tcW w:w="320" w:type="pct"/>
            <w:noWrap w:val="0"/>
            <w:vAlign w:val="center"/>
          </w:tcPr>
          <w:p w14:paraId="6BDAC46D">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未划分功能区划</w:t>
            </w:r>
          </w:p>
        </w:tc>
        <w:tc>
          <w:tcPr>
            <w:tcW w:w="367" w:type="pct"/>
            <w:noWrap w:val="0"/>
            <w:vAlign w:val="center"/>
          </w:tcPr>
          <w:p w14:paraId="0F43E11D">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未划分功能区划</w:t>
            </w:r>
          </w:p>
        </w:tc>
        <w:tc>
          <w:tcPr>
            <w:tcW w:w="361" w:type="pct"/>
            <w:noWrap w:val="0"/>
            <w:vAlign w:val="center"/>
          </w:tcPr>
          <w:p w14:paraId="71619946">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81" w:type="pct"/>
            <w:noWrap w:val="0"/>
            <w:vAlign w:val="center"/>
          </w:tcPr>
          <w:p w14:paraId="2685D78C">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57" w:type="pct"/>
            <w:noWrap w:val="0"/>
            <w:vAlign w:val="center"/>
          </w:tcPr>
          <w:p w14:paraId="5AEFB4ED">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1276" w:type="pct"/>
            <w:noWrap w:val="0"/>
            <w:vAlign w:val="center"/>
          </w:tcPr>
          <w:p w14:paraId="08E2D5F9">
            <w:pPr>
              <w:spacing w:line="26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根据《新平县声环境功能区划》，2019年和2021年声环境质量监测报告及总结材料，功能区夜间监测点均满足功能区要求。</w:t>
            </w:r>
          </w:p>
        </w:tc>
      </w:tr>
      <w:tr w14:paraId="5954B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14:paraId="7A7A8DC4">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restart"/>
            <w:noWrap w:val="0"/>
            <w:vAlign w:val="center"/>
          </w:tcPr>
          <w:p w14:paraId="1735D558">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（三）</w:t>
            </w:r>
          </w:p>
          <w:p w14:paraId="19839D11">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生态系统保护</w:t>
            </w:r>
          </w:p>
        </w:tc>
        <w:tc>
          <w:tcPr>
            <w:tcW w:w="102" w:type="pct"/>
            <w:noWrap w:val="0"/>
            <w:vAlign w:val="center"/>
          </w:tcPr>
          <w:p w14:paraId="2AE52D65">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11</w:t>
            </w:r>
          </w:p>
        </w:tc>
        <w:tc>
          <w:tcPr>
            <w:tcW w:w="678" w:type="pct"/>
            <w:gridSpan w:val="4"/>
            <w:noWrap w:val="0"/>
            <w:vAlign w:val="center"/>
          </w:tcPr>
          <w:p w14:paraId="0CFD0F19">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生态环境状况指数</w:t>
            </w:r>
          </w:p>
        </w:tc>
        <w:tc>
          <w:tcPr>
            <w:tcW w:w="192" w:type="pct"/>
            <w:noWrap w:val="0"/>
            <w:vAlign w:val="center"/>
          </w:tcPr>
          <w:p w14:paraId="47EB9FB2">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14:paraId="747AA5ED">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≥60</w:t>
            </w:r>
          </w:p>
        </w:tc>
        <w:tc>
          <w:tcPr>
            <w:tcW w:w="322" w:type="pct"/>
            <w:noWrap w:val="0"/>
            <w:vAlign w:val="center"/>
          </w:tcPr>
          <w:p w14:paraId="7F9E035A">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保持稳定或变好</w:t>
            </w:r>
          </w:p>
        </w:tc>
        <w:tc>
          <w:tcPr>
            <w:tcW w:w="320" w:type="pct"/>
            <w:noWrap w:val="0"/>
            <w:vAlign w:val="center"/>
          </w:tcPr>
          <w:p w14:paraId="561F8290">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67" w:type="pct"/>
            <w:noWrap w:val="0"/>
            <w:vAlign w:val="center"/>
          </w:tcPr>
          <w:p w14:paraId="2783EC72">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61" w:type="pct"/>
            <w:noWrap w:val="0"/>
            <w:vAlign w:val="center"/>
          </w:tcPr>
          <w:p w14:paraId="22A25C3C">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79.28</w:t>
            </w:r>
          </w:p>
        </w:tc>
        <w:tc>
          <w:tcPr>
            <w:tcW w:w="381" w:type="pct"/>
            <w:noWrap w:val="0"/>
            <w:vAlign w:val="center"/>
          </w:tcPr>
          <w:p w14:paraId="613C518B">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77.71</w:t>
            </w:r>
          </w:p>
        </w:tc>
        <w:tc>
          <w:tcPr>
            <w:tcW w:w="357" w:type="pct"/>
            <w:noWrap w:val="0"/>
            <w:vAlign w:val="center"/>
          </w:tcPr>
          <w:p w14:paraId="57641FD2">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79.1</w:t>
            </w:r>
          </w:p>
        </w:tc>
        <w:tc>
          <w:tcPr>
            <w:tcW w:w="1276" w:type="pct"/>
            <w:noWrap w:val="0"/>
            <w:vAlign w:val="center"/>
          </w:tcPr>
          <w:p w14:paraId="59CC62B1">
            <w:pPr>
              <w:spacing w:line="26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根据云南省生态环境厅《云南省生态环境监测中心关于玉溪市新平县生态环境质量状况说明的函》，新平县2021年生态环境状况指数为79.1。</w:t>
            </w:r>
          </w:p>
        </w:tc>
      </w:tr>
      <w:tr w14:paraId="43047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14:paraId="200CC019">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14:paraId="624FDD52">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vMerge w:val="restart"/>
            <w:noWrap w:val="0"/>
            <w:vAlign w:val="center"/>
          </w:tcPr>
          <w:p w14:paraId="52B21549">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12</w:t>
            </w:r>
          </w:p>
        </w:tc>
        <w:tc>
          <w:tcPr>
            <w:tcW w:w="678" w:type="pct"/>
            <w:gridSpan w:val="4"/>
            <w:noWrap w:val="0"/>
            <w:vAlign w:val="center"/>
          </w:tcPr>
          <w:p w14:paraId="5415CCC0">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林草覆盖率</w:t>
            </w:r>
          </w:p>
        </w:tc>
        <w:tc>
          <w:tcPr>
            <w:tcW w:w="192" w:type="pct"/>
            <w:noWrap w:val="0"/>
            <w:vAlign w:val="center"/>
          </w:tcPr>
          <w:p w14:paraId="0154B925">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14:paraId="73BA15D6">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林草覆盖率≥60</w:t>
            </w:r>
          </w:p>
        </w:tc>
        <w:tc>
          <w:tcPr>
            <w:tcW w:w="322" w:type="pct"/>
            <w:noWrap w:val="0"/>
            <w:vAlign w:val="center"/>
          </w:tcPr>
          <w:p w14:paraId="03D59EF7">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0" w:type="pct"/>
            <w:noWrap w:val="0"/>
            <w:vAlign w:val="center"/>
          </w:tcPr>
          <w:p w14:paraId="6A36EDAD">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64.6</w:t>
            </w:r>
          </w:p>
        </w:tc>
        <w:tc>
          <w:tcPr>
            <w:tcW w:w="367" w:type="pct"/>
            <w:noWrap w:val="0"/>
            <w:vAlign w:val="center"/>
          </w:tcPr>
          <w:p w14:paraId="12DA224E">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65.2</w:t>
            </w:r>
          </w:p>
        </w:tc>
        <w:tc>
          <w:tcPr>
            <w:tcW w:w="361" w:type="pct"/>
            <w:noWrap w:val="0"/>
            <w:vAlign w:val="center"/>
          </w:tcPr>
          <w:p w14:paraId="66F2DE52">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69.54</w:t>
            </w:r>
          </w:p>
        </w:tc>
        <w:tc>
          <w:tcPr>
            <w:tcW w:w="381" w:type="pct"/>
            <w:noWrap w:val="0"/>
            <w:vAlign w:val="center"/>
          </w:tcPr>
          <w:p w14:paraId="7B2B4320">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73.71</w:t>
            </w:r>
          </w:p>
        </w:tc>
        <w:tc>
          <w:tcPr>
            <w:tcW w:w="357" w:type="pct"/>
            <w:noWrap w:val="0"/>
            <w:vAlign w:val="center"/>
          </w:tcPr>
          <w:p w14:paraId="12C90888">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73.71</w:t>
            </w:r>
          </w:p>
        </w:tc>
        <w:tc>
          <w:tcPr>
            <w:tcW w:w="1276" w:type="pct"/>
            <w:noWrap w:val="0"/>
            <w:vAlign w:val="center"/>
          </w:tcPr>
          <w:p w14:paraId="29EB2AEA">
            <w:pPr>
              <w:spacing w:line="26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2017</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2020年森林覆盖率数据来源为《云南省森林资源主要指标监测报告》《新平县森林资源调查报告或监测报告》，2021年森林覆盖率暂未公报，因此沿用2020年数据。2020-2021草地面积根据国土调查数据核定，为2151.22公顷；2017</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2019年因草地面积未核定，该指标2017</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2019年林草覆盖率数值采用森林覆盖数值。</w:t>
            </w:r>
          </w:p>
        </w:tc>
      </w:tr>
      <w:tr w14:paraId="42821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14:paraId="50732522">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14:paraId="0E49854E">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vMerge w:val="continue"/>
            <w:noWrap w:val="0"/>
            <w:vAlign w:val="center"/>
          </w:tcPr>
          <w:p w14:paraId="7BA9C6E7">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678" w:type="pct"/>
            <w:gridSpan w:val="4"/>
            <w:noWrap w:val="0"/>
            <w:vAlign w:val="center"/>
          </w:tcPr>
          <w:p w14:paraId="4A4F450C">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森林覆盖率</w:t>
            </w:r>
          </w:p>
        </w:tc>
        <w:tc>
          <w:tcPr>
            <w:tcW w:w="192" w:type="pct"/>
            <w:noWrap w:val="0"/>
            <w:vAlign w:val="center"/>
          </w:tcPr>
          <w:p w14:paraId="256D22E9">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1" w:type="pct"/>
            <w:noWrap w:val="0"/>
            <w:vAlign w:val="center"/>
          </w:tcPr>
          <w:p w14:paraId="063AA921">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2" w:type="pct"/>
            <w:noWrap w:val="0"/>
            <w:vAlign w:val="center"/>
          </w:tcPr>
          <w:p w14:paraId="34571261">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森林覆盖率≥60或逐年提高</w:t>
            </w:r>
          </w:p>
        </w:tc>
        <w:tc>
          <w:tcPr>
            <w:tcW w:w="320" w:type="pct"/>
            <w:noWrap w:val="0"/>
            <w:vAlign w:val="center"/>
          </w:tcPr>
          <w:p w14:paraId="27A64520">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64.6</w:t>
            </w:r>
          </w:p>
        </w:tc>
        <w:tc>
          <w:tcPr>
            <w:tcW w:w="367" w:type="pct"/>
            <w:noWrap w:val="0"/>
            <w:vAlign w:val="center"/>
          </w:tcPr>
          <w:p w14:paraId="7ECAFA86">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65.2</w:t>
            </w:r>
          </w:p>
        </w:tc>
        <w:tc>
          <w:tcPr>
            <w:tcW w:w="361" w:type="pct"/>
            <w:noWrap w:val="0"/>
            <w:vAlign w:val="center"/>
          </w:tcPr>
          <w:p w14:paraId="3C92B286">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69.54</w:t>
            </w:r>
          </w:p>
        </w:tc>
        <w:tc>
          <w:tcPr>
            <w:tcW w:w="381" w:type="pct"/>
            <w:noWrap w:val="0"/>
            <w:vAlign w:val="center"/>
          </w:tcPr>
          <w:p w14:paraId="53CD6B68">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73.66</w:t>
            </w:r>
          </w:p>
        </w:tc>
        <w:tc>
          <w:tcPr>
            <w:tcW w:w="357" w:type="pct"/>
            <w:noWrap w:val="0"/>
            <w:vAlign w:val="center"/>
          </w:tcPr>
          <w:p w14:paraId="634B2CCE">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73.66</w:t>
            </w:r>
          </w:p>
        </w:tc>
        <w:tc>
          <w:tcPr>
            <w:tcW w:w="1276" w:type="pct"/>
            <w:noWrap w:val="0"/>
            <w:vAlign w:val="center"/>
          </w:tcPr>
          <w:p w14:paraId="771DC6EF">
            <w:pPr>
              <w:spacing w:line="26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2017</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2020年森林覆盖率数据来源为《云南省森林资源主要指标监测报告》《新平县森林资源调查报告或监测报告》，2021年森林覆盖率暂未公报，因此沿用2020年数据。</w:t>
            </w:r>
          </w:p>
        </w:tc>
      </w:tr>
      <w:tr w14:paraId="30D23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14:paraId="7C3CD1AB">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14:paraId="6DFD3420">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vMerge w:val="restart"/>
            <w:noWrap w:val="0"/>
            <w:vAlign w:val="center"/>
          </w:tcPr>
          <w:p w14:paraId="136D437F">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13</w:t>
            </w:r>
          </w:p>
        </w:tc>
        <w:tc>
          <w:tcPr>
            <w:tcW w:w="678" w:type="pct"/>
            <w:gridSpan w:val="4"/>
            <w:noWrap w:val="0"/>
            <w:vAlign w:val="center"/>
          </w:tcPr>
          <w:p w14:paraId="6BBB59F0">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生物多样性保护</w:t>
            </w:r>
          </w:p>
        </w:tc>
        <w:tc>
          <w:tcPr>
            <w:tcW w:w="192" w:type="pct"/>
            <w:noWrap w:val="0"/>
            <w:vAlign w:val="center"/>
          </w:tcPr>
          <w:p w14:paraId="3346E095">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1" w:type="pct"/>
            <w:noWrap w:val="0"/>
            <w:vAlign w:val="center"/>
          </w:tcPr>
          <w:p w14:paraId="7D0E122B">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2" w:type="pct"/>
            <w:noWrap w:val="0"/>
            <w:vAlign w:val="center"/>
          </w:tcPr>
          <w:p w14:paraId="1AB5F632">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0" w:type="pct"/>
            <w:noWrap w:val="0"/>
            <w:vAlign w:val="center"/>
          </w:tcPr>
          <w:p w14:paraId="3FCFD62D">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67" w:type="pct"/>
            <w:noWrap w:val="0"/>
            <w:vAlign w:val="center"/>
          </w:tcPr>
          <w:p w14:paraId="745DB712">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61" w:type="pct"/>
            <w:noWrap w:val="0"/>
            <w:vAlign w:val="center"/>
          </w:tcPr>
          <w:p w14:paraId="2C159F36">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81" w:type="pct"/>
            <w:noWrap w:val="0"/>
            <w:vAlign w:val="center"/>
          </w:tcPr>
          <w:p w14:paraId="75384F6E">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57" w:type="pct"/>
            <w:noWrap w:val="0"/>
            <w:vAlign w:val="center"/>
          </w:tcPr>
          <w:p w14:paraId="43E76D55">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276" w:type="pct"/>
            <w:vMerge w:val="restart"/>
            <w:noWrap w:val="0"/>
            <w:vAlign w:val="center"/>
          </w:tcPr>
          <w:p w14:paraId="4698ABB7">
            <w:pPr>
              <w:spacing w:line="26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根据《新平县分布国家重点保护野生动植物目录（2021年）》，新平县境内国家一级保护植物有4种，国家一级保护动物共21种。长期以来，新平县切实加强生物多样性保护和生态修复，不断完善生物多样性保护规划及管理体系，加大监管和执法力度，生物多样性保护工作取得显著成效。根据县林草局、水务局、农业农村局调查，境内有薇甘菊、空心莲子草（水花生）、凤眼莲（水葫芦）3种等外来入侵植物物种，县内外来物种未造成明显影响。新平县境内并无特有性或指示性水生物种</w:t>
            </w:r>
          </w:p>
        </w:tc>
      </w:tr>
      <w:tr w14:paraId="2496E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00" w:hRule="atLeast"/>
          <w:jc w:val="center"/>
        </w:trPr>
        <w:tc>
          <w:tcPr>
            <w:tcW w:w="105" w:type="pct"/>
            <w:vMerge w:val="continue"/>
            <w:noWrap w:val="0"/>
            <w:vAlign w:val="center"/>
          </w:tcPr>
          <w:p w14:paraId="3EF0E44C">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14:paraId="16D91C50">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vMerge w:val="continue"/>
            <w:noWrap w:val="0"/>
            <w:vAlign w:val="center"/>
          </w:tcPr>
          <w:p w14:paraId="2636F39D">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678" w:type="pct"/>
            <w:gridSpan w:val="4"/>
            <w:noWrap w:val="0"/>
            <w:vAlign w:val="center"/>
          </w:tcPr>
          <w:p w14:paraId="7943EC97">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（1）国家重点保护野生动植物保护率</w:t>
            </w:r>
          </w:p>
        </w:tc>
        <w:tc>
          <w:tcPr>
            <w:tcW w:w="192" w:type="pct"/>
            <w:noWrap w:val="0"/>
            <w:vAlign w:val="center"/>
          </w:tcPr>
          <w:p w14:paraId="326AA5FC">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14:paraId="16AB22F9">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≥95</w:t>
            </w:r>
          </w:p>
        </w:tc>
        <w:tc>
          <w:tcPr>
            <w:tcW w:w="322" w:type="pct"/>
            <w:noWrap w:val="0"/>
            <w:vAlign w:val="center"/>
          </w:tcPr>
          <w:p w14:paraId="3FD57467">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≥85</w:t>
            </w:r>
          </w:p>
        </w:tc>
        <w:tc>
          <w:tcPr>
            <w:tcW w:w="320" w:type="pct"/>
            <w:noWrap w:val="0"/>
            <w:vAlign w:val="center"/>
          </w:tcPr>
          <w:p w14:paraId="35376485">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95</w:t>
            </w:r>
          </w:p>
        </w:tc>
        <w:tc>
          <w:tcPr>
            <w:tcW w:w="367" w:type="pct"/>
            <w:noWrap w:val="0"/>
            <w:vAlign w:val="center"/>
          </w:tcPr>
          <w:p w14:paraId="3B021978">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95</w:t>
            </w:r>
          </w:p>
        </w:tc>
        <w:tc>
          <w:tcPr>
            <w:tcW w:w="361" w:type="pct"/>
            <w:noWrap w:val="0"/>
            <w:vAlign w:val="center"/>
          </w:tcPr>
          <w:p w14:paraId="503E85A2">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95</w:t>
            </w:r>
          </w:p>
        </w:tc>
        <w:tc>
          <w:tcPr>
            <w:tcW w:w="381" w:type="pct"/>
            <w:noWrap w:val="0"/>
            <w:vAlign w:val="center"/>
          </w:tcPr>
          <w:p w14:paraId="3AFD75BD">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95</w:t>
            </w:r>
          </w:p>
        </w:tc>
        <w:tc>
          <w:tcPr>
            <w:tcW w:w="357" w:type="pct"/>
            <w:noWrap w:val="0"/>
            <w:vAlign w:val="center"/>
          </w:tcPr>
          <w:p w14:paraId="163BEC12">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95</w:t>
            </w:r>
          </w:p>
        </w:tc>
        <w:tc>
          <w:tcPr>
            <w:tcW w:w="1276" w:type="pct"/>
            <w:vMerge w:val="continue"/>
            <w:noWrap w:val="0"/>
            <w:vAlign w:val="center"/>
          </w:tcPr>
          <w:p w14:paraId="4772A9F4">
            <w:pPr>
              <w:spacing w:line="260" w:lineRule="exact"/>
              <w:jc w:val="center"/>
              <w:rPr>
                <w:rFonts w:hint="default" w:ascii="Times New Roman" w:hAnsi="Times New Roman" w:eastAsia="仿宋" w:cs="Times New Roman"/>
                <w:color w:val="auto"/>
                <w:sz w:val="21"/>
                <w:szCs w:val="21"/>
                <w:lang w:val="en-US" w:eastAsia="zh-CN"/>
              </w:rPr>
            </w:pPr>
          </w:p>
        </w:tc>
      </w:tr>
      <w:tr w14:paraId="41341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14" w:hRule="atLeast"/>
          <w:jc w:val="center"/>
        </w:trPr>
        <w:tc>
          <w:tcPr>
            <w:tcW w:w="105" w:type="pct"/>
            <w:vMerge w:val="continue"/>
            <w:noWrap w:val="0"/>
            <w:vAlign w:val="center"/>
          </w:tcPr>
          <w:p w14:paraId="11B07EB9">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14:paraId="1342EE4E">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vMerge w:val="continue"/>
            <w:noWrap w:val="0"/>
            <w:vAlign w:val="center"/>
          </w:tcPr>
          <w:p w14:paraId="7562DAB0">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678" w:type="pct"/>
            <w:gridSpan w:val="4"/>
            <w:noWrap w:val="0"/>
            <w:vAlign w:val="center"/>
          </w:tcPr>
          <w:p w14:paraId="7EAD6CBF">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（2）外来物种入侵</w:t>
            </w:r>
          </w:p>
          <w:p w14:paraId="1612261C">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92" w:type="pct"/>
            <w:noWrap w:val="0"/>
            <w:vAlign w:val="center"/>
          </w:tcPr>
          <w:p w14:paraId="1E28A341">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14:paraId="5862C501">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不明显</w:t>
            </w:r>
          </w:p>
        </w:tc>
        <w:tc>
          <w:tcPr>
            <w:tcW w:w="322" w:type="pct"/>
            <w:noWrap w:val="0"/>
            <w:vAlign w:val="center"/>
          </w:tcPr>
          <w:p w14:paraId="0BEDE0A9">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不明显</w:t>
            </w:r>
          </w:p>
        </w:tc>
        <w:tc>
          <w:tcPr>
            <w:tcW w:w="320" w:type="pct"/>
            <w:noWrap w:val="0"/>
            <w:vAlign w:val="center"/>
          </w:tcPr>
          <w:p w14:paraId="01DD4214">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不明显</w:t>
            </w:r>
          </w:p>
        </w:tc>
        <w:tc>
          <w:tcPr>
            <w:tcW w:w="367" w:type="pct"/>
            <w:noWrap w:val="0"/>
            <w:vAlign w:val="center"/>
          </w:tcPr>
          <w:p w14:paraId="7170ACDA">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不明显</w:t>
            </w:r>
          </w:p>
        </w:tc>
        <w:tc>
          <w:tcPr>
            <w:tcW w:w="361" w:type="pct"/>
            <w:noWrap w:val="0"/>
            <w:vAlign w:val="center"/>
          </w:tcPr>
          <w:p w14:paraId="3F630310">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不明显</w:t>
            </w:r>
          </w:p>
        </w:tc>
        <w:tc>
          <w:tcPr>
            <w:tcW w:w="381" w:type="pct"/>
            <w:noWrap w:val="0"/>
            <w:vAlign w:val="center"/>
          </w:tcPr>
          <w:p w14:paraId="754E9453">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不明显</w:t>
            </w:r>
          </w:p>
        </w:tc>
        <w:tc>
          <w:tcPr>
            <w:tcW w:w="357" w:type="pct"/>
            <w:noWrap w:val="0"/>
            <w:vAlign w:val="center"/>
          </w:tcPr>
          <w:p w14:paraId="37F2E4D4">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不明显</w:t>
            </w:r>
          </w:p>
        </w:tc>
        <w:tc>
          <w:tcPr>
            <w:tcW w:w="1276" w:type="pct"/>
            <w:vMerge w:val="continue"/>
            <w:noWrap w:val="0"/>
            <w:vAlign w:val="center"/>
          </w:tcPr>
          <w:p w14:paraId="53D0EF78">
            <w:pPr>
              <w:spacing w:line="260" w:lineRule="exact"/>
              <w:jc w:val="center"/>
              <w:rPr>
                <w:rFonts w:hint="default" w:ascii="Times New Roman" w:hAnsi="Times New Roman" w:eastAsia="仿宋" w:cs="Times New Roman"/>
                <w:color w:val="auto"/>
                <w:sz w:val="21"/>
                <w:szCs w:val="21"/>
                <w:lang w:val="en-US" w:eastAsia="zh-CN"/>
              </w:rPr>
            </w:pPr>
          </w:p>
        </w:tc>
      </w:tr>
      <w:tr w14:paraId="17F5C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6" w:hRule="atLeast"/>
          <w:jc w:val="center"/>
        </w:trPr>
        <w:tc>
          <w:tcPr>
            <w:tcW w:w="105" w:type="pct"/>
            <w:vMerge w:val="continue"/>
            <w:noWrap w:val="0"/>
            <w:vAlign w:val="center"/>
          </w:tcPr>
          <w:p w14:paraId="58AE1A8B">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14:paraId="67385559">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vMerge w:val="continue"/>
            <w:noWrap w:val="0"/>
            <w:vAlign w:val="center"/>
          </w:tcPr>
          <w:p w14:paraId="3CFE3EFE">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678" w:type="pct"/>
            <w:gridSpan w:val="4"/>
            <w:noWrap w:val="0"/>
            <w:vAlign w:val="center"/>
          </w:tcPr>
          <w:p w14:paraId="431FCFA8">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（3）特有性或指示性水生物种保持率</w:t>
            </w:r>
          </w:p>
        </w:tc>
        <w:tc>
          <w:tcPr>
            <w:tcW w:w="192" w:type="pct"/>
            <w:noWrap w:val="0"/>
            <w:vAlign w:val="center"/>
          </w:tcPr>
          <w:p w14:paraId="1522D541">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14:paraId="77D8FA57">
            <w:pPr>
              <w:spacing w:line="260" w:lineRule="exact"/>
              <w:jc w:val="center"/>
              <w:rPr>
                <w:rFonts w:hint="eastAsia"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新平县境内并无特有性或指示性水生物种</w:t>
            </w:r>
          </w:p>
        </w:tc>
        <w:tc>
          <w:tcPr>
            <w:tcW w:w="322" w:type="pct"/>
            <w:noWrap w:val="0"/>
            <w:vAlign w:val="center"/>
          </w:tcPr>
          <w:p w14:paraId="3CC3D253">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新平县境内并无特有性或指示性水生物种</w:t>
            </w:r>
          </w:p>
        </w:tc>
        <w:tc>
          <w:tcPr>
            <w:tcW w:w="320" w:type="pct"/>
            <w:noWrap w:val="0"/>
            <w:vAlign w:val="center"/>
          </w:tcPr>
          <w:p w14:paraId="2C43C7D2">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无特有性或指示性水生物种</w:t>
            </w:r>
          </w:p>
        </w:tc>
        <w:tc>
          <w:tcPr>
            <w:tcW w:w="367" w:type="pct"/>
            <w:noWrap w:val="0"/>
            <w:vAlign w:val="center"/>
          </w:tcPr>
          <w:p w14:paraId="7245686D">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无特有性或指示性水生物种</w:t>
            </w:r>
          </w:p>
        </w:tc>
        <w:tc>
          <w:tcPr>
            <w:tcW w:w="361" w:type="pct"/>
            <w:noWrap w:val="0"/>
            <w:vAlign w:val="center"/>
          </w:tcPr>
          <w:p w14:paraId="505AAB95">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无特有性或指示性水生物种</w:t>
            </w:r>
          </w:p>
        </w:tc>
        <w:tc>
          <w:tcPr>
            <w:tcW w:w="381" w:type="pct"/>
            <w:noWrap w:val="0"/>
            <w:vAlign w:val="center"/>
          </w:tcPr>
          <w:p w14:paraId="50E63461">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无特有性或指示性水生物种</w:t>
            </w:r>
          </w:p>
        </w:tc>
        <w:tc>
          <w:tcPr>
            <w:tcW w:w="357" w:type="pct"/>
            <w:noWrap w:val="0"/>
            <w:vAlign w:val="center"/>
          </w:tcPr>
          <w:p w14:paraId="1E947ABA">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无特有性或指示性水生物种</w:t>
            </w:r>
          </w:p>
        </w:tc>
        <w:tc>
          <w:tcPr>
            <w:tcW w:w="1276" w:type="pct"/>
            <w:vMerge w:val="continue"/>
            <w:noWrap w:val="0"/>
            <w:vAlign w:val="center"/>
          </w:tcPr>
          <w:p w14:paraId="3DB86B39">
            <w:pPr>
              <w:spacing w:line="260" w:lineRule="exact"/>
              <w:jc w:val="center"/>
              <w:rPr>
                <w:rFonts w:hint="default" w:ascii="Times New Roman" w:hAnsi="Times New Roman" w:eastAsia="仿宋" w:cs="Times New Roman"/>
                <w:color w:val="auto"/>
                <w:sz w:val="21"/>
                <w:szCs w:val="21"/>
                <w:lang w:val="en-US" w:eastAsia="zh-CN"/>
              </w:rPr>
            </w:pPr>
          </w:p>
        </w:tc>
      </w:tr>
      <w:tr w14:paraId="0FA8F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14:paraId="17341193">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restart"/>
            <w:noWrap w:val="0"/>
            <w:vAlign w:val="center"/>
          </w:tcPr>
          <w:p w14:paraId="5989FF49">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（四）</w:t>
            </w:r>
          </w:p>
          <w:p w14:paraId="240D19C4">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生态环境风险防范</w:t>
            </w:r>
          </w:p>
        </w:tc>
        <w:tc>
          <w:tcPr>
            <w:tcW w:w="102" w:type="pct"/>
            <w:noWrap w:val="0"/>
            <w:vAlign w:val="center"/>
          </w:tcPr>
          <w:p w14:paraId="4E5AFC8E">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14</w:t>
            </w:r>
          </w:p>
        </w:tc>
        <w:tc>
          <w:tcPr>
            <w:tcW w:w="678" w:type="pct"/>
            <w:gridSpan w:val="4"/>
            <w:noWrap w:val="0"/>
            <w:vAlign w:val="center"/>
          </w:tcPr>
          <w:p w14:paraId="0C1CA712">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危险废物利用处置率</w:t>
            </w:r>
          </w:p>
        </w:tc>
        <w:tc>
          <w:tcPr>
            <w:tcW w:w="192" w:type="pct"/>
            <w:noWrap w:val="0"/>
            <w:vAlign w:val="center"/>
          </w:tcPr>
          <w:p w14:paraId="0F8CE988">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14:paraId="009650F1">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22" w:type="pct"/>
            <w:noWrap w:val="0"/>
            <w:vAlign w:val="center"/>
          </w:tcPr>
          <w:p w14:paraId="70D54A1F">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20" w:type="pct"/>
            <w:noWrap w:val="0"/>
            <w:vAlign w:val="center"/>
          </w:tcPr>
          <w:p w14:paraId="38197152">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67" w:type="pct"/>
            <w:noWrap w:val="0"/>
            <w:vAlign w:val="center"/>
          </w:tcPr>
          <w:p w14:paraId="639B3F05">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61" w:type="pct"/>
            <w:noWrap w:val="0"/>
            <w:vAlign w:val="center"/>
          </w:tcPr>
          <w:p w14:paraId="7A511460">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81" w:type="pct"/>
            <w:noWrap w:val="0"/>
            <w:vAlign w:val="center"/>
          </w:tcPr>
          <w:p w14:paraId="0463DE6F">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57" w:type="pct"/>
            <w:noWrap w:val="0"/>
            <w:vAlign w:val="center"/>
          </w:tcPr>
          <w:p w14:paraId="4A8CC369">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1276" w:type="pct"/>
            <w:noWrap w:val="0"/>
            <w:vAlign w:val="center"/>
          </w:tcPr>
          <w:p w14:paraId="270237D4">
            <w:pPr>
              <w:spacing w:line="26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根据新平县2016</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2021年环境统计危险废物统计表及新平县卫健局2016</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2021年医疗废物统计表。全县危险废物和医疗废物均由有资质的第三方进行收集处理。</w:t>
            </w:r>
          </w:p>
        </w:tc>
      </w:tr>
      <w:tr w14:paraId="33A22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14:paraId="1F319BA2">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14:paraId="1BFF9D11">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noWrap w:val="0"/>
            <w:vAlign w:val="center"/>
          </w:tcPr>
          <w:p w14:paraId="4B6E74DC">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15</w:t>
            </w:r>
          </w:p>
        </w:tc>
        <w:tc>
          <w:tcPr>
            <w:tcW w:w="678" w:type="pct"/>
            <w:gridSpan w:val="4"/>
            <w:noWrap w:val="0"/>
            <w:vAlign w:val="center"/>
          </w:tcPr>
          <w:p w14:paraId="5027D84E">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突发生态环境事件应急管理机制</w:t>
            </w:r>
          </w:p>
        </w:tc>
        <w:tc>
          <w:tcPr>
            <w:tcW w:w="192" w:type="pct"/>
            <w:noWrap w:val="0"/>
            <w:vAlign w:val="center"/>
          </w:tcPr>
          <w:p w14:paraId="05007F1C">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14:paraId="64BE265D">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建立</w:t>
            </w:r>
          </w:p>
        </w:tc>
        <w:tc>
          <w:tcPr>
            <w:tcW w:w="322" w:type="pct"/>
            <w:noWrap w:val="0"/>
            <w:vAlign w:val="center"/>
          </w:tcPr>
          <w:p w14:paraId="48F7A602">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建立</w:t>
            </w:r>
          </w:p>
        </w:tc>
        <w:tc>
          <w:tcPr>
            <w:tcW w:w="320" w:type="pct"/>
            <w:noWrap w:val="0"/>
            <w:vAlign w:val="center"/>
          </w:tcPr>
          <w:p w14:paraId="496B2EB9">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建立</w:t>
            </w:r>
          </w:p>
        </w:tc>
        <w:tc>
          <w:tcPr>
            <w:tcW w:w="367" w:type="pct"/>
            <w:noWrap w:val="0"/>
            <w:vAlign w:val="center"/>
          </w:tcPr>
          <w:p w14:paraId="356D1BCC">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建立</w:t>
            </w:r>
          </w:p>
        </w:tc>
        <w:tc>
          <w:tcPr>
            <w:tcW w:w="361" w:type="pct"/>
            <w:noWrap w:val="0"/>
            <w:vAlign w:val="center"/>
          </w:tcPr>
          <w:p w14:paraId="75A05BF0">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建立</w:t>
            </w:r>
          </w:p>
        </w:tc>
        <w:tc>
          <w:tcPr>
            <w:tcW w:w="381" w:type="pct"/>
            <w:noWrap w:val="0"/>
            <w:vAlign w:val="center"/>
          </w:tcPr>
          <w:p w14:paraId="29CE30CA">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建立</w:t>
            </w:r>
          </w:p>
        </w:tc>
        <w:tc>
          <w:tcPr>
            <w:tcW w:w="357" w:type="pct"/>
            <w:noWrap w:val="0"/>
            <w:vAlign w:val="center"/>
          </w:tcPr>
          <w:p w14:paraId="5647F5A7">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建立</w:t>
            </w:r>
          </w:p>
        </w:tc>
        <w:tc>
          <w:tcPr>
            <w:tcW w:w="1276" w:type="pct"/>
            <w:noWrap w:val="0"/>
            <w:vAlign w:val="center"/>
          </w:tcPr>
          <w:p w14:paraId="06951162">
            <w:pPr>
              <w:spacing w:line="26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2019年12月30日，《新平彝族傣族自治县人民政府办公室关于印发新平县突发环境事件应急预案（2019年版）的通知》（新政办发〔2019〕12号）；2019年12月30日，《新平彝族傣族自治县人民政府办公室关于印发新平县重污染天气应急预案（2019年版）的通知》（新政办发〔2019〕13号）；2019年11月19日，玉溪市生态环境局新平分局关于印发《玉溪市生态环境局新平分局突发环境事件应急响应预案（2019年版）》的通知（市环新发〔2019〕49号），全县建立和不断完善突发环境事件应对工作机制，规划程序，明确职责，提高应对处置突发环境事件能力，保障公众生命财产安全和环境安全。</w:t>
            </w:r>
          </w:p>
        </w:tc>
      </w:tr>
      <w:tr w14:paraId="25B04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14:paraId="201C4F9D">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14:paraId="6BEDCB49">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noWrap w:val="0"/>
            <w:vAlign w:val="center"/>
          </w:tcPr>
          <w:p w14:paraId="1A97AE86">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16</w:t>
            </w:r>
          </w:p>
        </w:tc>
        <w:tc>
          <w:tcPr>
            <w:tcW w:w="678" w:type="pct"/>
            <w:gridSpan w:val="4"/>
            <w:noWrap w:val="0"/>
            <w:vAlign w:val="center"/>
          </w:tcPr>
          <w:p w14:paraId="1378A4F2">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建设用地土壤污染风险管控和修复名录制度</w:t>
            </w:r>
          </w:p>
        </w:tc>
        <w:tc>
          <w:tcPr>
            <w:tcW w:w="192" w:type="pct"/>
            <w:noWrap w:val="0"/>
            <w:vAlign w:val="center"/>
          </w:tcPr>
          <w:p w14:paraId="74C489F7">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14:paraId="743E499E">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建立</w:t>
            </w:r>
          </w:p>
        </w:tc>
        <w:tc>
          <w:tcPr>
            <w:tcW w:w="322" w:type="pct"/>
            <w:noWrap w:val="0"/>
            <w:vAlign w:val="center"/>
          </w:tcPr>
          <w:p w14:paraId="0A9ACBF9">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实施</w:t>
            </w:r>
          </w:p>
        </w:tc>
        <w:tc>
          <w:tcPr>
            <w:tcW w:w="320" w:type="pct"/>
            <w:noWrap w:val="0"/>
            <w:vAlign w:val="center"/>
          </w:tcPr>
          <w:p w14:paraId="13029428">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实施</w:t>
            </w:r>
          </w:p>
        </w:tc>
        <w:tc>
          <w:tcPr>
            <w:tcW w:w="367" w:type="pct"/>
            <w:noWrap w:val="0"/>
            <w:vAlign w:val="center"/>
          </w:tcPr>
          <w:p w14:paraId="3B3CE2AA">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实施</w:t>
            </w:r>
          </w:p>
        </w:tc>
        <w:tc>
          <w:tcPr>
            <w:tcW w:w="361" w:type="pct"/>
            <w:noWrap w:val="0"/>
            <w:vAlign w:val="center"/>
          </w:tcPr>
          <w:p w14:paraId="7C03F578">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实施</w:t>
            </w:r>
          </w:p>
        </w:tc>
        <w:tc>
          <w:tcPr>
            <w:tcW w:w="381" w:type="pct"/>
            <w:noWrap w:val="0"/>
            <w:vAlign w:val="center"/>
          </w:tcPr>
          <w:p w14:paraId="6C99292E">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实施</w:t>
            </w:r>
          </w:p>
        </w:tc>
        <w:tc>
          <w:tcPr>
            <w:tcW w:w="357" w:type="pct"/>
            <w:noWrap w:val="0"/>
            <w:vAlign w:val="center"/>
          </w:tcPr>
          <w:p w14:paraId="68EB46F1">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实施</w:t>
            </w:r>
          </w:p>
        </w:tc>
        <w:tc>
          <w:tcPr>
            <w:tcW w:w="1276" w:type="pct"/>
            <w:noWrap w:val="0"/>
            <w:vAlign w:val="center"/>
          </w:tcPr>
          <w:p w14:paraId="3777D950">
            <w:pPr>
              <w:spacing w:line="26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新平县认真贯彻《土壤污染防治行动计划》《云南省土壤污染防治工作方案》，以改善土壤环境质量为核心，以保障农产品质量和人居环境安全为出发点，切实推进土壤污染防治工作，建立了建设用地土壤污染风险管控和修复名录制度。</w:t>
            </w:r>
          </w:p>
        </w:tc>
      </w:tr>
      <w:tr w14:paraId="6DFC8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14:paraId="272DFA1C">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14:paraId="19E4815F">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noWrap w:val="0"/>
            <w:vAlign w:val="center"/>
          </w:tcPr>
          <w:p w14:paraId="64777A2F">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17</w:t>
            </w:r>
          </w:p>
        </w:tc>
        <w:tc>
          <w:tcPr>
            <w:tcW w:w="678" w:type="pct"/>
            <w:gridSpan w:val="4"/>
            <w:noWrap w:val="0"/>
            <w:vAlign w:val="center"/>
          </w:tcPr>
          <w:p w14:paraId="3FE63326">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受污染耕地安全利用率</w:t>
            </w:r>
          </w:p>
        </w:tc>
        <w:tc>
          <w:tcPr>
            <w:tcW w:w="192" w:type="pct"/>
            <w:noWrap w:val="0"/>
            <w:vAlign w:val="center"/>
          </w:tcPr>
          <w:p w14:paraId="3EB92486">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14:paraId="3241CC77">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2" w:type="pct"/>
            <w:noWrap w:val="0"/>
            <w:vAlign w:val="center"/>
          </w:tcPr>
          <w:p w14:paraId="01BBED19">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完成上级规定的考核任务</w:t>
            </w:r>
          </w:p>
        </w:tc>
        <w:tc>
          <w:tcPr>
            <w:tcW w:w="320" w:type="pct"/>
            <w:noWrap w:val="0"/>
            <w:vAlign w:val="center"/>
          </w:tcPr>
          <w:p w14:paraId="2978CB64">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未统计</w:t>
            </w:r>
          </w:p>
        </w:tc>
        <w:tc>
          <w:tcPr>
            <w:tcW w:w="367" w:type="pct"/>
            <w:noWrap w:val="0"/>
            <w:vAlign w:val="center"/>
          </w:tcPr>
          <w:p w14:paraId="43D7ACCE">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上级未下达任务</w:t>
            </w:r>
          </w:p>
        </w:tc>
        <w:tc>
          <w:tcPr>
            <w:tcW w:w="361" w:type="pct"/>
            <w:noWrap w:val="0"/>
            <w:vAlign w:val="center"/>
          </w:tcPr>
          <w:p w14:paraId="45094B5D">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上级未下达任务</w:t>
            </w:r>
          </w:p>
        </w:tc>
        <w:tc>
          <w:tcPr>
            <w:tcW w:w="381" w:type="pct"/>
            <w:noWrap w:val="0"/>
            <w:vAlign w:val="center"/>
          </w:tcPr>
          <w:p w14:paraId="082E8063">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完成上级规定的考核任务</w:t>
            </w:r>
          </w:p>
        </w:tc>
        <w:tc>
          <w:tcPr>
            <w:tcW w:w="357" w:type="pct"/>
            <w:noWrap w:val="0"/>
            <w:vAlign w:val="center"/>
          </w:tcPr>
          <w:p w14:paraId="1FC87120">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完成上级规定的考核任务</w:t>
            </w:r>
          </w:p>
        </w:tc>
        <w:tc>
          <w:tcPr>
            <w:tcW w:w="1276" w:type="pct"/>
            <w:noWrap w:val="0"/>
            <w:vAlign w:val="center"/>
          </w:tcPr>
          <w:p w14:paraId="1E9063E5">
            <w:pPr>
              <w:spacing w:line="26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根据《玉溪市受污染耕地安全利用工作方案（2019</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2020年）》《关于下达2021年受污染耕地安全利用目标任务的函》的要求，新平县严格管控类耕地要全部落实风险管控措施的目标要求。根据2019</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2021年《新平县年度土壤污染防治行动计划实施情况报告》，安全利用类和严格管控类的受污染耕地都得到了安全利用。</w:t>
            </w:r>
          </w:p>
        </w:tc>
      </w:tr>
      <w:tr w14:paraId="60CC8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14:paraId="0114316D">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14:paraId="342D91DD">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noWrap w:val="0"/>
            <w:vAlign w:val="center"/>
          </w:tcPr>
          <w:p w14:paraId="1B1B9870">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18</w:t>
            </w:r>
          </w:p>
        </w:tc>
        <w:tc>
          <w:tcPr>
            <w:tcW w:w="678" w:type="pct"/>
            <w:gridSpan w:val="4"/>
            <w:noWrap w:val="0"/>
            <w:vAlign w:val="center"/>
          </w:tcPr>
          <w:p w14:paraId="4B2E4111">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重点建设用地安全利用</w:t>
            </w:r>
          </w:p>
        </w:tc>
        <w:tc>
          <w:tcPr>
            <w:tcW w:w="192" w:type="pct"/>
            <w:noWrap w:val="0"/>
            <w:vAlign w:val="center"/>
          </w:tcPr>
          <w:p w14:paraId="7F9B4206">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14:paraId="5B8BF5F4">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2" w:type="pct"/>
            <w:noWrap w:val="0"/>
            <w:vAlign w:val="center"/>
          </w:tcPr>
          <w:p w14:paraId="7B38E7B9">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有效保障</w:t>
            </w:r>
          </w:p>
        </w:tc>
        <w:tc>
          <w:tcPr>
            <w:tcW w:w="320" w:type="pct"/>
            <w:noWrap w:val="0"/>
            <w:vAlign w:val="center"/>
          </w:tcPr>
          <w:p w14:paraId="3A0C8120">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有效保障</w:t>
            </w:r>
          </w:p>
        </w:tc>
        <w:tc>
          <w:tcPr>
            <w:tcW w:w="367" w:type="pct"/>
            <w:noWrap w:val="0"/>
            <w:vAlign w:val="center"/>
          </w:tcPr>
          <w:p w14:paraId="1AAF8EC2">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有效保障</w:t>
            </w:r>
          </w:p>
        </w:tc>
        <w:tc>
          <w:tcPr>
            <w:tcW w:w="361" w:type="pct"/>
            <w:noWrap w:val="0"/>
            <w:vAlign w:val="center"/>
          </w:tcPr>
          <w:p w14:paraId="47E99CC9">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有效保障</w:t>
            </w:r>
          </w:p>
        </w:tc>
        <w:tc>
          <w:tcPr>
            <w:tcW w:w="381" w:type="pct"/>
            <w:noWrap w:val="0"/>
            <w:vAlign w:val="center"/>
          </w:tcPr>
          <w:p w14:paraId="7B49A8A4">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有效保障</w:t>
            </w:r>
          </w:p>
        </w:tc>
        <w:tc>
          <w:tcPr>
            <w:tcW w:w="357" w:type="pct"/>
            <w:noWrap w:val="0"/>
            <w:vAlign w:val="center"/>
          </w:tcPr>
          <w:p w14:paraId="0BCDEF89">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有效保障</w:t>
            </w:r>
          </w:p>
        </w:tc>
        <w:tc>
          <w:tcPr>
            <w:tcW w:w="1276" w:type="pct"/>
            <w:noWrap w:val="0"/>
            <w:vAlign w:val="center"/>
          </w:tcPr>
          <w:p w14:paraId="7EE287C1">
            <w:pPr>
              <w:spacing w:line="26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《玉溪市人民政府关于印发玉溪市土壤污染防治工作方案的通知》《新平县土壤污染防治工作方案》，成立土壤污染防治工作领导组，扎实推进土壤污染防治工作。</w:t>
            </w:r>
          </w:p>
        </w:tc>
      </w:tr>
      <w:tr w14:paraId="58921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8" w:hRule="atLeast"/>
          <w:jc w:val="center"/>
        </w:trPr>
        <w:tc>
          <w:tcPr>
            <w:tcW w:w="105" w:type="pct"/>
            <w:vMerge w:val="restart"/>
            <w:noWrap w:val="0"/>
            <w:vAlign w:val="center"/>
          </w:tcPr>
          <w:p w14:paraId="13179088">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生态空间</w:t>
            </w:r>
          </w:p>
        </w:tc>
        <w:tc>
          <w:tcPr>
            <w:tcW w:w="212" w:type="pct"/>
            <w:vMerge w:val="restart"/>
            <w:noWrap w:val="0"/>
            <w:vAlign w:val="center"/>
          </w:tcPr>
          <w:p w14:paraId="6B235022">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（五）</w:t>
            </w:r>
          </w:p>
          <w:p w14:paraId="4B4F3A44">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空间格局优化</w:t>
            </w:r>
          </w:p>
        </w:tc>
        <w:tc>
          <w:tcPr>
            <w:tcW w:w="102" w:type="pct"/>
            <w:vMerge w:val="restart"/>
            <w:noWrap w:val="0"/>
            <w:vAlign w:val="center"/>
          </w:tcPr>
          <w:p w14:paraId="797BAC19">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19</w:t>
            </w:r>
          </w:p>
        </w:tc>
        <w:tc>
          <w:tcPr>
            <w:tcW w:w="678" w:type="pct"/>
            <w:gridSpan w:val="4"/>
            <w:noWrap w:val="0"/>
            <w:vAlign w:val="center"/>
          </w:tcPr>
          <w:p w14:paraId="1E3608E2">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自然生态空间</w:t>
            </w:r>
          </w:p>
        </w:tc>
        <w:tc>
          <w:tcPr>
            <w:tcW w:w="192" w:type="pct"/>
            <w:noWrap w:val="0"/>
            <w:vAlign w:val="center"/>
          </w:tcPr>
          <w:p w14:paraId="34619901">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1" w:type="pct"/>
            <w:noWrap w:val="0"/>
            <w:vAlign w:val="center"/>
          </w:tcPr>
          <w:p w14:paraId="4629433B">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2" w:type="pct"/>
            <w:noWrap w:val="0"/>
            <w:vAlign w:val="center"/>
          </w:tcPr>
          <w:p w14:paraId="21DBDCDC">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0" w:type="pct"/>
            <w:noWrap w:val="0"/>
            <w:vAlign w:val="center"/>
          </w:tcPr>
          <w:p w14:paraId="2221F9F3">
            <w:pPr>
              <w:spacing w:line="260" w:lineRule="exact"/>
              <w:jc w:val="center"/>
              <w:rPr>
                <w:rFonts w:hint="default" w:ascii="Times New Roman" w:hAnsi="Times New Roman" w:eastAsia="仿宋" w:cs="Times New Roman"/>
                <w:color w:val="auto"/>
                <w:kern w:val="2"/>
                <w:sz w:val="21"/>
                <w:szCs w:val="21"/>
                <w:lang w:val="zh-CN" w:eastAsia="zh-CN" w:bidi="ar-SA"/>
              </w:rPr>
            </w:pPr>
          </w:p>
        </w:tc>
        <w:tc>
          <w:tcPr>
            <w:tcW w:w="367" w:type="pct"/>
            <w:noWrap w:val="0"/>
            <w:vAlign w:val="center"/>
          </w:tcPr>
          <w:p w14:paraId="5849F7E9">
            <w:pPr>
              <w:spacing w:line="260" w:lineRule="exact"/>
              <w:jc w:val="center"/>
              <w:rPr>
                <w:rFonts w:hint="default" w:ascii="Times New Roman" w:hAnsi="Times New Roman" w:eastAsia="仿宋" w:cs="Times New Roman"/>
                <w:color w:val="auto"/>
                <w:kern w:val="2"/>
                <w:sz w:val="21"/>
                <w:szCs w:val="21"/>
                <w:lang w:val="zh-CN" w:eastAsia="zh-CN" w:bidi="ar-SA"/>
              </w:rPr>
            </w:pPr>
          </w:p>
        </w:tc>
        <w:tc>
          <w:tcPr>
            <w:tcW w:w="361" w:type="pct"/>
            <w:noWrap w:val="0"/>
            <w:vAlign w:val="center"/>
          </w:tcPr>
          <w:p w14:paraId="1BF648E2">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81" w:type="pct"/>
            <w:noWrap w:val="0"/>
            <w:vAlign w:val="center"/>
          </w:tcPr>
          <w:p w14:paraId="75E454E8">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57" w:type="pct"/>
            <w:noWrap w:val="0"/>
            <w:vAlign w:val="center"/>
          </w:tcPr>
          <w:p w14:paraId="1200F25D">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276" w:type="pct"/>
            <w:vMerge w:val="restart"/>
            <w:noWrap w:val="0"/>
            <w:vAlign w:val="center"/>
          </w:tcPr>
          <w:p w14:paraId="7C669D4B">
            <w:pPr>
              <w:spacing w:line="26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按照云环发〔2018〕28号文件要求，新平县原划定生态保护红线面积1203.31平方千米，占国土面积的28.21%，类型为哀牢山—无量山山地生物多样性维护与水土保持生态保护红线，主导功能为生物多样性维护。优化调整中生态保护红线面积未减少，性质未改变，功能未降低。新平县境内现有5个自然保护地：云南省哀牢山国家级自然保护区（新平段）、玉白顶林场市级自然保护区、哀牢山县级自然保护区、磨盘山县级自然保护区和磨盘山国家级森林公园，自然保护地批复面积累计59413.03hm2（含交叉重叠），占国土总面积的13.92%。近年来新平县自然保护地面积增加，性质未改变，功能未降低。根据《玉溪市土地利用总体规划（2006</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2020年）调整方案》确定的新平县58.494万亩，基本农田保护任务，新平县2016年开展永久基本农田划定工作，最终划定永久基本农田58.4982万亩。面积不减少，质量不降低，布局更优化。</w:t>
            </w:r>
          </w:p>
        </w:tc>
      </w:tr>
      <w:tr w14:paraId="3FAD1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14:paraId="627E222B">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14:paraId="44E2A170">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vMerge w:val="continue"/>
            <w:noWrap w:val="0"/>
            <w:vAlign w:val="center"/>
          </w:tcPr>
          <w:p w14:paraId="7566FC86">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678" w:type="pct"/>
            <w:gridSpan w:val="4"/>
            <w:noWrap w:val="0"/>
            <w:vAlign w:val="center"/>
          </w:tcPr>
          <w:p w14:paraId="14C0CB60">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（1）生态保护红线</w:t>
            </w:r>
          </w:p>
        </w:tc>
        <w:tc>
          <w:tcPr>
            <w:tcW w:w="192" w:type="pct"/>
            <w:noWrap w:val="0"/>
            <w:vAlign w:val="center"/>
          </w:tcPr>
          <w:p w14:paraId="42F73561">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vMerge w:val="restart"/>
            <w:noWrap w:val="0"/>
            <w:vAlign w:val="center"/>
          </w:tcPr>
          <w:p w14:paraId="593D5B1B">
            <w:pPr>
              <w:spacing w:line="260" w:lineRule="exact"/>
              <w:jc w:val="center"/>
              <w:rPr>
                <w:rFonts w:hint="default" w:ascii="Times New Roman" w:hAnsi="Times New Roman" w:eastAsia="仿宋" w:cs="Times New Roman"/>
                <w:color w:val="auto"/>
                <w:kern w:val="2"/>
                <w:sz w:val="21"/>
                <w:szCs w:val="21"/>
                <w:lang w:val="zh-CN" w:eastAsia="zh-CN" w:bidi="ar-SA"/>
              </w:rPr>
            </w:pPr>
            <w:r>
              <w:rPr>
                <w:rFonts w:hint="default" w:ascii="Times New Roman" w:hAnsi="Times New Roman" w:eastAsia="仿宋" w:cs="Times New Roman"/>
                <w:color w:val="auto"/>
                <w:kern w:val="2"/>
                <w:sz w:val="21"/>
                <w:szCs w:val="21"/>
                <w:lang w:val="en-US" w:eastAsia="zh-CN" w:bidi="ar-SA"/>
              </w:rPr>
              <w:t>面积不减少，性质不改变，功能不降低</w:t>
            </w:r>
          </w:p>
          <w:p w14:paraId="2D42B88A">
            <w:pPr>
              <w:spacing w:line="260" w:lineRule="exact"/>
              <w:jc w:val="center"/>
              <w:rPr>
                <w:rFonts w:hint="default" w:ascii="Times New Roman" w:hAnsi="Times New Roman" w:eastAsia="仿宋" w:cs="Times New Roman"/>
                <w:color w:val="auto"/>
                <w:kern w:val="2"/>
                <w:sz w:val="21"/>
                <w:szCs w:val="21"/>
                <w:lang w:val="zh-CN" w:eastAsia="zh-CN" w:bidi="ar-SA"/>
              </w:rPr>
            </w:pPr>
          </w:p>
        </w:tc>
        <w:tc>
          <w:tcPr>
            <w:tcW w:w="322" w:type="pct"/>
            <w:noWrap w:val="0"/>
            <w:vAlign w:val="center"/>
          </w:tcPr>
          <w:p w14:paraId="092124AD">
            <w:pPr>
              <w:spacing w:line="260" w:lineRule="exact"/>
              <w:jc w:val="center"/>
              <w:rPr>
                <w:rFonts w:hint="default" w:ascii="Times New Roman" w:hAnsi="Times New Roman" w:eastAsia="仿宋" w:cs="Times New Roman"/>
                <w:color w:val="auto"/>
                <w:kern w:val="2"/>
                <w:sz w:val="21"/>
                <w:szCs w:val="21"/>
                <w:lang w:val="zh-CN" w:eastAsia="zh-CN" w:bidi="ar-SA"/>
              </w:rPr>
            </w:pPr>
            <w:r>
              <w:rPr>
                <w:rFonts w:hint="default" w:ascii="Times New Roman" w:hAnsi="Times New Roman" w:eastAsia="仿宋" w:cs="Times New Roman"/>
                <w:color w:val="auto"/>
                <w:kern w:val="2"/>
                <w:sz w:val="21"/>
                <w:szCs w:val="21"/>
                <w:lang w:val="en-US" w:eastAsia="zh-CN" w:bidi="ar-SA"/>
              </w:rPr>
              <w:t>面积不减少，性质不改变，功能不降低</w:t>
            </w:r>
          </w:p>
        </w:tc>
        <w:tc>
          <w:tcPr>
            <w:tcW w:w="320" w:type="pct"/>
            <w:noWrap w:val="0"/>
            <w:vAlign w:val="center"/>
          </w:tcPr>
          <w:p w14:paraId="2E0D24EC">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未划定</w:t>
            </w:r>
          </w:p>
        </w:tc>
        <w:tc>
          <w:tcPr>
            <w:tcW w:w="367" w:type="pct"/>
            <w:noWrap w:val="0"/>
            <w:vAlign w:val="center"/>
          </w:tcPr>
          <w:p w14:paraId="33B06937">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面积为1203.31平方千米，占国土面积的28.21%，面积不减少，性质不改变，功能不降低</w:t>
            </w:r>
          </w:p>
        </w:tc>
        <w:tc>
          <w:tcPr>
            <w:tcW w:w="361" w:type="pct"/>
            <w:noWrap w:val="0"/>
            <w:vAlign w:val="center"/>
          </w:tcPr>
          <w:p w14:paraId="4C950426">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面积为1203.31平方千米，占国土面积的28.21%，面积不减少，性质不改变，功能不降低</w:t>
            </w:r>
          </w:p>
        </w:tc>
        <w:tc>
          <w:tcPr>
            <w:tcW w:w="381" w:type="pct"/>
            <w:noWrap w:val="0"/>
            <w:vAlign w:val="center"/>
          </w:tcPr>
          <w:p w14:paraId="79881EAD">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面积为1203.31平方千米，占国土面积的28.21%，面积不减少，性质不改变，功能不降低</w:t>
            </w:r>
          </w:p>
        </w:tc>
        <w:tc>
          <w:tcPr>
            <w:tcW w:w="357" w:type="pct"/>
            <w:noWrap w:val="0"/>
            <w:vAlign w:val="center"/>
          </w:tcPr>
          <w:p w14:paraId="2F1E06E8">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面积为1203.31平方千米，占国土面积的28.21%，面积不减少，性质不改变，功能不降低</w:t>
            </w:r>
          </w:p>
        </w:tc>
        <w:tc>
          <w:tcPr>
            <w:tcW w:w="1276" w:type="pct"/>
            <w:vMerge w:val="continue"/>
            <w:noWrap w:val="0"/>
            <w:vAlign w:val="center"/>
          </w:tcPr>
          <w:p w14:paraId="668F731B">
            <w:pPr>
              <w:spacing w:line="260" w:lineRule="exact"/>
              <w:jc w:val="center"/>
              <w:rPr>
                <w:rFonts w:hint="eastAsia" w:ascii="Times New Roman" w:hAnsi="Times New Roman" w:eastAsia="仿宋" w:cs="Times New Roman"/>
                <w:color w:val="auto"/>
                <w:sz w:val="21"/>
                <w:szCs w:val="21"/>
                <w:lang w:val="en-US" w:eastAsia="zh-CN"/>
              </w:rPr>
            </w:pPr>
          </w:p>
        </w:tc>
      </w:tr>
      <w:tr w14:paraId="30793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14:paraId="6DB6CAFF">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14:paraId="7D1C71F3">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vMerge w:val="continue"/>
            <w:noWrap w:val="0"/>
            <w:vAlign w:val="center"/>
          </w:tcPr>
          <w:p w14:paraId="40B0CF02">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678" w:type="pct"/>
            <w:gridSpan w:val="4"/>
            <w:noWrap w:val="0"/>
            <w:vAlign w:val="center"/>
          </w:tcPr>
          <w:p w14:paraId="568BFC86">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（2）自然保护地</w:t>
            </w:r>
          </w:p>
        </w:tc>
        <w:tc>
          <w:tcPr>
            <w:tcW w:w="192" w:type="pct"/>
            <w:noWrap w:val="0"/>
            <w:vAlign w:val="center"/>
          </w:tcPr>
          <w:p w14:paraId="321B911B">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vMerge w:val="continue"/>
            <w:noWrap w:val="0"/>
            <w:vAlign w:val="center"/>
          </w:tcPr>
          <w:p w14:paraId="544C47B8">
            <w:pPr>
              <w:spacing w:line="260" w:lineRule="exact"/>
              <w:jc w:val="center"/>
              <w:rPr>
                <w:rFonts w:hint="default" w:ascii="Times New Roman" w:hAnsi="Times New Roman" w:eastAsia="仿宋" w:cs="Times New Roman"/>
                <w:color w:val="auto"/>
                <w:kern w:val="2"/>
                <w:sz w:val="21"/>
                <w:szCs w:val="21"/>
                <w:lang w:val="zh-CN" w:eastAsia="zh-CN" w:bidi="ar-SA"/>
              </w:rPr>
            </w:pPr>
          </w:p>
        </w:tc>
        <w:tc>
          <w:tcPr>
            <w:tcW w:w="322" w:type="pct"/>
            <w:noWrap w:val="0"/>
            <w:vAlign w:val="center"/>
          </w:tcPr>
          <w:p w14:paraId="28E256A2">
            <w:pPr>
              <w:spacing w:line="260" w:lineRule="exact"/>
              <w:jc w:val="center"/>
              <w:rPr>
                <w:rFonts w:hint="default" w:ascii="Times New Roman" w:hAnsi="Times New Roman" w:eastAsia="仿宋" w:cs="Times New Roman"/>
                <w:color w:val="auto"/>
                <w:kern w:val="2"/>
                <w:sz w:val="21"/>
                <w:szCs w:val="21"/>
                <w:lang w:val="zh-CN" w:eastAsia="zh-CN" w:bidi="ar-SA"/>
              </w:rPr>
            </w:pPr>
            <w:r>
              <w:rPr>
                <w:rFonts w:hint="default" w:ascii="Times New Roman" w:hAnsi="Times New Roman" w:eastAsia="仿宋" w:cs="Times New Roman"/>
                <w:color w:val="auto"/>
                <w:kern w:val="2"/>
                <w:sz w:val="21"/>
                <w:szCs w:val="21"/>
                <w:lang w:val="en-US" w:eastAsia="zh-CN" w:bidi="ar-SA"/>
              </w:rPr>
              <w:t>自然保护地数量与面积不减少</w:t>
            </w:r>
          </w:p>
        </w:tc>
        <w:tc>
          <w:tcPr>
            <w:tcW w:w="320" w:type="pct"/>
            <w:noWrap w:val="0"/>
            <w:vAlign w:val="center"/>
          </w:tcPr>
          <w:p w14:paraId="3D7D7235">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5个，数量与面积不减少</w:t>
            </w:r>
          </w:p>
        </w:tc>
        <w:tc>
          <w:tcPr>
            <w:tcW w:w="367" w:type="pct"/>
            <w:noWrap w:val="0"/>
            <w:vAlign w:val="center"/>
          </w:tcPr>
          <w:p w14:paraId="1AF925DD">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5个，数量与面积不减少</w:t>
            </w:r>
          </w:p>
        </w:tc>
        <w:tc>
          <w:tcPr>
            <w:tcW w:w="361" w:type="pct"/>
            <w:noWrap w:val="0"/>
            <w:vAlign w:val="center"/>
          </w:tcPr>
          <w:p w14:paraId="2ABCDF13">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5个，数量与面积不减少</w:t>
            </w:r>
          </w:p>
        </w:tc>
        <w:tc>
          <w:tcPr>
            <w:tcW w:w="381" w:type="pct"/>
            <w:noWrap w:val="0"/>
            <w:vAlign w:val="center"/>
          </w:tcPr>
          <w:p w14:paraId="0A45B045">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5个，数量与面积不减少</w:t>
            </w:r>
          </w:p>
        </w:tc>
        <w:tc>
          <w:tcPr>
            <w:tcW w:w="357" w:type="pct"/>
            <w:noWrap w:val="0"/>
            <w:vAlign w:val="center"/>
          </w:tcPr>
          <w:p w14:paraId="0B7B21B3">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5个，数量与面积不减少</w:t>
            </w:r>
          </w:p>
        </w:tc>
        <w:tc>
          <w:tcPr>
            <w:tcW w:w="1276" w:type="pct"/>
            <w:vMerge w:val="continue"/>
            <w:noWrap w:val="0"/>
            <w:vAlign w:val="center"/>
          </w:tcPr>
          <w:p w14:paraId="5D0E923F">
            <w:pPr>
              <w:spacing w:line="260" w:lineRule="exact"/>
              <w:jc w:val="center"/>
              <w:rPr>
                <w:rFonts w:hint="default" w:ascii="Times New Roman" w:hAnsi="Times New Roman" w:eastAsia="仿宋" w:cs="Times New Roman"/>
                <w:color w:val="auto"/>
                <w:sz w:val="21"/>
                <w:szCs w:val="21"/>
                <w:lang w:val="en-US" w:eastAsia="zh-CN"/>
              </w:rPr>
            </w:pPr>
          </w:p>
        </w:tc>
      </w:tr>
      <w:tr w14:paraId="47161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14:paraId="4279BF4B">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14:paraId="3CDFBCA5">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vMerge w:val="continue"/>
            <w:noWrap w:val="0"/>
            <w:vAlign w:val="center"/>
          </w:tcPr>
          <w:p w14:paraId="031B1751">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678" w:type="pct"/>
            <w:gridSpan w:val="4"/>
            <w:noWrap w:val="0"/>
            <w:vAlign w:val="center"/>
          </w:tcPr>
          <w:p w14:paraId="235F9B93">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（3）永久基本农田保护红线</w:t>
            </w:r>
          </w:p>
        </w:tc>
        <w:tc>
          <w:tcPr>
            <w:tcW w:w="192" w:type="pct"/>
            <w:noWrap w:val="0"/>
            <w:vAlign w:val="center"/>
          </w:tcPr>
          <w:p w14:paraId="422BE19C">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14:paraId="0E8AFDB6">
            <w:pPr>
              <w:spacing w:line="260" w:lineRule="exact"/>
              <w:jc w:val="center"/>
              <w:rPr>
                <w:rFonts w:hint="default" w:ascii="Times New Roman" w:hAnsi="Times New Roman" w:eastAsia="仿宋" w:cs="Times New Roman"/>
                <w:color w:val="auto"/>
                <w:kern w:val="2"/>
                <w:sz w:val="21"/>
                <w:szCs w:val="21"/>
                <w:lang w:val="zh-CN" w:eastAsia="zh-CN" w:bidi="ar-SA"/>
              </w:rPr>
            </w:pPr>
            <w:r>
              <w:rPr>
                <w:rFonts w:hint="default" w:ascii="Times New Roman" w:hAnsi="Times New Roman" w:eastAsia="仿宋" w:cs="Times New Roman"/>
                <w:color w:val="auto"/>
                <w:kern w:val="2"/>
                <w:sz w:val="21"/>
                <w:szCs w:val="21"/>
                <w:lang w:val="en-US" w:eastAsia="zh-CN" w:bidi="ar-SA"/>
              </w:rPr>
              <w:t>/</w:t>
            </w:r>
          </w:p>
        </w:tc>
        <w:tc>
          <w:tcPr>
            <w:tcW w:w="322" w:type="pct"/>
            <w:noWrap w:val="0"/>
            <w:vAlign w:val="center"/>
          </w:tcPr>
          <w:p w14:paraId="36831C7F">
            <w:pPr>
              <w:spacing w:line="260" w:lineRule="exact"/>
              <w:jc w:val="center"/>
              <w:rPr>
                <w:rFonts w:hint="default" w:ascii="Times New Roman" w:hAnsi="Times New Roman" w:eastAsia="仿宋" w:cs="Times New Roman"/>
                <w:color w:val="auto"/>
                <w:kern w:val="2"/>
                <w:sz w:val="21"/>
                <w:szCs w:val="21"/>
                <w:lang w:val="zh-CN" w:eastAsia="zh-CN" w:bidi="ar-SA"/>
              </w:rPr>
            </w:pPr>
            <w:r>
              <w:rPr>
                <w:rFonts w:hint="default" w:ascii="Times New Roman" w:hAnsi="Times New Roman" w:eastAsia="仿宋" w:cs="Times New Roman"/>
                <w:color w:val="auto"/>
                <w:kern w:val="2"/>
                <w:sz w:val="21"/>
                <w:szCs w:val="21"/>
                <w:lang w:val="en-US" w:eastAsia="zh-CN" w:bidi="ar-SA"/>
              </w:rPr>
              <w:t>面积不减少，质量不降低，布局更优化</w:t>
            </w:r>
          </w:p>
        </w:tc>
        <w:tc>
          <w:tcPr>
            <w:tcW w:w="320" w:type="pct"/>
            <w:noWrap w:val="0"/>
            <w:vAlign w:val="center"/>
          </w:tcPr>
          <w:p w14:paraId="0DB1078C">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面积为58.4982万亩，面积不减少，质量不降低，布局更优化</w:t>
            </w:r>
          </w:p>
        </w:tc>
        <w:tc>
          <w:tcPr>
            <w:tcW w:w="367" w:type="pct"/>
            <w:noWrap w:val="0"/>
            <w:vAlign w:val="center"/>
          </w:tcPr>
          <w:p w14:paraId="50517269">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面积为58.4982万亩，面积不减少，质量不降低，布局更优化</w:t>
            </w:r>
          </w:p>
        </w:tc>
        <w:tc>
          <w:tcPr>
            <w:tcW w:w="361" w:type="pct"/>
            <w:noWrap w:val="0"/>
            <w:vAlign w:val="center"/>
          </w:tcPr>
          <w:p w14:paraId="1C46C5F9">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面积为58.4982万亩，面积不减少，质量不降低，布局更优化</w:t>
            </w:r>
          </w:p>
        </w:tc>
        <w:tc>
          <w:tcPr>
            <w:tcW w:w="381" w:type="pct"/>
            <w:noWrap w:val="0"/>
            <w:vAlign w:val="center"/>
          </w:tcPr>
          <w:p w14:paraId="4B90AA26">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面积为58.4982万亩，面积不减少，质量不降低，布局更优化</w:t>
            </w:r>
          </w:p>
        </w:tc>
        <w:tc>
          <w:tcPr>
            <w:tcW w:w="357" w:type="pct"/>
            <w:noWrap w:val="0"/>
            <w:vAlign w:val="center"/>
          </w:tcPr>
          <w:p w14:paraId="0934C896">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面积为58.4982万亩，面积不减少，质量不降低，布局更优化</w:t>
            </w:r>
          </w:p>
        </w:tc>
        <w:tc>
          <w:tcPr>
            <w:tcW w:w="1276" w:type="pct"/>
            <w:vMerge w:val="continue"/>
            <w:noWrap w:val="0"/>
            <w:vAlign w:val="center"/>
          </w:tcPr>
          <w:p w14:paraId="61056E67">
            <w:pPr>
              <w:spacing w:line="260" w:lineRule="exact"/>
              <w:jc w:val="center"/>
              <w:rPr>
                <w:rFonts w:hint="default" w:ascii="Times New Roman" w:hAnsi="Times New Roman" w:eastAsia="仿宋" w:cs="Times New Roman"/>
                <w:color w:val="auto"/>
                <w:sz w:val="21"/>
                <w:szCs w:val="21"/>
                <w:lang w:val="en-US" w:eastAsia="zh-CN"/>
              </w:rPr>
            </w:pPr>
          </w:p>
        </w:tc>
      </w:tr>
      <w:tr w14:paraId="721E3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6" w:hRule="atLeast"/>
          <w:jc w:val="center"/>
        </w:trPr>
        <w:tc>
          <w:tcPr>
            <w:tcW w:w="105" w:type="pct"/>
            <w:vMerge w:val="continue"/>
            <w:noWrap w:val="0"/>
            <w:vAlign w:val="center"/>
          </w:tcPr>
          <w:p w14:paraId="7FA7C4FD">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14:paraId="55B0CFA2">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noWrap w:val="0"/>
            <w:vAlign w:val="center"/>
          </w:tcPr>
          <w:p w14:paraId="61D9349E">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20</w:t>
            </w:r>
          </w:p>
        </w:tc>
        <w:tc>
          <w:tcPr>
            <w:tcW w:w="678" w:type="pct"/>
            <w:gridSpan w:val="4"/>
            <w:noWrap w:val="0"/>
            <w:vAlign w:val="center"/>
          </w:tcPr>
          <w:p w14:paraId="5CF4DF59">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河湖岸线保护率</w:t>
            </w:r>
          </w:p>
          <w:p w14:paraId="0CAC9DA5">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92" w:type="pct"/>
            <w:noWrap w:val="0"/>
            <w:vAlign w:val="center"/>
          </w:tcPr>
          <w:p w14:paraId="703BF066">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14:paraId="127CD871">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完成上级管控目标</w:t>
            </w:r>
          </w:p>
          <w:p w14:paraId="28619168">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2" w:type="pct"/>
            <w:noWrap w:val="0"/>
            <w:vAlign w:val="center"/>
          </w:tcPr>
          <w:p w14:paraId="172F7666">
            <w:pPr>
              <w:spacing w:line="260" w:lineRule="exact"/>
              <w:jc w:val="center"/>
              <w:rPr>
                <w:rFonts w:hint="default" w:ascii="Times New Roman" w:hAnsi="Times New Roman" w:eastAsia="仿宋" w:cs="Times New Roman"/>
                <w:color w:val="auto"/>
                <w:kern w:val="2"/>
                <w:sz w:val="21"/>
                <w:szCs w:val="21"/>
                <w:lang w:val="zh-CN" w:eastAsia="zh-CN" w:bidi="ar-SA"/>
              </w:rPr>
            </w:pPr>
            <w:r>
              <w:rPr>
                <w:rFonts w:hint="default" w:ascii="Times New Roman" w:hAnsi="Times New Roman" w:eastAsia="仿宋" w:cs="Times New Roman"/>
                <w:color w:val="auto"/>
                <w:kern w:val="2"/>
                <w:sz w:val="21"/>
                <w:szCs w:val="21"/>
                <w:lang w:val="en-US" w:eastAsia="zh-CN" w:bidi="ar-SA"/>
              </w:rPr>
              <w:t>完成上级管控目标</w:t>
            </w:r>
          </w:p>
          <w:p w14:paraId="56C5A537">
            <w:pPr>
              <w:spacing w:line="260" w:lineRule="exact"/>
              <w:jc w:val="center"/>
              <w:rPr>
                <w:rFonts w:hint="default" w:ascii="Times New Roman" w:hAnsi="Times New Roman" w:eastAsia="仿宋" w:cs="Times New Roman"/>
                <w:color w:val="auto"/>
                <w:kern w:val="2"/>
                <w:sz w:val="21"/>
                <w:szCs w:val="21"/>
                <w:lang w:val="zh-CN" w:eastAsia="zh-CN" w:bidi="ar-SA"/>
              </w:rPr>
            </w:pPr>
          </w:p>
        </w:tc>
        <w:tc>
          <w:tcPr>
            <w:tcW w:w="320" w:type="pct"/>
            <w:noWrap w:val="0"/>
            <w:vAlign w:val="center"/>
          </w:tcPr>
          <w:p w14:paraId="53A8A273">
            <w:pPr>
              <w:spacing w:line="260" w:lineRule="exact"/>
              <w:jc w:val="center"/>
              <w:rPr>
                <w:rFonts w:hint="default" w:ascii="Times New Roman" w:hAnsi="Times New Roman" w:eastAsia="仿宋" w:cs="Times New Roman"/>
                <w:color w:val="auto"/>
                <w:kern w:val="2"/>
                <w:sz w:val="21"/>
                <w:szCs w:val="21"/>
                <w:lang w:val="zh-CN" w:eastAsia="zh-CN" w:bidi="ar-SA"/>
              </w:rPr>
            </w:pPr>
            <w:r>
              <w:rPr>
                <w:rFonts w:hint="default" w:ascii="Times New Roman" w:hAnsi="Times New Roman" w:eastAsia="仿宋" w:cs="Times New Roman"/>
                <w:color w:val="auto"/>
                <w:kern w:val="2"/>
                <w:sz w:val="21"/>
                <w:szCs w:val="21"/>
                <w:lang w:val="en-US" w:eastAsia="zh-CN" w:bidi="ar-SA"/>
              </w:rPr>
              <w:t>未下达</w:t>
            </w:r>
          </w:p>
        </w:tc>
        <w:tc>
          <w:tcPr>
            <w:tcW w:w="367" w:type="pct"/>
            <w:noWrap w:val="0"/>
            <w:vAlign w:val="center"/>
          </w:tcPr>
          <w:p w14:paraId="6C268C63">
            <w:pPr>
              <w:spacing w:line="260" w:lineRule="exact"/>
              <w:jc w:val="center"/>
              <w:rPr>
                <w:rFonts w:hint="default" w:ascii="Times New Roman" w:hAnsi="Times New Roman" w:eastAsia="仿宋" w:cs="Times New Roman"/>
                <w:color w:val="auto"/>
                <w:kern w:val="2"/>
                <w:sz w:val="21"/>
                <w:szCs w:val="21"/>
                <w:lang w:val="zh-CN" w:eastAsia="zh-CN" w:bidi="ar-SA"/>
              </w:rPr>
            </w:pPr>
            <w:r>
              <w:rPr>
                <w:rFonts w:hint="default" w:ascii="Times New Roman" w:hAnsi="Times New Roman" w:eastAsia="仿宋" w:cs="Times New Roman"/>
                <w:color w:val="auto"/>
                <w:kern w:val="2"/>
                <w:sz w:val="21"/>
                <w:szCs w:val="21"/>
                <w:lang w:val="en-US" w:eastAsia="zh-CN" w:bidi="ar-SA"/>
              </w:rPr>
              <w:t>未下达</w:t>
            </w:r>
          </w:p>
        </w:tc>
        <w:tc>
          <w:tcPr>
            <w:tcW w:w="361" w:type="pct"/>
            <w:noWrap w:val="0"/>
            <w:vAlign w:val="center"/>
          </w:tcPr>
          <w:p w14:paraId="2CF1735C">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未下达</w:t>
            </w:r>
          </w:p>
        </w:tc>
        <w:tc>
          <w:tcPr>
            <w:tcW w:w="381" w:type="pct"/>
            <w:noWrap w:val="0"/>
            <w:vAlign w:val="center"/>
          </w:tcPr>
          <w:p w14:paraId="4C3F5A44">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完成上级管控目标</w:t>
            </w:r>
          </w:p>
        </w:tc>
        <w:tc>
          <w:tcPr>
            <w:tcW w:w="357" w:type="pct"/>
            <w:noWrap w:val="0"/>
            <w:vAlign w:val="center"/>
          </w:tcPr>
          <w:p w14:paraId="34179900">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完成上级管控目标</w:t>
            </w:r>
          </w:p>
        </w:tc>
        <w:tc>
          <w:tcPr>
            <w:tcW w:w="1276" w:type="pct"/>
            <w:noWrap w:val="0"/>
            <w:vAlign w:val="center"/>
          </w:tcPr>
          <w:p w14:paraId="32ACA503">
            <w:pPr>
              <w:spacing w:line="26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按照《河湖岸线保护与利用规划编制指南（试行）》《2019年云南省全面推行河（湖）长制工作要点》《云南省水利厅河长办关于加快推进河湖管理范围划定工作的通知》《玉溪市全面推行河长制领导小组办公室关于进一步加强全</w:t>
            </w:r>
            <w:r>
              <w:rPr>
                <w:rFonts w:hint="eastAsia" w:ascii="Times New Roman" w:hAnsi="Times New Roman" w:eastAsia="仿宋" w:cs="Times New Roman"/>
                <w:color w:val="auto"/>
                <w:sz w:val="21"/>
                <w:szCs w:val="21"/>
                <w:lang w:val="en-US" w:eastAsia="zh-CN"/>
              </w:rPr>
              <w:t>市</w:t>
            </w:r>
            <w:r>
              <w:rPr>
                <w:rFonts w:hint="default" w:ascii="Times New Roman" w:hAnsi="Times New Roman" w:eastAsia="仿宋" w:cs="Times New Roman"/>
                <w:color w:val="auto"/>
                <w:sz w:val="21"/>
                <w:szCs w:val="21"/>
                <w:lang w:val="en-US" w:eastAsia="zh-CN"/>
              </w:rPr>
              <w:t>河库管理范围划定工作的通知》及《玉溪市河长制办公室关于加快推进规模以上河湖管理范围界桩埋设的通知》等文件要求，新平县积极落实国家和省市的相关河湖岸线管理要求，开展河湖岸线保护，积极开展河湖管理范围划定工作。</w:t>
            </w:r>
          </w:p>
        </w:tc>
      </w:tr>
      <w:tr w14:paraId="351F5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restart"/>
            <w:noWrap w:val="0"/>
            <w:vAlign w:val="center"/>
          </w:tcPr>
          <w:p w14:paraId="50282249">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生态经济</w:t>
            </w:r>
          </w:p>
        </w:tc>
        <w:tc>
          <w:tcPr>
            <w:tcW w:w="212" w:type="pct"/>
            <w:vMerge w:val="restart"/>
            <w:noWrap w:val="0"/>
            <w:vAlign w:val="center"/>
          </w:tcPr>
          <w:p w14:paraId="79E506A9">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（六）</w:t>
            </w:r>
          </w:p>
          <w:p w14:paraId="7501A547">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资源节约与利用</w:t>
            </w:r>
          </w:p>
        </w:tc>
        <w:tc>
          <w:tcPr>
            <w:tcW w:w="102" w:type="pct"/>
            <w:vMerge w:val="restart"/>
            <w:noWrap w:val="0"/>
            <w:vAlign w:val="center"/>
          </w:tcPr>
          <w:p w14:paraId="45932597">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21</w:t>
            </w:r>
          </w:p>
        </w:tc>
        <w:tc>
          <w:tcPr>
            <w:tcW w:w="339" w:type="pct"/>
            <w:vMerge w:val="restart"/>
            <w:noWrap w:val="0"/>
            <w:vAlign w:val="center"/>
          </w:tcPr>
          <w:p w14:paraId="3D96978C">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单位地区生产总值能耗</w:t>
            </w:r>
          </w:p>
        </w:tc>
        <w:tc>
          <w:tcPr>
            <w:tcW w:w="338" w:type="pct"/>
            <w:gridSpan w:val="3"/>
            <w:noWrap w:val="0"/>
            <w:vAlign w:val="center"/>
          </w:tcPr>
          <w:p w14:paraId="0FC163F9">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上级考核目标</w:t>
            </w:r>
          </w:p>
        </w:tc>
        <w:tc>
          <w:tcPr>
            <w:tcW w:w="192" w:type="pct"/>
            <w:vMerge w:val="restart"/>
            <w:noWrap w:val="0"/>
            <w:vAlign w:val="center"/>
          </w:tcPr>
          <w:p w14:paraId="503B7146">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吨标准煤/万元</w:t>
            </w:r>
          </w:p>
        </w:tc>
        <w:tc>
          <w:tcPr>
            <w:tcW w:w="321" w:type="pct"/>
            <w:vMerge w:val="restart"/>
            <w:noWrap w:val="0"/>
            <w:vAlign w:val="center"/>
          </w:tcPr>
          <w:p w14:paraId="46048146">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完成上级规定的目标任务；保持稳定或持续改善</w:t>
            </w:r>
          </w:p>
        </w:tc>
        <w:tc>
          <w:tcPr>
            <w:tcW w:w="322" w:type="pct"/>
            <w:vMerge w:val="restart"/>
            <w:noWrap w:val="0"/>
            <w:vAlign w:val="center"/>
          </w:tcPr>
          <w:p w14:paraId="3737CD45">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完成上级规定的目标任务；保持稳定或持续改善</w:t>
            </w:r>
          </w:p>
        </w:tc>
        <w:tc>
          <w:tcPr>
            <w:tcW w:w="320" w:type="pct"/>
            <w:noWrap w:val="0"/>
            <w:vAlign w:val="center"/>
          </w:tcPr>
          <w:p w14:paraId="058EEA6F">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2.8%</w:t>
            </w:r>
          </w:p>
        </w:tc>
        <w:tc>
          <w:tcPr>
            <w:tcW w:w="367" w:type="pct"/>
            <w:noWrap w:val="0"/>
            <w:vAlign w:val="center"/>
          </w:tcPr>
          <w:p w14:paraId="53DF9788">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2.7%</w:t>
            </w:r>
          </w:p>
        </w:tc>
        <w:tc>
          <w:tcPr>
            <w:tcW w:w="361" w:type="pct"/>
            <w:noWrap w:val="0"/>
            <w:vAlign w:val="center"/>
          </w:tcPr>
          <w:p w14:paraId="50790459">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3.4%</w:t>
            </w:r>
          </w:p>
        </w:tc>
        <w:tc>
          <w:tcPr>
            <w:tcW w:w="381" w:type="pct"/>
            <w:noWrap w:val="0"/>
            <w:vAlign w:val="center"/>
          </w:tcPr>
          <w:p w14:paraId="76DCFF3E">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5.62%</w:t>
            </w:r>
          </w:p>
        </w:tc>
        <w:tc>
          <w:tcPr>
            <w:tcW w:w="357" w:type="pct"/>
            <w:noWrap w:val="0"/>
            <w:vAlign w:val="center"/>
          </w:tcPr>
          <w:p w14:paraId="411C67D0">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3.5%</w:t>
            </w:r>
          </w:p>
        </w:tc>
        <w:tc>
          <w:tcPr>
            <w:tcW w:w="1276" w:type="pct"/>
            <w:vMerge w:val="restart"/>
            <w:noWrap w:val="0"/>
            <w:vAlign w:val="center"/>
          </w:tcPr>
          <w:p w14:paraId="223C5714">
            <w:pPr>
              <w:spacing w:line="26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数据来源于区统计局提供的2016</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2021年</w:t>
            </w:r>
            <w:r>
              <w:rPr>
                <w:rFonts w:hint="eastAsia" w:ascii="Times New Roman" w:hAnsi="Times New Roman" w:eastAsia="仿宋" w:cs="Times New Roman"/>
                <w:color w:val="auto"/>
                <w:sz w:val="21"/>
                <w:szCs w:val="21"/>
                <w:lang w:val="en-US" w:eastAsia="zh-CN"/>
              </w:rPr>
              <w:t>新平县</w:t>
            </w:r>
            <w:r>
              <w:rPr>
                <w:rFonts w:hint="default" w:ascii="Times New Roman" w:hAnsi="Times New Roman" w:eastAsia="仿宋" w:cs="Times New Roman"/>
                <w:color w:val="auto"/>
                <w:sz w:val="21"/>
                <w:szCs w:val="21"/>
                <w:lang w:val="en-US" w:eastAsia="zh-CN"/>
              </w:rPr>
              <w:t>全社会能源消耗核算主表</w:t>
            </w:r>
            <w:r>
              <w:rPr>
                <w:rFonts w:hint="eastAsia" w:ascii="Times New Roman" w:hAnsi="Times New Roman" w:eastAsia="仿宋" w:cs="Times New Roman"/>
                <w:color w:val="auto"/>
                <w:sz w:val="21"/>
                <w:szCs w:val="21"/>
                <w:lang w:val="en-US" w:eastAsia="zh-CN"/>
              </w:rPr>
              <w:t>、发改局提供的相关工作总结计算得出。</w:t>
            </w:r>
          </w:p>
        </w:tc>
      </w:tr>
      <w:tr w14:paraId="10561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14:paraId="2FB8859D">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14:paraId="11069242">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vMerge w:val="continue"/>
            <w:noWrap w:val="0"/>
            <w:vAlign w:val="center"/>
          </w:tcPr>
          <w:p w14:paraId="6470C9F4">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39" w:type="pct"/>
            <w:vMerge w:val="continue"/>
            <w:noWrap w:val="0"/>
            <w:vAlign w:val="center"/>
          </w:tcPr>
          <w:p w14:paraId="0ACDF528">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38" w:type="pct"/>
            <w:gridSpan w:val="3"/>
            <w:noWrap w:val="0"/>
            <w:vAlign w:val="center"/>
          </w:tcPr>
          <w:p w14:paraId="5BAF04B2">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完成情况</w:t>
            </w:r>
          </w:p>
        </w:tc>
        <w:tc>
          <w:tcPr>
            <w:tcW w:w="192" w:type="pct"/>
            <w:vMerge w:val="continue"/>
            <w:noWrap w:val="0"/>
            <w:vAlign w:val="center"/>
          </w:tcPr>
          <w:p w14:paraId="37451C1D">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1" w:type="pct"/>
            <w:vMerge w:val="continue"/>
            <w:noWrap w:val="0"/>
            <w:vAlign w:val="center"/>
          </w:tcPr>
          <w:p w14:paraId="372BA5F7">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2" w:type="pct"/>
            <w:vMerge w:val="continue"/>
            <w:noWrap w:val="0"/>
            <w:vAlign w:val="center"/>
          </w:tcPr>
          <w:p w14:paraId="6D0F0458">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0" w:type="pct"/>
            <w:noWrap w:val="0"/>
            <w:vAlign w:val="center"/>
          </w:tcPr>
          <w:p w14:paraId="23E1B747">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4.23%，已完成</w:t>
            </w:r>
          </w:p>
        </w:tc>
        <w:tc>
          <w:tcPr>
            <w:tcW w:w="367" w:type="pct"/>
            <w:noWrap w:val="0"/>
            <w:vAlign w:val="center"/>
          </w:tcPr>
          <w:p w14:paraId="5688056B">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0.31%，未完成</w:t>
            </w:r>
          </w:p>
        </w:tc>
        <w:tc>
          <w:tcPr>
            <w:tcW w:w="361" w:type="pct"/>
            <w:noWrap w:val="0"/>
            <w:vAlign w:val="center"/>
          </w:tcPr>
          <w:p w14:paraId="612CA284">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0.98%，未完成（1.265，）</w:t>
            </w:r>
          </w:p>
        </w:tc>
        <w:tc>
          <w:tcPr>
            <w:tcW w:w="381" w:type="pct"/>
            <w:noWrap w:val="0"/>
            <w:vAlign w:val="center"/>
          </w:tcPr>
          <w:p w14:paraId="103EF233">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3.91%，未完成（1.215）</w:t>
            </w:r>
          </w:p>
        </w:tc>
        <w:tc>
          <w:tcPr>
            <w:tcW w:w="357" w:type="pct"/>
            <w:noWrap w:val="0"/>
            <w:vAlign w:val="center"/>
          </w:tcPr>
          <w:p w14:paraId="4C25B7AE">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增长了3.4%（对比2020年单位GDP能耗），未完成（1.133）</w:t>
            </w:r>
          </w:p>
        </w:tc>
        <w:tc>
          <w:tcPr>
            <w:tcW w:w="1276" w:type="pct"/>
            <w:vMerge w:val="continue"/>
            <w:noWrap w:val="0"/>
            <w:vAlign w:val="center"/>
          </w:tcPr>
          <w:p w14:paraId="26A8C272">
            <w:pPr>
              <w:spacing w:line="260" w:lineRule="exact"/>
              <w:jc w:val="center"/>
              <w:rPr>
                <w:rFonts w:hint="default" w:ascii="Times New Roman" w:hAnsi="Times New Roman" w:eastAsia="仿宋" w:cs="Times New Roman"/>
                <w:color w:val="auto"/>
                <w:sz w:val="21"/>
                <w:szCs w:val="21"/>
                <w:lang w:val="en-US" w:eastAsia="zh-CN"/>
              </w:rPr>
            </w:pPr>
          </w:p>
        </w:tc>
      </w:tr>
      <w:tr w14:paraId="7058F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38" w:hRule="atLeast"/>
          <w:jc w:val="center"/>
        </w:trPr>
        <w:tc>
          <w:tcPr>
            <w:tcW w:w="105" w:type="pct"/>
            <w:vMerge w:val="continue"/>
            <w:noWrap w:val="0"/>
            <w:vAlign w:val="center"/>
          </w:tcPr>
          <w:p w14:paraId="69C39F20">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14:paraId="3776D84B">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vMerge w:val="restart"/>
            <w:noWrap w:val="0"/>
            <w:vAlign w:val="center"/>
          </w:tcPr>
          <w:p w14:paraId="0DC5C47A">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22</w:t>
            </w:r>
          </w:p>
        </w:tc>
        <w:tc>
          <w:tcPr>
            <w:tcW w:w="339" w:type="pct"/>
            <w:vMerge w:val="restart"/>
            <w:noWrap w:val="0"/>
            <w:vAlign w:val="center"/>
          </w:tcPr>
          <w:p w14:paraId="6223FB0B">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单位地区生产总值用水量</w:t>
            </w:r>
          </w:p>
        </w:tc>
        <w:tc>
          <w:tcPr>
            <w:tcW w:w="338" w:type="pct"/>
            <w:gridSpan w:val="3"/>
            <w:noWrap w:val="0"/>
            <w:vAlign w:val="center"/>
          </w:tcPr>
          <w:p w14:paraId="308E46D2">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上级考核目标</w:t>
            </w:r>
          </w:p>
        </w:tc>
        <w:tc>
          <w:tcPr>
            <w:tcW w:w="192" w:type="pct"/>
            <w:vMerge w:val="restart"/>
            <w:noWrap w:val="0"/>
            <w:vAlign w:val="center"/>
          </w:tcPr>
          <w:p w14:paraId="52102854">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m3/万元</w:t>
            </w:r>
          </w:p>
        </w:tc>
        <w:tc>
          <w:tcPr>
            <w:tcW w:w="321" w:type="pct"/>
            <w:vMerge w:val="restart"/>
            <w:noWrap w:val="0"/>
            <w:vAlign w:val="center"/>
          </w:tcPr>
          <w:p w14:paraId="42EDD1CD">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完成上级规定的目标任务；保持稳定或持续改善</w:t>
            </w:r>
          </w:p>
        </w:tc>
        <w:tc>
          <w:tcPr>
            <w:tcW w:w="322" w:type="pct"/>
            <w:vMerge w:val="restart"/>
            <w:noWrap w:val="0"/>
            <w:vAlign w:val="center"/>
          </w:tcPr>
          <w:p w14:paraId="1A1877B3">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完成上级规定的目标任务；保持稳定或持续改善</w:t>
            </w:r>
          </w:p>
        </w:tc>
        <w:tc>
          <w:tcPr>
            <w:tcW w:w="320" w:type="pct"/>
            <w:vMerge w:val="restart"/>
            <w:noWrap w:val="0"/>
            <w:vAlign w:val="center"/>
          </w:tcPr>
          <w:p w14:paraId="3F7676BD">
            <w:pPr>
              <w:spacing w:line="260" w:lineRule="exact"/>
              <w:jc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7" w:type="pct"/>
            <w:vMerge w:val="restart"/>
            <w:noWrap w:val="0"/>
            <w:vAlign w:val="center"/>
          </w:tcPr>
          <w:p w14:paraId="5F15059D">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1" w:type="pct"/>
            <w:vMerge w:val="restart"/>
            <w:noWrap w:val="0"/>
            <w:vAlign w:val="center"/>
          </w:tcPr>
          <w:p w14:paraId="72C16C42">
            <w:pPr>
              <w:spacing w:line="260" w:lineRule="exact"/>
              <w:jc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82.7，对比2</w:t>
            </w:r>
            <w:r>
              <w:rPr>
                <w:rFonts w:hint="default" w:ascii="Times New Roman" w:hAnsi="Times New Roman" w:eastAsia="仿宋" w:cs="Times New Roman"/>
                <w:color w:val="auto"/>
                <w:kern w:val="2"/>
                <w:sz w:val="21"/>
                <w:szCs w:val="21"/>
                <w:lang w:val="en-US" w:eastAsia="zh-CN" w:bidi="ar-SA"/>
              </w:rPr>
              <w:t>015</w:t>
            </w:r>
            <w:r>
              <w:rPr>
                <w:rFonts w:hint="eastAsia" w:ascii="Times New Roman" w:hAnsi="Times New Roman" w:eastAsia="仿宋" w:cs="Times New Roman"/>
                <w:color w:val="auto"/>
                <w:kern w:val="2"/>
                <w:sz w:val="21"/>
                <w:szCs w:val="21"/>
                <w:lang w:val="en-US" w:eastAsia="zh-CN" w:bidi="ar-SA"/>
              </w:rPr>
              <w:t>年下降37.4%。</w:t>
            </w:r>
            <w:r>
              <w:rPr>
                <w:rFonts w:hint="default" w:ascii="Times New Roman" w:hAnsi="Times New Roman" w:eastAsia="仿宋" w:cs="Times New Roman"/>
                <w:color w:val="auto"/>
                <w:kern w:val="2"/>
                <w:sz w:val="21"/>
                <w:szCs w:val="21"/>
                <w:lang w:val="en-US" w:eastAsia="zh-CN" w:bidi="ar-SA"/>
              </w:rPr>
              <w:t>完成上级规定的目标任务</w:t>
            </w:r>
            <w:r>
              <w:rPr>
                <w:rFonts w:hint="eastAsia" w:ascii="Times New Roman" w:hAnsi="Times New Roman" w:eastAsia="仿宋" w:cs="Times New Roman"/>
                <w:color w:val="auto"/>
                <w:kern w:val="2"/>
                <w:sz w:val="21"/>
                <w:szCs w:val="21"/>
                <w:lang w:val="en-US" w:eastAsia="zh-CN" w:bidi="ar-SA"/>
              </w:rPr>
              <w:t>。</w:t>
            </w:r>
          </w:p>
        </w:tc>
        <w:tc>
          <w:tcPr>
            <w:tcW w:w="381" w:type="pct"/>
            <w:vMerge w:val="restart"/>
            <w:noWrap w:val="0"/>
            <w:vAlign w:val="center"/>
          </w:tcPr>
          <w:p w14:paraId="6667C705">
            <w:pPr>
              <w:spacing w:line="260" w:lineRule="exact"/>
              <w:jc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79.2，对比2</w:t>
            </w:r>
            <w:r>
              <w:rPr>
                <w:rFonts w:hint="default" w:ascii="Times New Roman" w:hAnsi="Times New Roman" w:eastAsia="仿宋" w:cs="Times New Roman"/>
                <w:color w:val="auto"/>
                <w:kern w:val="2"/>
                <w:sz w:val="21"/>
                <w:szCs w:val="21"/>
                <w:lang w:val="en-US" w:eastAsia="zh-CN" w:bidi="ar-SA"/>
              </w:rPr>
              <w:t>015</w:t>
            </w:r>
            <w:r>
              <w:rPr>
                <w:rFonts w:hint="eastAsia" w:ascii="Times New Roman" w:hAnsi="Times New Roman" w:eastAsia="仿宋" w:cs="Times New Roman"/>
                <w:color w:val="auto"/>
                <w:kern w:val="2"/>
                <w:sz w:val="21"/>
                <w:szCs w:val="21"/>
                <w:lang w:val="en-US" w:eastAsia="zh-CN" w:bidi="ar-SA"/>
              </w:rPr>
              <w:t>年下降53%。</w:t>
            </w:r>
            <w:r>
              <w:rPr>
                <w:rFonts w:hint="default" w:ascii="Times New Roman" w:hAnsi="Times New Roman" w:eastAsia="仿宋" w:cs="Times New Roman"/>
                <w:color w:val="auto"/>
                <w:kern w:val="2"/>
                <w:sz w:val="21"/>
                <w:szCs w:val="21"/>
                <w:lang w:val="en-US" w:eastAsia="zh-CN" w:bidi="ar-SA"/>
              </w:rPr>
              <w:t>完成上级规定的目标任务</w:t>
            </w:r>
            <w:r>
              <w:rPr>
                <w:rFonts w:hint="eastAsia" w:ascii="Times New Roman" w:hAnsi="Times New Roman" w:eastAsia="仿宋" w:cs="Times New Roman"/>
                <w:color w:val="auto"/>
                <w:kern w:val="2"/>
                <w:sz w:val="21"/>
                <w:szCs w:val="21"/>
                <w:lang w:val="en-US" w:eastAsia="zh-CN" w:bidi="ar-SA"/>
              </w:rPr>
              <w:t>。</w:t>
            </w:r>
          </w:p>
        </w:tc>
        <w:tc>
          <w:tcPr>
            <w:tcW w:w="357" w:type="pct"/>
            <w:vMerge w:val="restart"/>
            <w:noWrap w:val="0"/>
            <w:vAlign w:val="center"/>
          </w:tcPr>
          <w:p w14:paraId="6EE6F784">
            <w:pPr>
              <w:spacing w:line="260" w:lineRule="exact"/>
              <w:jc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78.0，对比2020年下降9.8%。</w:t>
            </w:r>
            <w:r>
              <w:rPr>
                <w:rFonts w:hint="default" w:ascii="Times New Roman" w:hAnsi="Times New Roman" w:eastAsia="仿宋" w:cs="Times New Roman"/>
                <w:color w:val="auto"/>
                <w:kern w:val="2"/>
                <w:sz w:val="21"/>
                <w:szCs w:val="21"/>
                <w:lang w:val="en-US" w:eastAsia="zh-CN" w:bidi="ar-SA"/>
              </w:rPr>
              <w:t>完成上级规定的目标任务</w:t>
            </w:r>
            <w:r>
              <w:rPr>
                <w:rFonts w:hint="eastAsia" w:ascii="Times New Roman" w:hAnsi="Times New Roman" w:eastAsia="仿宋" w:cs="Times New Roman"/>
                <w:color w:val="auto"/>
                <w:kern w:val="2"/>
                <w:sz w:val="21"/>
                <w:szCs w:val="21"/>
                <w:lang w:val="en-US" w:eastAsia="zh-CN" w:bidi="ar-SA"/>
              </w:rPr>
              <w:t>。</w:t>
            </w:r>
          </w:p>
        </w:tc>
        <w:tc>
          <w:tcPr>
            <w:tcW w:w="1276" w:type="pct"/>
            <w:vMerge w:val="restart"/>
            <w:noWrap w:val="0"/>
            <w:vAlign w:val="center"/>
          </w:tcPr>
          <w:p w14:paraId="7FCECAA6">
            <w:pPr>
              <w:spacing w:line="260" w:lineRule="exact"/>
              <w:ind w:firstLine="420" w:firstLineChars="200"/>
              <w:jc w:val="left"/>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来源于</w:t>
            </w:r>
            <w:r>
              <w:rPr>
                <w:rFonts w:hint="eastAsia" w:ascii="Times New Roman" w:hAnsi="Times New Roman" w:eastAsia="仿宋" w:cs="Times New Roman"/>
                <w:color w:val="auto"/>
                <w:sz w:val="21"/>
                <w:szCs w:val="21"/>
                <w:lang w:val="en-US" w:eastAsia="zh-CN"/>
              </w:rPr>
              <w:t>2019-2021</w:t>
            </w:r>
            <w:r>
              <w:rPr>
                <w:rFonts w:hint="default" w:ascii="Times New Roman" w:hAnsi="Times New Roman" w:eastAsia="仿宋" w:cs="Times New Roman"/>
                <w:color w:val="auto"/>
                <w:sz w:val="21"/>
                <w:szCs w:val="21"/>
                <w:lang w:val="en-US" w:eastAsia="zh-CN"/>
              </w:rPr>
              <w:t>《</w:t>
            </w:r>
            <w:r>
              <w:rPr>
                <w:rFonts w:hint="eastAsia" w:ascii="Times New Roman" w:hAnsi="Times New Roman" w:eastAsia="仿宋" w:cs="Times New Roman"/>
                <w:color w:val="auto"/>
                <w:sz w:val="21"/>
                <w:szCs w:val="21"/>
                <w:lang w:val="en-US" w:eastAsia="zh-CN"/>
              </w:rPr>
              <w:t>新平县</w:t>
            </w:r>
            <w:r>
              <w:rPr>
                <w:rFonts w:hint="default" w:ascii="Times New Roman" w:hAnsi="Times New Roman" w:eastAsia="仿宋" w:cs="Times New Roman"/>
                <w:color w:val="auto"/>
                <w:sz w:val="21"/>
                <w:szCs w:val="21"/>
                <w:lang w:val="en-US" w:eastAsia="zh-CN"/>
              </w:rPr>
              <w:t>人民政府关于实行最严格水资源管理制度考核工作的自查报告》以及201</w:t>
            </w:r>
            <w:r>
              <w:rPr>
                <w:rFonts w:hint="eastAsia" w:ascii="Times New Roman" w:hAnsi="Times New Roman" w:eastAsia="仿宋" w:cs="Times New Roman"/>
                <w:color w:val="auto"/>
                <w:sz w:val="21"/>
                <w:szCs w:val="21"/>
                <w:lang w:val="en-US" w:eastAsia="zh-CN"/>
              </w:rPr>
              <w:t>9—</w:t>
            </w:r>
            <w:r>
              <w:rPr>
                <w:rFonts w:hint="default" w:ascii="Times New Roman" w:hAnsi="Times New Roman" w:eastAsia="仿宋" w:cs="Times New Roman"/>
                <w:color w:val="auto"/>
                <w:sz w:val="21"/>
                <w:szCs w:val="21"/>
                <w:lang w:val="en-US" w:eastAsia="zh-CN"/>
              </w:rPr>
              <w:t>202</w:t>
            </w:r>
            <w:r>
              <w:rPr>
                <w:rFonts w:hint="eastAsia" w:ascii="Times New Roman" w:hAnsi="Times New Roman" w:eastAsia="仿宋" w:cs="Times New Roman"/>
                <w:color w:val="auto"/>
                <w:sz w:val="21"/>
                <w:szCs w:val="21"/>
                <w:lang w:val="en-US" w:eastAsia="zh-CN"/>
              </w:rPr>
              <w:t>0</w:t>
            </w:r>
            <w:r>
              <w:rPr>
                <w:rFonts w:hint="default" w:ascii="Times New Roman" w:hAnsi="Times New Roman" w:eastAsia="仿宋" w:cs="Times New Roman"/>
                <w:color w:val="auto"/>
                <w:sz w:val="21"/>
                <w:szCs w:val="21"/>
                <w:lang w:val="en-US" w:eastAsia="zh-CN"/>
              </w:rPr>
              <w:t>年《</w:t>
            </w:r>
            <w:r>
              <w:rPr>
                <w:rFonts w:hint="eastAsia" w:ascii="Times New Roman" w:hAnsi="Times New Roman" w:eastAsia="仿宋" w:cs="Times New Roman"/>
                <w:color w:val="auto"/>
                <w:sz w:val="21"/>
                <w:szCs w:val="21"/>
                <w:lang w:val="en-US" w:eastAsia="zh-CN"/>
              </w:rPr>
              <w:t>玉溪市</w:t>
            </w:r>
            <w:r>
              <w:rPr>
                <w:rFonts w:hint="default" w:ascii="Times New Roman" w:hAnsi="Times New Roman" w:eastAsia="仿宋" w:cs="Times New Roman"/>
                <w:color w:val="auto"/>
                <w:sz w:val="21"/>
                <w:szCs w:val="21"/>
                <w:lang w:val="en-US" w:eastAsia="zh-CN"/>
              </w:rPr>
              <w:t>最严格水资源管理制度考核指标完成情况》</w:t>
            </w:r>
          </w:p>
        </w:tc>
      </w:tr>
      <w:tr w14:paraId="5F3AA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14:paraId="7BA6F8D1">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14:paraId="0D74083E">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vMerge w:val="continue"/>
            <w:noWrap w:val="0"/>
            <w:vAlign w:val="center"/>
          </w:tcPr>
          <w:p w14:paraId="65D7CE28">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39" w:type="pct"/>
            <w:vMerge w:val="continue"/>
            <w:noWrap w:val="0"/>
            <w:vAlign w:val="center"/>
          </w:tcPr>
          <w:p w14:paraId="3AEB43CA">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38" w:type="pct"/>
            <w:gridSpan w:val="3"/>
            <w:noWrap w:val="0"/>
            <w:vAlign w:val="center"/>
          </w:tcPr>
          <w:p w14:paraId="3478B2BB">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完成情况</w:t>
            </w:r>
          </w:p>
        </w:tc>
        <w:tc>
          <w:tcPr>
            <w:tcW w:w="192" w:type="pct"/>
            <w:vMerge w:val="continue"/>
            <w:noWrap w:val="0"/>
            <w:vAlign w:val="center"/>
          </w:tcPr>
          <w:p w14:paraId="4F80D643">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1" w:type="pct"/>
            <w:vMerge w:val="continue"/>
            <w:noWrap w:val="0"/>
            <w:vAlign w:val="center"/>
          </w:tcPr>
          <w:p w14:paraId="462E72CB">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2" w:type="pct"/>
            <w:vMerge w:val="continue"/>
            <w:noWrap w:val="0"/>
            <w:vAlign w:val="center"/>
          </w:tcPr>
          <w:p w14:paraId="2416283C">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0" w:type="pct"/>
            <w:vMerge w:val="continue"/>
            <w:noWrap w:val="0"/>
            <w:vAlign w:val="center"/>
          </w:tcPr>
          <w:p w14:paraId="6AE1DC29">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67" w:type="pct"/>
            <w:vMerge w:val="continue"/>
            <w:noWrap w:val="0"/>
            <w:vAlign w:val="center"/>
          </w:tcPr>
          <w:p w14:paraId="0DD67996">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61" w:type="pct"/>
            <w:vMerge w:val="continue"/>
            <w:noWrap w:val="0"/>
            <w:vAlign w:val="center"/>
          </w:tcPr>
          <w:p w14:paraId="3385041D">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81" w:type="pct"/>
            <w:vMerge w:val="continue"/>
            <w:noWrap w:val="0"/>
            <w:vAlign w:val="center"/>
          </w:tcPr>
          <w:p w14:paraId="3AE7F4DF">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57" w:type="pct"/>
            <w:vMerge w:val="continue"/>
            <w:noWrap w:val="0"/>
            <w:vAlign w:val="center"/>
          </w:tcPr>
          <w:p w14:paraId="131548CA">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276" w:type="pct"/>
            <w:vMerge w:val="continue"/>
            <w:noWrap w:val="0"/>
            <w:vAlign w:val="center"/>
          </w:tcPr>
          <w:p w14:paraId="58661091">
            <w:pPr>
              <w:spacing w:line="260" w:lineRule="exact"/>
              <w:jc w:val="center"/>
              <w:rPr>
                <w:rFonts w:hint="default" w:ascii="Times New Roman" w:hAnsi="Times New Roman" w:eastAsia="宋体" w:cs="Times New Roman"/>
                <w:color w:val="FF0000"/>
                <w:sz w:val="21"/>
                <w:szCs w:val="21"/>
                <w:highlight w:val="none"/>
              </w:rPr>
            </w:pPr>
          </w:p>
        </w:tc>
      </w:tr>
      <w:tr w14:paraId="4FC48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14:paraId="07B4F777">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14:paraId="2F7E0B8A">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noWrap w:val="0"/>
            <w:vAlign w:val="center"/>
          </w:tcPr>
          <w:p w14:paraId="5F40FFE0">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23</w:t>
            </w:r>
          </w:p>
        </w:tc>
        <w:tc>
          <w:tcPr>
            <w:tcW w:w="678" w:type="pct"/>
            <w:gridSpan w:val="4"/>
            <w:noWrap w:val="0"/>
            <w:vAlign w:val="center"/>
          </w:tcPr>
          <w:p w14:paraId="09CC85E3">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单位国内生产总值建设用地使用面积下降率</w:t>
            </w:r>
          </w:p>
        </w:tc>
        <w:tc>
          <w:tcPr>
            <w:tcW w:w="192" w:type="pct"/>
            <w:noWrap w:val="0"/>
            <w:vAlign w:val="center"/>
          </w:tcPr>
          <w:p w14:paraId="2FE82341">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14:paraId="45DD2B03">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≥4.5</w:t>
            </w:r>
          </w:p>
        </w:tc>
        <w:tc>
          <w:tcPr>
            <w:tcW w:w="322" w:type="pct"/>
            <w:noWrap w:val="0"/>
            <w:vAlign w:val="center"/>
          </w:tcPr>
          <w:p w14:paraId="695424DE">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≥4.5</w:t>
            </w:r>
          </w:p>
        </w:tc>
        <w:tc>
          <w:tcPr>
            <w:tcW w:w="320" w:type="pct"/>
            <w:noWrap w:val="0"/>
            <w:vAlign w:val="center"/>
          </w:tcPr>
          <w:p w14:paraId="1AB2C0A1">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7" w:type="pct"/>
            <w:noWrap w:val="0"/>
            <w:vAlign w:val="center"/>
          </w:tcPr>
          <w:p w14:paraId="51C00C65">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1" w:type="pct"/>
            <w:noWrap w:val="0"/>
            <w:vAlign w:val="center"/>
          </w:tcPr>
          <w:p w14:paraId="293B612D">
            <w:pPr>
              <w:spacing w:line="260" w:lineRule="exact"/>
              <w:jc w:val="center"/>
              <w:rPr>
                <w:rFonts w:hint="default" w:ascii="Times New Roman" w:hAnsi="Times New Roman" w:eastAsia="仿宋" w:cs="Times New Roman"/>
                <w:color w:val="auto"/>
                <w:kern w:val="2"/>
                <w:sz w:val="21"/>
                <w:szCs w:val="21"/>
                <w:highlight w:val="yellow"/>
                <w:lang w:val="en-US" w:eastAsia="zh-CN" w:bidi="ar-SA"/>
              </w:rPr>
            </w:pPr>
            <w:r>
              <w:rPr>
                <w:rFonts w:hint="eastAsia" w:ascii="Times New Roman" w:hAnsi="Times New Roman" w:eastAsia="仿宋" w:cs="Times New Roman"/>
                <w:color w:val="auto"/>
                <w:kern w:val="2"/>
                <w:sz w:val="21"/>
                <w:szCs w:val="21"/>
                <w:highlight w:val="yellow"/>
                <w:lang w:val="en-US" w:eastAsia="zh-CN" w:bidi="ar-SA"/>
              </w:rPr>
              <w:t>32.3</w:t>
            </w:r>
          </w:p>
        </w:tc>
        <w:tc>
          <w:tcPr>
            <w:tcW w:w="381" w:type="pct"/>
            <w:noWrap w:val="0"/>
            <w:vAlign w:val="center"/>
          </w:tcPr>
          <w:p w14:paraId="1AAE7587">
            <w:pPr>
              <w:spacing w:line="260" w:lineRule="exact"/>
              <w:jc w:val="center"/>
              <w:rPr>
                <w:rFonts w:hint="default" w:ascii="Times New Roman" w:hAnsi="Times New Roman" w:eastAsia="仿宋" w:cs="Times New Roman"/>
                <w:color w:val="auto"/>
                <w:kern w:val="2"/>
                <w:sz w:val="21"/>
                <w:szCs w:val="21"/>
                <w:highlight w:val="yellow"/>
                <w:lang w:val="en-US" w:eastAsia="zh-CN" w:bidi="ar-SA"/>
              </w:rPr>
            </w:pPr>
            <w:r>
              <w:rPr>
                <w:rFonts w:hint="eastAsia" w:ascii="Times New Roman" w:hAnsi="Times New Roman" w:eastAsia="仿宋" w:cs="Times New Roman"/>
                <w:color w:val="auto"/>
                <w:kern w:val="2"/>
                <w:sz w:val="21"/>
                <w:szCs w:val="21"/>
                <w:highlight w:val="yellow"/>
                <w:lang w:val="en-US" w:eastAsia="zh-CN" w:bidi="ar-SA"/>
              </w:rPr>
              <w:t>17.5</w:t>
            </w:r>
          </w:p>
        </w:tc>
        <w:tc>
          <w:tcPr>
            <w:tcW w:w="357" w:type="pct"/>
            <w:noWrap w:val="0"/>
            <w:vAlign w:val="center"/>
          </w:tcPr>
          <w:p w14:paraId="3CC80818">
            <w:pPr>
              <w:spacing w:line="260" w:lineRule="exact"/>
              <w:jc w:val="center"/>
              <w:rPr>
                <w:rFonts w:hint="default" w:ascii="Times New Roman" w:hAnsi="Times New Roman" w:eastAsia="仿宋" w:cs="Times New Roman"/>
                <w:color w:val="auto"/>
                <w:kern w:val="2"/>
                <w:sz w:val="21"/>
                <w:szCs w:val="21"/>
                <w:highlight w:val="yellow"/>
                <w:lang w:val="en-US" w:eastAsia="zh-CN" w:bidi="ar-SA"/>
              </w:rPr>
            </w:pPr>
            <w:r>
              <w:rPr>
                <w:rFonts w:hint="eastAsia" w:ascii="Times New Roman" w:hAnsi="Times New Roman" w:eastAsia="仿宋" w:cs="Times New Roman"/>
                <w:color w:val="auto"/>
                <w:kern w:val="2"/>
                <w:sz w:val="21"/>
                <w:szCs w:val="21"/>
                <w:highlight w:val="yellow"/>
                <w:lang w:val="en-US" w:eastAsia="zh-CN" w:bidi="ar-SA"/>
              </w:rPr>
              <w:t>36.8</w:t>
            </w:r>
          </w:p>
        </w:tc>
        <w:tc>
          <w:tcPr>
            <w:tcW w:w="1276" w:type="pct"/>
            <w:noWrap w:val="0"/>
            <w:vAlign w:val="center"/>
          </w:tcPr>
          <w:p w14:paraId="4F5B0654">
            <w:pPr>
              <w:spacing w:line="260" w:lineRule="exact"/>
              <w:ind w:firstLine="420" w:firstLineChars="200"/>
              <w:jc w:val="left"/>
              <w:rPr>
                <w:rFonts w:hint="eastAsia"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根据</w:t>
            </w:r>
            <w:r>
              <w:rPr>
                <w:rFonts w:hint="eastAsia" w:ascii="Times New Roman" w:hAnsi="Times New Roman" w:eastAsia="仿宋" w:cs="Times New Roman"/>
                <w:color w:val="auto"/>
                <w:sz w:val="21"/>
                <w:szCs w:val="21"/>
                <w:lang w:val="en-US" w:eastAsia="zh-CN"/>
              </w:rPr>
              <w:t>新平县</w:t>
            </w:r>
            <w:r>
              <w:rPr>
                <w:rFonts w:hint="default" w:ascii="Times New Roman" w:hAnsi="Times New Roman" w:eastAsia="仿宋" w:cs="Times New Roman"/>
                <w:color w:val="auto"/>
                <w:sz w:val="21"/>
                <w:szCs w:val="21"/>
                <w:lang w:val="en-US" w:eastAsia="zh-CN"/>
              </w:rPr>
              <w:t>自然资源和规划局提供土地利用类型面积以及区统计局提供的地区生产总值数据</w:t>
            </w:r>
            <w:r>
              <w:rPr>
                <w:rFonts w:hint="eastAsia" w:ascii="Times New Roman" w:hAnsi="Times New Roman" w:eastAsia="仿宋" w:cs="Times New Roman"/>
                <w:color w:val="auto"/>
                <w:sz w:val="21"/>
                <w:szCs w:val="21"/>
                <w:lang w:val="en-US" w:eastAsia="zh-CN"/>
              </w:rPr>
              <w:t>。</w:t>
            </w:r>
          </w:p>
        </w:tc>
      </w:tr>
      <w:tr w14:paraId="1D84F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0" w:hRule="atLeast"/>
          <w:jc w:val="center"/>
        </w:trPr>
        <w:tc>
          <w:tcPr>
            <w:tcW w:w="105" w:type="pct"/>
            <w:vMerge w:val="continue"/>
            <w:noWrap w:val="0"/>
            <w:vAlign w:val="center"/>
          </w:tcPr>
          <w:p w14:paraId="76A390FC">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restart"/>
            <w:noWrap w:val="0"/>
            <w:vAlign w:val="center"/>
          </w:tcPr>
          <w:p w14:paraId="28EC1AD0">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（七）</w:t>
            </w:r>
          </w:p>
          <w:p w14:paraId="406D1FF4">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产业循环发展</w:t>
            </w:r>
          </w:p>
        </w:tc>
        <w:tc>
          <w:tcPr>
            <w:tcW w:w="102" w:type="pct"/>
            <w:noWrap w:val="0"/>
            <w:vAlign w:val="center"/>
          </w:tcPr>
          <w:p w14:paraId="30C44A93">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24</w:t>
            </w:r>
          </w:p>
        </w:tc>
        <w:tc>
          <w:tcPr>
            <w:tcW w:w="678" w:type="pct"/>
            <w:gridSpan w:val="4"/>
            <w:noWrap w:val="0"/>
            <w:vAlign w:val="center"/>
          </w:tcPr>
          <w:p w14:paraId="51378927">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三大粮食作物化肥农药利用率</w:t>
            </w:r>
          </w:p>
          <w:p w14:paraId="43CD3969">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化肥利用率</w:t>
            </w:r>
          </w:p>
          <w:p w14:paraId="5495CF1F">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农药利用率</w:t>
            </w:r>
          </w:p>
        </w:tc>
        <w:tc>
          <w:tcPr>
            <w:tcW w:w="192" w:type="pct"/>
            <w:noWrap w:val="0"/>
            <w:vAlign w:val="center"/>
          </w:tcPr>
          <w:p w14:paraId="46DA9018">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14:paraId="2264ED03">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≥43</w:t>
            </w:r>
          </w:p>
        </w:tc>
        <w:tc>
          <w:tcPr>
            <w:tcW w:w="322" w:type="pct"/>
            <w:noWrap w:val="0"/>
            <w:vAlign w:val="center"/>
          </w:tcPr>
          <w:p w14:paraId="6F977EE1">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≥43</w:t>
            </w:r>
          </w:p>
        </w:tc>
        <w:tc>
          <w:tcPr>
            <w:tcW w:w="320" w:type="pct"/>
            <w:noWrap w:val="0"/>
            <w:vAlign w:val="center"/>
          </w:tcPr>
          <w:p w14:paraId="65A5253B">
            <w:pPr>
              <w:spacing w:line="260" w:lineRule="exact"/>
              <w:jc w:val="center"/>
              <w:rPr>
                <w:rFonts w:hint="default" w:ascii="Times New Roman" w:hAnsi="Times New Roman" w:eastAsia="仿宋" w:cs="Times New Roman"/>
                <w:color w:val="auto"/>
                <w:kern w:val="2"/>
                <w:sz w:val="21"/>
                <w:szCs w:val="21"/>
                <w:lang w:val="en-US" w:eastAsia="zh-CN" w:bidi="ar-SA"/>
              </w:rPr>
            </w:pPr>
          </w:p>
          <w:p w14:paraId="77C088FE">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p w14:paraId="0757D233">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67" w:type="pct"/>
            <w:noWrap w:val="0"/>
            <w:vAlign w:val="center"/>
          </w:tcPr>
          <w:p w14:paraId="4A9522A1">
            <w:pPr>
              <w:spacing w:line="260" w:lineRule="exact"/>
              <w:jc w:val="center"/>
              <w:rPr>
                <w:rFonts w:hint="default" w:ascii="Times New Roman" w:hAnsi="Times New Roman" w:eastAsia="仿宋" w:cs="Times New Roman"/>
                <w:color w:val="auto"/>
                <w:kern w:val="2"/>
                <w:sz w:val="21"/>
                <w:szCs w:val="21"/>
                <w:lang w:val="en-US" w:eastAsia="zh-CN" w:bidi="ar-SA"/>
              </w:rPr>
            </w:pPr>
          </w:p>
          <w:p w14:paraId="6FF6C1D9">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p w14:paraId="4BA10050">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61" w:type="pct"/>
            <w:noWrap w:val="0"/>
            <w:vAlign w:val="center"/>
          </w:tcPr>
          <w:p w14:paraId="38430A8E">
            <w:pPr>
              <w:spacing w:line="260" w:lineRule="exact"/>
              <w:jc w:val="center"/>
              <w:rPr>
                <w:rFonts w:hint="eastAsia" w:ascii="Times New Roman" w:hAnsi="Times New Roman" w:eastAsia="仿宋" w:cs="Times New Roman"/>
                <w:color w:val="auto"/>
                <w:kern w:val="2"/>
                <w:sz w:val="21"/>
                <w:szCs w:val="21"/>
                <w:highlight w:val="yellow"/>
                <w:lang w:val="en-US" w:eastAsia="zh-CN" w:bidi="ar-SA"/>
              </w:rPr>
            </w:pPr>
            <w:r>
              <w:rPr>
                <w:rFonts w:hint="eastAsia" w:ascii="Times New Roman" w:hAnsi="Times New Roman" w:eastAsia="仿宋" w:cs="Times New Roman"/>
                <w:color w:val="auto"/>
                <w:kern w:val="2"/>
                <w:sz w:val="21"/>
                <w:szCs w:val="21"/>
                <w:highlight w:val="yellow"/>
                <w:lang w:val="en-US" w:eastAsia="zh-CN" w:bidi="ar-SA"/>
              </w:rPr>
              <w:t>44</w:t>
            </w:r>
          </w:p>
          <w:p w14:paraId="2B46535C">
            <w:pPr>
              <w:spacing w:line="260" w:lineRule="exact"/>
              <w:jc w:val="center"/>
              <w:rPr>
                <w:rFonts w:hint="default" w:ascii="Times New Roman" w:hAnsi="Times New Roman" w:eastAsia="仿宋" w:cs="Times New Roman"/>
                <w:color w:val="auto"/>
                <w:kern w:val="2"/>
                <w:sz w:val="21"/>
                <w:szCs w:val="21"/>
                <w:highlight w:val="yellow"/>
                <w:lang w:val="en-US" w:eastAsia="zh-CN" w:bidi="ar-SA"/>
              </w:rPr>
            </w:pPr>
            <w:r>
              <w:rPr>
                <w:rFonts w:hint="eastAsia" w:ascii="Times New Roman" w:hAnsi="Times New Roman" w:eastAsia="仿宋" w:cs="Times New Roman"/>
                <w:color w:val="auto"/>
                <w:kern w:val="2"/>
                <w:sz w:val="21"/>
                <w:szCs w:val="21"/>
                <w:highlight w:val="yellow"/>
                <w:lang w:val="en-US" w:eastAsia="zh-CN" w:bidi="ar-SA"/>
              </w:rPr>
              <w:t>43.1</w:t>
            </w:r>
          </w:p>
        </w:tc>
        <w:tc>
          <w:tcPr>
            <w:tcW w:w="381" w:type="pct"/>
            <w:noWrap w:val="0"/>
            <w:vAlign w:val="center"/>
          </w:tcPr>
          <w:p w14:paraId="7F67222A">
            <w:pPr>
              <w:spacing w:line="260" w:lineRule="exact"/>
              <w:jc w:val="center"/>
              <w:rPr>
                <w:rFonts w:hint="default" w:ascii="Times New Roman" w:hAnsi="Times New Roman" w:eastAsia="仿宋" w:cs="Times New Roman"/>
                <w:color w:val="auto"/>
                <w:kern w:val="2"/>
                <w:sz w:val="21"/>
                <w:szCs w:val="21"/>
                <w:highlight w:val="yellow"/>
                <w:lang w:val="en-US" w:eastAsia="zh-CN" w:bidi="ar-SA"/>
              </w:rPr>
            </w:pPr>
            <w:r>
              <w:rPr>
                <w:rFonts w:hint="eastAsia" w:ascii="Times New Roman" w:hAnsi="Times New Roman" w:eastAsia="仿宋" w:cs="Times New Roman"/>
                <w:color w:val="auto"/>
                <w:kern w:val="2"/>
                <w:sz w:val="21"/>
                <w:szCs w:val="21"/>
                <w:highlight w:val="yellow"/>
                <w:lang w:val="en-US" w:eastAsia="zh-CN" w:bidi="ar-SA"/>
              </w:rPr>
              <w:t>44.2</w:t>
            </w:r>
          </w:p>
          <w:p w14:paraId="037EF778">
            <w:pPr>
              <w:spacing w:line="260" w:lineRule="exact"/>
              <w:jc w:val="center"/>
              <w:rPr>
                <w:rFonts w:hint="default" w:ascii="Times New Roman" w:hAnsi="Times New Roman" w:eastAsia="仿宋" w:cs="Times New Roman"/>
                <w:color w:val="auto"/>
                <w:kern w:val="2"/>
                <w:sz w:val="21"/>
                <w:szCs w:val="21"/>
                <w:highlight w:val="yellow"/>
                <w:lang w:val="en-US" w:eastAsia="zh-CN" w:bidi="ar-SA"/>
              </w:rPr>
            </w:pPr>
            <w:r>
              <w:rPr>
                <w:rFonts w:hint="eastAsia" w:ascii="Times New Roman" w:hAnsi="Times New Roman" w:eastAsia="仿宋" w:cs="Times New Roman"/>
                <w:color w:val="auto"/>
                <w:kern w:val="2"/>
                <w:sz w:val="21"/>
                <w:szCs w:val="21"/>
                <w:highlight w:val="yellow"/>
                <w:lang w:val="en-US" w:eastAsia="zh-CN" w:bidi="ar-SA"/>
              </w:rPr>
              <w:t>43.7</w:t>
            </w:r>
          </w:p>
        </w:tc>
        <w:tc>
          <w:tcPr>
            <w:tcW w:w="357" w:type="pct"/>
            <w:noWrap w:val="0"/>
            <w:vAlign w:val="center"/>
          </w:tcPr>
          <w:p w14:paraId="48765FD6">
            <w:pPr>
              <w:spacing w:line="260" w:lineRule="exact"/>
              <w:jc w:val="center"/>
              <w:rPr>
                <w:rFonts w:hint="default" w:ascii="Times New Roman" w:hAnsi="Times New Roman" w:eastAsia="仿宋" w:cs="Times New Roman"/>
                <w:color w:val="auto"/>
                <w:kern w:val="2"/>
                <w:sz w:val="21"/>
                <w:szCs w:val="21"/>
                <w:highlight w:val="yellow"/>
                <w:lang w:val="en-US" w:eastAsia="zh-CN" w:bidi="ar-SA"/>
              </w:rPr>
            </w:pPr>
            <w:r>
              <w:rPr>
                <w:rFonts w:hint="eastAsia" w:ascii="Times New Roman" w:hAnsi="Times New Roman" w:eastAsia="仿宋" w:cs="Times New Roman"/>
                <w:color w:val="auto"/>
                <w:kern w:val="2"/>
                <w:sz w:val="21"/>
                <w:szCs w:val="21"/>
                <w:highlight w:val="yellow"/>
                <w:lang w:val="en-US" w:eastAsia="zh-CN" w:bidi="ar-SA"/>
              </w:rPr>
              <w:t>44.72</w:t>
            </w:r>
          </w:p>
          <w:p w14:paraId="4C6460A8">
            <w:pPr>
              <w:spacing w:line="260" w:lineRule="exact"/>
              <w:jc w:val="center"/>
              <w:rPr>
                <w:rFonts w:hint="default" w:ascii="Times New Roman" w:hAnsi="Times New Roman" w:eastAsia="仿宋" w:cs="Times New Roman"/>
                <w:color w:val="auto"/>
                <w:kern w:val="2"/>
                <w:sz w:val="21"/>
                <w:szCs w:val="21"/>
                <w:highlight w:val="yellow"/>
                <w:lang w:val="en-US" w:eastAsia="zh-CN" w:bidi="ar-SA"/>
              </w:rPr>
            </w:pPr>
            <w:r>
              <w:rPr>
                <w:rFonts w:hint="eastAsia" w:ascii="Times New Roman" w:hAnsi="Times New Roman" w:eastAsia="仿宋" w:cs="Times New Roman"/>
                <w:color w:val="auto"/>
                <w:kern w:val="2"/>
                <w:sz w:val="21"/>
                <w:szCs w:val="21"/>
                <w:highlight w:val="yellow"/>
                <w:lang w:val="en-US" w:eastAsia="zh-CN" w:bidi="ar-SA"/>
              </w:rPr>
              <w:t>44.02</w:t>
            </w:r>
          </w:p>
        </w:tc>
        <w:tc>
          <w:tcPr>
            <w:tcW w:w="1276" w:type="pct"/>
            <w:noWrap w:val="0"/>
            <w:vAlign w:val="center"/>
          </w:tcPr>
          <w:p w14:paraId="7C99BC6D">
            <w:pPr>
              <w:spacing w:line="260" w:lineRule="exact"/>
              <w:jc w:val="center"/>
              <w:rPr>
                <w:rFonts w:hint="eastAsia"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根据</w:t>
            </w:r>
            <w:r>
              <w:rPr>
                <w:rFonts w:hint="eastAsia" w:ascii="Times New Roman" w:hAnsi="Times New Roman" w:eastAsia="仿宋" w:cs="Times New Roman"/>
                <w:color w:val="auto"/>
                <w:kern w:val="2"/>
                <w:sz w:val="21"/>
                <w:szCs w:val="21"/>
                <w:lang w:val="en-US" w:eastAsia="zh-CN" w:bidi="ar-SA"/>
              </w:rPr>
              <w:t>新平县</w:t>
            </w:r>
            <w:r>
              <w:rPr>
                <w:rFonts w:hint="default" w:ascii="Times New Roman" w:hAnsi="Times New Roman" w:eastAsia="仿宋" w:cs="Times New Roman"/>
                <w:color w:val="auto"/>
                <w:kern w:val="2"/>
                <w:sz w:val="21"/>
                <w:szCs w:val="21"/>
                <w:lang w:val="en-US" w:eastAsia="zh-CN" w:bidi="ar-SA"/>
              </w:rPr>
              <w:t>农业农村局提供化肥、农药数据进行测算</w:t>
            </w:r>
            <w:r>
              <w:rPr>
                <w:rFonts w:hint="eastAsia" w:ascii="Times New Roman" w:hAnsi="Times New Roman" w:eastAsia="仿宋" w:cs="Times New Roman"/>
                <w:color w:val="auto"/>
                <w:kern w:val="2"/>
                <w:sz w:val="21"/>
                <w:szCs w:val="21"/>
                <w:lang w:val="en-US" w:eastAsia="zh-CN" w:bidi="ar-SA"/>
              </w:rPr>
              <w:t>。</w:t>
            </w:r>
          </w:p>
        </w:tc>
      </w:tr>
      <w:tr w14:paraId="6EE81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81" w:hRule="atLeast"/>
          <w:jc w:val="center"/>
        </w:trPr>
        <w:tc>
          <w:tcPr>
            <w:tcW w:w="105" w:type="pct"/>
            <w:vMerge w:val="continue"/>
            <w:noWrap w:val="0"/>
            <w:vAlign w:val="center"/>
          </w:tcPr>
          <w:p w14:paraId="09E67734">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14:paraId="6FC912EE">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noWrap w:val="0"/>
            <w:vAlign w:val="center"/>
          </w:tcPr>
          <w:p w14:paraId="7AECF6ED">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25</w:t>
            </w:r>
          </w:p>
        </w:tc>
        <w:tc>
          <w:tcPr>
            <w:tcW w:w="678" w:type="pct"/>
            <w:gridSpan w:val="4"/>
            <w:noWrap w:val="0"/>
            <w:vAlign w:val="center"/>
          </w:tcPr>
          <w:p w14:paraId="6BD63B60">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农业废弃物综合利用率</w:t>
            </w:r>
          </w:p>
          <w:p w14:paraId="40FE3C3C">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秸秆综合利用率</w:t>
            </w:r>
          </w:p>
          <w:p w14:paraId="65E1C0B4">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畜禽养殖场粪便综合利用率</w:t>
            </w:r>
          </w:p>
          <w:p w14:paraId="0B2F87AE">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农膜回收利用率</w:t>
            </w:r>
          </w:p>
        </w:tc>
        <w:tc>
          <w:tcPr>
            <w:tcW w:w="192" w:type="pct"/>
            <w:noWrap w:val="0"/>
            <w:vAlign w:val="center"/>
          </w:tcPr>
          <w:p w14:paraId="49BC2450">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14:paraId="17A38484">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≥90</w:t>
            </w:r>
          </w:p>
          <w:p w14:paraId="0F12CA20">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≥75</w:t>
            </w:r>
          </w:p>
          <w:p w14:paraId="37337643">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≥80</w:t>
            </w:r>
          </w:p>
        </w:tc>
        <w:tc>
          <w:tcPr>
            <w:tcW w:w="322" w:type="pct"/>
            <w:noWrap w:val="0"/>
            <w:vAlign w:val="center"/>
          </w:tcPr>
          <w:p w14:paraId="13E075AF">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≥90</w:t>
            </w:r>
          </w:p>
          <w:p w14:paraId="51412D1B">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≥75</w:t>
            </w:r>
          </w:p>
          <w:p w14:paraId="6D0AE666">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≥80</w:t>
            </w:r>
          </w:p>
        </w:tc>
        <w:tc>
          <w:tcPr>
            <w:tcW w:w="320" w:type="pct"/>
            <w:noWrap w:val="0"/>
            <w:vAlign w:val="center"/>
          </w:tcPr>
          <w:p w14:paraId="666E9260">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p w14:paraId="7EE0B0CA">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p w14:paraId="613ABC6C">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67" w:type="pct"/>
            <w:noWrap w:val="0"/>
            <w:vAlign w:val="center"/>
          </w:tcPr>
          <w:p w14:paraId="26661F48">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p w14:paraId="28E4D8A2">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85.3</w:t>
            </w:r>
          </w:p>
          <w:p w14:paraId="23704B9E">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61" w:type="pct"/>
            <w:noWrap w:val="0"/>
            <w:vAlign w:val="center"/>
          </w:tcPr>
          <w:p w14:paraId="43E84CB8">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9</w:t>
            </w:r>
            <w:r>
              <w:rPr>
                <w:rFonts w:hint="default" w:ascii="Times New Roman" w:hAnsi="Times New Roman" w:eastAsia="仿宋" w:cs="Times New Roman"/>
                <w:color w:val="auto"/>
                <w:kern w:val="2"/>
                <w:sz w:val="21"/>
                <w:szCs w:val="21"/>
                <w:lang w:val="en-US" w:eastAsia="zh-CN" w:bidi="ar-SA"/>
              </w:rPr>
              <w:t>1.94</w:t>
            </w:r>
          </w:p>
          <w:p w14:paraId="1C865D39">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8</w:t>
            </w:r>
            <w:r>
              <w:rPr>
                <w:rFonts w:hint="default" w:ascii="Times New Roman" w:hAnsi="Times New Roman" w:eastAsia="仿宋" w:cs="Times New Roman"/>
                <w:color w:val="auto"/>
                <w:kern w:val="2"/>
                <w:sz w:val="21"/>
                <w:szCs w:val="21"/>
                <w:lang w:val="en-US" w:eastAsia="zh-CN" w:bidi="ar-SA"/>
              </w:rPr>
              <w:t>6.7</w:t>
            </w:r>
          </w:p>
          <w:p w14:paraId="5F2D4F6D">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8</w:t>
            </w:r>
            <w:r>
              <w:rPr>
                <w:rFonts w:hint="default" w:ascii="Times New Roman" w:hAnsi="Times New Roman" w:eastAsia="仿宋" w:cs="Times New Roman"/>
                <w:color w:val="auto"/>
                <w:kern w:val="2"/>
                <w:sz w:val="21"/>
                <w:szCs w:val="21"/>
                <w:lang w:val="en-US" w:eastAsia="zh-CN" w:bidi="ar-SA"/>
              </w:rPr>
              <w:t>2.66</w:t>
            </w:r>
          </w:p>
        </w:tc>
        <w:tc>
          <w:tcPr>
            <w:tcW w:w="381" w:type="pct"/>
            <w:noWrap w:val="0"/>
            <w:vAlign w:val="center"/>
          </w:tcPr>
          <w:p w14:paraId="313801F9">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9</w:t>
            </w:r>
            <w:r>
              <w:rPr>
                <w:rFonts w:hint="default" w:ascii="Times New Roman" w:hAnsi="Times New Roman" w:eastAsia="仿宋" w:cs="Times New Roman"/>
                <w:color w:val="auto"/>
                <w:kern w:val="2"/>
                <w:sz w:val="21"/>
                <w:szCs w:val="21"/>
                <w:lang w:val="en-US" w:eastAsia="zh-CN" w:bidi="ar-SA"/>
              </w:rPr>
              <w:t>2.47</w:t>
            </w:r>
          </w:p>
          <w:p w14:paraId="222F8280">
            <w:pPr>
              <w:spacing w:line="260" w:lineRule="exact"/>
              <w:jc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90.6</w:t>
            </w:r>
          </w:p>
          <w:p w14:paraId="52BCED63">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83.39</w:t>
            </w:r>
          </w:p>
        </w:tc>
        <w:tc>
          <w:tcPr>
            <w:tcW w:w="357" w:type="pct"/>
            <w:noWrap w:val="0"/>
            <w:vAlign w:val="center"/>
          </w:tcPr>
          <w:p w14:paraId="60CF051D">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9</w:t>
            </w:r>
            <w:r>
              <w:rPr>
                <w:rFonts w:hint="default" w:ascii="Times New Roman" w:hAnsi="Times New Roman" w:eastAsia="仿宋" w:cs="Times New Roman"/>
                <w:color w:val="auto"/>
                <w:kern w:val="2"/>
                <w:sz w:val="21"/>
                <w:szCs w:val="21"/>
                <w:lang w:val="en-US" w:eastAsia="zh-CN" w:bidi="ar-SA"/>
              </w:rPr>
              <w:t>3.77</w:t>
            </w:r>
          </w:p>
          <w:p w14:paraId="386CC542">
            <w:pPr>
              <w:spacing w:line="260" w:lineRule="exact"/>
              <w:jc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91.1</w:t>
            </w:r>
          </w:p>
          <w:p w14:paraId="6797C07B">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84.44</w:t>
            </w:r>
          </w:p>
        </w:tc>
        <w:tc>
          <w:tcPr>
            <w:tcW w:w="1276" w:type="pct"/>
            <w:noWrap w:val="0"/>
            <w:vAlign w:val="center"/>
          </w:tcPr>
          <w:p w14:paraId="48AEEFB8">
            <w:pPr>
              <w:spacing w:line="260" w:lineRule="exact"/>
              <w:ind w:firstLine="420" w:firstLineChars="200"/>
              <w:jc w:val="left"/>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根据新平县农业农村局农村环保能源工作站提供的《新平县2019</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2021年秸秆综合利用情况说明》的内容显示，新平县2019</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2021年农作物秸秆综合利用率分别为91.94%、92.47%、93.77%，秸秆综合利用率逐年稳步升高。</w:t>
            </w:r>
          </w:p>
          <w:p w14:paraId="380A681A">
            <w:pPr>
              <w:spacing w:line="260" w:lineRule="exact"/>
              <w:ind w:firstLine="420" w:firstLineChars="200"/>
              <w:jc w:val="left"/>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根据</w:t>
            </w:r>
            <w:r>
              <w:rPr>
                <w:rFonts w:hint="eastAsia" w:ascii="Times New Roman" w:hAnsi="Times New Roman" w:eastAsia="仿宋" w:cs="Times New Roman"/>
                <w:color w:val="auto"/>
                <w:sz w:val="21"/>
                <w:szCs w:val="21"/>
                <w:lang w:val="en-US" w:eastAsia="zh-CN"/>
              </w:rPr>
              <w:t>农业农村部</w:t>
            </w:r>
            <w:r>
              <w:rPr>
                <w:rFonts w:hint="default" w:ascii="Times New Roman" w:hAnsi="Times New Roman" w:eastAsia="仿宋" w:cs="Times New Roman"/>
                <w:color w:val="auto"/>
                <w:sz w:val="21"/>
                <w:szCs w:val="21"/>
                <w:lang w:val="en-US" w:eastAsia="zh-CN"/>
              </w:rPr>
              <w:t>畜禽粪污直联直报系统查询（涉及新平县）数据和县农业农村局提供的2018</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2021年《畜禽养殖废弃物资源化利用工作自查报告》的内容显示，新平县2018</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2021年畜禽养殖场粪污综合利用率分别为85.3%、86.7%、90.6%、91.1%。</w:t>
            </w:r>
          </w:p>
          <w:p w14:paraId="47DC9E0D">
            <w:pPr>
              <w:spacing w:line="260" w:lineRule="exact"/>
              <w:ind w:firstLine="420" w:firstLineChars="200"/>
              <w:jc w:val="left"/>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根据新平县农业农村局农村环保能源工作站提供的《新平县2019</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2021年农膜使用回收及地膜科学使用回收试点县项目情况说明》的内容显示，新平县2019</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2021年农膜回收利用率分别为82.66%、83.39%、84.44%。</w:t>
            </w:r>
          </w:p>
        </w:tc>
      </w:tr>
      <w:tr w14:paraId="6B272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noWrap w:val="0"/>
            <w:vAlign w:val="center"/>
          </w:tcPr>
          <w:p w14:paraId="7AF4543A">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14:paraId="24A8365F">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noWrap w:val="0"/>
            <w:vAlign w:val="center"/>
          </w:tcPr>
          <w:p w14:paraId="3570DE8A">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26</w:t>
            </w:r>
          </w:p>
        </w:tc>
        <w:tc>
          <w:tcPr>
            <w:tcW w:w="344" w:type="pct"/>
            <w:gridSpan w:val="2"/>
            <w:noWrap w:val="0"/>
            <w:vAlign w:val="center"/>
          </w:tcPr>
          <w:p w14:paraId="642F5C0C">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一般工业固体废物综合利用率提高幅度（综合利用率＞60%的地区）</w:t>
            </w:r>
          </w:p>
        </w:tc>
        <w:tc>
          <w:tcPr>
            <w:tcW w:w="334" w:type="pct"/>
            <w:gridSpan w:val="2"/>
            <w:noWrap w:val="0"/>
            <w:vAlign w:val="center"/>
          </w:tcPr>
          <w:p w14:paraId="4875253E">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综合利用率</w:t>
            </w:r>
          </w:p>
        </w:tc>
        <w:tc>
          <w:tcPr>
            <w:tcW w:w="192" w:type="pct"/>
            <w:noWrap w:val="0"/>
            <w:vAlign w:val="center"/>
          </w:tcPr>
          <w:p w14:paraId="1EE48A34">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14:paraId="683F7D16">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保持稳定或持续改善</w:t>
            </w:r>
          </w:p>
        </w:tc>
        <w:tc>
          <w:tcPr>
            <w:tcW w:w="322" w:type="pct"/>
            <w:noWrap w:val="0"/>
            <w:vAlign w:val="center"/>
          </w:tcPr>
          <w:p w14:paraId="4E706646">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保持稳定或持续改善</w:t>
            </w:r>
          </w:p>
        </w:tc>
        <w:tc>
          <w:tcPr>
            <w:tcW w:w="320" w:type="pct"/>
            <w:noWrap w:val="0"/>
            <w:vAlign w:val="center"/>
          </w:tcPr>
          <w:p w14:paraId="2B961267">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7" w:type="pct"/>
            <w:noWrap w:val="0"/>
            <w:vAlign w:val="center"/>
          </w:tcPr>
          <w:p w14:paraId="076E9FE9">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1" w:type="pct"/>
            <w:noWrap w:val="0"/>
            <w:vAlign w:val="center"/>
          </w:tcPr>
          <w:p w14:paraId="449243EE">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7</w:t>
            </w:r>
            <w:r>
              <w:rPr>
                <w:rFonts w:hint="default" w:ascii="Times New Roman" w:hAnsi="Times New Roman" w:eastAsia="仿宋" w:cs="Times New Roman"/>
                <w:color w:val="auto"/>
                <w:kern w:val="2"/>
                <w:sz w:val="21"/>
                <w:szCs w:val="21"/>
                <w:lang w:val="en-US" w:eastAsia="zh-CN" w:bidi="ar-SA"/>
              </w:rPr>
              <w:t>4.22</w:t>
            </w:r>
          </w:p>
          <w:p w14:paraId="73E4EFED">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保持稳定</w:t>
            </w:r>
          </w:p>
        </w:tc>
        <w:tc>
          <w:tcPr>
            <w:tcW w:w="381" w:type="pct"/>
            <w:noWrap w:val="0"/>
            <w:vAlign w:val="center"/>
          </w:tcPr>
          <w:p w14:paraId="3F5AB959">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保持稳定</w:t>
            </w:r>
          </w:p>
        </w:tc>
        <w:tc>
          <w:tcPr>
            <w:tcW w:w="357" w:type="pct"/>
            <w:noWrap w:val="0"/>
            <w:vAlign w:val="center"/>
          </w:tcPr>
          <w:p w14:paraId="6F6328C6">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7</w:t>
            </w:r>
            <w:r>
              <w:rPr>
                <w:rFonts w:hint="default" w:ascii="Times New Roman" w:hAnsi="Times New Roman" w:eastAsia="仿宋" w:cs="Times New Roman"/>
                <w:color w:val="auto"/>
                <w:kern w:val="2"/>
                <w:sz w:val="21"/>
                <w:szCs w:val="21"/>
                <w:lang w:val="en-US" w:eastAsia="zh-CN" w:bidi="ar-SA"/>
              </w:rPr>
              <w:t>4.28</w:t>
            </w:r>
          </w:p>
          <w:p w14:paraId="10F51A72">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保持稳定</w:t>
            </w:r>
          </w:p>
        </w:tc>
        <w:tc>
          <w:tcPr>
            <w:tcW w:w="1276" w:type="pct"/>
            <w:noWrap w:val="0"/>
            <w:vAlign w:val="center"/>
          </w:tcPr>
          <w:p w14:paraId="4B0044F4">
            <w:pPr>
              <w:spacing w:line="260" w:lineRule="exact"/>
              <w:jc w:val="center"/>
              <w:rPr>
                <w:rFonts w:hint="default" w:ascii="Times New Roman" w:hAnsi="Times New Roman" w:eastAsia="宋体" w:cs="Times New Roman"/>
                <w:color w:val="FF0000"/>
                <w:sz w:val="21"/>
                <w:szCs w:val="21"/>
                <w:highlight w:val="none"/>
              </w:rPr>
            </w:pPr>
            <w:r>
              <w:rPr>
                <w:rFonts w:hint="eastAsia" w:ascii="Times New Roman" w:hAnsi="Times New Roman" w:eastAsia="仿宋" w:cs="Times New Roman"/>
                <w:color w:val="auto"/>
                <w:sz w:val="21"/>
                <w:szCs w:val="21"/>
              </w:rPr>
              <w:t>数据来源于新平县201</w:t>
            </w:r>
            <w:r>
              <w:rPr>
                <w:rFonts w:ascii="Times New Roman" w:hAnsi="Times New Roman" w:eastAsia="仿宋" w:cs="Times New Roman"/>
                <w:color w:val="auto"/>
                <w:sz w:val="21"/>
                <w:szCs w:val="21"/>
              </w:rPr>
              <w:t>9</w:t>
            </w:r>
            <w:r>
              <w:rPr>
                <w:rFonts w:hint="eastAsia" w:ascii="Times New Roman" w:hAnsi="Times New Roman" w:eastAsia="仿宋" w:cs="Times New Roman"/>
                <w:color w:val="auto"/>
                <w:sz w:val="21"/>
                <w:szCs w:val="21"/>
                <w:lang w:eastAsia="zh-CN"/>
              </w:rPr>
              <w:t>—</w:t>
            </w:r>
            <w:r>
              <w:rPr>
                <w:rFonts w:hint="eastAsia" w:ascii="Times New Roman" w:hAnsi="Times New Roman" w:eastAsia="仿宋" w:cs="Times New Roman"/>
                <w:color w:val="auto"/>
                <w:sz w:val="21"/>
                <w:szCs w:val="21"/>
              </w:rPr>
              <w:t>2021年各年度《环境统计报表》中涉及一般工业固体废物综合利用统计的综合表和基础表中数据经测算获得，新平县2019</w:t>
            </w:r>
            <w:r>
              <w:rPr>
                <w:rFonts w:hint="eastAsia" w:ascii="Times New Roman" w:hAnsi="Times New Roman" w:eastAsia="仿宋" w:cs="Times New Roman"/>
                <w:color w:val="auto"/>
                <w:sz w:val="21"/>
                <w:szCs w:val="21"/>
                <w:lang w:eastAsia="zh-CN"/>
              </w:rPr>
              <w:t>—</w:t>
            </w:r>
            <w:r>
              <w:rPr>
                <w:rFonts w:hint="eastAsia" w:ascii="Times New Roman" w:hAnsi="Times New Roman" w:eastAsia="仿宋" w:cs="Times New Roman"/>
                <w:color w:val="auto"/>
                <w:sz w:val="21"/>
                <w:szCs w:val="21"/>
              </w:rPr>
              <w:t>2021年各年度一般工业固体废物综合利用率分别为7</w:t>
            </w:r>
            <w:r>
              <w:rPr>
                <w:rFonts w:ascii="Times New Roman" w:hAnsi="Times New Roman" w:eastAsia="仿宋" w:cs="Times New Roman"/>
                <w:color w:val="auto"/>
                <w:sz w:val="21"/>
                <w:szCs w:val="21"/>
              </w:rPr>
              <w:t>4.22</w:t>
            </w:r>
            <w:r>
              <w:rPr>
                <w:rFonts w:hint="eastAsia" w:ascii="Times New Roman" w:hAnsi="Times New Roman" w:eastAsia="仿宋" w:cs="Times New Roman"/>
                <w:color w:val="auto"/>
                <w:sz w:val="21"/>
                <w:szCs w:val="21"/>
              </w:rPr>
              <w:t>%、7</w:t>
            </w:r>
            <w:r>
              <w:rPr>
                <w:rFonts w:ascii="Times New Roman" w:hAnsi="Times New Roman" w:eastAsia="仿宋" w:cs="Times New Roman"/>
                <w:color w:val="auto"/>
                <w:sz w:val="21"/>
                <w:szCs w:val="21"/>
              </w:rPr>
              <w:t>6.40</w:t>
            </w:r>
            <w:r>
              <w:rPr>
                <w:rFonts w:hint="eastAsia" w:ascii="Times New Roman" w:hAnsi="Times New Roman" w:eastAsia="仿宋" w:cs="Times New Roman"/>
                <w:color w:val="auto"/>
                <w:sz w:val="21"/>
                <w:szCs w:val="21"/>
              </w:rPr>
              <w:t>%、7</w:t>
            </w:r>
            <w:r>
              <w:rPr>
                <w:rFonts w:ascii="Times New Roman" w:hAnsi="Times New Roman" w:eastAsia="仿宋" w:cs="Times New Roman"/>
                <w:color w:val="auto"/>
                <w:sz w:val="21"/>
                <w:szCs w:val="21"/>
              </w:rPr>
              <w:t>4.28</w:t>
            </w:r>
            <w:r>
              <w:rPr>
                <w:rFonts w:hint="eastAsia" w:ascii="Times New Roman" w:hAnsi="Times New Roman" w:eastAsia="仿宋" w:cs="Times New Roman"/>
                <w:color w:val="auto"/>
                <w:sz w:val="21"/>
                <w:szCs w:val="21"/>
              </w:rPr>
              <w:t>%，数据保持稳定。</w:t>
            </w:r>
          </w:p>
        </w:tc>
      </w:tr>
      <w:tr w14:paraId="78424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restart"/>
            <w:noWrap w:val="0"/>
            <w:vAlign w:val="center"/>
          </w:tcPr>
          <w:p w14:paraId="7A362E9B">
            <w:pPr>
              <w:spacing w:line="260" w:lineRule="exact"/>
              <w:jc w:val="center"/>
              <w:rPr>
                <w:rFonts w:hint="default" w:ascii="Times New Roman" w:hAnsi="Times New Roman" w:eastAsia="仿宋" w:cs="Times New Roman"/>
                <w:color w:val="auto"/>
                <w:kern w:val="2"/>
                <w:sz w:val="21"/>
                <w:szCs w:val="21"/>
                <w:lang w:val="en-US" w:eastAsia="zh-CN" w:bidi="ar-SA"/>
              </w:rPr>
            </w:pPr>
          </w:p>
          <w:p w14:paraId="764B43AF">
            <w:pPr>
              <w:spacing w:line="260" w:lineRule="exact"/>
              <w:jc w:val="center"/>
              <w:rPr>
                <w:rFonts w:hint="default" w:ascii="Times New Roman" w:hAnsi="Times New Roman" w:eastAsia="仿宋" w:cs="Times New Roman"/>
                <w:color w:val="auto"/>
                <w:kern w:val="2"/>
                <w:sz w:val="21"/>
                <w:szCs w:val="21"/>
                <w:lang w:val="en-US" w:eastAsia="zh-CN" w:bidi="ar-SA"/>
              </w:rPr>
            </w:pPr>
          </w:p>
          <w:p w14:paraId="03FE9F0C">
            <w:pPr>
              <w:spacing w:line="260" w:lineRule="exact"/>
              <w:jc w:val="center"/>
              <w:rPr>
                <w:rFonts w:hint="default" w:ascii="Times New Roman" w:hAnsi="Times New Roman" w:eastAsia="仿宋" w:cs="Times New Roman"/>
                <w:color w:val="auto"/>
                <w:kern w:val="2"/>
                <w:sz w:val="21"/>
                <w:szCs w:val="21"/>
                <w:lang w:val="en-US" w:eastAsia="zh-CN" w:bidi="ar-SA"/>
              </w:rPr>
            </w:pPr>
          </w:p>
          <w:p w14:paraId="3225AADB">
            <w:pPr>
              <w:spacing w:line="260" w:lineRule="exact"/>
              <w:jc w:val="center"/>
              <w:rPr>
                <w:rFonts w:hint="default" w:ascii="Times New Roman" w:hAnsi="Times New Roman" w:eastAsia="仿宋" w:cs="Times New Roman"/>
                <w:color w:val="auto"/>
                <w:kern w:val="2"/>
                <w:sz w:val="21"/>
                <w:szCs w:val="21"/>
                <w:lang w:val="en-US" w:eastAsia="zh-CN" w:bidi="ar-SA"/>
              </w:rPr>
            </w:pPr>
          </w:p>
          <w:p w14:paraId="1D0F43E9">
            <w:pPr>
              <w:spacing w:line="260" w:lineRule="exact"/>
              <w:jc w:val="center"/>
              <w:rPr>
                <w:rFonts w:hint="default" w:ascii="Times New Roman" w:hAnsi="Times New Roman" w:eastAsia="仿宋" w:cs="Times New Roman"/>
                <w:color w:val="auto"/>
                <w:kern w:val="2"/>
                <w:sz w:val="21"/>
                <w:szCs w:val="21"/>
                <w:lang w:val="en-US" w:eastAsia="zh-CN" w:bidi="ar-SA"/>
              </w:rPr>
            </w:pPr>
          </w:p>
          <w:p w14:paraId="51E5B6A1">
            <w:pPr>
              <w:spacing w:line="260" w:lineRule="exact"/>
              <w:jc w:val="center"/>
              <w:rPr>
                <w:rFonts w:hint="default" w:ascii="Times New Roman" w:hAnsi="Times New Roman" w:eastAsia="仿宋" w:cs="Times New Roman"/>
                <w:color w:val="auto"/>
                <w:kern w:val="2"/>
                <w:sz w:val="21"/>
                <w:szCs w:val="21"/>
                <w:lang w:val="en-US" w:eastAsia="zh-CN" w:bidi="ar-SA"/>
              </w:rPr>
            </w:pPr>
          </w:p>
          <w:p w14:paraId="2C84CAD8">
            <w:pPr>
              <w:spacing w:line="260" w:lineRule="exact"/>
              <w:jc w:val="center"/>
              <w:rPr>
                <w:rFonts w:hint="default" w:ascii="Times New Roman" w:hAnsi="Times New Roman" w:eastAsia="仿宋" w:cs="Times New Roman"/>
                <w:color w:val="auto"/>
                <w:kern w:val="2"/>
                <w:sz w:val="21"/>
                <w:szCs w:val="21"/>
                <w:lang w:val="en-US" w:eastAsia="zh-CN" w:bidi="ar-SA"/>
              </w:rPr>
            </w:pPr>
          </w:p>
          <w:p w14:paraId="4B17A33D">
            <w:pPr>
              <w:spacing w:line="260" w:lineRule="exact"/>
              <w:jc w:val="center"/>
              <w:rPr>
                <w:rFonts w:hint="default" w:ascii="Times New Roman" w:hAnsi="Times New Roman" w:eastAsia="仿宋" w:cs="Times New Roman"/>
                <w:color w:val="auto"/>
                <w:kern w:val="2"/>
                <w:sz w:val="21"/>
                <w:szCs w:val="21"/>
                <w:lang w:val="en-US" w:eastAsia="zh-CN" w:bidi="ar-SA"/>
              </w:rPr>
            </w:pPr>
          </w:p>
          <w:p w14:paraId="7ACB7034">
            <w:pPr>
              <w:spacing w:line="260" w:lineRule="exact"/>
              <w:jc w:val="center"/>
              <w:rPr>
                <w:rFonts w:hint="default" w:ascii="Times New Roman" w:hAnsi="Times New Roman" w:eastAsia="仿宋" w:cs="Times New Roman"/>
                <w:color w:val="auto"/>
                <w:kern w:val="2"/>
                <w:sz w:val="21"/>
                <w:szCs w:val="21"/>
                <w:lang w:val="en-US" w:eastAsia="zh-CN" w:bidi="ar-SA"/>
              </w:rPr>
            </w:pPr>
          </w:p>
          <w:p w14:paraId="4A455B58">
            <w:pPr>
              <w:spacing w:line="260" w:lineRule="exact"/>
              <w:jc w:val="center"/>
              <w:rPr>
                <w:rFonts w:hint="default" w:ascii="Times New Roman" w:hAnsi="Times New Roman" w:eastAsia="仿宋" w:cs="Times New Roman"/>
                <w:color w:val="auto"/>
                <w:kern w:val="2"/>
                <w:sz w:val="21"/>
                <w:szCs w:val="21"/>
                <w:lang w:val="en-US" w:eastAsia="zh-CN" w:bidi="ar-SA"/>
              </w:rPr>
            </w:pPr>
          </w:p>
          <w:p w14:paraId="59ECCF33">
            <w:pPr>
              <w:spacing w:line="260" w:lineRule="exact"/>
              <w:jc w:val="center"/>
              <w:rPr>
                <w:rFonts w:hint="default" w:ascii="Times New Roman" w:hAnsi="Times New Roman" w:eastAsia="仿宋" w:cs="Times New Roman"/>
                <w:color w:val="auto"/>
                <w:kern w:val="2"/>
                <w:sz w:val="21"/>
                <w:szCs w:val="21"/>
                <w:lang w:val="en-US" w:eastAsia="zh-CN" w:bidi="ar-SA"/>
              </w:rPr>
            </w:pPr>
          </w:p>
          <w:p w14:paraId="381D7535">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生态生活</w:t>
            </w:r>
          </w:p>
          <w:p w14:paraId="346811B1">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restart"/>
            <w:noWrap w:val="0"/>
            <w:vAlign w:val="center"/>
          </w:tcPr>
          <w:p w14:paraId="782B48BE">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（八）</w:t>
            </w:r>
          </w:p>
          <w:p w14:paraId="7ED4093D">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人居环境改善</w:t>
            </w:r>
          </w:p>
        </w:tc>
        <w:tc>
          <w:tcPr>
            <w:tcW w:w="102" w:type="pct"/>
            <w:noWrap w:val="0"/>
            <w:vAlign w:val="center"/>
          </w:tcPr>
          <w:p w14:paraId="7CA57DC3">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27</w:t>
            </w:r>
          </w:p>
        </w:tc>
        <w:tc>
          <w:tcPr>
            <w:tcW w:w="678" w:type="pct"/>
            <w:gridSpan w:val="4"/>
            <w:noWrap w:val="0"/>
            <w:vAlign w:val="center"/>
          </w:tcPr>
          <w:p w14:paraId="2D46D152">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集中式/县级及以上城市饮用水水源地水质优良比例</w:t>
            </w:r>
          </w:p>
        </w:tc>
        <w:tc>
          <w:tcPr>
            <w:tcW w:w="192" w:type="pct"/>
            <w:noWrap w:val="0"/>
            <w:vAlign w:val="center"/>
          </w:tcPr>
          <w:p w14:paraId="45C2CC9D">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14:paraId="23B94930">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22" w:type="pct"/>
            <w:noWrap w:val="0"/>
            <w:vAlign w:val="center"/>
          </w:tcPr>
          <w:p w14:paraId="377AF6B0">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20" w:type="pct"/>
            <w:noWrap w:val="0"/>
            <w:vAlign w:val="center"/>
          </w:tcPr>
          <w:p w14:paraId="2295DD81">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67" w:type="pct"/>
            <w:noWrap w:val="0"/>
            <w:vAlign w:val="center"/>
          </w:tcPr>
          <w:p w14:paraId="34E0CC14">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61" w:type="pct"/>
            <w:noWrap w:val="0"/>
            <w:vAlign w:val="center"/>
          </w:tcPr>
          <w:p w14:paraId="4BFB8964">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81" w:type="pct"/>
            <w:noWrap w:val="0"/>
            <w:vAlign w:val="center"/>
          </w:tcPr>
          <w:p w14:paraId="6C377B2E">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57" w:type="pct"/>
            <w:noWrap w:val="0"/>
            <w:vAlign w:val="center"/>
          </w:tcPr>
          <w:p w14:paraId="2678D179">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1276" w:type="pct"/>
            <w:noWrap w:val="0"/>
            <w:vAlign w:val="center"/>
          </w:tcPr>
          <w:p w14:paraId="380453BF">
            <w:pPr>
              <w:spacing w:line="260" w:lineRule="exact"/>
              <w:ind w:firstLine="420" w:firstLineChars="200"/>
              <w:jc w:val="left"/>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新平县县级及以上城市集中式饮用水源地的监测断面为2个：清水河水库和他拉河水库。</w:t>
            </w:r>
          </w:p>
          <w:p w14:paraId="12C50B8E">
            <w:pPr>
              <w:spacing w:line="260" w:lineRule="exact"/>
              <w:ind w:firstLine="420" w:firstLineChars="200"/>
              <w:jc w:val="left"/>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根据201</w:t>
            </w:r>
            <w:r>
              <w:rPr>
                <w:rFonts w:ascii="Times New Roman" w:hAnsi="Times New Roman" w:eastAsia="仿宋" w:cs="Times New Roman"/>
                <w:color w:val="auto"/>
                <w:sz w:val="21"/>
                <w:szCs w:val="21"/>
              </w:rPr>
              <w:t>6</w:t>
            </w:r>
            <w:r>
              <w:rPr>
                <w:rFonts w:hint="eastAsia" w:ascii="Times New Roman" w:hAnsi="Times New Roman" w:eastAsia="仿宋" w:cs="Times New Roman"/>
                <w:color w:val="auto"/>
                <w:sz w:val="21"/>
                <w:szCs w:val="21"/>
                <w:lang w:eastAsia="zh-CN"/>
              </w:rPr>
              <w:t>—</w:t>
            </w:r>
            <w:r>
              <w:rPr>
                <w:rFonts w:ascii="Times New Roman" w:hAnsi="Times New Roman" w:eastAsia="仿宋" w:cs="Times New Roman"/>
                <w:color w:val="auto"/>
                <w:sz w:val="21"/>
                <w:szCs w:val="21"/>
              </w:rPr>
              <w:t>2021</w:t>
            </w:r>
            <w:r>
              <w:rPr>
                <w:rFonts w:hint="eastAsia" w:ascii="Times New Roman" w:hAnsi="Times New Roman" w:eastAsia="仿宋" w:cs="Times New Roman"/>
                <w:color w:val="auto"/>
                <w:sz w:val="21"/>
                <w:szCs w:val="21"/>
              </w:rPr>
              <w:t>年各年度《玉溪市环境质量公报》的内容显示，2个县级城市集中式饮用水源地水质类别均为Ⅱ类，水质达标率100%。</w:t>
            </w:r>
          </w:p>
          <w:p w14:paraId="2F93C3D2">
            <w:pPr>
              <w:spacing w:line="260" w:lineRule="exact"/>
              <w:ind w:firstLine="420" w:firstLineChars="200"/>
              <w:jc w:val="left"/>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2019年乡镇“千人以上”集中式饮用水源地共1</w:t>
            </w:r>
            <w:r>
              <w:rPr>
                <w:rFonts w:ascii="Times New Roman" w:hAnsi="Times New Roman" w:eastAsia="仿宋" w:cs="Times New Roman"/>
                <w:color w:val="auto"/>
                <w:sz w:val="21"/>
                <w:szCs w:val="21"/>
              </w:rPr>
              <w:t>8个，经监测有</w:t>
            </w:r>
            <w:r>
              <w:rPr>
                <w:rFonts w:hint="eastAsia" w:ascii="Times New Roman" w:hAnsi="Times New Roman" w:eastAsia="仿宋" w:cs="Times New Roman"/>
                <w:color w:val="auto"/>
                <w:sz w:val="21"/>
                <w:szCs w:val="21"/>
              </w:rPr>
              <w:t>16个水质达到或优于Ⅲ类，达标率为88.89%；</w:t>
            </w:r>
          </w:p>
          <w:p w14:paraId="72D048D0">
            <w:pPr>
              <w:spacing w:line="260" w:lineRule="exact"/>
              <w:ind w:firstLine="420" w:firstLineChars="200"/>
              <w:jc w:val="left"/>
              <w:rPr>
                <w:color w:val="auto"/>
              </w:rPr>
            </w:pPr>
            <w:r>
              <w:rPr>
                <w:rFonts w:hint="eastAsia" w:ascii="Times New Roman" w:hAnsi="Times New Roman" w:eastAsia="仿宋" w:cs="Times New Roman"/>
                <w:color w:val="auto"/>
                <w:sz w:val="21"/>
                <w:szCs w:val="21"/>
              </w:rPr>
              <w:t>20</w:t>
            </w:r>
            <w:r>
              <w:rPr>
                <w:rFonts w:ascii="Times New Roman" w:hAnsi="Times New Roman" w:eastAsia="仿宋" w:cs="Times New Roman"/>
                <w:color w:val="auto"/>
                <w:sz w:val="21"/>
                <w:szCs w:val="21"/>
              </w:rPr>
              <w:t>20</w:t>
            </w:r>
            <w:r>
              <w:rPr>
                <w:rFonts w:hint="eastAsia" w:ascii="Times New Roman" w:hAnsi="Times New Roman" w:eastAsia="仿宋" w:cs="Times New Roman"/>
                <w:color w:val="auto"/>
                <w:sz w:val="21"/>
                <w:szCs w:val="21"/>
              </w:rPr>
              <w:t>年乡镇“千人以上”集中式饮用水源地共1</w:t>
            </w:r>
            <w:r>
              <w:rPr>
                <w:rFonts w:ascii="Times New Roman" w:hAnsi="Times New Roman" w:eastAsia="仿宋" w:cs="Times New Roman"/>
                <w:color w:val="auto"/>
                <w:sz w:val="21"/>
                <w:szCs w:val="21"/>
              </w:rPr>
              <w:t>1</w:t>
            </w:r>
            <w:r>
              <w:rPr>
                <w:rFonts w:hint="eastAsia" w:ascii="Times New Roman" w:hAnsi="Times New Roman" w:eastAsia="仿宋" w:cs="Times New Roman"/>
                <w:color w:val="auto"/>
                <w:sz w:val="21"/>
                <w:szCs w:val="21"/>
              </w:rPr>
              <w:t>个，经监测1</w:t>
            </w:r>
            <w:r>
              <w:rPr>
                <w:rFonts w:ascii="Times New Roman" w:hAnsi="Times New Roman" w:eastAsia="仿宋" w:cs="Times New Roman"/>
                <w:color w:val="auto"/>
                <w:sz w:val="21"/>
                <w:szCs w:val="21"/>
              </w:rPr>
              <w:t>1</w:t>
            </w:r>
            <w:r>
              <w:rPr>
                <w:rFonts w:hint="eastAsia" w:ascii="Times New Roman" w:hAnsi="Times New Roman" w:eastAsia="仿宋" w:cs="Times New Roman"/>
                <w:color w:val="auto"/>
                <w:sz w:val="21"/>
                <w:szCs w:val="21"/>
              </w:rPr>
              <w:t>个水质均达到或优于Ⅲ类；有4个“千吨万人”集中式饮用水源地，经监测水质均达到Ⅱ类及以上，乡镇集中式饮用水水源地达标率为</w:t>
            </w:r>
            <w:r>
              <w:rPr>
                <w:rFonts w:ascii="Times New Roman" w:hAnsi="Times New Roman" w:eastAsia="仿宋" w:cs="Times New Roman"/>
                <w:color w:val="auto"/>
                <w:sz w:val="21"/>
                <w:szCs w:val="21"/>
              </w:rPr>
              <w:t>100</w:t>
            </w:r>
            <w:r>
              <w:rPr>
                <w:rFonts w:hint="eastAsia" w:ascii="Times New Roman" w:hAnsi="Times New Roman" w:eastAsia="仿宋" w:cs="Times New Roman"/>
                <w:color w:val="auto"/>
                <w:sz w:val="21"/>
                <w:szCs w:val="21"/>
              </w:rPr>
              <w:t>%；</w:t>
            </w:r>
          </w:p>
          <w:p w14:paraId="2EB5B855">
            <w:pPr>
              <w:spacing w:line="260" w:lineRule="exact"/>
              <w:ind w:firstLine="420" w:firstLineChars="200"/>
              <w:jc w:val="both"/>
              <w:rPr>
                <w:rFonts w:hint="default" w:ascii="Times New Roman" w:hAnsi="Times New Roman" w:eastAsia="宋体" w:cs="Times New Roman"/>
                <w:color w:val="FF0000"/>
                <w:sz w:val="21"/>
                <w:szCs w:val="21"/>
              </w:rPr>
            </w:pPr>
            <w:r>
              <w:rPr>
                <w:rFonts w:hint="eastAsia" w:ascii="Times New Roman" w:hAnsi="Times New Roman" w:eastAsia="仿宋" w:cs="Times New Roman"/>
                <w:color w:val="auto"/>
                <w:sz w:val="21"/>
                <w:szCs w:val="21"/>
              </w:rPr>
              <w:t>2021年乡镇集中式饮用水源地共有12个，包括4个“千吨万人”集中式饮用水源地，经监测全部达标，达标率为100%。</w:t>
            </w:r>
          </w:p>
        </w:tc>
      </w:tr>
      <w:tr w14:paraId="6BF51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14:paraId="22304100">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14:paraId="42CE5867">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noWrap w:val="0"/>
            <w:vAlign w:val="center"/>
          </w:tcPr>
          <w:p w14:paraId="5DBF5489">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28</w:t>
            </w:r>
          </w:p>
        </w:tc>
        <w:tc>
          <w:tcPr>
            <w:tcW w:w="678" w:type="pct"/>
            <w:gridSpan w:val="4"/>
            <w:noWrap w:val="0"/>
            <w:vAlign w:val="center"/>
          </w:tcPr>
          <w:p w14:paraId="4A80FF5B">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村镇饮用水卫生合格率/农村饮用水合格率</w:t>
            </w:r>
          </w:p>
        </w:tc>
        <w:tc>
          <w:tcPr>
            <w:tcW w:w="192" w:type="pct"/>
            <w:noWrap w:val="0"/>
            <w:vAlign w:val="center"/>
          </w:tcPr>
          <w:p w14:paraId="0E7C6852">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14:paraId="6023C558">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22" w:type="pct"/>
            <w:noWrap w:val="0"/>
            <w:vAlign w:val="center"/>
          </w:tcPr>
          <w:p w14:paraId="71C5C0EB">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75</w:t>
            </w:r>
          </w:p>
        </w:tc>
        <w:tc>
          <w:tcPr>
            <w:tcW w:w="320" w:type="pct"/>
            <w:noWrap w:val="0"/>
            <w:vAlign w:val="center"/>
          </w:tcPr>
          <w:p w14:paraId="16B4C481">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7" w:type="pct"/>
            <w:noWrap w:val="0"/>
            <w:vAlign w:val="center"/>
          </w:tcPr>
          <w:p w14:paraId="0ED9E2B7">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1" w:type="pct"/>
            <w:noWrap w:val="0"/>
            <w:vAlign w:val="center"/>
          </w:tcPr>
          <w:p w14:paraId="5EBEFE9A">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83.13</w:t>
            </w:r>
          </w:p>
        </w:tc>
        <w:tc>
          <w:tcPr>
            <w:tcW w:w="381" w:type="pct"/>
            <w:noWrap w:val="0"/>
            <w:vAlign w:val="center"/>
          </w:tcPr>
          <w:p w14:paraId="52ABC5B6">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84.05</w:t>
            </w:r>
          </w:p>
        </w:tc>
        <w:tc>
          <w:tcPr>
            <w:tcW w:w="357" w:type="pct"/>
            <w:noWrap w:val="0"/>
            <w:vAlign w:val="center"/>
          </w:tcPr>
          <w:p w14:paraId="3AD6BFFB">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86.16</w:t>
            </w:r>
          </w:p>
        </w:tc>
        <w:tc>
          <w:tcPr>
            <w:tcW w:w="1276" w:type="pct"/>
            <w:noWrap w:val="0"/>
            <w:vAlign w:val="center"/>
          </w:tcPr>
          <w:p w14:paraId="754FF532">
            <w:pPr>
              <w:spacing w:line="260" w:lineRule="exact"/>
              <w:ind w:firstLine="420" w:firstLineChars="200"/>
              <w:jc w:val="left"/>
              <w:rPr>
                <w:rFonts w:hint="default"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根据新平县疾病预防控制中心</w:t>
            </w:r>
            <w:r>
              <w:rPr>
                <w:rFonts w:ascii="Times New Roman" w:hAnsi="Times New Roman" w:eastAsia="仿宋" w:cs="Times New Roman"/>
                <w:color w:val="auto"/>
                <w:sz w:val="21"/>
                <w:szCs w:val="21"/>
              </w:rPr>
              <w:t>提供的2019</w:t>
            </w:r>
            <w:r>
              <w:rPr>
                <w:rFonts w:hint="eastAsia" w:ascii="Times New Roman" w:hAnsi="Times New Roman" w:eastAsia="仿宋" w:cs="Times New Roman"/>
                <w:color w:val="auto"/>
                <w:sz w:val="21"/>
                <w:szCs w:val="21"/>
                <w:lang w:eastAsia="zh-CN"/>
              </w:rPr>
              <w:t>—</w:t>
            </w:r>
            <w:r>
              <w:rPr>
                <w:rFonts w:ascii="Times New Roman" w:hAnsi="Times New Roman" w:eastAsia="仿宋" w:cs="Times New Roman"/>
                <w:color w:val="auto"/>
                <w:sz w:val="21"/>
                <w:szCs w:val="21"/>
              </w:rPr>
              <w:t>2021年各年度</w:t>
            </w:r>
            <w:r>
              <w:rPr>
                <w:rFonts w:hint="eastAsia" w:ascii="Times New Roman" w:hAnsi="Times New Roman" w:eastAsia="仿宋" w:cs="Times New Roman"/>
                <w:color w:val="auto"/>
                <w:sz w:val="21"/>
                <w:szCs w:val="21"/>
              </w:rPr>
              <w:t>《玉溪市新平县农村饮用水卫生监测结果分析报告》的内容显示，各年度新平县农村饮用水中不合格指标主要来自菌落总数、肉眼可见物、浑浊度、总大肠菌群等细菌类指标，该类饮用水经采取沉淀过滤净化和沸煮等措施后才饮用，故新平县2019</w:t>
            </w:r>
            <w:r>
              <w:rPr>
                <w:rFonts w:hint="eastAsia" w:ascii="Times New Roman" w:hAnsi="Times New Roman" w:eastAsia="仿宋" w:cs="Times New Roman"/>
                <w:color w:val="auto"/>
                <w:sz w:val="21"/>
                <w:szCs w:val="21"/>
                <w:lang w:eastAsia="zh-CN"/>
              </w:rPr>
              <w:t>—</w:t>
            </w:r>
            <w:r>
              <w:rPr>
                <w:rFonts w:hint="eastAsia" w:ascii="Times New Roman" w:hAnsi="Times New Roman" w:eastAsia="仿宋" w:cs="Times New Roman"/>
                <w:color w:val="auto"/>
                <w:sz w:val="21"/>
                <w:szCs w:val="21"/>
              </w:rPr>
              <w:t>2021年各年度农村饮用水水质合格率分别为</w:t>
            </w:r>
            <w:r>
              <w:rPr>
                <w:rFonts w:ascii="Times New Roman" w:hAnsi="Times New Roman" w:eastAsia="仿宋" w:cs="Times New Roman"/>
                <w:color w:val="auto"/>
                <w:sz w:val="21"/>
                <w:szCs w:val="21"/>
              </w:rPr>
              <w:t>83.13%、</w:t>
            </w:r>
            <w:r>
              <w:rPr>
                <w:rFonts w:hint="eastAsia" w:ascii="Times New Roman" w:hAnsi="Times New Roman" w:eastAsia="仿宋" w:cs="Times New Roman"/>
                <w:color w:val="auto"/>
                <w:sz w:val="21"/>
                <w:szCs w:val="21"/>
              </w:rPr>
              <w:t>8</w:t>
            </w:r>
            <w:r>
              <w:rPr>
                <w:rFonts w:ascii="Times New Roman" w:hAnsi="Times New Roman" w:eastAsia="仿宋" w:cs="Times New Roman"/>
                <w:color w:val="auto"/>
                <w:sz w:val="21"/>
                <w:szCs w:val="21"/>
              </w:rPr>
              <w:t>4.05%和</w:t>
            </w:r>
            <w:r>
              <w:rPr>
                <w:rFonts w:hint="eastAsia" w:ascii="Times New Roman" w:hAnsi="Times New Roman" w:eastAsia="仿宋" w:cs="Times New Roman"/>
                <w:color w:val="auto"/>
                <w:sz w:val="21"/>
                <w:szCs w:val="21"/>
              </w:rPr>
              <w:t>8</w:t>
            </w:r>
            <w:r>
              <w:rPr>
                <w:rFonts w:ascii="Times New Roman" w:hAnsi="Times New Roman" w:eastAsia="仿宋" w:cs="Times New Roman"/>
                <w:color w:val="auto"/>
                <w:sz w:val="21"/>
                <w:szCs w:val="21"/>
              </w:rPr>
              <w:t>6.16%。</w:t>
            </w:r>
          </w:p>
        </w:tc>
      </w:tr>
      <w:tr w14:paraId="33AA4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14:paraId="02380773">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14:paraId="081B795B">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noWrap w:val="0"/>
            <w:vAlign w:val="center"/>
          </w:tcPr>
          <w:p w14:paraId="74059BB0">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29</w:t>
            </w:r>
          </w:p>
        </w:tc>
        <w:tc>
          <w:tcPr>
            <w:tcW w:w="678" w:type="pct"/>
            <w:gridSpan w:val="4"/>
            <w:noWrap w:val="0"/>
            <w:vAlign w:val="center"/>
          </w:tcPr>
          <w:p w14:paraId="3161D61F">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城镇污水处理率</w:t>
            </w:r>
          </w:p>
        </w:tc>
        <w:tc>
          <w:tcPr>
            <w:tcW w:w="192" w:type="pct"/>
            <w:noWrap w:val="0"/>
            <w:vAlign w:val="center"/>
          </w:tcPr>
          <w:p w14:paraId="2460C8F7">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14:paraId="5B0FDC9B">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≥85</w:t>
            </w:r>
          </w:p>
        </w:tc>
        <w:tc>
          <w:tcPr>
            <w:tcW w:w="322" w:type="pct"/>
            <w:noWrap w:val="0"/>
            <w:vAlign w:val="center"/>
          </w:tcPr>
          <w:p w14:paraId="4E42F637">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≥90</w:t>
            </w:r>
          </w:p>
        </w:tc>
        <w:tc>
          <w:tcPr>
            <w:tcW w:w="320" w:type="pct"/>
            <w:noWrap w:val="0"/>
            <w:vAlign w:val="center"/>
          </w:tcPr>
          <w:p w14:paraId="49AA10F8">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7" w:type="pct"/>
            <w:noWrap w:val="0"/>
            <w:vAlign w:val="center"/>
          </w:tcPr>
          <w:p w14:paraId="466728D9">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1" w:type="pct"/>
            <w:noWrap w:val="0"/>
            <w:vAlign w:val="center"/>
          </w:tcPr>
          <w:p w14:paraId="4D147620">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9</w:t>
            </w:r>
            <w:r>
              <w:rPr>
                <w:rFonts w:hint="default" w:ascii="Times New Roman" w:hAnsi="Times New Roman" w:eastAsia="仿宋" w:cs="Times New Roman"/>
                <w:color w:val="auto"/>
                <w:kern w:val="2"/>
                <w:sz w:val="21"/>
                <w:szCs w:val="21"/>
                <w:lang w:val="en-US" w:eastAsia="zh-CN" w:bidi="ar-SA"/>
              </w:rPr>
              <w:t>0.3</w:t>
            </w:r>
          </w:p>
        </w:tc>
        <w:tc>
          <w:tcPr>
            <w:tcW w:w="381" w:type="pct"/>
            <w:noWrap w:val="0"/>
            <w:vAlign w:val="center"/>
          </w:tcPr>
          <w:p w14:paraId="1C2C6663">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9</w:t>
            </w:r>
            <w:r>
              <w:rPr>
                <w:rFonts w:hint="default" w:ascii="Times New Roman" w:hAnsi="Times New Roman" w:eastAsia="仿宋" w:cs="Times New Roman"/>
                <w:color w:val="auto"/>
                <w:kern w:val="2"/>
                <w:sz w:val="21"/>
                <w:szCs w:val="21"/>
                <w:lang w:val="en-US" w:eastAsia="zh-CN" w:bidi="ar-SA"/>
              </w:rPr>
              <w:t>1.8</w:t>
            </w:r>
          </w:p>
        </w:tc>
        <w:tc>
          <w:tcPr>
            <w:tcW w:w="357" w:type="pct"/>
            <w:noWrap w:val="0"/>
            <w:vAlign w:val="center"/>
          </w:tcPr>
          <w:p w14:paraId="2FD600EA">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9</w:t>
            </w:r>
            <w:r>
              <w:rPr>
                <w:rFonts w:hint="default" w:ascii="Times New Roman" w:hAnsi="Times New Roman" w:eastAsia="仿宋" w:cs="Times New Roman"/>
                <w:color w:val="auto"/>
                <w:kern w:val="2"/>
                <w:sz w:val="21"/>
                <w:szCs w:val="21"/>
                <w:lang w:val="en-US" w:eastAsia="zh-CN" w:bidi="ar-SA"/>
              </w:rPr>
              <w:t>2.7</w:t>
            </w:r>
          </w:p>
        </w:tc>
        <w:tc>
          <w:tcPr>
            <w:tcW w:w="1276" w:type="pct"/>
            <w:noWrap w:val="0"/>
            <w:vAlign w:val="center"/>
          </w:tcPr>
          <w:p w14:paraId="35FBF90A">
            <w:pPr>
              <w:spacing w:line="260" w:lineRule="exact"/>
              <w:ind w:firstLine="420" w:firstLineChars="200"/>
              <w:jc w:val="left"/>
              <w:rPr>
                <w:rFonts w:hint="default" w:ascii="Times New Roman" w:hAnsi="Times New Roman" w:eastAsia="仿宋" w:cs="Times New Roman"/>
                <w:color w:val="auto"/>
                <w:sz w:val="21"/>
                <w:szCs w:val="21"/>
              </w:rPr>
            </w:pPr>
            <w:r>
              <w:rPr>
                <w:rFonts w:ascii="Times New Roman" w:hAnsi="Times New Roman" w:eastAsia="仿宋" w:cs="Times New Roman"/>
                <w:color w:val="auto"/>
                <w:sz w:val="21"/>
                <w:szCs w:val="21"/>
              </w:rPr>
              <w:t>县城建成区古城街道和桂山街道的生活污水进入县城</w:t>
            </w:r>
            <w:r>
              <w:rPr>
                <w:rFonts w:hint="eastAsia" w:ascii="Times New Roman" w:hAnsi="Times New Roman" w:eastAsia="仿宋" w:cs="Times New Roman"/>
                <w:color w:val="auto"/>
                <w:sz w:val="21"/>
                <w:szCs w:val="21"/>
                <w:lang w:eastAsia="zh-CN"/>
              </w:rPr>
              <w:t>污水处理厂</w:t>
            </w:r>
            <w:r>
              <w:rPr>
                <w:rFonts w:ascii="Times New Roman" w:hAnsi="Times New Roman" w:eastAsia="仿宋" w:cs="Times New Roman"/>
                <w:color w:val="auto"/>
                <w:sz w:val="21"/>
                <w:szCs w:val="21"/>
              </w:rPr>
              <w:t>处理，其他4个街道和6个乡镇均在集镇区配套建设有污水处理站，根据县城污水处理厂提供的生活污水处理设施处理量，以及统计局提供的城镇常住人口数据，计算得2019</w:t>
            </w:r>
            <w:r>
              <w:rPr>
                <w:rFonts w:hint="eastAsia" w:ascii="Times New Roman" w:hAnsi="Times New Roman" w:eastAsia="仿宋" w:cs="Times New Roman"/>
                <w:color w:val="auto"/>
                <w:sz w:val="21"/>
                <w:szCs w:val="21"/>
                <w:lang w:eastAsia="zh-CN"/>
              </w:rPr>
              <w:t>—</w:t>
            </w:r>
            <w:r>
              <w:rPr>
                <w:rFonts w:ascii="Times New Roman" w:hAnsi="Times New Roman" w:eastAsia="仿宋" w:cs="Times New Roman"/>
                <w:color w:val="auto"/>
                <w:sz w:val="21"/>
                <w:szCs w:val="21"/>
              </w:rPr>
              <w:t>2021年城镇生活污水产生总量，从而计算出城镇生活污水处理率。</w:t>
            </w:r>
          </w:p>
        </w:tc>
      </w:tr>
      <w:tr w14:paraId="3585C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14:paraId="3CFA608C">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14:paraId="0B69E023">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noWrap w:val="0"/>
            <w:vAlign w:val="center"/>
          </w:tcPr>
          <w:p w14:paraId="7D0B86A0">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30</w:t>
            </w:r>
          </w:p>
        </w:tc>
        <w:tc>
          <w:tcPr>
            <w:tcW w:w="678" w:type="pct"/>
            <w:gridSpan w:val="4"/>
            <w:noWrap w:val="0"/>
            <w:vAlign w:val="center"/>
          </w:tcPr>
          <w:p w14:paraId="37D2A3B8">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农村生活污水治理率</w:t>
            </w:r>
          </w:p>
        </w:tc>
        <w:tc>
          <w:tcPr>
            <w:tcW w:w="192" w:type="pct"/>
            <w:noWrap w:val="0"/>
            <w:vAlign w:val="center"/>
          </w:tcPr>
          <w:p w14:paraId="21D8E3EC">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14:paraId="1E5FCB2F">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≥50</w:t>
            </w:r>
          </w:p>
        </w:tc>
        <w:tc>
          <w:tcPr>
            <w:tcW w:w="322" w:type="pct"/>
            <w:noWrap w:val="0"/>
            <w:vAlign w:val="center"/>
          </w:tcPr>
          <w:p w14:paraId="6713337D">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≥40</w:t>
            </w:r>
          </w:p>
        </w:tc>
        <w:tc>
          <w:tcPr>
            <w:tcW w:w="320" w:type="pct"/>
            <w:noWrap w:val="0"/>
            <w:vAlign w:val="center"/>
          </w:tcPr>
          <w:p w14:paraId="749D6773">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7" w:type="pct"/>
            <w:noWrap w:val="0"/>
            <w:vAlign w:val="center"/>
          </w:tcPr>
          <w:p w14:paraId="1E42F9F1">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1" w:type="pct"/>
            <w:noWrap w:val="0"/>
            <w:vAlign w:val="center"/>
          </w:tcPr>
          <w:p w14:paraId="62E4964B">
            <w:pPr>
              <w:spacing w:line="260" w:lineRule="exact"/>
              <w:jc w:val="center"/>
              <w:rPr>
                <w:rFonts w:hint="default" w:ascii="Times New Roman" w:hAnsi="Times New Roman" w:eastAsia="仿宋" w:cs="Times New Roman"/>
                <w:color w:val="auto"/>
                <w:kern w:val="2"/>
                <w:sz w:val="21"/>
                <w:szCs w:val="21"/>
                <w:highlight w:val="yellow"/>
                <w:lang w:val="en-US" w:eastAsia="zh-CN" w:bidi="ar-SA"/>
              </w:rPr>
            </w:pPr>
            <w:r>
              <w:rPr>
                <w:rFonts w:hint="eastAsia" w:ascii="Times New Roman" w:hAnsi="Times New Roman" w:eastAsia="仿宋" w:cs="Times New Roman"/>
                <w:color w:val="auto"/>
                <w:kern w:val="2"/>
                <w:sz w:val="21"/>
                <w:szCs w:val="21"/>
                <w:highlight w:val="yellow"/>
                <w:lang w:val="en-US" w:eastAsia="zh-CN" w:bidi="ar-SA"/>
              </w:rPr>
              <w:t>40.2</w:t>
            </w:r>
          </w:p>
        </w:tc>
        <w:tc>
          <w:tcPr>
            <w:tcW w:w="381" w:type="pct"/>
            <w:noWrap w:val="0"/>
            <w:vAlign w:val="center"/>
          </w:tcPr>
          <w:p w14:paraId="3CE234B1">
            <w:pPr>
              <w:spacing w:line="260" w:lineRule="exact"/>
              <w:jc w:val="center"/>
              <w:rPr>
                <w:rFonts w:hint="default" w:ascii="Times New Roman" w:hAnsi="Times New Roman" w:eastAsia="仿宋" w:cs="Times New Roman"/>
                <w:color w:val="auto"/>
                <w:kern w:val="2"/>
                <w:sz w:val="21"/>
                <w:szCs w:val="21"/>
                <w:highlight w:val="yellow"/>
                <w:lang w:val="en-US" w:eastAsia="zh-CN" w:bidi="ar-SA"/>
              </w:rPr>
            </w:pPr>
            <w:r>
              <w:rPr>
                <w:rFonts w:hint="eastAsia" w:ascii="Times New Roman" w:hAnsi="Times New Roman" w:eastAsia="仿宋" w:cs="Times New Roman"/>
                <w:color w:val="auto"/>
                <w:kern w:val="2"/>
                <w:sz w:val="21"/>
                <w:szCs w:val="21"/>
                <w:highlight w:val="yellow"/>
                <w:lang w:val="en-US" w:eastAsia="zh-CN" w:bidi="ar-SA"/>
              </w:rPr>
              <w:t>41.5</w:t>
            </w:r>
          </w:p>
        </w:tc>
        <w:tc>
          <w:tcPr>
            <w:tcW w:w="357" w:type="pct"/>
            <w:noWrap w:val="0"/>
            <w:vAlign w:val="center"/>
          </w:tcPr>
          <w:p w14:paraId="00E6B259">
            <w:pPr>
              <w:spacing w:line="260" w:lineRule="exact"/>
              <w:jc w:val="center"/>
              <w:rPr>
                <w:rFonts w:hint="default" w:ascii="Times New Roman" w:hAnsi="Times New Roman" w:eastAsia="仿宋" w:cs="Times New Roman"/>
                <w:color w:val="auto"/>
                <w:kern w:val="2"/>
                <w:sz w:val="21"/>
                <w:szCs w:val="21"/>
                <w:highlight w:val="yellow"/>
                <w:lang w:val="en-US" w:eastAsia="zh-CN" w:bidi="ar-SA"/>
              </w:rPr>
            </w:pPr>
            <w:r>
              <w:rPr>
                <w:rFonts w:hint="eastAsia" w:ascii="Times New Roman" w:hAnsi="Times New Roman" w:eastAsia="仿宋" w:cs="Times New Roman"/>
                <w:color w:val="auto"/>
                <w:kern w:val="2"/>
                <w:sz w:val="21"/>
                <w:szCs w:val="21"/>
                <w:highlight w:val="yellow"/>
                <w:lang w:val="en-US" w:eastAsia="zh-CN" w:bidi="ar-SA"/>
              </w:rPr>
              <w:t>42.7</w:t>
            </w:r>
          </w:p>
        </w:tc>
        <w:tc>
          <w:tcPr>
            <w:tcW w:w="1276" w:type="pct"/>
            <w:noWrap w:val="0"/>
            <w:vAlign w:val="center"/>
          </w:tcPr>
          <w:p w14:paraId="3EA63FD6">
            <w:pPr>
              <w:spacing w:line="260" w:lineRule="exact"/>
              <w:ind w:firstLine="420" w:firstLineChars="200"/>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根据</w:t>
            </w:r>
            <w:r>
              <w:rPr>
                <w:rFonts w:hint="eastAsia" w:ascii="Times New Roman" w:hAnsi="Times New Roman" w:eastAsia="仿宋" w:cs="Times New Roman"/>
                <w:color w:val="auto"/>
                <w:sz w:val="21"/>
                <w:szCs w:val="21"/>
                <w:lang w:val="en-US" w:eastAsia="zh-CN"/>
              </w:rPr>
              <w:t>玉溪市</w:t>
            </w:r>
            <w:r>
              <w:rPr>
                <w:rFonts w:hint="default" w:ascii="Times New Roman" w:hAnsi="Times New Roman" w:eastAsia="仿宋" w:cs="Times New Roman"/>
                <w:color w:val="auto"/>
                <w:sz w:val="21"/>
                <w:szCs w:val="21"/>
                <w:lang w:val="en-US" w:eastAsia="zh-CN"/>
              </w:rPr>
              <w:t>生态环境局</w:t>
            </w:r>
            <w:r>
              <w:rPr>
                <w:rFonts w:hint="eastAsia" w:ascii="Times New Roman" w:hAnsi="Times New Roman" w:eastAsia="仿宋" w:cs="Times New Roman"/>
                <w:color w:val="auto"/>
                <w:sz w:val="21"/>
                <w:szCs w:val="21"/>
                <w:lang w:val="en-US" w:eastAsia="zh-CN"/>
              </w:rPr>
              <w:t>新平</w:t>
            </w:r>
            <w:r>
              <w:rPr>
                <w:rFonts w:hint="default" w:ascii="Times New Roman" w:hAnsi="Times New Roman" w:eastAsia="仿宋" w:cs="Times New Roman"/>
                <w:color w:val="auto"/>
                <w:sz w:val="21"/>
                <w:szCs w:val="21"/>
                <w:lang w:val="en-US" w:eastAsia="zh-CN"/>
              </w:rPr>
              <w:t>分局提供的201</w:t>
            </w:r>
            <w:r>
              <w:rPr>
                <w:rFonts w:hint="eastAsia" w:ascii="Times New Roman" w:hAnsi="Times New Roman" w:eastAsia="仿宋" w:cs="Times New Roman"/>
                <w:color w:val="auto"/>
                <w:sz w:val="21"/>
                <w:szCs w:val="21"/>
                <w:lang w:val="en-US" w:eastAsia="zh-CN"/>
              </w:rPr>
              <w:t>9—</w:t>
            </w:r>
            <w:r>
              <w:rPr>
                <w:rFonts w:hint="default" w:ascii="Times New Roman" w:hAnsi="Times New Roman" w:eastAsia="仿宋" w:cs="Times New Roman"/>
                <w:color w:val="auto"/>
                <w:sz w:val="21"/>
                <w:szCs w:val="21"/>
                <w:lang w:val="en-US" w:eastAsia="zh-CN"/>
              </w:rPr>
              <w:t>2021年《</w:t>
            </w:r>
            <w:r>
              <w:rPr>
                <w:rFonts w:hint="eastAsia" w:ascii="Times New Roman" w:hAnsi="Times New Roman" w:eastAsia="仿宋" w:cs="Times New Roman"/>
                <w:color w:val="auto"/>
                <w:sz w:val="21"/>
                <w:szCs w:val="21"/>
                <w:lang w:val="en-US" w:eastAsia="zh-CN"/>
              </w:rPr>
              <w:t>新平县</w:t>
            </w:r>
            <w:r>
              <w:rPr>
                <w:rFonts w:hint="default" w:ascii="Times New Roman" w:hAnsi="Times New Roman" w:eastAsia="仿宋" w:cs="Times New Roman"/>
                <w:color w:val="auto"/>
                <w:sz w:val="21"/>
                <w:szCs w:val="21"/>
                <w:lang w:val="en-US" w:eastAsia="zh-CN"/>
              </w:rPr>
              <w:t>自然村生活污水治理信息调查统计表》数据。</w:t>
            </w:r>
          </w:p>
        </w:tc>
      </w:tr>
      <w:tr w14:paraId="6790C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14:paraId="18EF1534">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14:paraId="41F384B8">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noWrap w:val="0"/>
            <w:vAlign w:val="center"/>
          </w:tcPr>
          <w:p w14:paraId="0CBCEB19">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31</w:t>
            </w:r>
          </w:p>
        </w:tc>
        <w:tc>
          <w:tcPr>
            <w:tcW w:w="678" w:type="pct"/>
            <w:gridSpan w:val="4"/>
            <w:noWrap w:val="0"/>
            <w:vAlign w:val="center"/>
          </w:tcPr>
          <w:p w14:paraId="10BE1ACC">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城镇生活垃圾无害化处理率</w:t>
            </w:r>
          </w:p>
        </w:tc>
        <w:tc>
          <w:tcPr>
            <w:tcW w:w="192" w:type="pct"/>
            <w:noWrap w:val="0"/>
            <w:vAlign w:val="center"/>
          </w:tcPr>
          <w:p w14:paraId="4C1E8866">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14:paraId="539810BE">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≥85</w:t>
            </w:r>
          </w:p>
        </w:tc>
        <w:tc>
          <w:tcPr>
            <w:tcW w:w="322" w:type="pct"/>
            <w:noWrap w:val="0"/>
            <w:vAlign w:val="center"/>
          </w:tcPr>
          <w:p w14:paraId="194D271F">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≥80</w:t>
            </w:r>
          </w:p>
        </w:tc>
        <w:tc>
          <w:tcPr>
            <w:tcW w:w="320" w:type="pct"/>
            <w:noWrap w:val="0"/>
            <w:vAlign w:val="center"/>
          </w:tcPr>
          <w:p w14:paraId="03A0D86B">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7" w:type="pct"/>
            <w:noWrap w:val="0"/>
            <w:vAlign w:val="center"/>
          </w:tcPr>
          <w:p w14:paraId="3FE3D2C4">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1" w:type="pct"/>
            <w:noWrap w:val="0"/>
            <w:vAlign w:val="center"/>
          </w:tcPr>
          <w:p w14:paraId="485C3837">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87</w:t>
            </w:r>
            <w:r>
              <w:rPr>
                <w:rFonts w:hint="eastAsia" w:ascii="Times New Roman" w:hAnsi="Times New Roman" w:eastAsia="仿宋" w:cs="Times New Roman"/>
                <w:color w:val="auto"/>
                <w:kern w:val="2"/>
                <w:sz w:val="21"/>
                <w:szCs w:val="21"/>
                <w:lang w:val="en-US" w:eastAsia="zh-CN" w:bidi="ar-SA"/>
              </w:rPr>
              <w:t>.</w:t>
            </w:r>
            <w:r>
              <w:rPr>
                <w:rFonts w:hint="default" w:ascii="Times New Roman" w:hAnsi="Times New Roman" w:eastAsia="仿宋" w:cs="Times New Roman"/>
                <w:color w:val="auto"/>
                <w:kern w:val="2"/>
                <w:sz w:val="21"/>
                <w:szCs w:val="21"/>
                <w:lang w:val="en-US" w:eastAsia="zh-CN" w:bidi="ar-SA"/>
              </w:rPr>
              <w:t>3</w:t>
            </w:r>
          </w:p>
        </w:tc>
        <w:tc>
          <w:tcPr>
            <w:tcW w:w="381" w:type="pct"/>
            <w:noWrap w:val="0"/>
            <w:vAlign w:val="center"/>
          </w:tcPr>
          <w:p w14:paraId="289DE167">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9</w:t>
            </w:r>
            <w:r>
              <w:rPr>
                <w:rFonts w:hint="default" w:ascii="Times New Roman" w:hAnsi="Times New Roman" w:eastAsia="仿宋" w:cs="Times New Roman"/>
                <w:color w:val="auto"/>
                <w:kern w:val="2"/>
                <w:sz w:val="21"/>
                <w:szCs w:val="21"/>
                <w:lang w:val="en-US" w:eastAsia="zh-CN" w:bidi="ar-SA"/>
              </w:rPr>
              <w:t>1.2</w:t>
            </w:r>
          </w:p>
        </w:tc>
        <w:tc>
          <w:tcPr>
            <w:tcW w:w="357" w:type="pct"/>
            <w:noWrap w:val="0"/>
            <w:vAlign w:val="center"/>
          </w:tcPr>
          <w:p w14:paraId="42555E63">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9</w:t>
            </w:r>
            <w:r>
              <w:rPr>
                <w:rFonts w:hint="default" w:ascii="Times New Roman" w:hAnsi="Times New Roman" w:eastAsia="仿宋" w:cs="Times New Roman"/>
                <w:color w:val="auto"/>
                <w:kern w:val="2"/>
                <w:sz w:val="21"/>
                <w:szCs w:val="21"/>
                <w:lang w:val="en-US" w:eastAsia="zh-CN" w:bidi="ar-SA"/>
              </w:rPr>
              <w:t>2.5</w:t>
            </w:r>
          </w:p>
        </w:tc>
        <w:tc>
          <w:tcPr>
            <w:tcW w:w="1276" w:type="pct"/>
            <w:noWrap w:val="0"/>
            <w:vAlign w:val="center"/>
          </w:tcPr>
          <w:p w14:paraId="7BA08D4A">
            <w:pPr>
              <w:spacing w:line="260" w:lineRule="exact"/>
              <w:ind w:firstLine="420" w:firstLineChars="200"/>
              <w:jc w:val="left"/>
              <w:rPr>
                <w:color w:val="auto"/>
              </w:rPr>
            </w:pPr>
            <w:r>
              <w:rPr>
                <w:rFonts w:hint="eastAsia" w:ascii="Times New Roman" w:hAnsi="Times New Roman" w:eastAsia="仿宋" w:cs="Times New Roman"/>
                <w:color w:val="auto"/>
                <w:sz w:val="21"/>
                <w:szCs w:val="21"/>
              </w:rPr>
              <w:t>县城建成区古城街道和桂山街道的生活垃圾集中清运至新平县城市生活垃圾填埋场，配套建设1座处理规模为40m</w:t>
            </w:r>
            <w:r>
              <w:rPr>
                <w:rFonts w:hint="eastAsia" w:ascii="Times New Roman" w:hAnsi="Times New Roman" w:eastAsia="仿宋" w:cs="Times New Roman"/>
                <w:color w:val="auto"/>
                <w:sz w:val="21"/>
                <w:szCs w:val="21"/>
                <w:vertAlign w:val="superscript"/>
              </w:rPr>
              <w:t>3</w:t>
            </w:r>
            <w:r>
              <w:rPr>
                <w:rFonts w:hint="eastAsia" w:ascii="Times New Roman" w:hAnsi="Times New Roman" w:eastAsia="仿宋" w:cs="Times New Roman"/>
                <w:color w:val="auto"/>
                <w:sz w:val="21"/>
                <w:szCs w:val="21"/>
              </w:rPr>
              <w:t>/d的渗滤液处理站。</w:t>
            </w:r>
          </w:p>
          <w:p w14:paraId="0DBEB39F">
            <w:pPr>
              <w:spacing w:line="260" w:lineRule="exact"/>
              <w:ind w:firstLine="420" w:firstLineChars="200"/>
              <w:jc w:val="left"/>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其他4个街道和6个乡镇均在集镇区配套建设有生活垃圾集中处理设施，所产生的生活垃圾</w:t>
            </w:r>
            <w:r>
              <w:rPr>
                <w:rFonts w:ascii="Times New Roman" w:hAnsi="Times New Roman" w:eastAsia="仿宋" w:cs="Times New Roman"/>
                <w:color w:val="auto"/>
                <w:sz w:val="21"/>
                <w:szCs w:val="21"/>
              </w:rPr>
              <w:t>均能得到有效收集和最终处置。</w:t>
            </w:r>
          </w:p>
          <w:p w14:paraId="7B92BF40">
            <w:pPr>
              <w:spacing w:line="260" w:lineRule="exact"/>
              <w:ind w:firstLine="420" w:firstLineChars="200"/>
              <w:jc w:val="left"/>
              <w:rPr>
                <w:rFonts w:hint="default" w:ascii="Times New Roman" w:hAnsi="Times New Roman" w:eastAsia="仿宋" w:cs="Times New Roman"/>
                <w:color w:val="auto"/>
                <w:sz w:val="21"/>
                <w:szCs w:val="21"/>
              </w:rPr>
            </w:pPr>
            <w:r>
              <w:rPr>
                <w:rFonts w:ascii="Times New Roman" w:hAnsi="Times New Roman" w:eastAsia="仿宋" w:cs="Times New Roman"/>
                <w:color w:val="auto"/>
                <w:sz w:val="21"/>
                <w:szCs w:val="21"/>
              </w:rPr>
              <w:t>根据县城管局提供的</w:t>
            </w:r>
            <w:r>
              <w:rPr>
                <w:rFonts w:hint="eastAsia" w:ascii="Times New Roman" w:hAnsi="Times New Roman" w:eastAsia="仿宋" w:cs="Times New Roman"/>
                <w:color w:val="auto"/>
                <w:sz w:val="21"/>
                <w:szCs w:val="21"/>
              </w:rPr>
              <w:t>2</w:t>
            </w:r>
            <w:r>
              <w:rPr>
                <w:rFonts w:ascii="Times New Roman" w:hAnsi="Times New Roman" w:eastAsia="仿宋" w:cs="Times New Roman"/>
                <w:color w:val="auto"/>
                <w:sz w:val="21"/>
                <w:szCs w:val="21"/>
              </w:rPr>
              <w:t>019</w:t>
            </w:r>
            <w:r>
              <w:rPr>
                <w:rFonts w:hint="eastAsia" w:ascii="Times New Roman" w:hAnsi="Times New Roman" w:eastAsia="仿宋" w:cs="Times New Roman"/>
                <w:color w:val="auto"/>
                <w:sz w:val="21"/>
                <w:szCs w:val="21"/>
                <w:lang w:eastAsia="zh-CN"/>
              </w:rPr>
              <w:t>—</w:t>
            </w:r>
            <w:r>
              <w:rPr>
                <w:rFonts w:hint="eastAsia" w:ascii="Times New Roman" w:hAnsi="Times New Roman" w:eastAsia="仿宋" w:cs="Times New Roman"/>
                <w:color w:val="auto"/>
                <w:sz w:val="21"/>
                <w:szCs w:val="21"/>
              </w:rPr>
              <w:t>2021年《新平县城市生活垃圾清运量》和</w:t>
            </w:r>
            <w:r>
              <w:rPr>
                <w:rFonts w:ascii="Times New Roman" w:hAnsi="Times New Roman" w:eastAsia="仿宋" w:cs="Times New Roman"/>
                <w:color w:val="auto"/>
                <w:sz w:val="21"/>
                <w:szCs w:val="21"/>
              </w:rPr>
              <w:t>统计局提供的城镇常住人口数据，计算得2019</w:t>
            </w:r>
            <w:r>
              <w:rPr>
                <w:rFonts w:hint="eastAsia" w:ascii="Times New Roman" w:hAnsi="Times New Roman" w:eastAsia="仿宋" w:cs="Times New Roman"/>
                <w:color w:val="auto"/>
                <w:sz w:val="21"/>
                <w:szCs w:val="21"/>
                <w:lang w:eastAsia="zh-CN"/>
              </w:rPr>
              <w:t>—</w:t>
            </w:r>
            <w:r>
              <w:rPr>
                <w:rFonts w:ascii="Times New Roman" w:hAnsi="Times New Roman" w:eastAsia="仿宋" w:cs="Times New Roman"/>
                <w:color w:val="auto"/>
                <w:sz w:val="21"/>
                <w:szCs w:val="21"/>
              </w:rPr>
              <w:t>2021年新平县城镇垃圾产生总量，从而计算出城镇生活垃圾无害化处理率。</w:t>
            </w:r>
          </w:p>
        </w:tc>
      </w:tr>
      <w:tr w14:paraId="14DEA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14:paraId="5E35454C">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14:paraId="5A2D36AA">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noWrap w:val="0"/>
            <w:vAlign w:val="center"/>
          </w:tcPr>
          <w:p w14:paraId="4D14F1E1">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32</w:t>
            </w:r>
          </w:p>
        </w:tc>
        <w:tc>
          <w:tcPr>
            <w:tcW w:w="678" w:type="pct"/>
            <w:gridSpan w:val="4"/>
            <w:noWrap w:val="0"/>
            <w:vAlign w:val="center"/>
          </w:tcPr>
          <w:p w14:paraId="2BD23456">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农村生活垃圾无害化处理村占比</w:t>
            </w:r>
          </w:p>
        </w:tc>
        <w:tc>
          <w:tcPr>
            <w:tcW w:w="192" w:type="pct"/>
            <w:noWrap w:val="0"/>
            <w:vAlign w:val="center"/>
          </w:tcPr>
          <w:p w14:paraId="58CB6B89">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14:paraId="0439F977">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≥80</w:t>
            </w:r>
          </w:p>
        </w:tc>
        <w:tc>
          <w:tcPr>
            <w:tcW w:w="322" w:type="pct"/>
            <w:noWrap w:val="0"/>
            <w:vAlign w:val="center"/>
          </w:tcPr>
          <w:p w14:paraId="37CAFC8F">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≥80</w:t>
            </w:r>
          </w:p>
        </w:tc>
        <w:tc>
          <w:tcPr>
            <w:tcW w:w="320" w:type="pct"/>
            <w:noWrap w:val="0"/>
            <w:vAlign w:val="center"/>
          </w:tcPr>
          <w:p w14:paraId="2766ACB0">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7" w:type="pct"/>
            <w:noWrap w:val="0"/>
            <w:vAlign w:val="center"/>
          </w:tcPr>
          <w:p w14:paraId="5F20B242">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1" w:type="pct"/>
            <w:noWrap w:val="0"/>
            <w:vAlign w:val="center"/>
          </w:tcPr>
          <w:p w14:paraId="070F843E">
            <w:pPr>
              <w:spacing w:line="260" w:lineRule="exact"/>
              <w:jc w:val="center"/>
              <w:rPr>
                <w:rFonts w:hint="default" w:ascii="Times New Roman" w:hAnsi="Times New Roman" w:eastAsia="仿宋" w:cs="Times New Roman"/>
                <w:color w:val="auto"/>
                <w:kern w:val="2"/>
                <w:sz w:val="21"/>
                <w:szCs w:val="21"/>
                <w:highlight w:val="yellow"/>
                <w:lang w:val="en-US" w:eastAsia="zh-CN" w:bidi="ar-SA"/>
              </w:rPr>
            </w:pPr>
            <w:r>
              <w:rPr>
                <w:rFonts w:hint="eastAsia" w:ascii="Times New Roman" w:hAnsi="Times New Roman" w:eastAsia="仿宋" w:cs="Times New Roman"/>
                <w:color w:val="auto"/>
                <w:kern w:val="2"/>
                <w:sz w:val="21"/>
                <w:szCs w:val="21"/>
                <w:highlight w:val="yellow"/>
                <w:lang w:val="en-US" w:eastAsia="zh-CN" w:bidi="ar-SA"/>
              </w:rPr>
              <w:t>81.2</w:t>
            </w:r>
          </w:p>
        </w:tc>
        <w:tc>
          <w:tcPr>
            <w:tcW w:w="381" w:type="pct"/>
            <w:noWrap w:val="0"/>
            <w:vAlign w:val="center"/>
          </w:tcPr>
          <w:p w14:paraId="1012EF66">
            <w:pPr>
              <w:spacing w:line="260" w:lineRule="exact"/>
              <w:jc w:val="center"/>
              <w:rPr>
                <w:rFonts w:hint="default" w:ascii="Times New Roman" w:hAnsi="Times New Roman" w:eastAsia="仿宋" w:cs="Times New Roman"/>
                <w:color w:val="auto"/>
                <w:kern w:val="2"/>
                <w:sz w:val="21"/>
                <w:szCs w:val="21"/>
                <w:highlight w:val="yellow"/>
                <w:lang w:val="en-US" w:eastAsia="zh-CN" w:bidi="ar-SA"/>
              </w:rPr>
            </w:pPr>
            <w:r>
              <w:rPr>
                <w:rFonts w:hint="eastAsia" w:ascii="Times New Roman" w:hAnsi="Times New Roman" w:eastAsia="仿宋" w:cs="Times New Roman"/>
                <w:color w:val="auto"/>
                <w:kern w:val="2"/>
                <w:sz w:val="21"/>
                <w:szCs w:val="21"/>
                <w:highlight w:val="yellow"/>
                <w:lang w:val="en-US" w:eastAsia="zh-CN" w:bidi="ar-SA"/>
              </w:rPr>
              <w:t>82.4</w:t>
            </w:r>
          </w:p>
        </w:tc>
        <w:tc>
          <w:tcPr>
            <w:tcW w:w="357" w:type="pct"/>
            <w:noWrap w:val="0"/>
            <w:vAlign w:val="center"/>
          </w:tcPr>
          <w:p w14:paraId="4D6F1685">
            <w:pPr>
              <w:spacing w:line="260" w:lineRule="exact"/>
              <w:jc w:val="center"/>
              <w:rPr>
                <w:rFonts w:hint="default" w:ascii="Times New Roman" w:hAnsi="Times New Roman" w:eastAsia="仿宋" w:cs="Times New Roman"/>
                <w:color w:val="auto"/>
                <w:kern w:val="2"/>
                <w:sz w:val="21"/>
                <w:szCs w:val="21"/>
                <w:highlight w:val="yellow"/>
                <w:lang w:val="en-US" w:eastAsia="zh-CN" w:bidi="ar-SA"/>
              </w:rPr>
            </w:pPr>
            <w:r>
              <w:rPr>
                <w:rFonts w:hint="eastAsia" w:ascii="Times New Roman" w:hAnsi="Times New Roman" w:eastAsia="仿宋" w:cs="Times New Roman"/>
                <w:color w:val="auto"/>
                <w:kern w:val="2"/>
                <w:sz w:val="21"/>
                <w:szCs w:val="21"/>
                <w:highlight w:val="yellow"/>
                <w:lang w:val="en-US" w:eastAsia="zh-CN" w:bidi="ar-SA"/>
              </w:rPr>
              <w:t>83.5</w:t>
            </w:r>
          </w:p>
        </w:tc>
        <w:tc>
          <w:tcPr>
            <w:tcW w:w="1276" w:type="pct"/>
            <w:noWrap w:val="0"/>
            <w:vAlign w:val="center"/>
          </w:tcPr>
          <w:p w14:paraId="7751F429">
            <w:pPr>
              <w:spacing w:line="260" w:lineRule="exact"/>
              <w:ind w:firstLine="420" w:firstLineChars="200"/>
              <w:jc w:val="left"/>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根据</w:t>
            </w:r>
            <w:r>
              <w:rPr>
                <w:rFonts w:hint="eastAsia" w:ascii="Times New Roman" w:hAnsi="Times New Roman" w:eastAsia="仿宋" w:cs="Times New Roman"/>
                <w:color w:val="auto"/>
                <w:sz w:val="21"/>
                <w:szCs w:val="21"/>
                <w:lang w:val="en-US" w:eastAsia="zh-CN"/>
              </w:rPr>
              <w:t>新平县</w:t>
            </w:r>
            <w:r>
              <w:rPr>
                <w:rFonts w:hint="default" w:ascii="Times New Roman" w:hAnsi="Times New Roman" w:eastAsia="仿宋" w:cs="Times New Roman"/>
                <w:color w:val="auto"/>
                <w:sz w:val="21"/>
                <w:szCs w:val="21"/>
                <w:lang w:val="en-US" w:eastAsia="zh-CN"/>
              </w:rPr>
              <w:t>住建部门提供的201</w:t>
            </w:r>
            <w:r>
              <w:rPr>
                <w:rFonts w:hint="eastAsia" w:ascii="Times New Roman" w:hAnsi="Times New Roman" w:eastAsia="仿宋" w:cs="Times New Roman"/>
                <w:color w:val="auto"/>
                <w:sz w:val="21"/>
                <w:szCs w:val="21"/>
                <w:lang w:val="en-US" w:eastAsia="zh-CN"/>
              </w:rPr>
              <w:t>9—</w:t>
            </w:r>
            <w:r>
              <w:rPr>
                <w:rFonts w:hint="default" w:ascii="Times New Roman" w:hAnsi="Times New Roman" w:eastAsia="仿宋" w:cs="Times New Roman"/>
                <w:color w:val="auto"/>
                <w:sz w:val="21"/>
                <w:szCs w:val="21"/>
                <w:lang w:val="en-US" w:eastAsia="zh-CN"/>
              </w:rPr>
              <w:t>2021年《市政公用设施基层表（村庄部分）》统计数据计算得出。</w:t>
            </w:r>
          </w:p>
        </w:tc>
      </w:tr>
      <w:tr w14:paraId="227B1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14:paraId="3447D58A">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14:paraId="54E37DCF">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vMerge w:val="restart"/>
            <w:noWrap w:val="0"/>
            <w:vAlign w:val="center"/>
          </w:tcPr>
          <w:p w14:paraId="1F6D1A64">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33</w:t>
            </w:r>
          </w:p>
        </w:tc>
        <w:tc>
          <w:tcPr>
            <w:tcW w:w="678" w:type="pct"/>
            <w:gridSpan w:val="4"/>
            <w:vMerge w:val="restart"/>
            <w:noWrap w:val="0"/>
            <w:vAlign w:val="center"/>
          </w:tcPr>
          <w:p w14:paraId="085E4FED">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农村无害化卫生厕所普及率</w:t>
            </w:r>
          </w:p>
        </w:tc>
        <w:tc>
          <w:tcPr>
            <w:tcW w:w="192" w:type="pct"/>
            <w:vMerge w:val="restart"/>
            <w:noWrap w:val="0"/>
            <w:vAlign w:val="center"/>
          </w:tcPr>
          <w:p w14:paraId="686B86FA">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vMerge w:val="restart"/>
            <w:noWrap w:val="0"/>
            <w:vAlign w:val="center"/>
          </w:tcPr>
          <w:p w14:paraId="197FFAE6">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完成上级规定的考核任务</w:t>
            </w:r>
          </w:p>
        </w:tc>
        <w:tc>
          <w:tcPr>
            <w:tcW w:w="322" w:type="pct"/>
            <w:vMerge w:val="restart"/>
            <w:noWrap w:val="0"/>
            <w:vAlign w:val="center"/>
          </w:tcPr>
          <w:p w14:paraId="41620AD1">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完成上级规定的考核任务</w:t>
            </w:r>
          </w:p>
        </w:tc>
        <w:tc>
          <w:tcPr>
            <w:tcW w:w="320" w:type="pct"/>
            <w:noWrap w:val="0"/>
            <w:vAlign w:val="center"/>
          </w:tcPr>
          <w:p w14:paraId="1A8172EF">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7" w:type="pct"/>
            <w:noWrap w:val="0"/>
            <w:vAlign w:val="center"/>
          </w:tcPr>
          <w:p w14:paraId="04A90706">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1" w:type="pct"/>
            <w:noWrap w:val="0"/>
            <w:vAlign w:val="center"/>
          </w:tcPr>
          <w:p w14:paraId="503B7111">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6239</w:t>
            </w:r>
          </w:p>
        </w:tc>
        <w:tc>
          <w:tcPr>
            <w:tcW w:w="381" w:type="pct"/>
            <w:noWrap w:val="0"/>
            <w:vAlign w:val="center"/>
          </w:tcPr>
          <w:p w14:paraId="240F5653">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6239</w:t>
            </w:r>
          </w:p>
        </w:tc>
        <w:tc>
          <w:tcPr>
            <w:tcW w:w="357" w:type="pct"/>
            <w:noWrap w:val="0"/>
            <w:vAlign w:val="center"/>
          </w:tcPr>
          <w:p w14:paraId="1B0288A1">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1226</w:t>
            </w:r>
          </w:p>
        </w:tc>
        <w:tc>
          <w:tcPr>
            <w:tcW w:w="1276" w:type="pct"/>
            <w:vMerge w:val="restart"/>
            <w:noWrap w:val="0"/>
            <w:vAlign w:val="center"/>
          </w:tcPr>
          <w:p w14:paraId="43D8EBA7">
            <w:pPr>
              <w:spacing w:line="260" w:lineRule="exact"/>
              <w:ind w:firstLine="420" w:firstLineChars="200"/>
              <w:jc w:val="left"/>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根据《</w:t>
            </w:r>
            <w:r>
              <w:rPr>
                <w:rFonts w:hint="eastAsia" w:ascii="Times New Roman" w:hAnsi="Times New Roman" w:eastAsia="仿宋" w:cs="Times New Roman"/>
                <w:color w:val="auto"/>
                <w:sz w:val="21"/>
                <w:szCs w:val="21"/>
                <w:lang w:val="en-US" w:eastAsia="zh-CN"/>
              </w:rPr>
              <w:t>新平县2019年</w:t>
            </w:r>
            <w:r>
              <w:rPr>
                <w:rFonts w:hint="default" w:ascii="Times New Roman" w:hAnsi="Times New Roman" w:eastAsia="仿宋" w:cs="Times New Roman"/>
                <w:color w:val="auto"/>
                <w:sz w:val="21"/>
                <w:szCs w:val="21"/>
                <w:lang w:val="en-US" w:eastAsia="zh-CN"/>
              </w:rPr>
              <w:t>农村</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厕所革命</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实施方案》（</w:t>
            </w:r>
            <w:r>
              <w:rPr>
                <w:rFonts w:hint="eastAsia" w:ascii="Times New Roman" w:hAnsi="Times New Roman" w:eastAsia="仿宋" w:cs="Times New Roman"/>
                <w:color w:val="auto"/>
                <w:sz w:val="21"/>
                <w:szCs w:val="21"/>
                <w:lang w:val="en-US" w:eastAsia="zh-CN"/>
              </w:rPr>
              <w:t>新</w:t>
            </w:r>
            <w:r>
              <w:rPr>
                <w:rFonts w:hint="default" w:ascii="Times New Roman" w:hAnsi="Times New Roman" w:eastAsia="仿宋" w:cs="Times New Roman"/>
                <w:color w:val="auto"/>
                <w:sz w:val="21"/>
                <w:szCs w:val="21"/>
                <w:lang w:val="en-US" w:eastAsia="zh-CN"/>
              </w:rPr>
              <w:t>农办</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2019</w:t>
            </w:r>
            <w:r>
              <w:rPr>
                <w:rFonts w:hint="eastAsia" w:ascii="Times New Roman" w:hAnsi="Times New Roman" w:eastAsia="仿宋" w:cs="Times New Roman"/>
                <w:color w:val="auto"/>
                <w:sz w:val="21"/>
                <w:szCs w:val="21"/>
                <w:lang w:val="en-US" w:eastAsia="zh-CN"/>
              </w:rPr>
              <w:t>〕2</w:t>
            </w:r>
            <w:r>
              <w:rPr>
                <w:rFonts w:hint="default" w:ascii="Times New Roman" w:hAnsi="Times New Roman" w:eastAsia="仿宋" w:cs="Times New Roman"/>
                <w:color w:val="auto"/>
                <w:sz w:val="21"/>
                <w:szCs w:val="21"/>
                <w:lang w:val="en-US" w:eastAsia="zh-CN"/>
              </w:rPr>
              <w:t>号）、《   农村“厕所革命”任务建设完成情况表（2018—2020年）》以及新平县2019</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2021年农村厕所革命工作总结</w:t>
            </w:r>
            <w:r>
              <w:rPr>
                <w:rFonts w:hint="eastAsia" w:ascii="Times New Roman" w:hAnsi="Times New Roman" w:eastAsia="仿宋" w:cs="Times New Roman"/>
                <w:color w:val="auto"/>
                <w:sz w:val="21"/>
                <w:szCs w:val="21"/>
                <w:lang w:val="en-US" w:eastAsia="zh-CN"/>
              </w:rPr>
              <w:t>计算得出</w:t>
            </w:r>
            <w:r>
              <w:rPr>
                <w:rFonts w:hint="default" w:ascii="Times New Roman" w:hAnsi="Times New Roman" w:eastAsia="仿宋" w:cs="Times New Roman"/>
                <w:color w:val="auto"/>
                <w:sz w:val="21"/>
                <w:szCs w:val="21"/>
                <w:lang w:val="en-US" w:eastAsia="zh-CN"/>
              </w:rPr>
              <w:t>。</w:t>
            </w:r>
          </w:p>
        </w:tc>
      </w:tr>
      <w:tr w14:paraId="0B151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14:paraId="737F4171">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14:paraId="711ECE80">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vMerge w:val="continue"/>
            <w:noWrap w:val="0"/>
            <w:vAlign w:val="center"/>
          </w:tcPr>
          <w:p w14:paraId="276E4A4A">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678" w:type="pct"/>
            <w:gridSpan w:val="4"/>
            <w:vMerge w:val="continue"/>
            <w:noWrap w:val="0"/>
            <w:vAlign w:val="center"/>
          </w:tcPr>
          <w:p w14:paraId="54A38D7C">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92" w:type="pct"/>
            <w:vMerge w:val="continue"/>
            <w:noWrap w:val="0"/>
            <w:vAlign w:val="center"/>
          </w:tcPr>
          <w:p w14:paraId="1B08977F">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1" w:type="pct"/>
            <w:vMerge w:val="continue"/>
            <w:noWrap w:val="0"/>
            <w:vAlign w:val="center"/>
          </w:tcPr>
          <w:p w14:paraId="083D5576">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2" w:type="pct"/>
            <w:vMerge w:val="continue"/>
            <w:noWrap w:val="0"/>
            <w:vAlign w:val="center"/>
          </w:tcPr>
          <w:p w14:paraId="3DF573D2">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0" w:type="pct"/>
            <w:noWrap w:val="0"/>
            <w:vAlign w:val="center"/>
          </w:tcPr>
          <w:p w14:paraId="59533162">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7" w:type="pct"/>
            <w:noWrap w:val="0"/>
            <w:vAlign w:val="center"/>
          </w:tcPr>
          <w:p w14:paraId="57139BC2">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1" w:type="pct"/>
            <w:noWrap w:val="0"/>
            <w:vAlign w:val="center"/>
          </w:tcPr>
          <w:p w14:paraId="3F4DB18F">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6239</w:t>
            </w:r>
          </w:p>
        </w:tc>
        <w:tc>
          <w:tcPr>
            <w:tcW w:w="381" w:type="pct"/>
            <w:noWrap w:val="0"/>
            <w:vAlign w:val="center"/>
          </w:tcPr>
          <w:p w14:paraId="6358145D">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6239</w:t>
            </w:r>
          </w:p>
        </w:tc>
        <w:tc>
          <w:tcPr>
            <w:tcW w:w="357" w:type="pct"/>
            <w:noWrap w:val="0"/>
            <w:vAlign w:val="center"/>
          </w:tcPr>
          <w:p w14:paraId="489C7895">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1226</w:t>
            </w:r>
          </w:p>
        </w:tc>
        <w:tc>
          <w:tcPr>
            <w:tcW w:w="1276" w:type="pct"/>
            <w:vMerge w:val="continue"/>
            <w:noWrap w:val="0"/>
            <w:vAlign w:val="center"/>
          </w:tcPr>
          <w:p w14:paraId="2CBCB0D4">
            <w:pPr>
              <w:spacing w:line="260" w:lineRule="exact"/>
              <w:ind w:firstLine="420" w:firstLineChars="200"/>
              <w:jc w:val="left"/>
              <w:rPr>
                <w:rFonts w:hint="default" w:ascii="Times New Roman" w:hAnsi="Times New Roman" w:eastAsia="仿宋" w:cs="Times New Roman"/>
                <w:color w:val="auto"/>
                <w:sz w:val="21"/>
                <w:szCs w:val="21"/>
                <w:lang w:val="en-US" w:eastAsia="zh-CN"/>
              </w:rPr>
            </w:pPr>
          </w:p>
        </w:tc>
      </w:tr>
      <w:tr w14:paraId="7DA55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14:paraId="779DF8AA">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restart"/>
            <w:noWrap w:val="0"/>
            <w:vAlign w:val="center"/>
          </w:tcPr>
          <w:p w14:paraId="24C3F56A">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（九）</w:t>
            </w:r>
          </w:p>
          <w:p w14:paraId="71E7108A">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生活</w:t>
            </w:r>
          </w:p>
          <w:p w14:paraId="5C4BF440">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方式</w:t>
            </w:r>
          </w:p>
          <w:p w14:paraId="34913E53">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绿色化</w:t>
            </w:r>
          </w:p>
        </w:tc>
        <w:tc>
          <w:tcPr>
            <w:tcW w:w="102" w:type="pct"/>
            <w:noWrap w:val="0"/>
            <w:vAlign w:val="center"/>
          </w:tcPr>
          <w:p w14:paraId="453D181E">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34</w:t>
            </w:r>
          </w:p>
        </w:tc>
        <w:tc>
          <w:tcPr>
            <w:tcW w:w="678" w:type="pct"/>
            <w:gridSpan w:val="4"/>
            <w:noWrap w:val="0"/>
            <w:vAlign w:val="center"/>
          </w:tcPr>
          <w:p w14:paraId="790F172B">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城镇新建绿色建筑比例</w:t>
            </w:r>
          </w:p>
        </w:tc>
        <w:tc>
          <w:tcPr>
            <w:tcW w:w="192" w:type="pct"/>
            <w:noWrap w:val="0"/>
            <w:vAlign w:val="center"/>
          </w:tcPr>
          <w:p w14:paraId="15362C34">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14:paraId="78B62CCF">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≥50</w:t>
            </w:r>
          </w:p>
        </w:tc>
        <w:tc>
          <w:tcPr>
            <w:tcW w:w="322" w:type="pct"/>
            <w:noWrap w:val="0"/>
            <w:vAlign w:val="center"/>
          </w:tcPr>
          <w:p w14:paraId="74C8FEF5">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参考性</w:t>
            </w:r>
          </w:p>
        </w:tc>
        <w:tc>
          <w:tcPr>
            <w:tcW w:w="320" w:type="pct"/>
            <w:noWrap w:val="0"/>
            <w:vAlign w:val="center"/>
          </w:tcPr>
          <w:p w14:paraId="0680598E">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7" w:type="pct"/>
            <w:noWrap w:val="0"/>
            <w:vAlign w:val="center"/>
          </w:tcPr>
          <w:p w14:paraId="63D8AF37">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1" w:type="pct"/>
            <w:noWrap w:val="0"/>
            <w:vAlign w:val="center"/>
          </w:tcPr>
          <w:p w14:paraId="49C624A7">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73.89</w:t>
            </w:r>
          </w:p>
        </w:tc>
        <w:tc>
          <w:tcPr>
            <w:tcW w:w="381" w:type="pct"/>
            <w:noWrap w:val="0"/>
            <w:vAlign w:val="center"/>
          </w:tcPr>
          <w:p w14:paraId="01F74D8A">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78.71</w:t>
            </w:r>
          </w:p>
        </w:tc>
        <w:tc>
          <w:tcPr>
            <w:tcW w:w="357" w:type="pct"/>
            <w:noWrap w:val="0"/>
            <w:vAlign w:val="center"/>
          </w:tcPr>
          <w:p w14:paraId="1D60E2BF">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98.62</w:t>
            </w:r>
          </w:p>
        </w:tc>
        <w:tc>
          <w:tcPr>
            <w:tcW w:w="1276" w:type="pct"/>
            <w:noWrap w:val="0"/>
            <w:vAlign w:val="center"/>
          </w:tcPr>
          <w:p w14:paraId="3F32DD24">
            <w:pPr>
              <w:spacing w:line="260" w:lineRule="exact"/>
              <w:ind w:firstLine="420" w:firstLineChars="200"/>
              <w:jc w:val="left"/>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根据</w:t>
            </w:r>
            <w:r>
              <w:rPr>
                <w:rFonts w:hint="default" w:ascii="Times New Roman" w:hAnsi="Times New Roman" w:eastAsia="仿宋" w:cs="Times New Roman"/>
                <w:color w:val="auto"/>
                <w:sz w:val="21"/>
                <w:szCs w:val="21"/>
                <w:lang w:val="en-US" w:eastAsia="zh-CN"/>
              </w:rPr>
              <w:t>201</w:t>
            </w:r>
            <w:r>
              <w:rPr>
                <w:rFonts w:hint="eastAsia" w:ascii="Times New Roman" w:hAnsi="Times New Roman" w:eastAsia="仿宋" w:cs="Times New Roman"/>
                <w:color w:val="auto"/>
                <w:sz w:val="21"/>
                <w:szCs w:val="21"/>
                <w:lang w:val="en-US" w:eastAsia="zh-CN"/>
              </w:rPr>
              <w:t>9—</w:t>
            </w:r>
            <w:r>
              <w:rPr>
                <w:rFonts w:hint="default" w:ascii="Times New Roman" w:hAnsi="Times New Roman" w:eastAsia="仿宋" w:cs="Times New Roman"/>
                <w:color w:val="auto"/>
                <w:sz w:val="21"/>
                <w:szCs w:val="21"/>
                <w:lang w:val="en-US" w:eastAsia="zh-CN"/>
              </w:rPr>
              <w:t>2021年各年度城镇新建建筑及新建绿色建筑面积统计表</w:t>
            </w:r>
            <w:r>
              <w:rPr>
                <w:rFonts w:hint="eastAsia" w:ascii="Times New Roman" w:hAnsi="Times New Roman" w:eastAsia="仿宋" w:cs="Times New Roman"/>
                <w:color w:val="auto"/>
                <w:sz w:val="21"/>
                <w:szCs w:val="21"/>
                <w:lang w:val="en-US" w:eastAsia="zh-CN"/>
              </w:rPr>
              <w:t>计算</w:t>
            </w:r>
            <w:r>
              <w:rPr>
                <w:rFonts w:hint="default" w:ascii="Times New Roman" w:hAnsi="Times New Roman" w:eastAsia="仿宋" w:cs="Times New Roman"/>
                <w:color w:val="auto"/>
                <w:sz w:val="21"/>
                <w:szCs w:val="21"/>
                <w:lang w:val="en-US" w:eastAsia="zh-CN"/>
              </w:rPr>
              <w:t>。</w:t>
            </w:r>
          </w:p>
        </w:tc>
      </w:tr>
      <w:tr w14:paraId="00835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14:paraId="3F0434EB">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14:paraId="78FD2A3C">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noWrap w:val="0"/>
            <w:vAlign w:val="center"/>
          </w:tcPr>
          <w:p w14:paraId="45D49AAE">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35</w:t>
            </w:r>
          </w:p>
        </w:tc>
        <w:tc>
          <w:tcPr>
            <w:tcW w:w="678" w:type="pct"/>
            <w:gridSpan w:val="4"/>
            <w:noWrap w:val="0"/>
            <w:vAlign w:val="center"/>
          </w:tcPr>
          <w:p w14:paraId="1AD040FD">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城镇生活垃圾分类减量化行动</w:t>
            </w:r>
          </w:p>
        </w:tc>
        <w:tc>
          <w:tcPr>
            <w:tcW w:w="192" w:type="pct"/>
            <w:noWrap w:val="0"/>
            <w:vAlign w:val="center"/>
          </w:tcPr>
          <w:p w14:paraId="39BD4555">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14:paraId="3233E80B">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实施</w:t>
            </w:r>
          </w:p>
        </w:tc>
        <w:tc>
          <w:tcPr>
            <w:tcW w:w="322" w:type="pct"/>
            <w:noWrap w:val="0"/>
            <w:vAlign w:val="center"/>
          </w:tcPr>
          <w:p w14:paraId="17172DD6">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实施</w:t>
            </w:r>
          </w:p>
        </w:tc>
        <w:tc>
          <w:tcPr>
            <w:tcW w:w="320" w:type="pct"/>
            <w:noWrap w:val="0"/>
            <w:vAlign w:val="center"/>
          </w:tcPr>
          <w:p w14:paraId="7DAE424D">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探索</w:t>
            </w:r>
          </w:p>
        </w:tc>
        <w:tc>
          <w:tcPr>
            <w:tcW w:w="367" w:type="pct"/>
            <w:noWrap w:val="0"/>
            <w:vAlign w:val="center"/>
          </w:tcPr>
          <w:p w14:paraId="7CC8350B">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探索</w:t>
            </w:r>
          </w:p>
        </w:tc>
        <w:tc>
          <w:tcPr>
            <w:tcW w:w="361" w:type="pct"/>
            <w:noWrap w:val="0"/>
            <w:vAlign w:val="center"/>
          </w:tcPr>
          <w:p w14:paraId="7D63509C">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实施</w:t>
            </w:r>
          </w:p>
        </w:tc>
        <w:tc>
          <w:tcPr>
            <w:tcW w:w="381" w:type="pct"/>
            <w:noWrap w:val="0"/>
            <w:vAlign w:val="center"/>
          </w:tcPr>
          <w:p w14:paraId="283BABE1">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实施</w:t>
            </w:r>
          </w:p>
        </w:tc>
        <w:tc>
          <w:tcPr>
            <w:tcW w:w="357" w:type="pct"/>
            <w:noWrap w:val="0"/>
            <w:vAlign w:val="center"/>
          </w:tcPr>
          <w:p w14:paraId="4BC41BE9">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实施</w:t>
            </w:r>
          </w:p>
        </w:tc>
        <w:tc>
          <w:tcPr>
            <w:tcW w:w="1276" w:type="pct"/>
            <w:noWrap w:val="0"/>
            <w:vAlign w:val="center"/>
          </w:tcPr>
          <w:p w14:paraId="0CB4D7A0">
            <w:pPr>
              <w:spacing w:line="260" w:lineRule="exact"/>
              <w:ind w:firstLine="420" w:firstLineChars="200"/>
              <w:jc w:val="left"/>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2020年</w:t>
            </w:r>
            <w:r>
              <w:rPr>
                <w:rFonts w:hint="eastAsia" w:ascii="Times New Roman" w:hAnsi="Times New Roman" w:eastAsia="仿宋" w:cs="Times New Roman"/>
                <w:color w:val="auto"/>
                <w:sz w:val="21"/>
                <w:szCs w:val="21"/>
                <w:lang w:val="en-US" w:eastAsia="zh-CN"/>
              </w:rPr>
              <w:t>新平县</w:t>
            </w:r>
            <w:r>
              <w:rPr>
                <w:rFonts w:hint="default" w:ascii="Times New Roman" w:hAnsi="Times New Roman" w:eastAsia="仿宋" w:cs="Times New Roman"/>
                <w:color w:val="auto"/>
                <w:sz w:val="21"/>
                <w:szCs w:val="21"/>
                <w:lang w:val="en-US" w:eastAsia="zh-CN"/>
              </w:rPr>
              <w:t>人民政府办公室印发了《</w:t>
            </w:r>
            <w:r>
              <w:rPr>
                <w:rFonts w:hint="eastAsia" w:ascii="Times New Roman" w:hAnsi="Times New Roman" w:eastAsia="仿宋" w:cs="Times New Roman"/>
                <w:color w:val="auto"/>
                <w:sz w:val="21"/>
                <w:szCs w:val="21"/>
                <w:lang w:val="en-US" w:eastAsia="zh-CN"/>
              </w:rPr>
              <w:t>新平县城市</w:t>
            </w:r>
            <w:r>
              <w:rPr>
                <w:rFonts w:hint="default" w:ascii="Times New Roman" w:hAnsi="Times New Roman" w:eastAsia="仿宋" w:cs="Times New Roman"/>
                <w:color w:val="auto"/>
                <w:sz w:val="21"/>
                <w:szCs w:val="21"/>
                <w:lang w:val="en-US" w:eastAsia="zh-CN"/>
              </w:rPr>
              <w:t>生活垃圾分类实施方案》（</w:t>
            </w:r>
            <w:r>
              <w:rPr>
                <w:rFonts w:hint="eastAsia" w:ascii="Times New Roman" w:hAnsi="Times New Roman" w:eastAsia="仿宋" w:cs="Times New Roman"/>
                <w:color w:val="auto"/>
                <w:sz w:val="21"/>
                <w:szCs w:val="21"/>
                <w:lang w:val="en-US" w:eastAsia="zh-CN"/>
              </w:rPr>
              <w:t>新</w:t>
            </w:r>
            <w:r>
              <w:rPr>
                <w:rFonts w:hint="default" w:ascii="Times New Roman" w:hAnsi="Times New Roman" w:eastAsia="仿宋" w:cs="Times New Roman"/>
                <w:color w:val="auto"/>
                <w:sz w:val="21"/>
                <w:szCs w:val="21"/>
                <w:lang w:val="en-US" w:eastAsia="zh-CN"/>
              </w:rPr>
              <w:t>政办发〔2020〕</w:t>
            </w:r>
            <w:r>
              <w:rPr>
                <w:rFonts w:hint="eastAsia" w:ascii="Times New Roman" w:hAnsi="Times New Roman" w:eastAsia="仿宋" w:cs="Times New Roman"/>
                <w:color w:val="auto"/>
                <w:sz w:val="21"/>
                <w:szCs w:val="21"/>
                <w:lang w:val="en-US" w:eastAsia="zh-CN"/>
              </w:rPr>
              <w:t>28</w:t>
            </w:r>
            <w:r>
              <w:rPr>
                <w:rFonts w:hint="default" w:ascii="Times New Roman" w:hAnsi="Times New Roman" w:eastAsia="仿宋" w:cs="Times New Roman"/>
                <w:color w:val="auto"/>
                <w:sz w:val="21"/>
                <w:szCs w:val="21"/>
                <w:lang w:val="en-US" w:eastAsia="zh-CN"/>
              </w:rPr>
              <w:t>号），建立健全垃圾分类制度，配套完善分类投放、分类收集、分类运输、分类处置设施，引导全民参与垃圾分类减量化行动。</w:t>
            </w:r>
          </w:p>
        </w:tc>
      </w:tr>
      <w:tr w14:paraId="4CAE5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14:paraId="75CEC971">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14:paraId="217D5309">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noWrap w:val="0"/>
            <w:vAlign w:val="center"/>
          </w:tcPr>
          <w:p w14:paraId="6DFD83AA">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36</w:t>
            </w:r>
          </w:p>
        </w:tc>
        <w:tc>
          <w:tcPr>
            <w:tcW w:w="678" w:type="pct"/>
            <w:gridSpan w:val="4"/>
            <w:noWrap w:val="0"/>
            <w:vAlign w:val="center"/>
          </w:tcPr>
          <w:p w14:paraId="5F08767D">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政府绿色采购比例</w:t>
            </w:r>
          </w:p>
        </w:tc>
        <w:tc>
          <w:tcPr>
            <w:tcW w:w="192" w:type="pct"/>
            <w:noWrap w:val="0"/>
            <w:vAlign w:val="center"/>
          </w:tcPr>
          <w:p w14:paraId="18B58E16">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14:paraId="7DBAE7A4">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≥80</w:t>
            </w:r>
          </w:p>
        </w:tc>
        <w:tc>
          <w:tcPr>
            <w:tcW w:w="322" w:type="pct"/>
            <w:noWrap w:val="0"/>
            <w:vAlign w:val="center"/>
          </w:tcPr>
          <w:p w14:paraId="6E2807F8">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≥95</w:t>
            </w:r>
          </w:p>
        </w:tc>
        <w:tc>
          <w:tcPr>
            <w:tcW w:w="320" w:type="pct"/>
            <w:noWrap w:val="0"/>
            <w:vAlign w:val="center"/>
          </w:tcPr>
          <w:p w14:paraId="08E9ADE3">
            <w:pPr>
              <w:spacing w:line="260" w:lineRule="exact"/>
              <w:jc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7" w:type="pct"/>
            <w:noWrap w:val="0"/>
            <w:vAlign w:val="center"/>
          </w:tcPr>
          <w:p w14:paraId="058F7435">
            <w:pPr>
              <w:spacing w:line="260" w:lineRule="exact"/>
              <w:jc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1" w:type="pct"/>
            <w:noWrap w:val="0"/>
            <w:vAlign w:val="center"/>
          </w:tcPr>
          <w:p w14:paraId="3DEC32D0">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97.9</w:t>
            </w:r>
          </w:p>
        </w:tc>
        <w:tc>
          <w:tcPr>
            <w:tcW w:w="381" w:type="pct"/>
            <w:noWrap w:val="0"/>
            <w:vAlign w:val="center"/>
          </w:tcPr>
          <w:p w14:paraId="2D08C26A">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97.96</w:t>
            </w:r>
          </w:p>
        </w:tc>
        <w:tc>
          <w:tcPr>
            <w:tcW w:w="357" w:type="pct"/>
            <w:noWrap w:val="0"/>
            <w:vAlign w:val="center"/>
          </w:tcPr>
          <w:p w14:paraId="66B561C1">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99.89</w:t>
            </w:r>
          </w:p>
        </w:tc>
        <w:tc>
          <w:tcPr>
            <w:tcW w:w="1276" w:type="pct"/>
            <w:noWrap w:val="0"/>
            <w:vAlign w:val="center"/>
          </w:tcPr>
          <w:p w14:paraId="6B139AD5">
            <w:pPr>
              <w:pStyle w:val="160"/>
              <w:spacing w:line="260" w:lineRule="exact"/>
              <w:ind w:firstLine="0" w:firstLineChars="0"/>
              <w:jc w:val="left"/>
              <w:rPr>
                <w:rFonts w:hint="default" w:ascii="Times New Roman" w:hAnsi="Times New Roman" w:eastAsia="宋体" w:cs="Times New Roman"/>
                <w:color w:val="auto"/>
                <w:kern w:val="0"/>
                <w:sz w:val="21"/>
                <w:szCs w:val="21"/>
                <w:highlight w:val="none"/>
              </w:rPr>
            </w:pPr>
            <w:r>
              <w:rPr>
                <w:rFonts w:hint="default" w:ascii="Times New Roman" w:hAnsi="Times New Roman" w:eastAsia="仿宋" w:cs="Times New Roman"/>
                <w:color w:val="auto"/>
                <w:kern w:val="2"/>
                <w:sz w:val="21"/>
                <w:szCs w:val="21"/>
                <w:lang w:val="en-US" w:eastAsia="zh-CN" w:bidi="ar-SA"/>
              </w:rPr>
              <w:t>根据</w:t>
            </w:r>
            <w:r>
              <w:rPr>
                <w:rFonts w:hint="eastAsia" w:ascii="Times New Roman" w:hAnsi="Times New Roman" w:eastAsia="仿宋" w:cs="Times New Roman"/>
                <w:color w:val="auto"/>
                <w:kern w:val="2"/>
                <w:sz w:val="21"/>
                <w:szCs w:val="21"/>
                <w:lang w:val="en-US" w:eastAsia="zh-CN" w:bidi="ar-SA"/>
              </w:rPr>
              <w:t>新平县</w:t>
            </w:r>
            <w:r>
              <w:rPr>
                <w:rFonts w:hint="default" w:ascii="Times New Roman" w:hAnsi="Times New Roman" w:eastAsia="仿宋" w:cs="Times New Roman"/>
                <w:color w:val="auto"/>
                <w:kern w:val="2"/>
                <w:sz w:val="21"/>
                <w:szCs w:val="21"/>
                <w:lang w:val="en-US" w:eastAsia="zh-CN" w:bidi="ar-SA"/>
              </w:rPr>
              <w:t>政府采购信息统计报表获得政府绿色采购比例。</w:t>
            </w:r>
          </w:p>
        </w:tc>
      </w:tr>
      <w:tr w14:paraId="118B7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restart"/>
            <w:noWrap w:val="0"/>
            <w:vAlign w:val="center"/>
          </w:tcPr>
          <w:p w14:paraId="5CDA1B93">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生态文化</w:t>
            </w:r>
          </w:p>
        </w:tc>
        <w:tc>
          <w:tcPr>
            <w:tcW w:w="212" w:type="pct"/>
            <w:vMerge w:val="restart"/>
            <w:noWrap w:val="0"/>
            <w:vAlign w:val="center"/>
          </w:tcPr>
          <w:p w14:paraId="388C21B5">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（十）</w:t>
            </w:r>
          </w:p>
          <w:p w14:paraId="7438071E">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观念意识普及</w:t>
            </w:r>
          </w:p>
        </w:tc>
        <w:tc>
          <w:tcPr>
            <w:tcW w:w="102" w:type="pct"/>
            <w:noWrap w:val="0"/>
            <w:vAlign w:val="center"/>
          </w:tcPr>
          <w:p w14:paraId="1BF89D2C">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37</w:t>
            </w:r>
          </w:p>
        </w:tc>
        <w:tc>
          <w:tcPr>
            <w:tcW w:w="678" w:type="pct"/>
            <w:gridSpan w:val="4"/>
            <w:noWrap w:val="0"/>
            <w:vAlign w:val="center"/>
          </w:tcPr>
          <w:p w14:paraId="08D7C5B3">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党政领导干部参加生态文明培训的人数比例</w:t>
            </w:r>
          </w:p>
        </w:tc>
        <w:tc>
          <w:tcPr>
            <w:tcW w:w="192" w:type="pct"/>
            <w:noWrap w:val="0"/>
            <w:vAlign w:val="center"/>
          </w:tcPr>
          <w:p w14:paraId="045FEBE1">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14:paraId="10BB1D62">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22" w:type="pct"/>
            <w:noWrap w:val="0"/>
            <w:vAlign w:val="center"/>
          </w:tcPr>
          <w:p w14:paraId="5C1DEEF0">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20" w:type="pct"/>
            <w:noWrap w:val="0"/>
            <w:vAlign w:val="center"/>
          </w:tcPr>
          <w:p w14:paraId="5F8DB7C8">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67" w:type="pct"/>
            <w:noWrap w:val="0"/>
            <w:vAlign w:val="center"/>
          </w:tcPr>
          <w:p w14:paraId="1F00A9D9">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61" w:type="pct"/>
            <w:noWrap w:val="0"/>
            <w:vAlign w:val="center"/>
          </w:tcPr>
          <w:p w14:paraId="33EE9840">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100</w:t>
            </w:r>
          </w:p>
        </w:tc>
        <w:tc>
          <w:tcPr>
            <w:tcW w:w="381" w:type="pct"/>
            <w:noWrap w:val="0"/>
            <w:vAlign w:val="center"/>
          </w:tcPr>
          <w:p w14:paraId="7E00EA00">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100</w:t>
            </w:r>
          </w:p>
        </w:tc>
        <w:tc>
          <w:tcPr>
            <w:tcW w:w="357" w:type="pct"/>
            <w:noWrap w:val="0"/>
            <w:vAlign w:val="center"/>
          </w:tcPr>
          <w:p w14:paraId="5F71CB92">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100</w:t>
            </w:r>
          </w:p>
        </w:tc>
        <w:tc>
          <w:tcPr>
            <w:tcW w:w="1276" w:type="pct"/>
            <w:noWrap w:val="0"/>
            <w:vAlign w:val="center"/>
          </w:tcPr>
          <w:p w14:paraId="14A4360F">
            <w:pPr>
              <w:pStyle w:val="160"/>
              <w:spacing w:line="260" w:lineRule="exact"/>
              <w:ind w:firstLine="0" w:firstLineChars="0"/>
              <w:jc w:val="left"/>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根据</w:t>
            </w:r>
            <w:r>
              <w:rPr>
                <w:rFonts w:hint="eastAsia" w:ascii="Times New Roman" w:hAnsi="Times New Roman" w:eastAsia="仿宋" w:cs="Times New Roman"/>
                <w:color w:val="auto"/>
                <w:kern w:val="2"/>
                <w:sz w:val="21"/>
                <w:szCs w:val="21"/>
                <w:lang w:val="en-US" w:eastAsia="zh-CN" w:bidi="ar-SA"/>
              </w:rPr>
              <w:t>新平县</w:t>
            </w:r>
            <w:r>
              <w:rPr>
                <w:rFonts w:hint="default" w:ascii="Times New Roman" w:hAnsi="Times New Roman" w:eastAsia="仿宋" w:cs="Times New Roman"/>
                <w:color w:val="auto"/>
                <w:kern w:val="2"/>
                <w:sz w:val="21"/>
                <w:szCs w:val="21"/>
                <w:lang w:val="en-US" w:eastAsia="zh-CN" w:bidi="ar-SA"/>
              </w:rPr>
              <w:t>委组织部提供的2017</w:t>
            </w:r>
            <w:r>
              <w:rPr>
                <w:rFonts w:hint="eastAsia" w:ascii="Times New Roman" w:hAnsi="Times New Roman" w:eastAsia="仿宋" w:cs="Times New Roman"/>
                <w:color w:val="auto"/>
                <w:kern w:val="2"/>
                <w:sz w:val="21"/>
                <w:szCs w:val="21"/>
                <w:lang w:val="en-US" w:eastAsia="zh-CN" w:bidi="ar-SA"/>
              </w:rPr>
              <w:t>—</w:t>
            </w:r>
            <w:r>
              <w:rPr>
                <w:rFonts w:hint="default" w:ascii="Times New Roman" w:hAnsi="Times New Roman" w:eastAsia="仿宋" w:cs="Times New Roman"/>
                <w:color w:val="auto"/>
                <w:kern w:val="2"/>
                <w:sz w:val="21"/>
                <w:szCs w:val="21"/>
                <w:lang w:val="en-US" w:eastAsia="zh-CN" w:bidi="ar-SA"/>
              </w:rPr>
              <w:t>2021年副科级以上在职党政领导干部花名册以及生态文明培训通知、学员手册、培训人数和在线学习统计情况，计算得党政领导干部参加生态文明培训的人数比例为100%。</w:t>
            </w:r>
          </w:p>
        </w:tc>
      </w:tr>
      <w:tr w14:paraId="4862E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14:paraId="366E85D0">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14:paraId="785993E2">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noWrap w:val="0"/>
            <w:vAlign w:val="center"/>
          </w:tcPr>
          <w:p w14:paraId="03F7C9CF">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38</w:t>
            </w:r>
          </w:p>
        </w:tc>
        <w:tc>
          <w:tcPr>
            <w:tcW w:w="678" w:type="pct"/>
            <w:gridSpan w:val="4"/>
            <w:noWrap w:val="0"/>
            <w:vAlign w:val="center"/>
          </w:tcPr>
          <w:p w14:paraId="105DA16D">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公众对生态文明建设的满意度</w:t>
            </w:r>
          </w:p>
        </w:tc>
        <w:tc>
          <w:tcPr>
            <w:tcW w:w="192" w:type="pct"/>
            <w:noWrap w:val="0"/>
            <w:vAlign w:val="center"/>
          </w:tcPr>
          <w:p w14:paraId="2098D775">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14:paraId="2B2204CA">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≥80</w:t>
            </w:r>
          </w:p>
        </w:tc>
        <w:tc>
          <w:tcPr>
            <w:tcW w:w="322" w:type="pct"/>
            <w:noWrap w:val="0"/>
            <w:vAlign w:val="center"/>
          </w:tcPr>
          <w:p w14:paraId="14366893">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≥80</w:t>
            </w:r>
          </w:p>
        </w:tc>
        <w:tc>
          <w:tcPr>
            <w:tcW w:w="320" w:type="pct"/>
            <w:noWrap w:val="0"/>
            <w:vAlign w:val="center"/>
          </w:tcPr>
          <w:p w14:paraId="40B07A96">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未调查</w:t>
            </w:r>
          </w:p>
        </w:tc>
        <w:tc>
          <w:tcPr>
            <w:tcW w:w="367" w:type="pct"/>
            <w:noWrap w:val="0"/>
            <w:vAlign w:val="center"/>
          </w:tcPr>
          <w:p w14:paraId="30D18B41">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未调查</w:t>
            </w:r>
          </w:p>
        </w:tc>
        <w:tc>
          <w:tcPr>
            <w:tcW w:w="361" w:type="pct"/>
            <w:noWrap w:val="0"/>
            <w:vAlign w:val="center"/>
          </w:tcPr>
          <w:p w14:paraId="5508386A">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84.5</w:t>
            </w:r>
          </w:p>
        </w:tc>
        <w:tc>
          <w:tcPr>
            <w:tcW w:w="381" w:type="pct"/>
            <w:noWrap w:val="0"/>
            <w:vAlign w:val="center"/>
          </w:tcPr>
          <w:p w14:paraId="6C0AF55E">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86</w:t>
            </w:r>
          </w:p>
        </w:tc>
        <w:tc>
          <w:tcPr>
            <w:tcW w:w="357" w:type="pct"/>
            <w:noWrap w:val="0"/>
            <w:vAlign w:val="center"/>
          </w:tcPr>
          <w:p w14:paraId="15A06742">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88.3</w:t>
            </w:r>
          </w:p>
        </w:tc>
        <w:tc>
          <w:tcPr>
            <w:tcW w:w="1276" w:type="pct"/>
            <w:noWrap w:val="0"/>
            <w:vAlign w:val="center"/>
          </w:tcPr>
          <w:p w14:paraId="71971C7B">
            <w:pPr>
              <w:spacing w:line="260" w:lineRule="exact"/>
              <w:jc w:val="left"/>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根据2019</w:t>
            </w:r>
            <w:r>
              <w:rPr>
                <w:rFonts w:hint="eastAsia" w:ascii="Times New Roman" w:hAnsi="Times New Roman" w:eastAsia="仿宋" w:cs="Times New Roman"/>
                <w:color w:val="auto"/>
                <w:kern w:val="2"/>
                <w:sz w:val="21"/>
                <w:szCs w:val="21"/>
                <w:lang w:val="en-US" w:eastAsia="zh-CN" w:bidi="ar-SA"/>
              </w:rPr>
              <w:t>—</w:t>
            </w:r>
            <w:r>
              <w:rPr>
                <w:rFonts w:hint="default" w:ascii="Times New Roman" w:hAnsi="Times New Roman" w:eastAsia="仿宋" w:cs="Times New Roman"/>
                <w:color w:val="auto"/>
                <w:kern w:val="2"/>
                <w:sz w:val="21"/>
                <w:szCs w:val="21"/>
                <w:lang w:val="en-US" w:eastAsia="zh-CN" w:bidi="ar-SA"/>
              </w:rPr>
              <w:t>2021年</w:t>
            </w:r>
            <w:r>
              <w:rPr>
                <w:rFonts w:hint="eastAsia" w:ascii="Times New Roman" w:hAnsi="Times New Roman" w:eastAsia="仿宋" w:cs="Times New Roman"/>
                <w:color w:val="auto"/>
                <w:kern w:val="2"/>
                <w:sz w:val="21"/>
                <w:szCs w:val="21"/>
                <w:lang w:val="en-US" w:eastAsia="zh-CN" w:bidi="ar-SA"/>
              </w:rPr>
              <w:t>新平县</w:t>
            </w:r>
            <w:r>
              <w:rPr>
                <w:rFonts w:hint="default" w:ascii="Times New Roman" w:hAnsi="Times New Roman" w:eastAsia="仿宋" w:cs="Times New Roman"/>
                <w:color w:val="auto"/>
                <w:kern w:val="2"/>
                <w:sz w:val="21"/>
                <w:szCs w:val="21"/>
                <w:lang w:val="en-US" w:eastAsia="zh-CN" w:bidi="ar-SA"/>
              </w:rPr>
              <w:t>公众对生态文明建设满意度调查抽样方案及调查报告统计数据。</w:t>
            </w:r>
          </w:p>
        </w:tc>
      </w:tr>
      <w:tr w14:paraId="31C62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14:paraId="695CB574">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14:paraId="6E272D96">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noWrap w:val="0"/>
            <w:vAlign w:val="center"/>
          </w:tcPr>
          <w:p w14:paraId="1614896D">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39</w:t>
            </w:r>
          </w:p>
        </w:tc>
        <w:tc>
          <w:tcPr>
            <w:tcW w:w="678" w:type="pct"/>
            <w:gridSpan w:val="4"/>
            <w:noWrap w:val="0"/>
            <w:vAlign w:val="center"/>
          </w:tcPr>
          <w:p w14:paraId="11575F5C">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公众对生态文明建设的参与度</w:t>
            </w:r>
          </w:p>
        </w:tc>
        <w:tc>
          <w:tcPr>
            <w:tcW w:w="192" w:type="pct"/>
            <w:noWrap w:val="0"/>
            <w:vAlign w:val="center"/>
          </w:tcPr>
          <w:p w14:paraId="4DD10A57">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14:paraId="451FF1A2">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≥80</w:t>
            </w:r>
          </w:p>
        </w:tc>
        <w:tc>
          <w:tcPr>
            <w:tcW w:w="322" w:type="pct"/>
            <w:noWrap w:val="0"/>
            <w:vAlign w:val="center"/>
          </w:tcPr>
          <w:p w14:paraId="76EF417F">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≥80</w:t>
            </w:r>
          </w:p>
        </w:tc>
        <w:tc>
          <w:tcPr>
            <w:tcW w:w="320" w:type="pct"/>
            <w:noWrap w:val="0"/>
            <w:vAlign w:val="center"/>
          </w:tcPr>
          <w:p w14:paraId="5BFD48B2">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未调查</w:t>
            </w:r>
          </w:p>
        </w:tc>
        <w:tc>
          <w:tcPr>
            <w:tcW w:w="367" w:type="pct"/>
            <w:noWrap w:val="0"/>
            <w:vAlign w:val="center"/>
          </w:tcPr>
          <w:p w14:paraId="1B763EA3">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未调查</w:t>
            </w:r>
          </w:p>
        </w:tc>
        <w:tc>
          <w:tcPr>
            <w:tcW w:w="361" w:type="pct"/>
            <w:noWrap w:val="0"/>
            <w:vAlign w:val="center"/>
          </w:tcPr>
          <w:p w14:paraId="4C43BEFD">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82.</w:t>
            </w:r>
            <w:r>
              <w:rPr>
                <w:rFonts w:hint="eastAsia" w:ascii="Times New Roman" w:hAnsi="Times New Roman" w:eastAsia="仿宋" w:cs="Times New Roman"/>
                <w:color w:val="auto"/>
                <w:kern w:val="2"/>
                <w:sz w:val="21"/>
                <w:szCs w:val="21"/>
                <w:lang w:val="en-US" w:eastAsia="zh-CN" w:bidi="ar-SA"/>
              </w:rPr>
              <w:t>3</w:t>
            </w:r>
          </w:p>
        </w:tc>
        <w:tc>
          <w:tcPr>
            <w:tcW w:w="381" w:type="pct"/>
            <w:noWrap w:val="0"/>
            <w:vAlign w:val="center"/>
          </w:tcPr>
          <w:p w14:paraId="24160DD1">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84.6</w:t>
            </w:r>
          </w:p>
        </w:tc>
        <w:tc>
          <w:tcPr>
            <w:tcW w:w="357" w:type="pct"/>
            <w:noWrap w:val="0"/>
            <w:vAlign w:val="center"/>
          </w:tcPr>
          <w:p w14:paraId="1185E54A">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85</w:t>
            </w:r>
          </w:p>
        </w:tc>
        <w:tc>
          <w:tcPr>
            <w:tcW w:w="1276" w:type="pct"/>
            <w:noWrap w:val="0"/>
            <w:vAlign w:val="center"/>
          </w:tcPr>
          <w:p w14:paraId="26ACBA7B">
            <w:pPr>
              <w:spacing w:line="260" w:lineRule="exact"/>
              <w:jc w:val="left"/>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根据2019</w:t>
            </w:r>
            <w:r>
              <w:rPr>
                <w:rFonts w:hint="eastAsia" w:ascii="Times New Roman" w:hAnsi="Times New Roman" w:eastAsia="仿宋" w:cs="Times New Roman"/>
                <w:color w:val="auto"/>
                <w:kern w:val="2"/>
                <w:sz w:val="21"/>
                <w:szCs w:val="21"/>
                <w:lang w:val="en-US" w:eastAsia="zh-CN" w:bidi="ar-SA"/>
              </w:rPr>
              <w:t>—</w:t>
            </w:r>
            <w:r>
              <w:rPr>
                <w:rFonts w:hint="default" w:ascii="Times New Roman" w:hAnsi="Times New Roman" w:eastAsia="仿宋" w:cs="Times New Roman"/>
                <w:color w:val="auto"/>
                <w:kern w:val="2"/>
                <w:sz w:val="21"/>
                <w:szCs w:val="21"/>
                <w:lang w:val="en-US" w:eastAsia="zh-CN" w:bidi="ar-SA"/>
              </w:rPr>
              <w:t>2021年</w:t>
            </w:r>
            <w:r>
              <w:rPr>
                <w:rFonts w:hint="eastAsia" w:ascii="Times New Roman" w:hAnsi="Times New Roman" w:eastAsia="仿宋" w:cs="Times New Roman"/>
                <w:color w:val="auto"/>
                <w:kern w:val="2"/>
                <w:sz w:val="21"/>
                <w:szCs w:val="21"/>
                <w:lang w:val="en-US" w:eastAsia="zh-CN" w:bidi="ar-SA"/>
              </w:rPr>
              <w:t>新平县</w:t>
            </w:r>
            <w:r>
              <w:rPr>
                <w:rFonts w:hint="default" w:ascii="Times New Roman" w:hAnsi="Times New Roman" w:eastAsia="仿宋" w:cs="Times New Roman"/>
                <w:color w:val="auto"/>
                <w:kern w:val="2"/>
                <w:sz w:val="21"/>
                <w:szCs w:val="21"/>
                <w:lang w:val="en-US" w:eastAsia="zh-CN" w:bidi="ar-SA"/>
              </w:rPr>
              <w:t>公众对生态文明建设满意度抽样方案及调查报告统计数据。</w:t>
            </w:r>
          </w:p>
        </w:tc>
      </w:tr>
    </w:tbl>
    <w:p w14:paraId="55B00FD8">
      <w:pPr>
        <w:rPr>
          <w:rFonts w:ascii="Times New Roman" w:hAnsi="Times New Roman" w:eastAsia="仿宋" w:cs="Times New Roman"/>
          <w:color w:val="FF0000"/>
        </w:rPr>
        <w:sectPr>
          <w:pgSz w:w="16838" w:h="11906" w:orient="landscape"/>
          <w:pgMar w:top="1800" w:right="1440" w:bottom="1800" w:left="1440" w:header="851" w:footer="992" w:gutter="0"/>
          <w:pgNumType w:fmt="decimal"/>
          <w:cols w:space="425" w:num="1"/>
          <w:docGrid w:type="lines" w:linePitch="312" w:charSpace="0"/>
        </w:sectPr>
      </w:pPr>
    </w:p>
    <w:p w14:paraId="7C09C67F">
      <w:pPr>
        <w:pStyle w:val="5"/>
        <w:pageBreakBefore w:val="0"/>
        <w:kinsoku/>
        <w:wordWrap/>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227" w:name="_Toc103590104"/>
      <w:bookmarkStart w:id="228" w:name="_Toc35697774"/>
      <w:bookmarkStart w:id="229" w:name="_Toc538"/>
      <w:bookmarkStart w:id="230" w:name="_Toc9516116"/>
      <w:bookmarkStart w:id="231" w:name="_Toc514661268"/>
      <w:bookmarkStart w:id="232" w:name="_Toc88223194"/>
      <w:r>
        <w:rPr>
          <w:rFonts w:hint="default" w:eastAsia="仿宋"/>
          <w:snapToGrid w:val="0"/>
          <w:color w:val="auto"/>
          <w:sz w:val="28"/>
          <w:szCs w:val="28"/>
          <w:lang w:val="en-US" w:eastAsia="zh-CN"/>
        </w:rPr>
        <w:t>4.</w:t>
      </w:r>
      <w:r>
        <w:rPr>
          <w:rFonts w:hint="eastAsia" w:eastAsia="仿宋"/>
          <w:snapToGrid w:val="0"/>
          <w:color w:val="auto"/>
          <w:sz w:val="28"/>
          <w:szCs w:val="28"/>
          <w:lang w:val="en-US" w:eastAsia="zh-CN"/>
        </w:rPr>
        <w:t>7</w:t>
      </w:r>
      <w:r>
        <w:rPr>
          <w:rFonts w:hint="default" w:eastAsia="仿宋"/>
          <w:snapToGrid w:val="0"/>
          <w:color w:val="auto"/>
          <w:sz w:val="28"/>
          <w:szCs w:val="28"/>
          <w:lang w:val="en-US" w:eastAsia="zh-CN"/>
        </w:rPr>
        <w:t>.2指标目标及可达性分析</w:t>
      </w:r>
      <w:bookmarkEnd w:id="227"/>
      <w:bookmarkEnd w:id="228"/>
      <w:bookmarkEnd w:id="229"/>
      <w:bookmarkEnd w:id="230"/>
      <w:bookmarkEnd w:id="231"/>
      <w:bookmarkEnd w:id="232"/>
    </w:p>
    <w:p w14:paraId="14985F98">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根据《国家生态文明建设示范区建设指标（修订版）》《云南省省级生态文明建设示范区建设指标》（2022），国家生态文明建设示范区指标考核新平县的共有35项，35项指标中已达标</w:t>
      </w:r>
      <w:r>
        <w:rPr>
          <w:rFonts w:hint="eastAsia" w:ascii="Times New Roman" w:hAnsi="Times New Roman" w:eastAsia="方正仿宋_GBK" w:cs="方正仿宋_GBK"/>
          <w:b w:val="0"/>
          <w:bCs w:val="0"/>
          <w:color w:val="auto"/>
          <w:kern w:val="2"/>
          <w:sz w:val="28"/>
          <w:szCs w:val="28"/>
          <w:lang w:val="en-US" w:eastAsia="zh-CN" w:bidi="ar-SA"/>
        </w:rPr>
        <w:t>32</w:t>
      </w:r>
      <w:r>
        <w:rPr>
          <w:rFonts w:hint="default" w:ascii="Times New Roman" w:hAnsi="Times New Roman" w:eastAsia="方正仿宋_GBK" w:cs="方正仿宋_GBK"/>
          <w:b w:val="0"/>
          <w:bCs w:val="0"/>
          <w:color w:val="auto"/>
          <w:kern w:val="2"/>
          <w:sz w:val="28"/>
          <w:szCs w:val="28"/>
          <w:lang w:val="en-US" w:eastAsia="zh-CN" w:bidi="ar-SA"/>
        </w:rPr>
        <w:t>项，</w:t>
      </w:r>
      <w:r>
        <w:rPr>
          <w:rFonts w:hint="eastAsia" w:ascii="Times New Roman" w:hAnsi="Times New Roman" w:eastAsia="方正仿宋_GBK" w:cs="方正仿宋_GBK"/>
          <w:b w:val="0"/>
          <w:bCs w:val="0"/>
          <w:color w:val="auto"/>
          <w:kern w:val="2"/>
          <w:sz w:val="28"/>
          <w:szCs w:val="28"/>
          <w:lang w:val="en-US" w:eastAsia="zh-CN" w:bidi="ar-SA"/>
        </w:rPr>
        <w:t>其中</w:t>
      </w:r>
      <w:r>
        <w:rPr>
          <w:rFonts w:hint="default" w:ascii="Times New Roman" w:hAnsi="Times New Roman" w:eastAsia="方正仿宋_GBK" w:cs="方正仿宋_GBK"/>
          <w:b w:val="0"/>
          <w:bCs w:val="0"/>
          <w:color w:val="auto"/>
          <w:kern w:val="2"/>
          <w:sz w:val="28"/>
          <w:szCs w:val="28"/>
          <w:lang w:val="en-US" w:eastAsia="zh-CN" w:bidi="ar-SA"/>
        </w:rPr>
        <w:t>单位地区生产总值能耗</w:t>
      </w:r>
      <w:r>
        <w:rPr>
          <w:rFonts w:hint="eastAsia" w:ascii="Times New Roman" w:hAnsi="Times New Roman" w:eastAsia="方正仿宋_GBK" w:cs="方正仿宋_GBK"/>
          <w:b w:val="0"/>
          <w:bCs w:val="0"/>
          <w:color w:val="auto"/>
          <w:kern w:val="2"/>
          <w:sz w:val="28"/>
          <w:szCs w:val="28"/>
          <w:lang w:val="en-US" w:eastAsia="zh-CN" w:bidi="ar-SA"/>
        </w:rPr>
        <w:t>、农村生活污水治理率、农村饮用水水质合格率等3指标</w:t>
      </w:r>
      <w:r>
        <w:rPr>
          <w:rFonts w:hint="default" w:ascii="Times New Roman" w:hAnsi="Times New Roman" w:eastAsia="方正仿宋_GBK" w:cs="方正仿宋_GBK"/>
          <w:b w:val="0"/>
          <w:bCs w:val="0"/>
          <w:color w:val="auto"/>
          <w:kern w:val="2"/>
          <w:sz w:val="28"/>
          <w:szCs w:val="28"/>
          <w:lang w:val="en-US" w:eastAsia="zh-CN" w:bidi="ar-SA"/>
        </w:rPr>
        <w:t>不达标，达标率为</w:t>
      </w:r>
      <w:r>
        <w:rPr>
          <w:rFonts w:hint="eastAsia" w:ascii="Times New Roman" w:hAnsi="Times New Roman" w:eastAsia="方正仿宋_GBK" w:cs="方正仿宋_GBK"/>
          <w:b w:val="0"/>
          <w:bCs w:val="0"/>
          <w:color w:val="auto"/>
          <w:kern w:val="2"/>
          <w:sz w:val="28"/>
          <w:szCs w:val="28"/>
          <w:lang w:val="en-US" w:eastAsia="zh-CN" w:bidi="ar-SA"/>
        </w:rPr>
        <w:t>91.43</w:t>
      </w:r>
      <w:r>
        <w:rPr>
          <w:rFonts w:hint="default" w:ascii="Times New Roman" w:hAnsi="Times New Roman" w:eastAsia="方正仿宋_GBK" w:cs="方正仿宋_GBK"/>
          <w:b w:val="0"/>
          <w:bCs w:val="0"/>
          <w:color w:val="auto"/>
          <w:kern w:val="2"/>
          <w:sz w:val="28"/>
          <w:szCs w:val="28"/>
          <w:lang w:val="en-US" w:eastAsia="zh-CN" w:bidi="ar-SA"/>
        </w:rPr>
        <w:t>%；云南省省级生态文明建设示范区指标考核新平县的共有39项，39项指标中已达标</w:t>
      </w:r>
      <w:r>
        <w:rPr>
          <w:rFonts w:hint="eastAsia" w:ascii="Times New Roman" w:hAnsi="Times New Roman" w:eastAsia="方正仿宋_GBK" w:cs="方正仿宋_GBK"/>
          <w:b w:val="0"/>
          <w:bCs w:val="0"/>
          <w:color w:val="auto"/>
          <w:kern w:val="2"/>
          <w:sz w:val="28"/>
          <w:szCs w:val="28"/>
          <w:lang w:val="en-US" w:eastAsia="zh-CN" w:bidi="ar-SA"/>
        </w:rPr>
        <w:t>38</w:t>
      </w:r>
      <w:r>
        <w:rPr>
          <w:rFonts w:hint="default" w:ascii="Times New Roman" w:hAnsi="Times New Roman" w:eastAsia="方正仿宋_GBK" w:cs="方正仿宋_GBK"/>
          <w:b w:val="0"/>
          <w:bCs w:val="0"/>
          <w:color w:val="auto"/>
          <w:kern w:val="2"/>
          <w:sz w:val="28"/>
          <w:szCs w:val="28"/>
          <w:lang w:val="en-US" w:eastAsia="zh-CN" w:bidi="ar-SA"/>
        </w:rPr>
        <w:t>项，</w:t>
      </w:r>
      <w:r>
        <w:rPr>
          <w:rFonts w:hint="eastAsia" w:ascii="Times New Roman" w:hAnsi="Times New Roman" w:eastAsia="方正仿宋_GBK" w:cs="方正仿宋_GBK"/>
          <w:b w:val="0"/>
          <w:bCs w:val="0"/>
          <w:color w:val="auto"/>
          <w:kern w:val="2"/>
          <w:sz w:val="28"/>
          <w:szCs w:val="28"/>
          <w:lang w:val="en-US" w:eastAsia="zh-CN" w:bidi="ar-SA"/>
        </w:rPr>
        <w:t>其中</w:t>
      </w:r>
      <w:r>
        <w:rPr>
          <w:rFonts w:hint="default" w:ascii="Times New Roman" w:hAnsi="Times New Roman" w:eastAsia="方正仿宋_GBK" w:cs="方正仿宋_GBK"/>
          <w:b w:val="0"/>
          <w:bCs w:val="0"/>
          <w:color w:val="auto"/>
          <w:kern w:val="2"/>
          <w:sz w:val="28"/>
          <w:szCs w:val="28"/>
          <w:lang w:val="en-US" w:eastAsia="zh-CN" w:bidi="ar-SA"/>
        </w:rPr>
        <w:t>单位地区生产总值能耗</w:t>
      </w:r>
      <w:r>
        <w:rPr>
          <w:rFonts w:hint="eastAsia" w:ascii="Times New Roman" w:hAnsi="Times New Roman" w:eastAsia="方正仿宋_GBK" w:cs="方正仿宋_GBK"/>
          <w:b w:val="0"/>
          <w:bCs w:val="0"/>
          <w:color w:val="auto"/>
          <w:kern w:val="2"/>
          <w:sz w:val="28"/>
          <w:szCs w:val="28"/>
          <w:lang w:val="en-US" w:eastAsia="zh-CN" w:bidi="ar-SA"/>
        </w:rPr>
        <w:t>1</w:t>
      </w:r>
      <w:r>
        <w:rPr>
          <w:rFonts w:hint="default" w:ascii="Times New Roman" w:hAnsi="Times New Roman" w:eastAsia="方正仿宋_GBK" w:cs="方正仿宋_GBK"/>
          <w:b w:val="0"/>
          <w:bCs w:val="0"/>
          <w:color w:val="auto"/>
          <w:kern w:val="2"/>
          <w:sz w:val="28"/>
          <w:szCs w:val="28"/>
          <w:lang w:val="en-US" w:eastAsia="zh-CN" w:bidi="ar-SA"/>
        </w:rPr>
        <w:t>项</w:t>
      </w:r>
      <w:r>
        <w:rPr>
          <w:rFonts w:hint="eastAsia" w:ascii="Times New Roman" w:hAnsi="Times New Roman" w:eastAsia="方正仿宋_GBK" w:cs="方正仿宋_GBK"/>
          <w:b w:val="0"/>
          <w:bCs w:val="0"/>
          <w:color w:val="auto"/>
          <w:kern w:val="2"/>
          <w:sz w:val="28"/>
          <w:szCs w:val="28"/>
          <w:lang w:val="en-US" w:eastAsia="zh-CN" w:bidi="ar-SA"/>
        </w:rPr>
        <w:t>指标</w:t>
      </w:r>
      <w:r>
        <w:rPr>
          <w:rFonts w:hint="default" w:ascii="Times New Roman" w:hAnsi="Times New Roman" w:eastAsia="方正仿宋_GBK" w:cs="方正仿宋_GBK"/>
          <w:b w:val="0"/>
          <w:bCs w:val="0"/>
          <w:color w:val="auto"/>
          <w:kern w:val="2"/>
          <w:sz w:val="28"/>
          <w:szCs w:val="28"/>
          <w:lang w:val="en-US" w:eastAsia="zh-CN" w:bidi="ar-SA"/>
        </w:rPr>
        <w:t>不达标，达标率为</w:t>
      </w:r>
      <w:r>
        <w:rPr>
          <w:rFonts w:hint="eastAsia" w:ascii="Times New Roman" w:hAnsi="Times New Roman" w:eastAsia="方正仿宋_GBK" w:cs="方正仿宋_GBK"/>
          <w:b w:val="0"/>
          <w:bCs w:val="0"/>
          <w:color w:val="auto"/>
          <w:kern w:val="2"/>
          <w:sz w:val="28"/>
          <w:szCs w:val="28"/>
          <w:lang w:val="en-US" w:eastAsia="zh-CN" w:bidi="ar-SA"/>
        </w:rPr>
        <w:t>97.43</w:t>
      </w:r>
      <w:r>
        <w:rPr>
          <w:rFonts w:hint="default" w:ascii="Times New Roman" w:hAnsi="Times New Roman" w:eastAsia="方正仿宋_GBK" w:cs="方正仿宋_GBK"/>
          <w:b w:val="0"/>
          <w:bCs w:val="0"/>
          <w:color w:val="auto"/>
          <w:kern w:val="2"/>
          <w:sz w:val="28"/>
          <w:szCs w:val="28"/>
          <w:lang w:val="en-US" w:eastAsia="zh-CN" w:bidi="ar-SA"/>
        </w:rPr>
        <w:t>%</w:t>
      </w:r>
      <w:r>
        <w:rPr>
          <w:rFonts w:hint="eastAsia"/>
          <w:lang w:eastAsia="zh-CN"/>
        </w:rPr>
        <w:t>，</w:t>
      </w:r>
      <w:r>
        <w:rPr>
          <w:rFonts w:hint="default" w:ascii="Times New Roman" w:hAnsi="Times New Roman" w:eastAsia="方正仿宋_GBK" w:cs="方正仿宋_GBK"/>
          <w:b w:val="0"/>
          <w:bCs w:val="0"/>
          <w:color w:val="auto"/>
          <w:kern w:val="2"/>
          <w:sz w:val="28"/>
          <w:szCs w:val="28"/>
          <w:lang w:val="en-US" w:eastAsia="zh-CN" w:bidi="ar-SA"/>
        </w:rPr>
        <w:t>结合新平县指标情况，分别设定2025年和2030年目标。详见下表。</w:t>
      </w:r>
    </w:p>
    <w:p w14:paraId="78E22EC0">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（1）难以稳定达标指标分析</w:t>
      </w:r>
    </w:p>
    <w:p w14:paraId="78E82F55">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单位地区生产总值能耗。根据统计局提供的新平县能源耗算主表数据，新平县2017—2021年单位地区生产总值能耗下降率分别为2.8%，2.7%、3.4%、5.62%、-3.47%，2017-2021年均不达标。新平县能源消耗主要来自工业，占比90%左右，县域内的重工业以铜铁矿采选业、黑色金属冶炼和压延加工业、非金属矿物制品业为主，其中后两个行业属于高耗能行业，也是新平县工业经济增长的切入点。为了确保新平县单位地区生产总值能耗在规划期内持续稳定达标，要</w:t>
      </w:r>
      <w:r>
        <w:rPr>
          <w:rFonts w:hint="default" w:ascii="Times New Roman" w:hAnsi="Times New Roman" w:eastAsia="方正仿宋_GBK" w:cs="方正仿宋_GBK"/>
          <w:b w:val="0"/>
          <w:bCs w:val="0"/>
          <w:color w:val="auto"/>
          <w:kern w:val="2"/>
          <w:sz w:val="28"/>
          <w:szCs w:val="28"/>
          <w:lang w:val="en-US" w:eastAsia="zh-CN" w:bidi="ar-SA"/>
        </w:rPr>
        <w:t>认真贯彻落实《玉溪市石油天然气改革实施意见》，</w:t>
      </w:r>
      <w:r>
        <w:rPr>
          <w:rFonts w:hint="eastAsia" w:ascii="Times New Roman" w:hAnsi="Times New Roman" w:eastAsia="方正仿宋_GBK" w:cs="方正仿宋_GBK"/>
          <w:b w:val="0"/>
          <w:bCs w:val="0"/>
          <w:color w:val="auto"/>
          <w:kern w:val="2"/>
          <w:sz w:val="28"/>
          <w:szCs w:val="28"/>
          <w:lang w:val="en-US" w:eastAsia="zh-CN" w:bidi="ar-SA"/>
        </w:rPr>
        <w:t>加快推进化念－新平天然气管道建设，</w:t>
      </w:r>
      <w:r>
        <w:rPr>
          <w:rFonts w:hint="default" w:ascii="Times New Roman" w:hAnsi="Times New Roman" w:eastAsia="方正仿宋_GBK" w:cs="方正仿宋_GBK"/>
          <w:b w:val="0"/>
          <w:bCs w:val="0"/>
          <w:color w:val="auto"/>
          <w:kern w:val="2"/>
          <w:sz w:val="28"/>
          <w:szCs w:val="28"/>
          <w:lang w:val="en-US" w:eastAsia="zh-CN" w:bidi="ar-SA"/>
        </w:rPr>
        <w:t>把天然气</w:t>
      </w:r>
      <w:r>
        <w:rPr>
          <w:rFonts w:hint="eastAsia" w:ascii="Times New Roman" w:hAnsi="Times New Roman" w:eastAsia="方正仿宋_GBK" w:cs="方正仿宋_GBK"/>
          <w:b w:val="0"/>
          <w:bCs w:val="0"/>
          <w:color w:val="auto"/>
          <w:kern w:val="2"/>
          <w:sz w:val="28"/>
          <w:szCs w:val="28"/>
          <w:lang w:val="en-US" w:eastAsia="zh-CN" w:bidi="ar-SA"/>
        </w:rPr>
        <w:t>管道联通</w:t>
      </w:r>
      <w:r>
        <w:rPr>
          <w:rFonts w:hint="default" w:ascii="Times New Roman" w:hAnsi="Times New Roman" w:eastAsia="方正仿宋_GBK" w:cs="方正仿宋_GBK"/>
          <w:b w:val="0"/>
          <w:bCs w:val="0"/>
          <w:color w:val="auto"/>
          <w:kern w:val="2"/>
          <w:sz w:val="28"/>
          <w:szCs w:val="28"/>
          <w:lang w:val="en-US" w:eastAsia="zh-CN" w:bidi="ar-SA"/>
        </w:rPr>
        <w:t>到工业园区、大工业用户和重点集镇</w:t>
      </w:r>
      <w:r>
        <w:rPr>
          <w:rFonts w:hint="eastAsia" w:ascii="Times New Roman" w:hAnsi="Times New Roman" w:eastAsia="方正仿宋_GBK" w:cs="方正仿宋_GBK"/>
          <w:b w:val="0"/>
          <w:bCs w:val="0"/>
          <w:color w:val="auto"/>
          <w:kern w:val="2"/>
          <w:sz w:val="28"/>
          <w:szCs w:val="28"/>
          <w:lang w:val="en-US" w:eastAsia="zh-CN" w:bidi="ar-SA"/>
        </w:rPr>
        <w:t>，大幅减少煤炭消耗，除此之外，还要通过实施仙福钢铁（集团）有限公司产能置换技术升级改造项目、新平瀛洲水泥有限公司两千吨每天熟料水泥生产线节能环保提升改造项目和南恩糖公司搬迁改造转型升级项目和其他工业项目节能和改造，促进企业生产工艺的优化和产品结构的升级，降低能源消耗量，不断提高</w:t>
      </w:r>
      <w:r>
        <w:rPr>
          <w:rFonts w:hint="default" w:ascii="Times New Roman" w:hAnsi="Times New Roman" w:eastAsia="方正仿宋_GBK" w:cs="方正仿宋_GBK"/>
          <w:b w:val="0"/>
          <w:bCs w:val="0"/>
          <w:color w:val="auto"/>
          <w:kern w:val="2"/>
          <w:sz w:val="28"/>
          <w:szCs w:val="28"/>
          <w:lang w:val="en-US" w:eastAsia="zh-CN" w:bidi="ar-SA"/>
        </w:rPr>
        <w:t>工业增加值占GDP比</w:t>
      </w:r>
      <w:r>
        <w:rPr>
          <w:rFonts w:hint="eastAsia" w:ascii="Times New Roman" w:hAnsi="Times New Roman" w:eastAsia="方正仿宋_GBK" w:cs="方正仿宋_GBK"/>
          <w:b w:val="0"/>
          <w:bCs w:val="0"/>
          <w:color w:val="auto"/>
          <w:kern w:val="2"/>
          <w:sz w:val="28"/>
          <w:szCs w:val="28"/>
          <w:lang w:val="en-US" w:eastAsia="zh-CN" w:bidi="ar-SA"/>
        </w:rPr>
        <w:t>重，在规划期内，单位地区生产总值能耗有望持续稳定完成上级下达目标任务。</w:t>
      </w:r>
    </w:p>
    <w:p w14:paraId="74C3670E">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（2）现状不达标指标达标可达性分析</w:t>
      </w:r>
    </w:p>
    <w:p w14:paraId="46ABC3C9">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农村饮用水水质合格率。新平县农村饮用水水质不合格的主要项目是微生物指标和感官指标。在各类检测指标中，不合格最严重的是总大肠菌群和肉眼可见物两个项目，其次是浑浊度和菌落总数。总大肠菌群是饮用水受到人畜粪便污染的重要标志，浑浊度和肉眼可见物是集中式供水工艺控制中的一个重要参数，其水平对消毒效果也有影响。因此，规划期内加强对这些指标的控制和处理该指标在规划期内有望达标。</w:t>
      </w:r>
    </w:p>
    <w:p w14:paraId="5D5B4579">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农村生活污水治理率</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随着近年来农村人居环境整治行动的推进，农村生活污水治理有序开展，</w:t>
      </w:r>
      <w:r>
        <w:rPr>
          <w:rFonts w:hint="eastAsia" w:ascii="Times New Roman" w:hAnsi="Times New Roman" w:eastAsia="方正仿宋_GBK" w:cs="方正仿宋_GBK"/>
          <w:b w:val="0"/>
          <w:bCs w:val="0"/>
          <w:color w:val="auto"/>
          <w:kern w:val="2"/>
          <w:sz w:val="28"/>
          <w:szCs w:val="28"/>
          <w:lang w:val="en-US" w:eastAsia="zh-CN" w:bidi="ar-SA"/>
        </w:rPr>
        <w:t>全县</w:t>
      </w:r>
      <w:r>
        <w:rPr>
          <w:rFonts w:hint="default" w:ascii="Times New Roman" w:hAnsi="Times New Roman" w:eastAsia="方正仿宋_GBK" w:cs="方正仿宋_GBK"/>
          <w:b w:val="0"/>
          <w:bCs w:val="0"/>
          <w:color w:val="auto"/>
          <w:kern w:val="2"/>
          <w:sz w:val="28"/>
          <w:szCs w:val="28"/>
          <w:lang w:val="en-US" w:eastAsia="zh-CN" w:bidi="ar-SA"/>
        </w:rPr>
        <w:t>农村生活污水治理率逐年提升。根据《中央国务院关于全面推进乡村振兴加快农村现代化的意见</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云南省“十四五”人居环境整治提升五年行动计划》</w:t>
      </w:r>
      <w:r>
        <w:rPr>
          <w:rFonts w:hint="eastAsia" w:ascii="Times New Roman" w:hAnsi="Times New Roman" w:eastAsia="方正仿宋_GBK" w:cs="方正仿宋_GBK"/>
          <w:b w:val="0"/>
          <w:bCs w:val="0"/>
          <w:color w:val="auto"/>
          <w:kern w:val="2"/>
          <w:sz w:val="28"/>
          <w:szCs w:val="28"/>
          <w:lang w:val="en-US" w:eastAsia="zh-CN" w:bidi="ar-SA"/>
        </w:rPr>
        <w:t>和《玉溪市》</w:t>
      </w:r>
      <w:r>
        <w:rPr>
          <w:rFonts w:hint="default" w:ascii="Times New Roman" w:hAnsi="Times New Roman" w:eastAsia="方正仿宋_GBK" w:cs="方正仿宋_GBK"/>
          <w:b w:val="0"/>
          <w:bCs w:val="0"/>
          <w:color w:val="auto"/>
          <w:kern w:val="2"/>
          <w:sz w:val="28"/>
          <w:szCs w:val="28"/>
          <w:lang w:val="en-US" w:eastAsia="zh-CN" w:bidi="ar-SA"/>
        </w:rPr>
        <w:t>要求，</w:t>
      </w:r>
      <w:r>
        <w:rPr>
          <w:rFonts w:hint="eastAsia" w:ascii="Times New Roman" w:hAnsi="Times New Roman" w:eastAsia="方正仿宋_GBK" w:cs="方正仿宋_GBK"/>
          <w:b w:val="0"/>
          <w:bCs w:val="0"/>
          <w:color w:val="auto"/>
          <w:kern w:val="2"/>
          <w:sz w:val="28"/>
          <w:szCs w:val="28"/>
          <w:lang w:val="en-US" w:eastAsia="zh-CN" w:bidi="ar-SA"/>
        </w:rPr>
        <w:t>新平县</w:t>
      </w:r>
      <w:r>
        <w:rPr>
          <w:rFonts w:hint="default" w:ascii="Times New Roman" w:hAnsi="Times New Roman" w:eastAsia="方正仿宋_GBK" w:cs="方正仿宋_GBK"/>
          <w:b w:val="0"/>
          <w:bCs w:val="0"/>
          <w:color w:val="auto"/>
          <w:kern w:val="2"/>
          <w:sz w:val="28"/>
          <w:szCs w:val="28"/>
          <w:lang w:val="en-US" w:eastAsia="zh-CN" w:bidi="ar-SA"/>
        </w:rPr>
        <w:t>将进一步加强对农村生活污水进行治理，目前已印发实施《县域农村生活污水治理专项规划》，通过加快推进专项规划实施，加快乡村振兴建设，</w:t>
      </w:r>
      <w:r>
        <w:rPr>
          <w:rFonts w:hint="eastAsia" w:ascii="Times New Roman" w:hAnsi="Times New Roman" w:eastAsia="方正仿宋_GBK" w:cs="方正仿宋_GBK"/>
          <w:b w:val="0"/>
          <w:bCs w:val="0"/>
          <w:color w:val="auto"/>
          <w:kern w:val="2"/>
          <w:sz w:val="28"/>
          <w:szCs w:val="28"/>
          <w:lang w:val="en-US" w:eastAsia="zh-CN" w:bidi="ar-SA"/>
        </w:rPr>
        <w:t>新平县</w:t>
      </w:r>
      <w:r>
        <w:rPr>
          <w:rFonts w:hint="default" w:ascii="Times New Roman" w:hAnsi="Times New Roman" w:eastAsia="方正仿宋_GBK" w:cs="方正仿宋_GBK"/>
          <w:b w:val="0"/>
          <w:bCs w:val="0"/>
          <w:color w:val="auto"/>
          <w:kern w:val="2"/>
          <w:sz w:val="28"/>
          <w:szCs w:val="28"/>
          <w:lang w:val="en-US" w:eastAsia="zh-CN" w:bidi="ar-SA"/>
        </w:rPr>
        <w:t>农村生活污水治理率将进一步提升，该指标在规划期内有望达标。</w:t>
      </w:r>
    </w:p>
    <w:p w14:paraId="2406D92D">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FF0000"/>
          <w:kern w:val="2"/>
          <w:sz w:val="28"/>
          <w:szCs w:val="28"/>
          <w:lang w:val="en-US" w:eastAsia="zh-CN" w:bidi="ar-SA"/>
        </w:rPr>
        <w:sectPr>
          <w:pgSz w:w="11906" w:h="16838"/>
          <w:pgMar w:top="1440" w:right="1800" w:bottom="1440" w:left="1800" w:header="851" w:footer="992" w:gutter="0"/>
          <w:pgNumType w:fmt="decimal"/>
          <w:cols w:space="425" w:num="1"/>
          <w:docGrid w:type="lines" w:linePitch="312" w:charSpace="0"/>
        </w:sectPr>
      </w:pPr>
    </w:p>
    <w:p w14:paraId="13F65A61">
      <w:pPr>
        <w:pStyle w:val="13"/>
        <w:ind w:left="640" w:firstLine="482"/>
        <w:jc w:val="center"/>
        <w:rPr>
          <w:b/>
          <w:bCs/>
          <w:color w:val="auto"/>
          <w:sz w:val="24"/>
          <w:szCs w:val="24"/>
        </w:rPr>
      </w:pPr>
      <w:r>
        <w:rPr>
          <w:b/>
          <w:bCs/>
          <w:color w:val="auto"/>
          <w:sz w:val="24"/>
          <w:szCs w:val="24"/>
        </w:rPr>
        <w:t>表4.6.2</w:t>
      </w:r>
      <w:r>
        <w:rPr>
          <w:rFonts w:hint="eastAsia"/>
          <w:b/>
          <w:bCs/>
          <w:color w:val="auto"/>
          <w:sz w:val="24"/>
          <w:szCs w:val="24"/>
          <w:lang w:eastAsia="zh-CN"/>
        </w:rPr>
        <w:t>新平县</w:t>
      </w:r>
      <w:r>
        <w:rPr>
          <w:b/>
          <w:bCs/>
          <w:color w:val="auto"/>
          <w:sz w:val="24"/>
          <w:szCs w:val="24"/>
        </w:rPr>
        <w:t>国家、省级生态文明建设示范区建设指标目标规划及可达性分析</w:t>
      </w:r>
    </w:p>
    <w:tbl>
      <w:tblPr>
        <w:tblStyle w:val="25"/>
        <w:tblW w:w="501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85"/>
        <w:gridCol w:w="1194"/>
        <w:gridCol w:w="589"/>
        <w:gridCol w:w="3299"/>
        <w:gridCol w:w="936"/>
        <w:gridCol w:w="2141"/>
        <w:gridCol w:w="1626"/>
        <w:gridCol w:w="1861"/>
        <w:gridCol w:w="1873"/>
      </w:tblGrid>
      <w:tr w14:paraId="0FE91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44" w:hRule="atLeast"/>
          <w:tblHeader/>
          <w:jc w:val="center"/>
        </w:trPr>
        <w:tc>
          <w:tcPr>
            <w:tcW w:w="173" w:type="pct"/>
            <w:vAlign w:val="center"/>
          </w:tcPr>
          <w:p w14:paraId="1DE6DA0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领域</w:t>
            </w:r>
          </w:p>
        </w:tc>
        <w:tc>
          <w:tcPr>
            <w:tcW w:w="426" w:type="pct"/>
            <w:vAlign w:val="center"/>
          </w:tcPr>
          <w:p w14:paraId="3A3589B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任务</w:t>
            </w:r>
          </w:p>
        </w:tc>
        <w:tc>
          <w:tcPr>
            <w:tcW w:w="210" w:type="pct"/>
            <w:vAlign w:val="center"/>
          </w:tcPr>
          <w:p w14:paraId="5B1C50D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序号</w:t>
            </w:r>
          </w:p>
        </w:tc>
        <w:tc>
          <w:tcPr>
            <w:tcW w:w="1177" w:type="pct"/>
            <w:vAlign w:val="center"/>
          </w:tcPr>
          <w:p w14:paraId="37FA403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指标名称</w:t>
            </w:r>
          </w:p>
        </w:tc>
        <w:tc>
          <w:tcPr>
            <w:tcW w:w="334" w:type="pct"/>
            <w:vAlign w:val="center"/>
          </w:tcPr>
          <w:p w14:paraId="10DABD4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单位</w:t>
            </w:r>
          </w:p>
        </w:tc>
        <w:tc>
          <w:tcPr>
            <w:tcW w:w="764" w:type="pct"/>
            <w:vAlign w:val="center"/>
          </w:tcPr>
          <w:p w14:paraId="33B64D3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color w:val="auto"/>
                <w:sz w:val="21"/>
                <w:szCs w:val="21"/>
              </w:rPr>
            </w:pPr>
            <w:r>
              <w:rPr>
                <w:rFonts w:hint="eastAsia" w:ascii="Times New Roman" w:hAnsi="Times New Roman" w:eastAsia="仿宋" w:cs="Times New Roman"/>
                <w:b/>
                <w:color w:val="auto"/>
                <w:sz w:val="21"/>
                <w:szCs w:val="21"/>
                <w:lang w:val="en-US" w:eastAsia="zh-CN"/>
              </w:rPr>
              <w:t>2021</w:t>
            </w:r>
            <w:r>
              <w:rPr>
                <w:rFonts w:hint="default" w:ascii="Times New Roman" w:hAnsi="Times New Roman" w:eastAsia="仿宋" w:cs="Times New Roman"/>
                <w:b/>
                <w:color w:val="auto"/>
                <w:sz w:val="21"/>
                <w:szCs w:val="21"/>
              </w:rPr>
              <w:t>年完成情况</w:t>
            </w:r>
          </w:p>
        </w:tc>
        <w:tc>
          <w:tcPr>
            <w:tcW w:w="580" w:type="pct"/>
            <w:vAlign w:val="center"/>
          </w:tcPr>
          <w:p w14:paraId="0CCB45B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2025年目标</w:t>
            </w:r>
          </w:p>
        </w:tc>
        <w:tc>
          <w:tcPr>
            <w:tcW w:w="664" w:type="pct"/>
            <w:vAlign w:val="center"/>
          </w:tcPr>
          <w:p w14:paraId="47CEA4F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2030年目标</w:t>
            </w:r>
          </w:p>
        </w:tc>
        <w:tc>
          <w:tcPr>
            <w:tcW w:w="668" w:type="pct"/>
            <w:vAlign w:val="center"/>
          </w:tcPr>
          <w:p w14:paraId="369AE16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color w:val="auto"/>
                <w:sz w:val="21"/>
                <w:szCs w:val="21"/>
                <w:lang w:val="en-US" w:eastAsia="zh-CN"/>
              </w:rPr>
            </w:pPr>
            <w:r>
              <w:rPr>
                <w:rFonts w:hint="default" w:ascii="Times New Roman" w:hAnsi="Times New Roman" w:eastAsia="仿宋" w:cs="Times New Roman"/>
                <w:b/>
                <w:color w:val="auto"/>
                <w:sz w:val="21"/>
                <w:szCs w:val="21"/>
              </w:rPr>
              <w:t>203</w:t>
            </w:r>
            <w:r>
              <w:rPr>
                <w:rFonts w:hint="eastAsia" w:ascii="Times New Roman" w:hAnsi="Times New Roman" w:eastAsia="仿宋" w:cs="Times New Roman"/>
                <w:b/>
                <w:color w:val="auto"/>
                <w:sz w:val="21"/>
                <w:szCs w:val="21"/>
                <w:lang w:val="en-US" w:eastAsia="zh-CN"/>
              </w:rPr>
              <w:t>5</w:t>
            </w:r>
            <w:r>
              <w:rPr>
                <w:rFonts w:hint="default" w:ascii="Times New Roman" w:hAnsi="Times New Roman" w:eastAsia="仿宋" w:cs="Times New Roman"/>
                <w:b/>
                <w:color w:val="auto"/>
                <w:sz w:val="21"/>
                <w:szCs w:val="21"/>
              </w:rPr>
              <w:t>年目标</w:t>
            </w:r>
          </w:p>
        </w:tc>
      </w:tr>
      <w:tr w14:paraId="52FAB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73" w:type="pct"/>
            <w:vMerge w:val="restart"/>
            <w:vAlign w:val="center"/>
          </w:tcPr>
          <w:p w14:paraId="61C2F87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生态制度</w:t>
            </w:r>
          </w:p>
        </w:tc>
        <w:tc>
          <w:tcPr>
            <w:tcW w:w="426" w:type="pct"/>
            <w:vMerge w:val="restart"/>
            <w:vAlign w:val="center"/>
          </w:tcPr>
          <w:p w14:paraId="3D7A3A5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（一）</w:t>
            </w:r>
          </w:p>
          <w:p w14:paraId="641909A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目标责任体系与制度建设</w:t>
            </w:r>
          </w:p>
        </w:tc>
        <w:tc>
          <w:tcPr>
            <w:tcW w:w="210" w:type="pct"/>
            <w:vAlign w:val="center"/>
          </w:tcPr>
          <w:p w14:paraId="3D8BADD2">
            <w:pPr>
              <w:pStyle w:val="16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w:t>
            </w:r>
          </w:p>
        </w:tc>
        <w:tc>
          <w:tcPr>
            <w:tcW w:w="1177" w:type="pct"/>
            <w:vAlign w:val="center"/>
          </w:tcPr>
          <w:p w14:paraId="6C4CBA5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生态文明建设规划/生态文明建设示范区规划</w:t>
            </w:r>
          </w:p>
        </w:tc>
        <w:tc>
          <w:tcPr>
            <w:tcW w:w="334" w:type="pct"/>
            <w:vAlign w:val="center"/>
          </w:tcPr>
          <w:p w14:paraId="5F3B6A9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14:paraId="76014E9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制定实施</w:t>
            </w:r>
          </w:p>
        </w:tc>
        <w:tc>
          <w:tcPr>
            <w:tcW w:w="580" w:type="pct"/>
            <w:vAlign w:val="center"/>
          </w:tcPr>
          <w:p w14:paraId="7A1EA94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制定实施</w:t>
            </w:r>
          </w:p>
        </w:tc>
        <w:tc>
          <w:tcPr>
            <w:tcW w:w="664" w:type="pct"/>
            <w:vAlign w:val="center"/>
          </w:tcPr>
          <w:p w14:paraId="5630A50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制定实施</w:t>
            </w:r>
          </w:p>
        </w:tc>
        <w:tc>
          <w:tcPr>
            <w:tcW w:w="668" w:type="pct"/>
            <w:vAlign w:val="center"/>
          </w:tcPr>
          <w:p w14:paraId="0EC811C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制定实施</w:t>
            </w:r>
          </w:p>
        </w:tc>
      </w:tr>
      <w:tr w14:paraId="2A4D3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3" w:hRule="atLeast"/>
          <w:jc w:val="center"/>
        </w:trPr>
        <w:tc>
          <w:tcPr>
            <w:tcW w:w="173" w:type="pct"/>
            <w:vMerge w:val="continue"/>
            <w:vAlign w:val="center"/>
          </w:tcPr>
          <w:p w14:paraId="7227BEBB">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auto"/>
                <w:sz w:val="21"/>
                <w:szCs w:val="21"/>
              </w:rPr>
            </w:pPr>
          </w:p>
        </w:tc>
        <w:tc>
          <w:tcPr>
            <w:tcW w:w="426" w:type="pct"/>
            <w:vMerge w:val="continue"/>
            <w:vAlign w:val="center"/>
          </w:tcPr>
          <w:p w14:paraId="4E91665E">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auto"/>
                <w:sz w:val="21"/>
                <w:szCs w:val="21"/>
              </w:rPr>
            </w:pPr>
          </w:p>
        </w:tc>
        <w:tc>
          <w:tcPr>
            <w:tcW w:w="210" w:type="pct"/>
            <w:vAlign w:val="center"/>
          </w:tcPr>
          <w:p w14:paraId="3741B99A">
            <w:pPr>
              <w:pStyle w:val="16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w:t>
            </w:r>
          </w:p>
        </w:tc>
        <w:tc>
          <w:tcPr>
            <w:tcW w:w="1177" w:type="pct"/>
            <w:vAlign w:val="center"/>
          </w:tcPr>
          <w:p w14:paraId="7D3CF2B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党委政府对生态文明建设的安排部署责任落实以及生态文明制度的落实情况</w:t>
            </w:r>
          </w:p>
        </w:tc>
        <w:tc>
          <w:tcPr>
            <w:tcW w:w="334" w:type="pct"/>
            <w:vAlign w:val="center"/>
          </w:tcPr>
          <w:p w14:paraId="298CAF2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14:paraId="25664BB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有效开展</w:t>
            </w:r>
          </w:p>
        </w:tc>
        <w:tc>
          <w:tcPr>
            <w:tcW w:w="580" w:type="pct"/>
            <w:vAlign w:val="center"/>
          </w:tcPr>
          <w:p w14:paraId="1B79F8A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有效开展</w:t>
            </w:r>
          </w:p>
        </w:tc>
        <w:tc>
          <w:tcPr>
            <w:tcW w:w="664" w:type="pct"/>
            <w:vAlign w:val="center"/>
          </w:tcPr>
          <w:p w14:paraId="3D80677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有效开展</w:t>
            </w:r>
          </w:p>
        </w:tc>
        <w:tc>
          <w:tcPr>
            <w:tcW w:w="668" w:type="pct"/>
            <w:vAlign w:val="center"/>
          </w:tcPr>
          <w:p w14:paraId="73C97CA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有效开展</w:t>
            </w:r>
          </w:p>
        </w:tc>
      </w:tr>
      <w:tr w14:paraId="2808B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73" w:type="pct"/>
            <w:vMerge w:val="continue"/>
            <w:vAlign w:val="center"/>
          </w:tcPr>
          <w:p w14:paraId="73D00C8B">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426" w:type="pct"/>
            <w:vMerge w:val="continue"/>
            <w:vAlign w:val="center"/>
          </w:tcPr>
          <w:p w14:paraId="1D98B926">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210" w:type="pct"/>
            <w:vAlign w:val="center"/>
          </w:tcPr>
          <w:p w14:paraId="03E74B01">
            <w:pPr>
              <w:pStyle w:val="16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w:t>
            </w:r>
          </w:p>
        </w:tc>
        <w:tc>
          <w:tcPr>
            <w:tcW w:w="1177" w:type="pct"/>
            <w:vAlign w:val="center"/>
          </w:tcPr>
          <w:p w14:paraId="2FDE9C1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生态文明建设工作占党政实绩考核的比例</w:t>
            </w:r>
          </w:p>
        </w:tc>
        <w:tc>
          <w:tcPr>
            <w:tcW w:w="334" w:type="pct"/>
            <w:vAlign w:val="center"/>
          </w:tcPr>
          <w:p w14:paraId="2D95234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14:paraId="3486E4E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21.4</w:t>
            </w:r>
          </w:p>
        </w:tc>
        <w:tc>
          <w:tcPr>
            <w:tcW w:w="580" w:type="pct"/>
            <w:vAlign w:val="center"/>
          </w:tcPr>
          <w:p w14:paraId="25DBFFAB">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≥2</w:t>
            </w:r>
            <w:r>
              <w:rPr>
                <w:rFonts w:hint="eastAsia" w:ascii="Times New Roman" w:hAnsi="Times New Roman" w:eastAsia="仿宋" w:cs="Times New Roman"/>
                <w:color w:val="auto"/>
                <w:sz w:val="21"/>
                <w:szCs w:val="21"/>
                <w:lang w:val="en-US" w:eastAsia="zh-CN"/>
              </w:rPr>
              <w:t>2</w:t>
            </w:r>
          </w:p>
        </w:tc>
        <w:tc>
          <w:tcPr>
            <w:tcW w:w="664" w:type="pct"/>
            <w:vAlign w:val="center"/>
          </w:tcPr>
          <w:p w14:paraId="43B4587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w:t>
            </w:r>
            <w:r>
              <w:rPr>
                <w:rFonts w:hint="default" w:ascii="Times New Roman" w:hAnsi="Times New Roman" w:eastAsia="仿宋" w:cs="Times New Roman"/>
                <w:color w:val="auto"/>
                <w:sz w:val="21"/>
                <w:szCs w:val="21"/>
                <w:lang w:val="en-US" w:eastAsia="zh-CN"/>
              </w:rPr>
              <w:t>23</w:t>
            </w:r>
          </w:p>
        </w:tc>
        <w:tc>
          <w:tcPr>
            <w:tcW w:w="668" w:type="pct"/>
            <w:vAlign w:val="center"/>
          </w:tcPr>
          <w:p w14:paraId="576FEBE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rPr>
            </w:pPr>
            <w:r>
              <w:rPr>
                <w:rFonts w:hint="default" w:ascii="Times New Roman" w:hAnsi="Times New Roman" w:eastAsia="仿宋" w:cs="Times New Roman"/>
                <w:color w:val="auto"/>
                <w:sz w:val="21"/>
                <w:szCs w:val="21"/>
              </w:rPr>
              <w:t>≥</w:t>
            </w:r>
            <w:r>
              <w:rPr>
                <w:rFonts w:hint="default" w:ascii="Times New Roman" w:hAnsi="Times New Roman" w:eastAsia="仿宋" w:cs="Times New Roman"/>
                <w:color w:val="auto"/>
                <w:sz w:val="21"/>
                <w:szCs w:val="21"/>
                <w:lang w:val="en-US" w:eastAsia="zh-CN"/>
              </w:rPr>
              <w:t>2</w:t>
            </w:r>
            <w:r>
              <w:rPr>
                <w:rFonts w:hint="eastAsia" w:ascii="Times New Roman" w:hAnsi="Times New Roman" w:eastAsia="仿宋" w:cs="Times New Roman"/>
                <w:color w:val="auto"/>
                <w:sz w:val="21"/>
                <w:szCs w:val="21"/>
                <w:lang w:val="en-US" w:eastAsia="zh-CN"/>
              </w:rPr>
              <w:t>4</w:t>
            </w:r>
          </w:p>
        </w:tc>
      </w:tr>
      <w:tr w14:paraId="59B1B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173" w:type="pct"/>
            <w:vMerge w:val="continue"/>
            <w:vAlign w:val="center"/>
          </w:tcPr>
          <w:p w14:paraId="0D7A68DE">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426" w:type="pct"/>
            <w:vMerge w:val="continue"/>
            <w:vAlign w:val="center"/>
          </w:tcPr>
          <w:p w14:paraId="22C7FEF0">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210" w:type="pct"/>
            <w:vAlign w:val="center"/>
          </w:tcPr>
          <w:p w14:paraId="44507EE3">
            <w:pPr>
              <w:pStyle w:val="16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4</w:t>
            </w:r>
          </w:p>
        </w:tc>
        <w:tc>
          <w:tcPr>
            <w:tcW w:w="1177" w:type="pct"/>
            <w:vAlign w:val="center"/>
          </w:tcPr>
          <w:p w14:paraId="09AC8FB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河（湖）长制</w:t>
            </w:r>
          </w:p>
        </w:tc>
        <w:tc>
          <w:tcPr>
            <w:tcW w:w="334" w:type="pct"/>
            <w:vAlign w:val="center"/>
          </w:tcPr>
          <w:p w14:paraId="2C8B539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14:paraId="68C798C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全面实施</w:t>
            </w:r>
          </w:p>
        </w:tc>
        <w:tc>
          <w:tcPr>
            <w:tcW w:w="580" w:type="pct"/>
            <w:vAlign w:val="center"/>
          </w:tcPr>
          <w:p w14:paraId="684CD88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全面实施</w:t>
            </w:r>
          </w:p>
        </w:tc>
        <w:tc>
          <w:tcPr>
            <w:tcW w:w="664" w:type="pct"/>
            <w:vAlign w:val="center"/>
          </w:tcPr>
          <w:p w14:paraId="2289B4C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全面实施</w:t>
            </w:r>
          </w:p>
        </w:tc>
        <w:tc>
          <w:tcPr>
            <w:tcW w:w="668" w:type="pct"/>
            <w:vAlign w:val="center"/>
          </w:tcPr>
          <w:p w14:paraId="38EF2AE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全面实施</w:t>
            </w:r>
          </w:p>
        </w:tc>
      </w:tr>
      <w:tr w14:paraId="52ED1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173" w:type="pct"/>
            <w:vMerge w:val="continue"/>
            <w:vAlign w:val="center"/>
          </w:tcPr>
          <w:p w14:paraId="3F7AC5ED">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426" w:type="pct"/>
            <w:vMerge w:val="continue"/>
            <w:vAlign w:val="center"/>
          </w:tcPr>
          <w:p w14:paraId="14DA097F">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210" w:type="pct"/>
            <w:vAlign w:val="center"/>
          </w:tcPr>
          <w:p w14:paraId="3C9E0231">
            <w:pPr>
              <w:pStyle w:val="16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5</w:t>
            </w:r>
          </w:p>
        </w:tc>
        <w:tc>
          <w:tcPr>
            <w:tcW w:w="1177" w:type="pct"/>
            <w:vAlign w:val="center"/>
          </w:tcPr>
          <w:p w14:paraId="3C4C0ED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林长制</w:t>
            </w:r>
          </w:p>
        </w:tc>
        <w:tc>
          <w:tcPr>
            <w:tcW w:w="334" w:type="pct"/>
            <w:vAlign w:val="center"/>
          </w:tcPr>
          <w:p w14:paraId="046D091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14:paraId="20CE48F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实施</w:t>
            </w:r>
          </w:p>
        </w:tc>
        <w:tc>
          <w:tcPr>
            <w:tcW w:w="580" w:type="pct"/>
            <w:vAlign w:val="center"/>
          </w:tcPr>
          <w:p w14:paraId="01B3A50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全面实施</w:t>
            </w:r>
          </w:p>
        </w:tc>
        <w:tc>
          <w:tcPr>
            <w:tcW w:w="664" w:type="pct"/>
            <w:vAlign w:val="center"/>
          </w:tcPr>
          <w:p w14:paraId="3004A5E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全面实施</w:t>
            </w:r>
          </w:p>
        </w:tc>
        <w:tc>
          <w:tcPr>
            <w:tcW w:w="668" w:type="pct"/>
            <w:vAlign w:val="center"/>
          </w:tcPr>
          <w:p w14:paraId="6293ADC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全面实施</w:t>
            </w:r>
          </w:p>
        </w:tc>
      </w:tr>
      <w:tr w14:paraId="7058B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173" w:type="pct"/>
            <w:vMerge w:val="continue"/>
            <w:vAlign w:val="center"/>
          </w:tcPr>
          <w:p w14:paraId="5CE30903">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426" w:type="pct"/>
            <w:vMerge w:val="continue"/>
            <w:vAlign w:val="center"/>
          </w:tcPr>
          <w:p w14:paraId="7F1B74D9">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210" w:type="pct"/>
            <w:vAlign w:val="center"/>
          </w:tcPr>
          <w:p w14:paraId="0C58037C">
            <w:pPr>
              <w:pStyle w:val="16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6</w:t>
            </w:r>
          </w:p>
        </w:tc>
        <w:tc>
          <w:tcPr>
            <w:tcW w:w="1177" w:type="pct"/>
            <w:vAlign w:val="center"/>
          </w:tcPr>
          <w:p w14:paraId="24342F9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生态环境信息公开率</w:t>
            </w:r>
          </w:p>
        </w:tc>
        <w:tc>
          <w:tcPr>
            <w:tcW w:w="334" w:type="pct"/>
            <w:vAlign w:val="center"/>
          </w:tcPr>
          <w:p w14:paraId="2819ADB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14:paraId="38D8FC2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100</w:t>
            </w:r>
          </w:p>
        </w:tc>
        <w:tc>
          <w:tcPr>
            <w:tcW w:w="580" w:type="pct"/>
            <w:vAlign w:val="center"/>
          </w:tcPr>
          <w:p w14:paraId="2F26B89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100</w:t>
            </w:r>
          </w:p>
        </w:tc>
        <w:tc>
          <w:tcPr>
            <w:tcW w:w="664" w:type="pct"/>
            <w:vAlign w:val="center"/>
          </w:tcPr>
          <w:p w14:paraId="01005F2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100</w:t>
            </w:r>
          </w:p>
        </w:tc>
        <w:tc>
          <w:tcPr>
            <w:tcW w:w="668" w:type="pct"/>
            <w:vAlign w:val="center"/>
          </w:tcPr>
          <w:p w14:paraId="64FF931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100</w:t>
            </w:r>
          </w:p>
        </w:tc>
      </w:tr>
      <w:tr w14:paraId="6FE20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173" w:type="pct"/>
            <w:vMerge w:val="continue"/>
            <w:vAlign w:val="center"/>
          </w:tcPr>
          <w:p w14:paraId="4FBD5F78">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426" w:type="pct"/>
            <w:vMerge w:val="continue"/>
            <w:vAlign w:val="center"/>
          </w:tcPr>
          <w:p w14:paraId="5428B23D">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210" w:type="pct"/>
            <w:vAlign w:val="center"/>
          </w:tcPr>
          <w:p w14:paraId="1AAE49C1">
            <w:pPr>
              <w:pStyle w:val="16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7</w:t>
            </w:r>
          </w:p>
        </w:tc>
        <w:tc>
          <w:tcPr>
            <w:tcW w:w="1177" w:type="pct"/>
            <w:vAlign w:val="center"/>
          </w:tcPr>
          <w:p w14:paraId="1E167DB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依法开展规划环境影响评价</w:t>
            </w:r>
          </w:p>
        </w:tc>
        <w:tc>
          <w:tcPr>
            <w:tcW w:w="334" w:type="pct"/>
            <w:vAlign w:val="center"/>
          </w:tcPr>
          <w:p w14:paraId="56B7022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14:paraId="762B1E2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开展</w:t>
            </w:r>
          </w:p>
        </w:tc>
        <w:tc>
          <w:tcPr>
            <w:tcW w:w="580" w:type="pct"/>
            <w:vAlign w:val="center"/>
          </w:tcPr>
          <w:p w14:paraId="60F59BB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开展</w:t>
            </w:r>
          </w:p>
        </w:tc>
        <w:tc>
          <w:tcPr>
            <w:tcW w:w="664" w:type="pct"/>
            <w:vAlign w:val="center"/>
          </w:tcPr>
          <w:p w14:paraId="3E1864F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开展</w:t>
            </w:r>
          </w:p>
        </w:tc>
        <w:tc>
          <w:tcPr>
            <w:tcW w:w="668" w:type="pct"/>
            <w:vAlign w:val="center"/>
          </w:tcPr>
          <w:p w14:paraId="3A137B7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开展</w:t>
            </w:r>
          </w:p>
        </w:tc>
      </w:tr>
      <w:tr w14:paraId="40012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832" w:hRule="atLeast"/>
          <w:jc w:val="center"/>
        </w:trPr>
        <w:tc>
          <w:tcPr>
            <w:tcW w:w="173" w:type="pct"/>
            <w:vMerge w:val="restart"/>
            <w:vAlign w:val="center"/>
          </w:tcPr>
          <w:p w14:paraId="46BF3FF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生态安全</w:t>
            </w:r>
          </w:p>
        </w:tc>
        <w:tc>
          <w:tcPr>
            <w:tcW w:w="426" w:type="pct"/>
            <w:vMerge w:val="restart"/>
            <w:shd w:val="clear" w:color="auto" w:fill="auto"/>
            <w:vAlign w:val="center"/>
          </w:tcPr>
          <w:p w14:paraId="475176C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（二）</w:t>
            </w:r>
          </w:p>
          <w:p w14:paraId="3F281C9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生态环境质量改善</w:t>
            </w:r>
          </w:p>
        </w:tc>
        <w:tc>
          <w:tcPr>
            <w:tcW w:w="210" w:type="pct"/>
            <w:shd w:val="clear" w:color="auto" w:fill="auto"/>
            <w:vAlign w:val="center"/>
          </w:tcPr>
          <w:p w14:paraId="10F404D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8</w:t>
            </w:r>
          </w:p>
        </w:tc>
        <w:tc>
          <w:tcPr>
            <w:tcW w:w="1177" w:type="pct"/>
            <w:shd w:val="clear" w:color="auto" w:fill="auto"/>
            <w:vAlign w:val="center"/>
          </w:tcPr>
          <w:p w14:paraId="3393411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环境空气质量</w:t>
            </w:r>
          </w:p>
          <w:p w14:paraId="40ED452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优良天数比例</w:t>
            </w:r>
          </w:p>
          <w:p w14:paraId="56C9779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PM</w:t>
            </w:r>
            <w:r>
              <w:rPr>
                <w:rFonts w:hint="default" w:ascii="Times New Roman" w:hAnsi="Times New Roman" w:eastAsia="仿宋" w:cs="Times New Roman"/>
                <w:color w:val="auto"/>
                <w:sz w:val="21"/>
                <w:szCs w:val="21"/>
                <w:vertAlign w:val="subscript"/>
              </w:rPr>
              <w:t>2.5</w:t>
            </w:r>
            <w:r>
              <w:rPr>
                <w:rFonts w:hint="default" w:ascii="Times New Roman" w:hAnsi="Times New Roman" w:eastAsia="仿宋" w:cs="Times New Roman"/>
                <w:color w:val="auto"/>
                <w:sz w:val="21"/>
                <w:szCs w:val="21"/>
              </w:rPr>
              <w:t>浓度下降幅度/细颗粒物（PM</w:t>
            </w:r>
            <w:r>
              <w:rPr>
                <w:rFonts w:hint="default" w:ascii="Times New Roman" w:hAnsi="Times New Roman" w:eastAsia="仿宋" w:cs="Times New Roman"/>
                <w:color w:val="auto"/>
                <w:sz w:val="21"/>
                <w:szCs w:val="21"/>
                <w:vertAlign w:val="subscript"/>
              </w:rPr>
              <w:t>2.5</w:t>
            </w:r>
            <w:r>
              <w:rPr>
                <w:rFonts w:hint="default" w:ascii="Times New Roman" w:hAnsi="Times New Roman" w:eastAsia="仿宋" w:cs="Times New Roman"/>
                <w:color w:val="auto"/>
                <w:sz w:val="21"/>
                <w:szCs w:val="21"/>
              </w:rPr>
              <w:t>）浓度</w:t>
            </w:r>
          </w:p>
        </w:tc>
        <w:tc>
          <w:tcPr>
            <w:tcW w:w="334" w:type="pct"/>
            <w:shd w:val="clear" w:color="auto" w:fill="auto"/>
            <w:vAlign w:val="center"/>
          </w:tcPr>
          <w:p w14:paraId="305751A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p w14:paraId="07475AC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p w14:paraId="67C3531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微克/立方米</w:t>
            </w:r>
          </w:p>
          <w:p w14:paraId="351BE07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764" w:type="pct"/>
            <w:vAlign w:val="center"/>
          </w:tcPr>
          <w:p w14:paraId="02F4AA5E">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auto"/>
                <w:sz w:val="21"/>
                <w:szCs w:val="21"/>
                <w:lang w:eastAsia="zh-CN"/>
              </w:rPr>
            </w:pPr>
            <w:r>
              <w:rPr>
                <w:rFonts w:ascii="Times New Roman" w:hAnsi="Times New Roman" w:eastAsia="仿宋" w:cs="Times New Roman"/>
                <w:color w:val="auto"/>
                <w:sz w:val="21"/>
                <w:szCs w:val="21"/>
              </w:rPr>
              <w:t>优良天数比例99.72%，PM</w:t>
            </w:r>
            <w:r>
              <w:rPr>
                <w:rFonts w:ascii="Times New Roman" w:hAnsi="Times New Roman" w:eastAsia="仿宋" w:cs="Times New Roman"/>
                <w:color w:val="auto"/>
                <w:sz w:val="21"/>
                <w:szCs w:val="21"/>
                <w:vertAlign w:val="subscript"/>
              </w:rPr>
              <w:t>2.5</w:t>
            </w:r>
            <w:r>
              <w:rPr>
                <w:rFonts w:ascii="Times New Roman" w:hAnsi="Times New Roman" w:eastAsia="仿宋" w:cs="Times New Roman"/>
                <w:color w:val="auto"/>
                <w:sz w:val="21"/>
                <w:szCs w:val="21"/>
              </w:rPr>
              <w:t>浓度18ug/m</w:t>
            </w:r>
            <w:r>
              <w:rPr>
                <w:rFonts w:ascii="Times New Roman" w:hAnsi="Times New Roman" w:eastAsia="仿宋" w:cs="Times New Roman"/>
                <w:color w:val="auto"/>
                <w:sz w:val="21"/>
                <w:szCs w:val="21"/>
                <w:vertAlign w:val="superscript"/>
              </w:rPr>
              <w:t>3</w:t>
            </w:r>
            <w:r>
              <w:rPr>
                <w:rFonts w:ascii="Times New Roman" w:hAnsi="Times New Roman" w:eastAsia="仿宋" w:cs="Times New Roman"/>
                <w:color w:val="auto"/>
                <w:sz w:val="21"/>
                <w:szCs w:val="21"/>
              </w:rPr>
              <w:t>，完成考核要求</w:t>
            </w:r>
            <w:r>
              <w:rPr>
                <w:rFonts w:hint="eastAsia" w:ascii="Times New Roman" w:hAnsi="Times New Roman" w:eastAsia="仿宋" w:cs="Times New Roman"/>
                <w:color w:val="auto"/>
                <w:sz w:val="21"/>
                <w:szCs w:val="21"/>
                <w:lang w:eastAsia="zh-CN"/>
              </w:rPr>
              <w:t>。</w:t>
            </w:r>
          </w:p>
        </w:tc>
        <w:tc>
          <w:tcPr>
            <w:tcW w:w="580" w:type="pct"/>
            <w:vAlign w:val="center"/>
          </w:tcPr>
          <w:p w14:paraId="527DE43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完成上级规定的考核任务；保持稳定或持续改善</w:t>
            </w:r>
          </w:p>
        </w:tc>
        <w:tc>
          <w:tcPr>
            <w:tcW w:w="664" w:type="pct"/>
            <w:vAlign w:val="center"/>
          </w:tcPr>
          <w:p w14:paraId="05E79E7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完成上级规定的考核任务；保持稳定或持续改善</w:t>
            </w:r>
          </w:p>
        </w:tc>
        <w:tc>
          <w:tcPr>
            <w:tcW w:w="668" w:type="pct"/>
            <w:vAlign w:val="center"/>
          </w:tcPr>
          <w:p w14:paraId="47A7246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完成上级规定的考核任务；保持稳定或持续改善</w:t>
            </w:r>
          </w:p>
        </w:tc>
      </w:tr>
      <w:tr w14:paraId="42D2A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521" w:hRule="atLeast"/>
          <w:jc w:val="center"/>
        </w:trPr>
        <w:tc>
          <w:tcPr>
            <w:tcW w:w="173" w:type="pct"/>
            <w:vMerge w:val="continue"/>
            <w:vAlign w:val="center"/>
          </w:tcPr>
          <w:p w14:paraId="30C07221">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426" w:type="pct"/>
            <w:vMerge w:val="continue"/>
            <w:shd w:val="clear" w:color="auto" w:fill="auto"/>
            <w:vAlign w:val="center"/>
          </w:tcPr>
          <w:p w14:paraId="4C15372E">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210" w:type="pct"/>
            <w:shd w:val="clear" w:color="auto" w:fill="auto"/>
            <w:vAlign w:val="center"/>
          </w:tcPr>
          <w:p w14:paraId="058508F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w:t>
            </w:r>
          </w:p>
        </w:tc>
        <w:tc>
          <w:tcPr>
            <w:tcW w:w="1177" w:type="pct"/>
            <w:shd w:val="clear" w:color="auto" w:fill="auto"/>
            <w:vAlign w:val="center"/>
          </w:tcPr>
          <w:p w14:paraId="76FC9F9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水环境质量</w:t>
            </w:r>
          </w:p>
          <w:p w14:paraId="6A5E896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水质达到或优于Ⅲ类比例</w:t>
            </w:r>
          </w:p>
          <w:p w14:paraId="562DFA2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劣V类水体比例</w:t>
            </w:r>
          </w:p>
          <w:p w14:paraId="07EE359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城市黑臭水体消除比例</w:t>
            </w:r>
          </w:p>
        </w:tc>
        <w:tc>
          <w:tcPr>
            <w:tcW w:w="334" w:type="pct"/>
            <w:shd w:val="clear" w:color="auto" w:fill="auto"/>
            <w:vAlign w:val="center"/>
          </w:tcPr>
          <w:p w14:paraId="498456D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14:paraId="1AD65FDB">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水质达到或优于Ⅲ类比例</w:t>
            </w:r>
            <w:r>
              <w:rPr>
                <w:rFonts w:hint="default" w:ascii="Times New Roman" w:hAnsi="Times New Roman" w:eastAsia="仿宋" w:cs="Times New Roman"/>
                <w:color w:val="auto"/>
                <w:sz w:val="21"/>
                <w:szCs w:val="21"/>
                <w:lang w:val="en-US" w:eastAsia="zh-CN"/>
              </w:rPr>
              <w:t>100%，无</w:t>
            </w:r>
            <w:r>
              <w:rPr>
                <w:rFonts w:hint="default" w:ascii="Times New Roman" w:hAnsi="Times New Roman" w:eastAsia="仿宋" w:cs="Times New Roman"/>
                <w:color w:val="auto"/>
                <w:sz w:val="21"/>
                <w:szCs w:val="21"/>
              </w:rPr>
              <w:t>劣V类水体</w:t>
            </w:r>
            <w:r>
              <w:rPr>
                <w:rFonts w:hint="default" w:ascii="Times New Roman" w:hAnsi="Times New Roman" w:eastAsia="仿宋" w:cs="Times New Roman"/>
                <w:color w:val="auto"/>
                <w:sz w:val="21"/>
                <w:szCs w:val="21"/>
                <w:lang w:eastAsia="zh-CN"/>
              </w:rPr>
              <w:t>，无</w:t>
            </w:r>
            <w:r>
              <w:rPr>
                <w:rFonts w:hint="default" w:ascii="Times New Roman" w:hAnsi="Times New Roman" w:eastAsia="仿宋" w:cs="Times New Roman"/>
                <w:color w:val="auto"/>
                <w:sz w:val="21"/>
                <w:szCs w:val="21"/>
              </w:rPr>
              <w:t>黑臭水体</w:t>
            </w:r>
            <w:r>
              <w:rPr>
                <w:rFonts w:hint="eastAsia" w:ascii="Times New Roman" w:hAnsi="Times New Roman" w:eastAsia="仿宋" w:cs="Times New Roman"/>
                <w:color w:val="auto"/>
                <w:sz w:val="21"/>
                <w:szCs w:val="21"/>
                <w:lang w:eastAsia="zh-CN"/>
              </w:rPr>
              <w:t>。</w:t>
            </w:r>
          </w:p>
        </w:tc>
        <w:tc>
          <w:tcPr>
            <w:tcW w:w="580" w:type="pct"/>
            <w:vAlign w:val="center"/>
          </w:tcPr>
          <w:p w14:paraId="428D9D0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完成上级规定的考核任务；保持稳定或持续改善</w:t>
            </w:r>
          </w:p>
        </w:tc>
        <w:tc>
          <w:tcPr>
            <w:tcW w:w="664" w:type="pct"/>
            <w:vAlign w:val="center"/>
          </w:tcPr>
          <w:p w14:paraId="6761AA1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完成上级规定的考核任务；保持稳定或持续改善</w:t>
            </w:r>
          </w:p>
        </w:tc>
        <w:tc>
          <w:tcPr>
            <w:tcW w:w="668" w:type="pct"/>
            <w:vAlign w:val="center"/>
          </w:tcPr>
          <w:p w14:paraId="68463F0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完成上级规定的考核任务；保持稳定或持续改善</w:t>
            </w:r>
          </w:p>
        </w:tc>
      </w:tr>
      <w:tr w14:paraId="3855E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173" w:type="pct"/>
            <w:vMerge w:val="continue"/>
            <w:vAlign w:val="center"/>
          </w:tcPr>
          <w:p w14:paraId="5F245C59">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426" w:type="pct"/>
            <w:vMerge w:val="continue"/>
            <w:shd w:val="clear" w:color="auto" w:fill="auto"/>
            <w:vAlign w:val="center"/>
          </w:tcPr>
          <w:p w14:paraId="0DE73E82">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210" w:type="pct"/>
            <w:shd w:val="clear" w:color="auto" w:fill="auto"/>
            <w:vAlign w:val="center"/>
          </w:tcPr>
          <w:p w14:paraId="2D26F39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10</w:t>
            </w:r>
          </w:p>
        </w:tc>
        <w:tc>
          <w:tcPr>
            <w:tcW w:w="1177" w:type="pct"/>
            <w:shd w:val="clear" w:color="auto" w:fill="auto"/>
            <w:vAlign w:val="center"/>
          </w:tcPr>
          <w:p w14:paraId="30DD9FD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城市声环境质量</w:t>
            </w:r>
          </w:p>
        </w:tc>
        <w:tc>
          <w:tcPr>
            <w:tcW w:w="334" w:type="pct"/>
            <w:shd w:val="clear" w:color="auto" w:fill="auto"/>
            <w:vAlign w:val="center"/>
          </w:tcPr>
          <w:p w14:paraId="38055D3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14:paraId="4D8EE26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100</w:t>
            </w:r>
          </w:p>
        </w:tc>
        <w:tc>
          <w:tcPr>
            <w:tcW w:w="580" w:type="pct"/>
            <w:vAlign w:val="center"/>
          </w:tcPr>
          <w:p w14:paraId="20A3C06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100</w:t>
            </w:r>
          </w:p>
        </w:tc>
        <w:tc>
          <w:tcPr>
            <w:tcW w:w="664" w:type="pct"/>
            <w:vAlign w:val="center"/>
          </w:tcPr>
          <w:p w14:paraId="29C90B9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100</w:t>
            </w:r>
          </w:p>
        </w:tc>
        <w:tc>
          <w:tcPr>
            <w:tcW w:w="668" w:type="pct"/>
            <w:vAlign w:val="center"/>
          </w:tcPr>
          <w:p w14:paraId="1D59049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100</w:t>
            </w:r>
          </w:p>
        </w:tc>
      </w:tr>
      <w:tr w14:paraId="1C046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90" w:hRule="atLeast"/>
          <w:jc w:val="center"/>
        </w:trPr>
        <w:tc>
          <w:tcPr>
            <w:tcW w:w="173" w:type="pct"/>
            <w:vMerge w:val="continue"/>
            <w:vAlign w:val="center"/>
          </w:tcPr>
          <w:p w14:paraId="58BF7450">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426" w:type="pct"/>
            <w:vMerge w:val="restart"/>
            <w:shd w:val="clear" w:color="auto" w:fill="auto"/>
            <w:vAlign w:val="center"/>
          </w:tcPr>
          <w:p w14:paraId="07CCE15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（三）</w:t>
            </w:r>
          </w:p>
          <w:p w14:paraId="7BD20B9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生态系统保护</w:t>
            </w:r>
          </w:p>
        </w:tc>
        <w:tc>
          <w:tcPr>
            <w:tcW w:w="210" w:type="pct"/>
            <w:shd w:val="clear" w:color="auto" w:fill="auto"/>
            <w:vAlign w:val="center"/>
          </w:tcPr>
          <w:p w14:paraId="0573A5B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11</w:t>
            </w:r>
          </w:p>
        </w:tc>
        <w:tc>
          <w:tcPr>
            <w:tcW w:w="1177" w:type="pct"/>
            <w:shd w:val="clear" w:color="auto" w:fill="auto"/>
            <w:vAlign w:val="center"/>
          </w:tcPr>
          <w:p w14:paraId="1EC32B2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生态环境状况指数</w:t>
            </w:r>
          </w:p>
          <w:p w14:paraId="7A5E7DE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（湿润地区）</w:t>
            </w:r>
          </w:p>
        </w:tc>
        <w:tc>
          <w:tcPr>
            <w:tcW w:w="334" w:type="pct"/>
            <w:shd w:val="clear" w:color="auto" w:fill="auto"/>
            <w:vAlign w:val="center"/>
          </w:tcPr>
          <w:p w14:paraId="18D15B2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14:paraId="0C4D5C2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79.1</w:t>
            </w:r>
          </w:p>
        </w:tc>
        <w:tc>
          <w:tcPr>
            <w:tcW w:w="580" w:type="pct"/>
            <w:vAlign w:val="center"/>
          </w:tcPr>
          <w:p w14:paraId="050B8A7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保持稳定或</w:t>
            </w:r>
            <w:r>
              <w:rPr>
                <w:rFonts w:hint="eastAsia" w:ascii="Times New Roman" w:hAnsi="Times New Roman" w:eastAsia="仿宋" w:cs="Times New Roman"/>
                <w:color w:val="auto"/>
                <w:sz w:val="21"/>
                <w:szCs w:val="21"/>
                <w:lang w:val="en-US" w:eastAsia="zh-CN"/>
              </w:rPr>
              <w:t>持续</w:t>
            </w:r>
            <w:r>
              <w:rPr>
                <w:rFonts w:hint="default" w:ascii="Times New Roman" w:hAnsi="Times New Roman" w:eastAsia="仿宋" w:cs="Times New Roman"/>
                <w:color w:val="auto"/>
                <w:sz w:val="21"/>
                <w:szCs w:val="21"/>
              </w:rPr>
              <w:t>变好</w:t>
            </w:r>
          </w:p>
        </w:tc>
        <w:tc>
          <w:tcPr>
            <w:tcW w:w="664" w:type="pct"/>
            <w:vAlign w:val="center"/>
          </w:tcPr>
          <w:p w14:paraId="7073FB1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保持稳定或</w:t>
            </w:r>
            <w:r>
              <w:rPr>
                <w:rFonts w:hint="eastAsia" w:ascii="Times New Roman" w:hAnsi="Times New Roman" w:eastAsia="仿宋" w:cs="Times New Roman"/>
                <w:color w:val="auto"/>
                <w:sz w:val="21"/>
                <w:szCs w:val="21"/>
                <w:lang w:val="en-US" w:eastAsia="zh-CN"/>
              </w:rPr>
              <w:t>持续</w:t>
            </w:r>
            <w:r>
              <w:rPr>
                <w:rFonts w:hint="default" w:ascii="Times New Roman" w:hAnsi="Times New Roman" w:eastAsia="仿宋" w:cs="Times New Roman"/>
                <w:color w:val="auto"/>
                <w:sz w:val="21"/>
                <w:szCs w:val="21"/>
              </w:rPr>
              <w:t>变好</w:t>
            </w:r>
          </w:p>
        </w:tc>
        <w:tc>
          <w:tcPr>
            <w:tcW w:w="668" w:type="pct"/>
            <w:vAlign w:val="center"/>
          </w:tcPr>
          <w:p w14:paraId="6F16F13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保持稳定或</w:t>
            </w:r>
            <w:r>
              <w:rPr>
                <w:rFonts w:hint="eastAsia" w:ascii="Times New Roman" w:hAnsi="Times New Roman" w:eastAsia="仿宋" w:cs="Times New Roman"/>
                <w:color w:val="auto"/>
                <w:sz w:val="21"/>
                <w:szCs w:val="21"/>
                <w:lang w:val="en-US" w:eastAsia="zh-CN"/>
              </w:rPr>
              <w:t>持续</w:t>
            </w:r>
            <w:r>
              <w:rPr>
                <w:rFonts w:hint="default" w:ascii="Times New Roman" w:hAnsi="Times New Roman" w:eastAsia="仿宋" w:cs="Times New Roman"/>
                <w:color w:val="auto"/>
                <w:sz w:val="21"/>
                <w:szCs w:val="21"/>
              </w:rPr>
              <w:t>变好</w:t>
            </w:r>
          </w:p>
        </w:tc>
      </w:tr>
      <w:tr w14:paraId="2C264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173" w:type="pct"/>
            <w:vMerge w:val="continue"/>
            <w:vAlign w:val="center"/>
          </w:tcPr>
          <w:p w14:paraId="50B6E08F">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426" w:type="pct"/>
            <w:vMerge w:val="continue"/>
            <w:shd w:val="clear" w:color="auto" w:fill="auto"/>
            <w:vAlign w:val="center"/>
          </w:tcPr>
          <w:p w14:paraId="416BBD9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210" w:type="pct"/>
            <w:vMerge w:val="restart"/>
            <w:shd w:val="clear" w:color="auto" w:fill="auto"/>
            <w:vAlign w:val="center"/>
          </w:tcPr>
          <w:p w14:paraId="58CA5C4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12</w:t>
            </w:r>
          </w:p>
        </w:tc>
        <w:tc>
          <w:tcPr>
            <w:tcW w:w="1177" w:type="pct"/>
            <w:shd w:val="clear" w:color="auto" w:fill="auto"/>
            <w:vAlign w:val="center"/>
          </w:tcPr>
          <w:p w14:paraId="7C1BDB4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林草覆盖率</w:t>
            </w:r>
          </w:p>
          <w:p w14:paraId="5864BAD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（山区）</w:t>
            </w:r>
          </w:p>
        </w:tc>
        <w:tc>
          <w:tcPr>
            <w:tcW w:w="334" w:type="pct"/>
            <w:vMerge w:val="restart"/>
            <w:shd w:val="clear" w:color="auto" w:fill="auto"/>
            <w:vAlign w:val="center"/>
          </w:tcPr>
          <w:p w14:paraId="064A1E5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14:paraId="296C86F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73.71</w:t>
            </w:r>
          </w:p>
        </w:tc>
        <w:tc>
          <w:tcPr>
            <w:tcW w:w="580" w:type="pct"/>
            <w:vAlign w:val="center"/>
          </w:tcPr>
          <w:p w14:paraId="367E6B5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rPr>
            </w:pPr>
            <w:r>
              <w:rPr>
                <w:rFonts w:hint="default" w:ascii="Times New Roman" w:hAnsi="Times New Roman" w:eastAsia="仿宋" w:cs="Times New Roman"/>
                <w:color w:val="auto"/>
                <w:sz w:val="21"/>
                <w:szCs w:val="21"/>
              </w:rPr>
              <w:t>保持稳定或</w:t>
            </w:r>
            <w:r>
              <w:rPr>
                <w:rFonts w:hint="eastAsia" w:ascii="Times New Roman" w:hAnsi="Times New Roman" w:eastAsia="仿宋" w:cs="Times New Roman"/>
                <w:color w:val="auto"/>
                <w:sz w:val="21"/>
                <w:szCs w:val="21"/>
                <w:lang w:val="en-US" w:eastAsia="zh-CN"/>
              </w:rPr>
              <w:t>逐年提高</w:t>
            </w:r>
          </w:p>
        </w:tc>
        <w:tc>
          <w:tcPr>
            <w:tcW w:w="664" w:type="pct"/>
            <w:vAlign w:val="center"/>
          </w:tcPr>
          <w:p w14:paraId="47BFE4A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保持稳定或</w:t>
            </w:r>
            <w:r>
              <w:rPr>
                <w:rFonts w:hint="eastAsia" w:ascii="Times New Roman" w:hAnsi="Times New Roman" w:eastAsia="仿宋" w:cs="Times New Roman"/>
                <w:color w:val="auto"/>
                <w:sz w:val="21"/>
                <w:szCs w:val="21"/>
                <w:lang w:val="en-US" w:eastAsia="zh-CN"/>
              </w:rPr>
              <w:t>逐年提高</w:t>
            </w:r>
          </w:p>
        </w:tc>
        <w:tc>
          <w:tcPr>
            <w:tcW w:w="668" w:type="pct"/>
            <w:vAlign w:val="center"/>
          </w:tcPr>
          <w:p w14:paraId="361FBBB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保持稳定或</w:t>
            </w:r>
            <w:r>
              <w:rPr>
                <w:rFonts w:hint="eastAsia" w:ascii="Times New Roman" w:hAnsi="Times New Roman" w:eastAsia="仿宋" w:cs="Times New Roman"/>
                <w:color w:val="auto"/>
                <w:sz w:val="21"/>
                <w:szCs w:val="21"/>
                <w:lang w:val="en-US" w:eastAsia="zh-CN"/>
              </w:rPr>
              <w:t>逐年提高</w:t>
            </w:r>
          </w:p>
        </w:tc>
      </w:tr>
      <w:tr w14:paraId="11333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6" w:hRule="atLeast"/>
          <w:jc w:val="center"/>
        </w:trPr>
        <w:tc>
          <w:tcPr>
            <w:tcW w:w="173" w:type="pct"/>
            <w:vMerge w:val="continue"/>
            <w:vAlign w:val="center"/>
          </w:tcPr>
          <w:p w14:paraId="0148B339">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426" w:type="pct"/>
            <w:vMerge w:val="continue"/>
            <w:shd w:val="clear" w:color="auto" w:fill="auto"/>
            <w:vAlign w:val="center"/>
          </w:tcPr>
          <w:p w14:paraId="60A27D4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210" w:type="pct"/>
            <w:vMerge w:val="continue"/>
            <w:shd w:val="clear" w:color="auto" w:fill="auto"/>
            <w:vAlign w:val="center"/>
          </w:tcPr>
          <w:p w14:paraId="541AECD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1177" w:type="pct"/>
            <w:shd w:val="clear" w:color="auto" w:fill="auto"/>
            <w:vAlign w:val="center"/>
          </w:tcPr>
          <w:p w14:paraId="287F511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森林覆盖率</w:t>
            </w:r>
          </w:p>
        </w:tc>
        <w:tc>
          <w:tcPr>
            <w:tcW w:w="334" w:type="pct"/>
            <w:vMerge w:val="continue"/>
            <w:shd w:val="clear" w:color="auto" w:fill="auto"/>
            <w:vAlign w:val="center"/>
          </w:tcPr>
          <w:p w14:paraId="68C4B25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764" w:type="pct"/>
            <w:vAlign w:val="center"/>
          </w:tcPr>
          <w:p w14:paraId="6189390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73.66</w:t>
            </w:r>
          </w:p>
        </w:tc>
        <w:tc>
          <w:tcPr>
            <w:tcW w:w="580" w:type="pct"/>
            <w:vAlign w:val="center"/>
          </w:tcPr>
          <w:p w14:paraId="528EB15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保持稳定或</w:t>
            </w:r>
            <w:r>
              <w:rPr>
                <w:rFonts w:hint="eastAsia" w:ascii="Times New Roman" w:hAnsi="Times New Roman" w:eastAsia="仿宋" w:cs="Times New Roman"/>
                <w:color w:val="auto"/>
                <w:sz w:val="21"/>
                <w:szCs w:val="21"/>
                <w:lang w:val="en-US" w:eastAsia="zh-CN"/>
              </w:rPr>
              <w:t>逐年提高</w:t>
            </w:r>
          </w:p>
        </w:tc>
        <w:tc>
          <w:tcPr>
            <w:tcW w:w="664" w:type="pct"/>
            <w:vAlign w:val="center"/>
          </w:tcPr>
          <w:p w14:paraId="2C4A5E2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保持稳定或</w:t>
            </w:r>
            <w:r>
              <w:rPr>
                <w:rFonts w:hint="eastAsia" w:ascii="Times New Roman" w:hAnsi="Times New Roman" w:eastAsia="仿宋" w:cs="Times New Roman"/>
                <w:color w:val="auto"/>
                <w:sz w:val="21"/>
                <w:szCs w:val="21"/>
                <w:lang w:val="en-US" w:eastAsia="zh-CN"/>
              </w:rPr>
              <w:t>逐年提高</w:t>
            </w:r>
          </w:p>
        </w:tc>
        <w:tc>
          <w:tcPr>
            <w:tcW w:w="668" w:type="pct"/>
            <w:vAlign w:val="center"/>
          </w:tcPr>
          <w:p w14:paraId="6368FFE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保持稳定或</w:t>
            </w:r>
            <w:r>
              <w:rPr>
                <w:rFonts w:hint="eastAsia" w:ascii="Times New Roman" w:hAnsi="Times New Roman" w:eastAsia="仿宋" w:cs="Times New Roman"/>
                <w:color w:val="auto"/>
                <w:sz w:val="21"/>
                <w:szCs w:val="21"/>
                <w:lang w:val="en-US" w:eastAsia="zh-CN"/>
              </w:rPr>
              <w:t>逐年提高</w:t>
            </w:r>
          </w:p>
        </w:tc>
      </w:tr>
      <w:tr w14:paraId="45B79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1" w:hRule="atLeast"/>
          <w:jc w:val="center"/>
        </w:trPr>
        <w:tc>
          <w:tcPr>
            <w:tcW w:w="173" w:type="pct"/>
            <w:vMerge w:val="continue"/>
            <w:vAlign w:val="center"/>
          </w:tcPr>
          <w:p w14:paraId="70A3ADB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FF0000"/>
                <w:sz w:val="21"/>
                <w:szCs w:val="21"/>
              </w:rPr>
            </w:pPr>
          </w:p>
        </w:tc>
        <w:tc>
          <w:tcPr>
            <w:tcW w:w="426" w:type="pct"/>
            <w:vMerge w:val="continue"/>
            <w:shd w:val="clear" w:color="auto" w:fill="auto"/>
            <w:vAlign w:val="center"/>
          </w:tcPr>
          <w:p w14:paraId="7F8A2DA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210" w:type="pct"/>
            <w:shd w:val="clear" w:color="auto" w:fill="auto"/>
            <w:vAlign w:val="center"/>
          </w:tcPr>
          <w:p w14:paraId="0802A71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13</w:t>
            </w:r>
          </w:p>
        </w:tc>
        <w:tc>
          <w:tcPr>
            <w:tcW w:w="1177" w:type="pct"/>
            <w:shd w:val="clear" w:color="auto" w:fill="auto"/>
            <w:vAlign w:val="center"/>
          </w:tcPr>
          <w:p w14:paraId="3919A1C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生物多样性保护</w:t>
            </w:r>
          </w:p>
          <w:p w14:paraId="3917303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国家重点保护野生动植物保护率</w:t>
            </w:r>
          </w:p>
          <w:p w14:paraId="76A983D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外来物种入侵</w:t>
            </w:r>
          </w:p>
          <w:p w14:paraId="32C428B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特有性或指示性水生物种保持率</w:t>
            </w:r>
          </w:p>
        </w:tc>
        <w:tc>
          <w:tcPr>
            <w:tcW w:w="334" w:type="pct"/>
            <w:shd w:val="clear" w:color="auto" w:fill="auto"/>
            <w:vAlign w:val="center"/>
          </w:tcPr>
          <w:p w14:paraId="5C25D2C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p w14:paraId="198B80C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p w14:paraId="4C83E12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p w14:paraId="11BE518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14:paraId="328BD2E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val="en-US" w:eastAsia="zh-CN"/>
              </w:rPr>
              <w:t>95</w:t>
            </w:r>
            <w:r>
              <w:rPr>
                <w:rFonts w:hint="default" w:ascii="Times New Roman" w:hAnsi="Times New Roman" w:eastAsia="仿宋" w:cs="Times New Roman"/>
                <w:color w:val="auto"/>
                <w:sz w:val="21"/>
                <w:szCs w:val="21"/>
              </w:rPr>
              <w:t>不明显</w:t>
            </w:r>
          </w:p>
          <w:p w14:paraId="45BC5D2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不降低</w:t>
            </w:r>
          </w:p>
        </w:tc>
        <w:tc>
          <w:tcPr>
            <w:tcW w:w="580" w:type="pct"/>
            <w:vAlign w:val="center"/>
          </w:tcPr>
          <w:p w14:paraId="19B9419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＞95</w:t>
            </w:r>
          </w:p>
          <w:p w14:paraId="570376D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不明显</w:t>
            </w:r>
          </w:p>
          <w:p w14:paraId="7F00D41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不降低</w:t>
            </w:r>
          </w:p>
        </w:tc>
        <w:tc>
          <w:tcPr>
            <w:tcW w:w="664" w:type="pct"/>
            <w:vAlign w:val="center"/>
          </w:tcPr>
          <w:p w14:paraId="0A3C224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＞95</w:t>
            </w:r>
          </w:p>
          <w:p w14:paraId="1FE1D76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不明显</w:t>
            </w:r>
          </w:p>
          <w:p w14:paraId="2BC9004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不降低</w:t>
            </w:r>
          </w:p>
        </w:tc>
        <w:tc>
          <w:tcPr>
            <w:tcW w:w="668" w:type="pct"/>
            <w:vAlign w:val="center"/>
          </w:tcPr>
          <w:p w14:paraId="753EEB5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＞95</w:t>
            </w:r>
          </w:p>
          <w:p w14:paraId="46C3C89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不明显</w:t>
            </w:r>
          </w:p>
          <w:p w14:paraId="19004BE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不降低</w:t>
            </w:r>
          </w:p>
        </w:tc>
      </w:tr>
      <w:tr w14:paraId="1B582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173" w:type="pct"/>
            <w:vMerge w:val="restart"/>
            <w:vAlign w:val="center"/>
          </w:tcPr>
          <w:p w14:paraId="7613C70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生态安全</w:t>
            </w:r>
          </w:p>
        </w:tc>
        <w:tc>
          <w:tcPr>
            <w:tcW w:w="426" w:type="pct"/>
            <w:vMerge w:val="restart"/>
            <w:shd w:val="clear" w:color="auto" w:fill="auto"/>
            <w:vAlign w:val="center"/>
          </w:tcPr>
          <w:p w14:paraId="2893B1F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（四）</w:t>
            </w:r>
          </w:p>
          <w:p w14:paraId="19DEB9F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生态环境风险防范</w:t>
            </w:r>
          </w:p>
        </w:tc>
        <w:tc>
          <w:tcPr>
            <w:tcW w:w="210" w:type="pct"/>
            <w:shd w:val="clear" w:color="auto" w:fill="auto"/>
            <w:vAlign w:val="center"/>
          </w:tcPr>
          <w:p w14:paraId="438064F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14</w:t>
            </w:r>
          </w:p>
        </w:tc>
        <w:tc>
          <w:tcPr>
            <w:tcW w:w="1177" w:type="pct"/>
            <w:shd w:val="clear" w:color="auto" w:fill="auto"/>
            <w:vAlign w:val="center"/>
          </w:tcPr>
          <w:p w14:paraId="4C78F67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危险废物利用处置率</w:t>
            </w:r>
          </w:p>
        </w:tc>
        <w:tc>
          <w:tcPr>
            <w:tcW w:w="334" w:type="pct"/>
            <w:shd w:val="clear" w:color="auto" w:fill="auto"/>
            <w:vAlign w:val="center"/>
          </w:tcPr>
          <w:p w14:paraId="748F58C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14:paraId="1F28AD2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100</w:t>
            </w:r>
          </w:p>
        </w:tc>
        <w:tc>
          <w:tcPr>
            <w:tcW w:w="580" w:type="pct"/>
            <w:vAlign w:val="center"/>
          </w:tcPr>
          <w:p w14:paraId="49DEFFA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100</w:t>
            </w:r>
          </w:p>
        </w:tc>
        <w:tc>
          <w:tcPr>
            <w:tcW w:w="664" w:type="pct"/>
            <w:vAlign w:val="center"/>
          </w:tcPr>
          <w:p w14:paraId="21025C5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100</w:t>
            </w:r>
          </w:p>
        </w:tc>
        <w:tc>
          <w:tcPr>
            <w:tcW w:w="668" w:type="pct"/>
            <w:vAlign w:val="center"/>
          </w:tcPr>
          <w:p w14:paraId="7F4A714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100</w:t>
            </w:r>
          </w:p>
        </w:tc>
      </w:tr>
      <w:tr w14:paraId="6C8C4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173" w:type="pct"/>
            <w:vMerge w:val="continue"/>
            <w:vAlign w:val="center"/>
          </w:tcPr>
          <w:p w14:paraId="311E1415">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426" w:type="pct"/>
            <w:vMerge w:val="continue"/>
            <w:shd w:val="clear" w:color="auto" w:fill="auto"/>
            <w:vAlign w:val="center"/>
          </w:tcPr>
          <w:p w14:paraId="16555271">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210" w:type="pct"/>
            <w:shd w:val="clear" w:color="auto" w:fill="auto"/>
            <w:vAlign w:val="center"/>
          </w:tcPr>
          <w:p w14:paraId="2E687C9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15</w:t>
            </w:r>
          </w:p>
        </w:tc>
        <w:tc>
          <w:tcPr>
            <w:tcW w:w="1177" w:type="pct"/>
            <w:shd w:val="clear" w:color="auto" w:fill="auto"/>
            <w:vAlign w:val="center"/>
          </w:tcPr>
          <w:p w14:paraId="61AED76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建设用地土壤污染风险管控和修复名录制度</w:t>
            </w:r>
          </w:p>
        </w:tc>
        <w:tc>
          <w:tcPr>
            <w:tcW w:w="334" w:type="pct"/>
            <w:shd w:val="clear" w:color="auto" w:fill="auto"/>
            <w:vAlign w:val="center"/>
          </w:tcPr>
          <w:p w14:paraId="002BCE9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14:paraId="7ABF161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建立</w:t>
            </w:r>
          </w:p>
        </w:tc>
        <w:tc>
          <w:tcPr>
            <w:tcW w:w="580" w:type="pct"/>
            <w:vAlign w:val="center"/>
          </w:tcPr>
          <w:p w14:paraId="3424625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实施</w:t>
            </w:r>
          </w:p>
        </w:tc>
        <w:tc>
          <w:tcPr>
            <w:tcW w:w="664" w:type="pct"/>
            <w:vAlign w:val="center"/>
          </w:tcPr>
          <w:p w14:paraId="64CFAAC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实施</w:t>
            </w:r>
          </w:p>
        </w:tc>
        <w:tc>
          <w:tcPr>
            <w:tcW w:w="668" w:type="pct"/>
            <w:vAlign w:val="center"/>
          </w:tcPr>
          <w:p w14:paraId="12A26C2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实施</w:t>
            </w:r>
          </w:p>
        </w:tc>
      </w:tr>
      <w:tr w14:paraId="3F46E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173" w:type="pct"/>
            <w:vMerge w:val="continue"/>
            <w:vAlign w:val="center"/>
          </w:tcPr>
          <w:p w14:paraId="5F34D0FB">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426" w:type="pct"/>
            <w:vMerge w:val="continue"/>
            <w:shd w:val="clear" w:color="auto" w:fill="auto"/>
            <w:vAlign w:val="center"/>
          </w:tcPr>
          <w:p w14:paraId="500C8985">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210" w:type="pct"/>
            <w:shd w:val="clear" w:color="auto" w:fill="auto"/>
            <w:vAlign w:val="center"/>
          </w:tcPr>
          <w:p w14:paraId="7B88300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16</w:t>
            </w:r>
          </w:p>
        </w:tc>
        <w:tc>
          <w:tcPr>
            <w:tcW w:w="1177" w:type="pct"/>
            <w:shd w:val="clear" w:color="auto" w:fill="auto"/>
            <w:vAlign w:val="center"/>
          </w:tcPr>
          <w:p w14:paraId="05B4C9A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突发生态环境事件应急管理机制</w:t>
            </w:r>
          </w:p>
        </w:tc>
        <w:tc>
          <w:tcPr>
            <w:tcW w:w="334" w:type="pct"/>
            <w:shd w:val="clear" w:color="auto" w:fill="auto"/>
            <w:vAlign w:val="center"/>
          </w:tcPr>
          <w:p w14:paraId="26AA367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14:paraId="0F9A2D8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建立</w:t>
            </w:r>
          </w:p>
        </w:tc>
        <w:tc>
          <w:tcPr>
            <w:tcW w:w="580" w:type="pct"/>
            <w:vAlign w:val="center"/>
          </w:tcPr>
          <w:p w14:paraId="1CA19BD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建立</w:t>
            </w:r>
          </w:p>
        </w:tc>
        <w:tc>
          <w:tcPr>
            <w:tcW w:w="664" w:type="pct"/>
            <w:vAlign w:val="center"/>
          </w:tcPr>
          <w:p w14:paraId="3A898FA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建立</w:t>
            </w:r>
          </w:p>
        </w:tc>
        <w:tc>
          <w:tcPr>
            <w:tcW w:w="668" w:type="pct"/>
            <w:vAlign w:val="center"/>
          </w:tcPr>
          <w:p w14:paraId="50E3DFA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建立</w:t>
            </w:r>
          </w:p>
        </w:tc>
      </w:tr>
      <w:tr w14:paraId="2E79F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6" w:hRule="atLeast"/>
          <w:jc w:val="center"/>
        </w:trPr>
        <w:tc>
          <w:tcPr>
            <w:tcW w:w="173" w:type="pct"/>
            <w:vMerge w:val="continue"/>
            <w:vAlign w:val="center"/>
          </w:tcPr>
          <w:p w14:paraId="4A9B1B46">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426" w:type="pct"/>
            <w:vMerge w:val="continue"/>
            <w:shd w:val="clear" w:color="auto" w:fill="auto"/>
            <w:vAlign w:val="center"/>
          </w:tcPr>
          <w:p w14:paraId="33B6D067">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210" w:type="pct"/>
            <w:shd w:val="clear" w:color="auto" w:fill="auto"/>
            <w:vAlign w:val="center"/>
          </w:tcPr>
          <w:p w14:paraId="0E893C2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17</w:t>
            </w:r>
          </w:p>
        </w:tc>
        <w:tc>
          <w:tcPr>
            <w:tcW w:w="1177" w:type="pct"/>
            <w:shd w:val="clear" w:color="auto" w:fill="auto"/>
            <w:vAlign w:val="center"/>
          </w:tcPr>
          <w:p w14:paraId="2C4630D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受污染耕地安全利用率</w:t>
            </w:r>
          </w:p>
        </w:tc>
        <w:tc>
          <w:tcPr>
            <w:tcW w:w="334" w:type="pct"/>
            <w:shd w:val="clear" w:color="auto" w:fill="auto"/>
            <w:vAlign w:val="center"/>
          </w:tcPr>
          <w:p w14:paraId="123D7E3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14:paraId="1F3EAAB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完成上级规定的考核任务</w:t>
            </w:r>
          </w:p>
        </w:tc>
        <w:tc>
          <w:tcPr>
            <w:tcW w:w="580" w:type="pct"/>
            <w:vAlign w:val="center"/>
          </w:tcPr>
          <w:p w14:paraId="0C1BC8B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完成上级规定的考核任务</w:t>
            </w:r>
          </w:p>
        </w:tc>
        <w:tc>
          <w:tcPr>
            <w:tcW w:w="664" w:type="pct"/>
            <w:vAlign w:val="center"/>
          </w:tcPr>
          <w:p w14:paraId="7169707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完成上级规定的考核任务</w:t>
            </w:r>
          </w:p>
        </w:tc>
        <w:tc>
          <w:tcPr>
            <w:tcW w:w="668" w:type="pct"/>
            <w:vAlign w:val="center"/>
          </w:tcPr>
          <w:p w14:paraId="24FD672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完成上级规定的考核任务</w:t>
            </w:r>
          </w:p>
        </w:tc>
      </w:tr>
      <w:tr w14:paraId="5693C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173" w:type="pct"/>
            <w:vMerge w:val="continue"/>
            <w:vAlign w:val="center"/>
          </w:tcPr>
          <w:p w14:paraId="4371E638">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426" w:type="pct"/>
            <w:vMerge w:val="continue"/>
            <w:shd w:val="clear" w:color="auto" w:fill="auto"/>
            <w:vAlign w:val="center"/>
          </w:tcPr>
          <w:p w14:paraId="26848A51">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210" w:type="pct"/>
            <w:shd w:val="clear" w:color="auto" w:fill="auto"/>
            <w:vAlign w:val="center"/>
          </w:tcPr>
          <w:p w14:paraId="7D559A1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18</w:t>
            </w:r>
          </w:p>
        </w:tc>
        <w:tc>
          <w:tcPr>
            <w:tcW w:w="1177" w:type="pct"/>
            <w:shd w:val="clear" w:color="auto" w:fill="auto"/>
            <w:vAlign w:val="center"/>
          </w:tcPr>
          <w:p w14:paraId="5C3B511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重点建设用地安全利用</w:t>
            </w:r>
          </w:p>
        </w:tc>
        <w:tc>
          <w:tcPr>
            <w:tcW w:w="334" w:type="pct"/>
            <w:shd w:val="clear" w:color="auto" w:fill="auto"/>
            <w:vAlign w:val="center"/>
          </w:tcPr>
          <w:p w14:paraId="0C18431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14:paraId="1DB0696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580" w:type="pct"/>
            <w:vAlign w:val="center"/>
          </w:tcPr>
          <w:p w14:paraId="68574AC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有效保障</w:t>
            </w:r>
          </w:p>
        </w:tc>
        <w:tc>
          <w:tcPr>
            <w:tcW w:w="664" w:type="pct"/>
            <w:vAlign w:val="center"/>
          </w:tcPr>
          <w:p w14:paraId="0F97B93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有效保障</w:t>
            </w:r>
          </w:p>
        </w:tc>
        <w:tc>
          <w:tcPr>
            <w:tcW w:w="668" w:type="pct"/>
            <w:vAlign w:val="center"/>
          </w:tcPr>
          <w:p w14:paraId="2EFC43D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有效保障</w:t>
            </w:r>
          </w:p>
        </w:tc>
      </w:tr>
      <w:tr w14:paraId="0DBE9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38" w:hRule="atLeast"/>
          <w:jc w:val="center"/>
        </w:trPr>
        <w:tc>
          <w:tcPr>
            <w:tcW w:w="173" w:type="pct"/>
            <w:vMerge w:val="restart"/>
            <w:vAlign w:val="center"/>
          </w:tcPr>
          <w:p w14:paraId="3CF28A8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生态空间</w:t>
            </w:r>
          </w:p>
        </w:tc>
        <w:tc>
          <w:tcPr>
            <w:tcW w:w="426" w:type="pct"/>
            <w:vMerge w:val="restart"/>
            <w:shd w:val="clear" w:color="auto" w:fill="auto"/>
            <w:vAlign w:val="center"/>
          </w:tcPr>
          <w:p w14:paraId="7CEAD51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（五）</w:t>
            </w:r>
          </w:p>
          <w:p w14:paraId="5F2555D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空间格局优化</w:t>
            </w:r>
          </w:p>
        </w:tc>
        <w:tc>
          <w:tcPr>
            <w:tcW w:w="210" w:type="pct"/>
            <w:vMerge w:val="restart"/>
            <w:shd w:val="clear" w:color="auto" w:fill="auto"/>
            <w:vAlign w:val="center"/>
          </w:tcPr>
          <w:p w14:paraId="5A25F85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19</w:t>
            </w:r>
          </w:p>
        </w:tc>
        <w:tc>
          <w:tcPr>
            <w:tcW w:w="1177" w:type="pct"/>
            <w:shd w:val="clear" w:color="auto" w:fill="auto"/>
            <w:vAlign w:val="center"/>
          </w:tcPr>
          <w:p w14:paraId="1C70472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自然生态空间</w:t>
            </w:r>
          </w:p>
          <w:p w14:paraId="0EAE8F7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生态保护红线</w:t>
            </w:r>
          </w:p>
          <w:p w14:paraId="57EC7A5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334" w:type="pct"/>
            <w:vMerge w:val="restart"/>
            <w:shd w:val="clear" w:color="auto" w:fill="auto"/>
            <w:vAlign w:val="center"/>
          </w:tcPr>
          <w:p w14:paraId="34C0167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shd w:val="clear" w:color="auto" w:fill="auto"/>
            <w:vAlign w:val="center"/>
          </w:tcPr>
          <w:p w14:paraId="24C4E1E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面积为1203.31平方千米，占国土面积的28.21%，面积不减少，性质不改变，功能不降低</w:t>
            </w:r>
          </w:p>
        </w:tc>
        <w:tc>
          <w:tcPr>
            <w:tcW w:w="580" w:type="pct"/>
            <w:shd w:val="clear" w:color="auto" w:fill="auto"/>
            <w:vAlign w:val="center"/>
          </w:tcPr>
          <w:p w14:paraId="72FCCF7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生态保护红线</w:t>
            </w:r>
          </w:p>
          <w:p w14:paraId="2A2DE57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zh-CN"/>
              </w:rPr>
              <w:t>性质不改变，功能</w:t>
            </w:r>
            <w:r>
              <w:rPr>
                <w:rFonts w:hint="default" w:ascii="Times New Roman" w:hAnsi="Times New Roman" w:eastAsia="仿宋" w:cs="Times New Roman"/>
                <w:color w:val="auto"/>
                <w:sz w:val="21"/>
                <w:szCs w:val="21"/>
              </w:rPr>
              <w:t>不降低</w:t>
            </w:r>
          </w:p>
        </w:tc>
        <w:tc>
          <w:tcPr>
            <w:tcW w:w="664" w:type="pct"/>
            <w:shd w:val="clear" w:color="auto" w:fill="auto"/>
            <w:vAlign w:val="center"/>
          </w:tcPr>
          <w:p w14:paraId="33F0FE7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生态保护红线</w:t>
            </w:r>
          </w:p>
          <w:p w14:paraId="7C4CCE4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zh-CN"/>
              </w:rPr>
              <w:t>性质不改变，功能</w:t>
            </w:r>
            <w:r>
              <w:rPr>
                <w:rFonts w:hint="default" w:ascii="Times New Roman" w:hAnsi="Times New Roman" w:eastAsia="仿宋" w:cs="Times New Roman"/>
                <w:color w:val="auto"/>
                <w:sz w:val="21"/>
                <w:szCs w:val="21"/>
              </w:rPr>
              <w:t>不降低</w:t>
            </w:r>
          </w:p>
        </w:tc>
        <w:tc>
          <w:tcPr>
            <w:tcW w:w="668" w:type="pct"/>
            <w:shd w:val="clear" w:color="auto" w:fill="auto"/>
            <w:vAlign w:val="center"/>
          </w:tcPr>
          <w:p w14:paraId="37C3122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生态保护红线</w:t>
            </w:r>
          </w:p>
          <w:p w14:paraId="7B3035C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zh-CN"/>
              </w:rPr>
              <w:t>性质不改变，功能</w:t>
            </w:r>
            <w:r>
              <w:rPr>
                <w:rFonts w:hint="default" w:ascii="Times New Roman" w:hAnsi="Times New Roman" w:eastAsia="仿宋" w:cs="Times New Roman"/>
                <w:color w:val="auto"/>
                <w:sz w:val="21"/>
                <w:szCs w:val="21"/>
              </w:rPr>
              <w:t>不降低</w:t>
            </w:r>
          </w:p>
        </w:tc>
      </w:tr>
      <w:tr w14:paraId="6F624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173" w:type="pct"/>
            <w:vMerge w:val="continue"/>
            <w:vAlign w:val="center"/>
          </w:tcPr>
          <w:p w14:paraId="31DE810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426" w:type="pct"/>
            <w:vMerge w:val="continue"/>
            <w:shd w:val="clear" w:color="auto" w:fill="auto"/>
            <w:vAlign w:val="center"/>
          </w:tcPr>
          <w:p w14:paraId="6715F65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210" w:type="pct"/>
            <w:vMerge w:val="continue"/>
            <w:shd w:val="clear" w:color="auto" w:fill="auto"/>
            <w:vAlign w:val="center"/>
          </w:tcPr>
          <w:p w14:paraId="3E6C16C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1177" w:type="pct"/>
            <w:shd w:val="clear" w:color="auto" w:fill="auto"/>
            <w:vAlign w:val="center"/>
          </w:tcPr>
          <w:p w14:paraId="7DF5B25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自然保护地</w:t>
            </w:r>
          </w:p>
        </w:tc>
        <w:tc>
          <w:tcPr>
            <w:tcW w:w="334" w:type="pct"/>
            <w:vMerge w:val="continue"/>
            <w:shd w:val="clear" w:color="auto" w:fill="auto"/>
            <w:vAlign w:val="center"/>
          </w:tcPr>
          <w:p w14:paraId="3F0BCAA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764" w:type="pct"/>
            <w:vAlign w:val="center"/>
          </w:tcPr>
          <w:p w14:paraId="0A00C96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zh-CN"/>
              </w:rPr>
            </w:pPr>
            <w:r>
              <w:rPr>
                <w:rFonts w:hint="default" w:ascii="Times New Roman" w:hAnsi="Times New Roman" w:eastAsia="仿宋" w:cs="Times New Roman"/>
                <w:color w:val="auto"/>
                <w:sz w:val="21"/>
                <w:szCs w:val="21"/>
                <w:lang w:val="en-US" w:eastAsia="zh-CN"/>
              </w:rPr>
              <w:t>5个，数量与面积不减少</w:t>
            </w:r>
          </w:p>
        </w:tc>
        <w:tc>
          <w:tcPr>
            <w:tcW w:w="580" w:type="pct"/>
            <w:vAlign w:val="center"/>
          </w:tcPr>
          <w:p w14:paraId="602EB52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zh-CN"/>
              </w:rPr>
            </w:pPr>
            <w:r>
              <w:rPr>
                <w:rFonts w:hint="default" w:ascii="Times New Roman" w:hAnsi="Times New Roman" w:eastAsia="仿宋" w:cs="Times New Roman"/>
                <w:color w:val="auto"/>
                <w:sz w:val="21"/>
                <w:szCs w:val="21"/>
              </w:rPr>
              <w:t>自然保护地数量与面积不减少</w:t>
            </w:r>
          </w:p>
        </w:tc>
        <w:tc>
          <w:tcPr>
            <w:tcW w:w="664" w:type="pct"/>
            <w:vAlign w:val="center"/>
          </w:tcPr>
          <w:p w14:paraId="5E87ABD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zh-CN"/>
              </w:rPr>
            </w:pPr>
            <w:r>
              <w:rPr>
                <w:rFonts w:hint="default" w:ascii="Times New Roman" w:hAnsi="Times New Roman" w:eastAsia="仿宋" w:cs="Times New Roman"/>
                <w:color w:val="auto"/>
                <w:sz w:val="21"/>
                <w:szCs w:val="21"/>
              </w:rPr>
              <w:t>自然保护地数量与面积不减少</w:t>
            </w:r>
          </w:p>
        </w:tc>
        <w:tc>
          <w:tcPr>
            <w:tcW w:w="668" w:type="pct"/>
            <w:vAlign w:val="center"/>
          </w:tcPr>
          <w:p w14:paraId="5BD6CAD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自然保护地数量与面积不减少</w:t>
            </w:r>
          </w:p>
        </w:tc>
      </w:tr>
      <w:tr w14:paraId="7412D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173" w:type="pct"/>
            <w:vMerge w:val="continue"/>
            <w:vAlign w:val="center"/>
          </w:tcPr>
          <w:p w14:paraId="34D8711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426" w:type="pct"/>
            <w:vMerge w:val="continue"/>
            <w:shd w:val="clear" w:color="auto" w:fill="auto"/>
            <w:vAlign w:val="center"/>
          </w:tcPr>
          <w:p w14:paraId="262FC68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210" w:type="pct"/>
            <w:vMerge w:val="continue"/>
            <w:shd w:val="clear" w:color="auto" w:fill="auto"/>
            <w:vAlign w:val="center"/>
          </w:tcPr>
          <w:p w14:paraId="6D2F798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1177" w:type="pct"/>
            <w:shd w:val="clear" w:color="auto" w:fill="auto"/>
            <w:vAlign w:val="center"/>
          </w:tcPr>
          <w:p w14:paraId="25F6E32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永久基本农田保护红线</w:t>
            </w:r>
          </w:p>
        </w:tc>
        <w:tc>
          <w:tcPr>
            <w:tcW w:w="334" w:type="pct"/>
            <w:vMerge w:val="continue"/>
            <w:shd w:val="clear" w:color="auto" w:fill="auto"/>
            <w:vAlign w:val="center"/>
          </w:tcPr>
          <w:p w14:paraId="48061C9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764" w:type="pct"/>
            <w:vAlign w:val="center"/>
          </w:tcPr>
          <w:p w14:paraId="7A1BDDA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zh-CN"/>
              </w:rPr>
            </w:pPr>
            <w:r>
              <w:rPr>
                <w:rFonts w:hint="default" w:ascii="Times New Roman" w:hAnsi="Times New Roman" w:eastAsia="仿宋" w:cs="Times New Roman"/>
                <w:color w:val="auto"/>
                <w:sz w:val="21"/>
                <w:szCs w:val="21"/>
                <w:lang w:val="en-US" w:eastAsia="zh-CN"/>
              </w:rPr>
              <w:t>面积为58.4982万亩，面积不减少，质量不降低，布局更优化</w:t>
            </w:r>
          </w:p>
        </w:tc>
        <w:tc>
          <w:tcPr>
            <w:tcW w:w="580" w:type="pct"/>
            <w:vAlign w:val="center"/>
          </w:tcPr>
          <w:p w14:paraId="5E9397B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zh-CN"/>
              </w:rPr>
            </w:pPr>
            <w:r>
              <w:rPr>
                <w:rFonts w:hint="default" w:ascii="Times New Roman" w:hAnsi="Times New Roman" w:eastAsia="仿宋" w:cs="Times New Roman"/>
                <w:color w:val="auto"/>
                <w:sz w:val="21"/>
                <w:szCs w:val="21"/>
              </w:rPr>
              <w:t>面积不减少，质量不降低，布局更优化</w:t>
            </w:r>
          </w:p>
        </w:tc>
        <w:tc>
          <w:tcPr>
            <w:tcW w:w="664" w:type="pct"/>
            <w:vAlign w:val="center"/>
          </w:tcPr>
          <w:p w14:paraId="33E0E05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zh-CN"/>
              </w:rPr>
            </w:pPr>
            <w:r>
              <w:rPr>
                <w:rFonts w:hint="default" w:ascii="Times New Roman" w:hAnsi="Times New Roman" w:eastAsia="仿宋" w:cs="Times New Roman"/>
                <w:color w:val="auto"/>
                <w:sz w:val="21"/>
                <w:szCs w:val="21"/>
              </w:rPr>
              <w:t>面积不减少，质量不降低，布局更优化</w:t>
            </w:r>
          </w:p>
        </w:tc>
        <w:tc>
          <w:tcPr>
            <w:tcW w:w="668" w:type="pct"/>
            <w:vAlign w:val="center"/>
          </w:tcPr>
          <w:p w14:paraId="4A8E116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面积不减少，质量不降低，布局更优化</w:t>
            </w:r>
          </w:p>
        </w:tc>
      </w:tr>
      <w:tr w14:paraId="4EDFD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859" w:hRule="atLeast"/>
          <w:jc w:val="center"/>
        </w:trPr>
        <w:tc>
          <w:tcPr>
            <w:tcW w:w="173" w:type="pct"/>
            <w:vMerge w:val="continue"/>
            <w:vAlign w:val="center"/>
          </w:tcPr>
          <w:p w14:paraId="66D874C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426" w:type="pct"/>
            <w:vMerge w:val="continue"/>
            <w:shd w:val="clear" w:color="auto" w:fill="auto"/>
            <w:vAlign w:val="center"/>
          </w:tcPr>
          <w:p w14:paraId="5AD1984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210" w:type="pct"/>
            <w:shd w:val="clear" w:color="auto" w:fill="auto"/>
            <w:vAlign w:val="center"/>
          </w:tcPr>
          <w:p w14:paraId="30B3123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20</w:t>
            </w:r>
          </w:p>
        </w:tc>
        <w:tc>
          <w:tcPr>
            <w:tcW w:w="1177" w:type="pct"/>
            <w:shd w:val="clear" w:color="auto" w:fill="auto"/>
            <w:vAlign w:val="center"/>
          </w:tcPr>
          <w:p w14:paraId="7990005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河湖岸线保护率</w:t>
            </w:r>
          </w:p>
        </w:tc>
        <w:tc>
          <w:tcPr>
            <w:tcW w:w="334" w:type="pct"/>
            <w:shd w:val="clear" w:color="auto" w:fill="auto"/>
            <w:vAlign w:val="center"/>
          </w:tcPr>
          <w:p w14:paraId="67907AF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14:paraId="261085F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zh-CN"/>
              </w:rPr>
            </w:pPr>
            <w:r>
              <w:rPr>
                <w:rFonts w:hint="default" w:ascii="Times New Roman" w:hAnsi="Times New Roman" w:eastAsia="仿宋" w:cs="Times New Roman"/>
                <w:color w:val="auto"/>
                <w:sz w:val="21"/>
                <w:szCs w:val="21"/>
              </w:rPr>
              <w:t>完成上级管控目标</w:t>
            </w:r>
          </w:p>
        </w:tc>
        <w:tc>
          <w:tcPr>
            <w:tcW w:w="580" w:type="pct"/>
            <w:vAlign w:val="center"/>
          </w:tcPr>
          <w:p w14:paraId="7CD95AD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zh-CN"/>
              </w:rPr>
            </w:pPr>
            <w:r>
              <w:rPr>
                <w:rFonts w:hint="default" w:ascii="Times New Roman" w:hAnsi="Times New Roman" w:eastAsia="仿宋" w:cs="Times New Roman"/>
                <w:color w:val="auto"/>
                <w:sz w:val="21"/>
                <w:szCs w:val="21"/>
              </w:rPr>
              <w:t>完成上级管控目标</w:t>
            </w:r>
          </w:p>
        </w:tc>
        <w:tc>
          <w:tcPr>
            <w:tcW w:w="664" w:type="pct"/>
            <w:vAlign w:val="center"/>
          </w:tcPr>
          <w:p w14:paraId="2B0C0B0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zh-CN"/>
              </w:rPr>
            </w:pPr>
            <w:r>
              <w:rPr>
                <w:rFonts w:hint="default" w:ascii="Times New Roman" w:hAnsi="Times New Roman" w:eastAsia="仿宋" w:cs="Times New Roman"/>
                <w:color w:val="auto"/>
                <w:sz w:val="21"/>
                <w:szCs w:val="21"/>
              </w:rPr>
              <w:t>完成上级管控目标</w:t>
            </w:r>
          </w:p>
        </w:tc>
        <w:tc>
          <w:tcPr>
            <w:tcW w:w="668" w:type="pct"/>
            <w:vAlign w:val="center"/>
          </w:tcPr>
          <w:p w14:paraId="7CAA66F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完成上级管控目标</w:t>
            </w:r>
          </w:p>
        </w:tc>
      </w:tr>
      <w:tr w14:paraId="53B51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173" w:type="pct"/>
            <w:vMerge w:val="restart"/>
            <w:vAlign w:val="center"/>
          </w:tcPr>
          <w:p w14:paraId="67EED12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生态经济</w:t>
            </w:r>
          </w:p>
        </w:tc>
        <w:tc>
          <w:tcPr>
            <w:tcW w:w="426" w:type="pct"/>
            <w:vMerge w:val="restart"/>
            <w:shd w:val="clear" w:color="auto" w:fill="auto"/>
            <w:vAlign w:val="center"/>
          </w:tcPr>
          <w:p w14:paraId="3180D8C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（六）</w:t>
            </w:r>
          </w:p>
          <w:p w14:paraId="1D0053D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资源节约与利用</w:t>
            </w:r>
          </w:p>
        </w:tc>
        <w:tc>
          <w:tcPr>
            <w:tcW w:w="210" w:type="pct"/>
            <w:shd w:val="clear" w:color="auto" w:fill="auto"/>
            <w:vAlign w:val="center"/>
          </w:tcPr>
          <w:p w14:paraId="4EE0E62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21</w:t>
            </w:r>
          </w:p>
        </w:tc>
        <w:tc>
          <w:tcPr>
            <w:tcW w:w="1177" w:type="pct"/>
            <w:shd w:val="clear" w:color="auto" w:fill="auto"/>
            <w:vAlign w:val="center"/>
          </w:tcPr>
          <w:p w14:paraId="49545E9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单位地区生产总值能耗</w:t>
            </w:r>
          </w:p>
        </w:tc>
        <w:tc>
          <w:tcPr>
            <w:tcW w:w="334" w:type="pct"/>
            <w:shd w:val="clear" w:color="auto" w:fill="auto"/>
            <w:vAlign w:val="center"/>
          </w:tcPr>
          <w:p w14:paraId="523F97A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pacing w:val="-10"/>
                <w:sz w:val="21"/>
                <w:szCs w:val="21"/>
              </w:rPr>
            </w:pPr>
            <w:r>
              <w:rPr>
                <w:rFonts w:hint="default" w:ascii="Times New Roman" w:hAnsi="Times New Roman" w:eastAsia="仿宋" w:cs="Times New Roman"/>
                <w:color w:val="auto"/>
                <w:spacing w:val="-10"/>
                <w:sz w:val="21"/>
                <w:szCs w:val="21"/>
              </w:rPr>
              <w:t>-</w:t>
            </w:r>
          </w:p>
        </w:tc>
        <w:tc>
          <w:tcPr>
            <w:tcW w:w="764" w:type="pct"/>
            <w:vAlign w:val="center"/>
          </w:tcPr>
          <w:p w14:paraId="6E16FC3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pacing w:val="-10"/>
                <w:sz w:val="21"/>
                <w:szCs w:val="21"/>
                <w:lang w:val="en-US" w:eastAsia="zh-CN"/>
              </w:rPr>
            </w:pPr>
            <w:r>
              <w:rPr>
                <w:rFonts w:hint="eastAsia" w:ascii="Times New Roman" w:hAnsi="Times New Roman" w:eastAsia="仿宋" w:cs="Times New Roman"/>
                <w:color w:val="auto"/>
                <w:spacing w:val="-10"/>
                <w:sz w:val="21"/>
                <w:szCs w:val="21"/>
                <w:lang w:val="en-US" w:eastAsia="zh-CN"/>
              </w:rPr>
              <w:t>上升3.4</w:t>
            </w:r>
            <w:r>
              <w:rPr>
                <w:rFonts w:hint="default" w:ascii="Times New Roman" w:hAnsi="Times New Roman" w:eastAsia="仿宋" w:cs="Times New Roman"/>
                <w:color w:val="auto"/>
                <w:spacing w:val="-10"/>
                <w:sz w:val="21"/>
                <w:szCs w:val="21"/>
              </w:rPr>
              <w:t>%（对比2020年单位GDP能耗），</w:t>
            </w:r>
            <w:r>
              <w:rPr>
                <w:rFonts w:hint="eastAsia" w:ascii="Times New Roman" w:hAnsi="Times New Roman" w:eastAsia="仿宋" w:cs="Times New Roman"/>
                <w:color w:val="auto"/>
                <w:spacing w:val="-10"/>
                <w:sz w:val="21"/>
                <w:szCs w:val="21"/>
                <w:lang w:val="en-US" w:eastAsia="zh-CN"/>
              </w:rPr>
              <w:t>未</w:t>
            </w:r>
            <w:r>
              <w:rPr>
                <w:rFonts w:hint="default" w:ascii="Times New Roman" w:hAnsi="Times New Roman" w:eastAsia="仿宋" w:cs="Times New Roman"/>
                <w:color w:val="auto"/>
                <w:spacing w:val="-10"/>
                <w:sz w:val="21"/>
                <w:szCs w:val="21"/>
              </w:rPr>
              <w:t>完成（1.133）</w:t>
            </w:r>
            <w:r>
              <w:rPr>
                <w:rFonts w:hint="eastAsia" w:ascii="Times New Roman" w:hAnsi="Times New Roman" w:eastAsia="仿宋" w:cs="Times New Roman"/>
                <w:color w:val="auto"/>
                <w:spacing w:val="-10"/>
                <w:sz w:val="21"/>
                <w:szCs w:val="21"/>
                <w:lang w:val="en-US" w:eastAsia="zh-CN"/>
              </w:rPr>
              <w:t>上级下达任务。</w:t>
            </w:r>
          </w:p>
        </w:tc>
        <w:tc>
          <w:tcPr>
            <w:tcW w:w="580" w:type="pct"/>
            <w:vAlign w:val="center"/>
          </w:tcPr>
          <w:p w14:paraId="06C8961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pacing w:val="-10"/>
                <w:sz w:val="21"/>
                <w:szCs w:val="21"/>
              </w:rPr>
              <w:t>完成上级规定的目标任务；保持稳定或持续改善</w:t>
            </w:r>
          </w:p>
        </w:tc>
        <w:tc>
          <w:tcPr>
            <w:tcW w:w="664" w:type="pct"/>
            <w:vAlign w:val="center"/>
          </w:tcPr>
          <w:p w14:paraId="22FBAE4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pacing w:val="-10"/>
                <w:sz w:val="21"/>
                <w:szCs w:val="21"/>
              </w:rPr>
              <w:t>完成上级规定的目标任务；保持稳定或持续改善</w:t>
            </w:r>
          </w:p>
        </w:tc>
        <w:tc>
          <w:tcPr>
            <w:tcW w:w="668" w:type="pct"/>
            <w:vAlign w:val="center"/>
          </w:tcPr>
          <w:p w14:paraId="7E7C8C6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pacing w:val="-10"/>
                <w:sz w:val="21"/>
                <w:szCs w:val="21"/>
              </w:rPr>
            </w:pPr>
            <w:r>
              <w:rPr>
                <w:rFonts w:hint="default" w:ascii="Times New Roman" w:hAnsi="Times New Roman" w:eastAsia="仿宋" w:cs="Times New Roman"/>
                <w:color w:val="auto"/>
                <w:spacing w:val="-10"/>
                <w:sz w:val="21"/>
                <w:szCs w:val="21"/>
              </w:rPr>
              <w:t>完成上级规定的目标任务；保持稳定或持续改善</w:t>
            </w:r>
          </w:p>
        </w:tc>
      </w:tr>
      <w:tr w14:paraId="500F1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55" w:hRule="atLeast"/>
          <w:jc w:val="center"/>
        </w:trPr>
        <w:tc>
          <w:tcPr>
            <w:tcW w:w="173" w:type="pct"/>
            <w:vMerge w:val="continue"/>
            <w:vAlign w:val="center"/>
          </w:tcPr>
          <w:p w14:paraId="020BE8F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426" w:type="pct"/>
            <w:vMerge w:val="continue"/>
            <w:shd w:val="clear" w:color="auto" w:fill="auto"/>
            <w:vAlign w:val="center"/>
          </w:tcPr>
          <w:p w14:paraId="3E61612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210" w:type="pct"/>
            <w:shd w:val="clear" w:color="auto" w:fill="auto"/>
            <w:vAlign w:val="center"/>
          </w:tcPr>
          <w:p w14:paraId="0EA477F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22</w:t>
            </w:r>
          </w:p>
        </w:tc>
        <w:tc>
          <w:tcPr>
            <w:tcW w:w="1177" w:type="pct"/>
            <w:shd w:val="clear" w:color="auto" w:fill="auto"/>
            <w:vAlign w:val="center"/>
          </w:tcPr>
          <w:p w14:paraId="4F19436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单位地区生产总值用水量</w:t>
            </w:r>
          </w:p>
        </w:tc>
        <w:tc>
          <w:tcPr>
            <w:tcW w:w="334" w:type="pct"/>
            <w:shd w:val="clear" w:color="auto" w:fill="auto"/>
            <w:vAlign w:val="center"/>
          </w:tcPr>
          <w:p w14:paraId="3788826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pacing w:val="-10"/>
                <w:sz w:val="21"/>
                <w:szCs w:val="21"/>
              </w:rPr>
              <w:t>m</w:t>
            </w:r>
            <w:r>
              <w:rPr>
                <w:rFonts w:hint="default" w:ascii="Times New Roman" w:hAnsi="Times New Roman" w:eastAsia="仿宋" w:cs="Times New Roman"/>
                <w:color w:val="auto"/>
                <w:spacing w:val="-10"/>
                <w:sz w:val="21"/>
                <w:szCs w:val="21"/>
                <w:vertAlign w:val="superscript"/>
              </w:rPr>
              <w:t>3</w:t>
            </w:r>
            <w:r>
              <w:rPr>
                <w:rFonts w:hint="default" w:ascii="Times New Roman" w:hAnsi="Times New Roman" w:eastAsia="仿宋" w:cs="Times New Roman"/>
                <w:color w:val="auto"/>
                <w:spacing w:val="-10"/>
                <w:sz w:val="21"/>
                <w:szCs w:val="21"/>
              </w:rPr>
              <w:t>/万元</w:t>
            </w:r>
          </w:p>
        </w:tc>
        <w:tc>
          <w:tcPr>
            <w:tcW w:w="764" w:type="pct"/>
            <w:vAlign w:val="center"/>
          </w:tcPr>
          <w:p w14:paraId="3ECC3E7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FF0000"/>
                <w:spacing w:val="-10"/>
                <w:sz w:val="21"/>
                <w:szCs w:val="21"/>
              </w:rPr>
            </w:pPr>
            <w:r>
              <w:rPr>
                <w:rFonts w:hint="default" w:ascii="Times New Roman" w:hAnsi="Times New Roman" w:eastAsia="仿宋" w:cs="Times New Roman"/>
                <w:color w:val="auto"/>
                <w:spacing w:val="-10"/>
                <w:sz w:val="21"/>
                <w:szCs w:val="21"/>
                <w:lang w:val="zh-CN"/>
              </w:rPr>
              <w:t>78.0，对比2020年下降9.8%。完成上级规定的目标任务</w:t>
            </w:r>
            <w:r>
              <w:rPr>
                <w:rFonts w:hint="eastAsia" w:ascii="Times New Roman" w:hAnsi="Times New Roman" w:eastAsia="仿宋" w:cs="Times New Roman"/>
                <w:color w:val="auto"/>
                <w:spacing w:val="-10"/>
                <w:sz w:val="21"/>
                <w:szCs w:val="21"/>
                <w:lang w:val="zh-CN"/>
              </w:rPr>
              <w:t>；</w:t>
            </w:r>
            <w:r>
              <w:rPr>
                <w:rFonts w:hint="default" w:ascii="Times New Roman" w:hAnsi="Times New Roman" w:eastAsia="仿宋" w:cs="Times New Roman"/>
                <w:color w:val="auto"/>
                <w:spacing w:val="-10"/>
                <w:sz w:val="21"/>
                <w:szCs w:val="21"/>
                <w:lang w:val="zh-CN"/>
              </w:rPr>
              <w:t>完成上级规定的目标任务</w:t>
            </w:r>
            <w:r>
              <w:rPr>
                <w:rFonts w:hint="eastAsia" w:ascii="Times New Roman" w:hAnsi="Times New Roman" w:eastAsia="仿宋" w:cs="Times New Roman"/>
                <w:color w:val="auto"/>
                <w:spacing w:val="-10"/>
                <w:sz w:val="21"/>
                <w:szCs w:val="21"/>
                <w:lang w:val="zh-CN"/>
              </w:rPr>
              <w:t>。</w:t>
            </w:r>
          </w:p>
        </w:tc>
        <w:tc>
          <w:tcPr>
            <w:tcW w:w="580" w:type="pct"/>
            <w:vAlign w:val="center"/>
          </w:tcPr>
          <w:p w14:paraId="5E87FB5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pacing w:val="-10"/>
                <w:sz w:val="21"/>
                <w:szCs w:val="21"/>
              </w:rPr>
              <w:t>完成上级规定的目标任务</w:t>
            </w:r>
          </w:p>
        </w:tc>
        <w:tc>
          <w:tcPr>
            <w:tcW w:w="664" w:type="pct"/>
            <w:vAlign w:val="center"/>
          </w:tcPr>
          <w:p w14:paraId="13FF908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pacing w:val="-10"/>
                <w:sz w:val="21"/>
                <w:szCs w:val="21"/>
              </w:rPr>
              <w:t>完成上级规定的目标任务</w:t>
            </w:r>
          </w:p>
        </w:tc>
        <w:tc>
          <w:tcPr>
            <w:tcW w:w="668" w:type="pct"/>
            <w:vAlign w:val="center"/>
          </w:tcPr>
          <w:p w14:paraId="2D066F4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pacing w:val="-10"/>
                <w:sz w:val="21"/>
                <w:szCs w:val="21"/>
              </w:rPr>
            </w:pPr>
            <w:r>
              <w:rPr>
                <w:rFonts w:hint="default" w:ascii="Times New Roman" w:hAnsi="Times New Roman" w:eastAsia="仿宋" w:cs="Times New Roman"/>
                <w:color w:val="auto"/>
                <w:spacing w:val="-10"/>
                <w:sz w:val="21"/>
                <w:szCs w:val="21"/>
              </w:rPr>
              <w:t>完成上级规定的目标任务</w:t>
            </w:r>
          </w:p>
        </w:tc>
      </w:tr>
      <w:tr w14:paraId="1EFBB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173" w:type="pct"/>
            <w:vMerge w:val="continue"/>
            <w:vAlign w:val="center"/>
          </w:tcPr>
          <w:p w14:paraId="20A3581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426" w:type="pct"/>
            <w:vMerge w:val="continue"/>
            <w:shd w:val="clear" w:color="auto" w:fill="auto"/>
            <w:vAlign w:val="center"/>
          </w:tcPr>
          <w:p w14:paraId="4CFD016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210" w:type="pct"/>
            <w:shd w:val="clear" w:color="auto" w:fill="auto"/>
            <w:vAlign w:val="center"/>
          </w:tcPr>
          <w:p w14:paraId="172F401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23</w:t>
            </w:r>
          </w:p>
        </w:tc>
        <w:tc>
          <w:tcPr>
            <w:tcW w:w="1177" w:type="pct"/>
            <w:shd w:val="clear" w:color="auto" w:fill="auto"/>
            <w:vAlign w:val="center"/>
          </w:tcPr>
          <w:p w14:paraId="2220593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单位国内生产总值建设用地使用面积下降率</w:t>
            </w:r>
          </w:p>
        </w:tc>
        <w:tc>
          <w:tcPr>
            <w:tcW w:w="334" w:type="pct"/>
            <w:shd w:val="clear" w:color="auto" w:fill="auto"/>
            <w:vAlign w:val="center"/>
          </w:tcPr>
          <w:p w14:paraId="547FF3B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14:paraId="72D7826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pacing w:val="-10"/>
                <w:sz w:val="21"/>
                <w:szCs w:val="21"/>
                <w:lang w:val="en-US" w:eastAsia="zh-CN"/>
              </w:rPr>
            </w:pPr>
            <w:r>
              <w:rPr>
                <w:rFonts w:hint="eastAsia" w:ascii="Times New Roman" w:hAnsi="Times New Roman" w:eastAsia="仿宋" w:cs="Times New Roman"/>
                <w:color w:val="auto"/>
                <w:spacing w:val="-10"/>
                <w:sz w:val="21"/>
                <w:szCs w:val="21"/>
                <w:lang w:val="en-US" w:eastAsia="zh-CN"/>
              </w:rPr>
              <w:t>36.8</w:t>
            </w:r>
          </w:p>
        </w:tc>
        <w:tc>
          <w:tcPr>
            <w:tcW w:w="580" w:type="pct"/>
            <w:vAlign w:val="center"/>
          </w:tcPr>
          <w:p w14:paraId="10FDC06C">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auto"/>
                <w:spacing w:val="-10"/>
                <w:sz w:val="21"/>
                <w:szCs w:val="21"/>
                <w:highlight w:val="yellow"/>
                <w:lang w:eastAsia="zh-CN"/>
              </w:rPr>
            </w:pPr>
            <w:r>
              <w:rPr>
                <w:rFonts w:hint="default" w:ascii="Times New Roman" w:hAnsi="Times New Roman" w:eastAsia="仿宋" w:cs="Times New Roman"/>
                <w:color w:val="auto"/>
                <w:spacing w:val="-10"/>
                <w:sz w:val="21"/>
                <w:szCs w:val="21"/>
                <w:highlight w:val="yellow"/>
              </w:rPr>
              <w:t>≥4</w:t>
            </w:r>
            <w:r>
              <w:rPr>
                <w:rFonts w:hint="eastAsia" w:ascii="Times New Roman" w:hAnsi="Times New Roman" w:eastAsia="仿宋" w:cs="Times New Roman"/>
                <w:color w:val="auto"/>
                <w:spacing w:val="-10"/>
                <w:sz w:val="21"/>
                <w:szCs w:val="21"/>
                <w:highlight w:val="yellow"/>
                <w:lang w:eastAsia="zh-CN"/>
              </w:rPr>
              <w:t>.</w:t>
            </w:r>
            <w:r>
              <w:rPr>
                <w:rFonts w:hint="eastAsia" w:ascii="Times New Roman" w:hAnsi="Times New Roman" w:eastAsia="仿宋" w:cs="Times New Roman"/>
                <w:color w:val="auto"/>
                <w:spacing w:val="-10"/>
                <w:sz w:val="21"/>
                <w:szCs w:val="21"/>
                <w:highlight w:val="yellow"/>
                <w:lang w:val="en-US" w:eastAsia="zh-CN"/>
              </w:rPr>
              <w:t>5</w:t>
            </w:r>
          </w:p>
        </w:tc>
        <w:tc>
          <w:tcPr>
            <w:tcW w:w="664" w:type="pct"/>
            <w:vAlign w:val="center"/>
          </w:tcPr>
          <w:p w14:paraId="510C626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pacing w:val="-10"/>
                <w:sz w:val="21"/>
                <w:szCs w:val="21"/>
                <w:highlight w:val="yellow"/>
              </w:rPr>
            </w:pPr>
            <w:r>
              <w:rPr>
                <w:rFonts w:hint="default" w:ascii="Times New Roman" w:hAnsi="Times New Roman" w:eastAsia="仿宋" w:cs="Times New Roman"/>
                <w:color w:val="auto"/>
                <w:spacing w:val="-10"/>
                <w:sz w:val="21"/>
                <w:szCs w:val="21"/>
                <w:highlight w:val="yellow"/>
              </w:rPr>
              <w:t>≥4.</w:t>
            </w:r>
            <w:r>
              <w:rPr>
                <w:rFonts w:hint="eastAsia" w:ascii="Times New Roman" w:hAnsi="Times New Roman" w:eastAsia="仿宋" w:cs="Times New Roman"/>
                <w:color w:val="auto"/>
                <w:spacing w:val="-10"/>
                <w:sz w:val="21"/>
                <w:szCs w:val="21"/>
                <w:highlight w:val="yellow"/>
                <w:lang w:val="en-US" w:eastAsia="zh-CN"/>
              </w:rPr>
              <w:t>5</w:t>
            </w:r>
          </w:p>
        </w:tc>
        <w:tc>
          <w:tcPr>
            <w:tcW w:w="668" w:type="pct"/>
            <w:vAlign w:val="center"/>
          </w:tcPr>
          <w:p w14:paraId="6747367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pacing w:val="-10"/>
                <w:sz w:val="21"/>
                <w:szCs w:val="21"/>
                <w:highlight w:val="yellow"/>
              </w:rPr>
            </w:pPr>
            <w:r>
              <w:rPr>
                <w:rFonts w:hint="default" w:ascii="Times New Roman" w:hAnsi="Times New Roman" w:eastAsia="仿宋" w:cs="Times New Roman"/>
                <w:color w:val="auto"/>
                <w:spacing w:val="-10"/>
                <w:sz w:val="21"/>
                <w:szCs w:val="21"/>
                <w:highlight w:val="yellow"/>
              </w:rPr>
              <w:t>≥4.</w:t>
            </w:r>
            <w:r>
              <w:rPr>
                <w:rFonts w:hint="eastAsia" w:ascii="Times New Roman" w:hAnsi="Times New Roman" w:eastAsia="仿宋" w:cs="Times New Roman"/>
                <w:color w:val="auto"/>
                <w:spacing w:val="-10"/>
                <w:sz w:val="21"/>
                <w:szCs w:val="21"/>
                <w:highlight w:val="yellow"/>
                <w:lang w:val="en-US" w:eastAsia="zh-CN"/>
              </w:rPr>
              <w:t>5</w:t>
            </w:r>
          </w:p>
        </w:tc>
      </w:tr>
      <w:tr w14:paraId="56ADD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173" w:type="pct"/>
            <w:vMerge w:val="continue"/>
            <w:vAlign w:val="center"/>
          </w:tcPr>
          <w:p w14:paraId="75408D50">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426" w:type="pct"/>
            <w:vMerge w:val="continue"/>
            <w:shd w:val="clear" w:color="auto" w:fill="auto"/>
            <w:vAlign w:val="center"/>
          </w:tcPr>
          <w:p w14:paraId="54BA8B48">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210" w:type="pct"/>
            <w:shd w:val="clear" w:color="auto" w:fill="auto"/>
            <w:vAlign w:val="center"/>
          </w:tcPr>
          <w:p w14:paraId="1B84083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24</w:t>
            </w:r>
          </w:p>
        </w:tc>
        <w:tc>
          <w:tcPr>
            <w:tcW w:w="1177" w:type="pct"/>
            <w:shd w:val="clear" w:color="auto" w:fill="auto"/>
            <w:vAlign w:val="center"/>
          </w:tcPr>
          <w:p w14:paraId="75B06EE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三大粮食作物化肥农药利用率</w:t>
            </w:r>
          </w:p>
          <w:p w14:paraId="11563D5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化肥利用率</w:t>
            </w:r>
          </w:p>
          <w:p w14:paraId="4A2E38D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农药利用率</w:t>
            </w:r>
          </w:p>
        </w:tc>
        <w:tc>
          <w:tcPr>
            <w:tcW w:w="334" w:type="pct"/>
            <w:shd w:val="clear" w:color="auto" w:fill="auto"/>
            <w:vAlign w:val="center"/>
          </w:tcPr>
          <w:p w14:paraId="53F58DA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14:paraId="090F9FF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44.0</w:t>
            </w:r>
          </w:p>
          <w:p w14:paraId="243CD93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43.6</w:t>
            </w:r>
          </w:p>
        </w:tc>
        <w:tc>
          <w:tcPr>
            <w:tcW w:w="580" w:type="pct"/>
            <w:vAlign w:val="center"/>
          </w:tcPr>
          <w:p w14:paraId="19DA077E">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auto"/>
                <w:spacing w:val="-10"/>
                <w:sz w:val="21"/>
                <w:szCs w:val="21"/>
                <w:lang w:eastAsia="zh-CN"/>
              </w:rPr>
            </w:pPr>
            <w:r>
              <w:rPr>
                <w:rFonts w:hint="default" w:ascii="Times New Roman" w:hAnsi="Times New Roman" w:eastAsia="仿宋" w:cs="Times New Roman"/>
                <w:color w:val="auto"/>
                <w:spacing w:val="-10"/>
                <w:sz w:val="21"/>
                <w:szCs w:val="21"/>
              </w:rPr>
              <w:t>4</w:t>
            </w:r>
            <w:r>
              <w:rPr>
                <w:rFonts w:hint="eastAsia" w:ascii="Times New Roman" w:hAnsi="Times New Roman" w:eastAsia="仿宋" w:cs="Times New Roman"/>
                <w:color w:val="auto"/>
                <w:spacing w:val="-10"/>
                <w:sz w:val="21"/>
                <w:szCs w:val="21"/>
                <w:lang w:val="en-US" w:eastAsia="zh-CN"/>
              </w:rPr>
              <w:t>5</w:t>
            </w:r>
          </w:p>
          <w:p w14:paraId="17BAC2C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pacing w:val="-10"/>
                <w:sz w:val="21"/>
                <w:szCs w:val="21"/>
                <w:lang w:val="en-US" w:eastAsia="zh-CN"/>
              </w:rPr>
            </w:pPr>
            <w:r>
              <w:rPr>
                <w:rFonts w:hint="eastAsia" w:ascii="Times New Roman" w:hAnsi="Times New Roman" w:eastAsia="仿宋" w:cs="Times New Roman"/>
                <w:color w:val="auto"/>
                <w:spacing w:val="-10"/>
                <w:sz w:val="21"/>
                <w:szCs w:val="21"/>
                <w:lang w:val="en-US" w:eastAsia="zh-CN"/>
              </w:rPr>
              <w:t>44</w:t>
            </w:r>
          </w:p>
        </w:tc>
        <w:tc>
          <w:tcPr>
            <w:tcW w:w="664" w:type="pct"/>
            <w:vAlign w:val="center"/>
          </w:tcPr>
          <w:p w14:paraId="12A54C29">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auto"/>
                <w:spacing w:val="-10"/>
                <w:sz w:val="21"/>
                <w:szCs w:val="21"/>
                <w:lang w:val="en-US" w:eastAsia="zh-CN"/>
              </w:rPr>
            </w:pPr>
            <w:r>
              <w:rPr>
                <w:rFonts w:hint="eastAsia" w:ascii="Times New Roman" w:hAnsi="Times New Roman" w:eastAsia="仿宋" w:cs="Times New Roman"/>
                <w:color w:val="auto"/>
                <w:spacing w:val="-10"/>
                <w:sz w:val="21"/>
                <w:szCs w:val="21"/>
                <w:lang w:val="en-US" w:eastAsia="zh-CN"/>
              </w:rPr>
              <w:t>46</w:t>
            </w:r>
          </w:p>
          <w:p w14:paraId="4FC4306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pacing w:val="-10"/>
                <w:sz w:val="21"/>
                <w:szCs w:val="21"/>
                <w:lang w:val="en-US" w:eastAsia="zh-CN"/>
              </w:rPr>
            </w:pPr>
            <w:r>
              <w:rPr>
                <w:rFonts w:hint="eastAsia" w:ascii="Times New Roman" w:hAnsi="Times New Roman" w:eastAsia="仿宋" w:cs="Times New Roman"/>
                <w:color w:val="auto"/>
                <w:spacing w:val="-10"/>
                <w:sz w:val="21"/>
                <w:szCs w:val="21"/>
                <w:lang w:val="en-US" w:eastAsia="zh-CN"/>
              </w:rPr>
              <w:t>45</w:t>
            </w:r>
          </w:p>
        </w:tc>
        <w:tc>
          <w:tcPr>
            <w:tcW w:w="668" w:type="pct"/>
            <w:vAlign w:val="center"/>
          </w:tcPr>
          <w:p w14:paraId="7253E576">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auto"/>
                <w:spacing w:val="-10"/>
                <w:sz w:val="21"/>
                <w:szCs w:val="21"/>
                <w:lang w:val="en-US" w:eastAsia="zh-CN"/>
              </w:rPr>
            </w:pPr>
            <w:r>
              <w:rPr>
                <w:rFonts w:hint="eastAsia" w:ascii="Times New Roman" w:hAnsi="Times New Roman" w:eastAsia="仿宋" w:cs="Times New Roman"/>
                <w:color w:val="auto"/>
                <w:spacing w:val="-10"/>
                <w:sz w:val="21"/>
                <w:szCs w:val="21"/>
                <w:lang w:val="en-US" w:eastAsia="zh-CN"/>
              </w:rPr>
              <w:t>46</w:t>
            </w:r>
          </w:p>
          <w:p w14:paraId="2F0A3B7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pacing w:val="-10"/>
                <w:sz w:val="21"/>
                <w:szCs w:val="21"/>
                <w:lang w:val="en-US" w:eastAsia="zh-CN"/>
              </w:rPr>
            </w:pPr>
            <w:r>
              <w:rPr>
                <w:rFonts w:hint="eastAsia" w:ascii="Times New Roman" w:hAnsi="Times New Roman" w:eastAsia="仿宋" w:cs="Times New Roman"/>
                <w:color w:val="auto"/>
                <w:spacing w:val="-10"/>
                <w:sz w:val="21"/>
                <w:szCs w:val="21"/>
                <w:lang w:val="en-US" w:eastAsia="zh-CN"/>
              </w:rPr>
              <w:t>45</w:t>
            </w:r>
          </w:p>
        </w:tc>
      </w:tr>
      <w:tr w14:paraId="1BA51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173" w:type="pct"/>
            <w:vMerge w:val="continue"/>
            <w:vAlign w:val="center"/>
          </w:tcPr>
          <w:p w14:paraId="0C9B77CD">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426" w:type="pct"/>
            <w:vMerge w:val="continue"/>
            <w:shd w:val="clear" w:color="auto" w:fill="auto"/>
            <w:vAlign w:val="center"/>
          </w:tcPr>
          <w:p w14:paraId="27AF01B1">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210" w:type="pct"/>
            <w:shd w:val="clear" w:color="auto" w:fill="auto"/>
            <w:vAlign w:val="center"/>
          </w:tcPr>
          <w:p w14:paraId="44E90D3E">
            <w:pPr>
              <w:pStyle w:val="16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25</w:t>
            </w:r>
          </w:p>
        </w:tc>
        <w:tc>
          <w:tcPr>
            <w:tcW w:w="1177" w:type="pct"/>
            <w:shd w:val="clear" w:color="auto" w:fill="auto"/>
            <w:vAlign w:val="center"/>
          </w:tcPr>
          <w:p w14:paraId="0703C2CF">
            <w:pPr>
              <w:keepNext w:val="0"/>
              <w:keepLines w:val="0"/>
              <w:pageBreakBefore w:val="0"/>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农业废弃物综合利用率</w:t>
            </w:r>
          </w:p>
          <w:p w14:paraId="3C1F5480">
            <w:pPr>
              <w:keepNext w:val="0"/>
              <w:keepLines w:val="0"/>
              <w:pageBreakBefore w:val="0"/>
              <w:kinsoku/>
              <w:wordWrap/>
              <w:overflowPunct/>
              <w:topLinePunct w:val="0"/>
              <w:autoSpaceDE/>
              <w:autoSpaceDN/>
              <w:bidi w:val="0"/>
              <w:adjustRightInd/>
              <w:snapToGrid/>
              <w:spacing w:line="240" w:lineRule="auto"/>
              <w:ind w:firstLine="210" w:firstLineChars="100"/>
              <w:jc w:val="left"/>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秸秆综合利用率</w:t>
            </w:r>
          </w:p>
          <w:p w14:paraId="3798510A">
            <w:pPr>
              <w:keepNext w:val="0"/>
              <w:keepLines w:val="0"/>
              <w:pageBreakBefore w:val="0"/>
              <w:kinsoku/>
              <w:wordWrap/>
              <w:overflowPunct/>
              <w:topLinePunct w:val="0"/>
              <w:autoSpaceDE/>
              <w:autoSpaceDN/>
              <w:bidi w:val="0"/>
              <w:adjustRightInd/>
              <w:snapToGrid/>
              <w:spacing w:line="240" w:lineRule="auto"/>
              <w:ind w:firstLine="210" w:firstLineChars="100"/>
              <w:jc w:val="left"/>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畜禽粪污综合利用率</w:t>
            </w:r>
          </w:p>
          <w:p w14:paraId="77C98F41">
            <w:pPr>
              <w:keepNext w:val="0"/>
              <w:keepLines w:val="0"/>
              <w:pageBreakBefore w:val="0"/>
              <w:kinsoku/>
              <w:wordWrap/>
              <w:overflowPunct/>
              <w:topLinePunct w:val="0"/>
              <w:autoSpaceDE/>
              <w:autoSpaceDN/>
              <w:bidi w:val="0"/>
              <w:adjustRightInd/>
              <w:snapToGrid/>
              <w:spacing w:line="240" w:lineRule="auto"/>
              <w:ind w:firstLine="210" w:firstLineChars="100"/>
              <w:jc w:val="left"/>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农膜回收利用率</w:t>
            </w:r>
          </w:p>
        </w:tc>
        <w:tc>
          <w:tcPr>
            <w:tcW w:w="334" w:type="pct"/>
            <w:shd w:val="clear" w:color="auto" w:fill="auto"/>
            <w:vAlign w:val="center"/>
          </w:tcPr>
          <w:p w14:paraId="5D7BCBB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764" w:type="pct"/>
            <w:vAlign w:val="center"/>
          </w:tcPr>
          <w:p w14:paraId="273DD5A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93.77</w:t>
            </w:r>
          </w:p>
          <w:p w14:paraId="0B5E57D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91.1</w:t>
            </w:r>
          </w:p>
          <w:p w14:paraId="043D0EB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84.44</w:t>
            </w:r>
          </w:p>
        </w:tc>
        <w:tc>
          <w:tcPr>
            <w:tcW w:w="580" w:type="pct"/>
            <w:vAlign w:val="center"/>
          </w:tcPr>
          <w:p w14:paraId="29704AC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≥95</w:t>
            </w:r>
          </w:p>
          <w:p w14:paraId="5E478F8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≥93</w:t>
            </w:r>
          </w:p>
          <w:p w14:paraId="4A31380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≥86</w:t>
            </w:r>
          </w:p>
        </w:tc>
        <w:tc>
          <w:tcPr>
            <w:tcW w:w="664" w:type="pct"/>
            <w:vAlign w:val="center"/>
          </w:tcPr>
          <w:p w14:paraId="762C68D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≥97</w:t>
            </w:r>
          </w:p>
          <w:p w14:paraId="1D1C862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≥95</w:t>
            </w:r>
          </w:p>
          <w:p w14:paraId="5E0A6DF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≥90</w:t>
            </w:r>
          </w:p>
        </w:tc>
        <w:tc>
          <w:tcPr>
            <w:tcW w:w="668" w:type="pct"/>
            <w:vAlign w:val="center"/>
          </w:tcPr>
          <w:p w14:paraId="09451AB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≥97</w:t>
            </w:r>
          </w:p>
          <w:p w14:paraId="4EFAC0C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≥95</w:t>
            </w:r>
          </w:p>
          <w:p w14:paraId="264BCB8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≥90</w:t>
            </w:r>
          </w:p>
        </w:tc>
      </w:tr>
      <w:tr w14:paraId="02AA7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173" w:type="pct"/>
            <w:vMerge w:val="continue"/>
            <w:vAlign w:val="center"/>
          </w:tcPr>
          <w:p w14:paraId="1335DE16">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426" w:type="pct"/>
            <w:shd w:val="clear" w:color="auto" w:fill="auto"/>
            <w:vAlign w:val="center"/>
          </w:tcPr>
          <w:p w14:paraId="573BB0E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（七）</w:t>
            </w:r>
          </w:p>
          <w:p w14:paraId="225D2E8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产业循环发展</w:t>
            </w:r>
          </w:p>
        </w:tc>
        <w:tc>
          <w:tcPr>
            <w:tcW w:w="210" w:type="pct"/>
            <w:shd w:val="clear" w:color="auto" w:fill="auto"/>
            <w:vAlign w:val="center"/>
          </w:tcPr>
          <w:p w14:paraId="65F70C7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26</w:t>
            </w:r>
          </w:p>
        </w:tc>
        <w:tc>
          <w:tcPr>
            <w:tcW w:w="1177" w:type="pct"/>
            <w:shd w:val="clear" w:color="auto" w:fill="auto"/>
            <w:vAlign w:val="center"/>
          </w:tcPr>
          <w:p w14:paraId="3937642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一般工业固体废物综合利用率提高幅度</w:t>
            </w:r>
          </w:p>
          <w:p w14:paraId="0EBF8E2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综合利用率</w:t>
            </w:r>
            <w:r>
              <w:rPr>
                <w:rFonts w:hint="eastAsia"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60%的地区</w:t>
            </w:r>
          </w:p>
        </w:tc>
        <w:tc>
          <w:tcPr>
            <w:tcW w:w="334" w:type="pct"/>
            <w:shd w:val="clear" w:color="auto" w:fill="auto"/>
            <w:vAlign w:val="center"/>
          </w:tcPr>
          <w:p w14:paraId="4417769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14:paraId="4F0CBD9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74.28</w:t>
            </w:r>
          </w:p>
        </w:tc>
        <w:tc>
          <w:tcPr>
            <w:tcW w:w="580" w:type="pct"/>
            <w:vAlign w:val="center"/>
          </w:tcPr>
          <w:p w14:paraId="4849916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保持稳定或持续改善</w:t>
            </w:r>
          </w:p>
        </w:tc>
        <w:tc>
          <w:tcPr>
            <w:tcW w:w="664" w:type="pct"/>
            <w:vAlign w:val="center"/>
          </w:tcPr>
          <w:p w14:paraId="6E014F4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保持稳定或持续改善</w:t>
            </w:r>
          </w:p>
        </w:tc>
        <w:tc>
          <w:tcPr>
            <w:tcW w:w="668" w:type="pct"/>
            <w:vAlign w:val="center"/>
          </w:tcPr>
          <w:p w14:paraId="4C1A552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保持稳定或持续改善</w:t>
            </w:r>
          </w:p>
        </w:tc>
      </w:tr>
      <w:tr w14:paraId="0B541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89" w:hRule="atLeast"/>
          <w:jc w:val="center"/>
        </w:trPr>
        <w:tc>
          <w:tcPr>
            <w:tcW w:w="173" w:type="pct"/>
            <w:vMerge w:val="restart"/>
            <w:vAlign w:val="center"/>
          </w:tcPr>
          <w:p w14:paraId="1440D55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生态生活</w:t>
            </w:r>
          </w:p>
        </w:tc>
        <w:tc>
          <w:tcPr>
            <w:tcW w:w="426" w:type="pct"/>
            <w:vMerge w:val="restart"/>
            <w:shd w:val="clear" w:color="auto" w:fill="auto"/>
            <w:vAlign w:val="center"/>
          </w:tcPr>
          <w:p w14:paraId="71F924C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（八）</w:t>
            </w:r>
          </w:p>
          <w:p w14:paraId="0E75C8B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人居环境改善</w:t>
            </w:r>
          </w:p>
        </w:tc>
        <w:tc>
          <w:tcPr>
            <w:tcW w:w="210" w:type="pct"/>
            <w:shd w:val="clear" w:color="auto" w:fill="auto"/>
            <w:vAlign w:val="center"/>
          </w:tcPr>
          <w:p w14:paraId="1250DDE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27</w:t>
            </w:r>
          </w:p>
        </w:tc>
        <w:tc>
          <w:tcPr>
            <w:tcW w:w="1177" w:type="pct"/>
            <w:shd w:val="clear" w:color="auto" w:fill="auto"/>
            <w:vAlign w:val="center"/>
          </w:tcPr>
          <w:p w14:paraId="0E8F3EA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集中式饮用水水源地水质优良比例</w:t>
            </w:r>
          </w:p>
        </w:tc>
        <w:tc>
          <w:tcPr>
            <w:tcW w:w="334" w:type="pct"/>
            <w:shd w:val="clear" w:color="auto" w:fill="auto"/>
            <w:vAlign w:val="center"/>
          </w:tcPr>
          <w:p w14:paraId="7708671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14:paraId="6D51F3A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100</w:t>
            </w:r>
          </w:p>
        </w:tc>
        <w:tc>
          <w:tcPr>
            <w:tcW w:w="580" w:type="pct"/>
            <w:vAlign w:val="center"/>
          </w:tcPr>
          <w:p w14:paraId="48FB3FF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100</w:t>
            </w:r>
          </w:p>
        </w:tc>
        <w:tc>
          <w:tcPr>
            <w:tcW w:w="664" w:type="pct"/>
            <w:vAlign w:val="center"/>
          </w:tcPr>
          <w:p w14:paraId="3E870B1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100</w:t>
            </w:r>
          </w:p>
        </w:tc>
        <w:tc>
          <w:tcPr>
            <w:tcW w:w="668" w:type="pct"/>
            <w:vAlign w:val="center"/>
          </w:tcPr>
          <w:p w14:paraId="679CECD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100</w:t>
            </w:r>
          </w:p>
        </w:tc>
      </w:tr>
      <w:tr w14:paraId="18B79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173" w:type="pct"/>
            <w:vMerge w:val="continue"/>
            <w:vAlign w:val="center"/>
          </w:tcPr>
          <w:p w14:paraId="16788FF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426" w:type="pct"/>
            <w:vMerge w:val="continue"/>
            <w:shd w:val="clear" w:color="auto" w:fill="auto"/>
            <w:vAlign w:val="center"/>
          </w:tcPr>
          <w:p w14:paraId="74A24A9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210" w:type="pct"/>
            <w:shd w:val="clear" w:color="auto" w:fill="auto"/>
            <w:vAlign w:val="center"/>
          </w:tcPr>
          <w:p w14:paraId="0D29F48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28</w:t>
            </w:r>
          </w:p>
        </w:tc>
        <w:tc>
          <w:tcPr>
            <w:tcW w:w="1177" w:type="pct"/>
            <w:shd w:val="clear" w:color="auto" w:fill="auto"/>
            <w:vAlign w:val="center"/>
          </w:tcPr>
          <w:p w14:paraId="781700D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村镇/农村饮用水水质合格率</w:t>
            </w:r>
          </w:p>
        </w:tc>
        <w:tc>
          <w:tcPr>
            <w:tcW w:w="334" w:type="pct"/>
            <w:shd w:val="clear" w:color="auto" w:fill="auto"/>
            <w:vAlign w:val="center"/>
          </w:tcPr>
          <w:p w14:paraId="3C90EB5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14:paraId="47A989E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86.16</w:t>
            </w:r>
          </w:p>
        </w:tc>
        <w:tc>
          <w:tcPr>
            <w:tcW w:w="1626" w:type="dxa"/>
            <w:vAlign w:val="center"/>
          </w:tcPr>
          <w:p w14:paraId="6D6255E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86.16</w:t>
            </w:r>
          </w:p>
        </w:tc>
        <w:tc>
          <w:tcPr>
            <w:tcW w:w="1861" w:type="dxa"/>
            <w:vAlign w:val="center"/>
          </w:tcPr>
          <w:p w14:paraId="120C2D8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95</w:t>
            </w:r>
          </w:p>
        </w:tc>
        <w:tc>
          <w:tcPr>
            <w:tcW w:w="1873" w:type="dxa"/>
            <w:vAlign w:val="center"/>
          </w:tcPr>
          <w:p w14:paraId="444AAEA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100</w:t>
            </w:r>
          </w:p>
        </w:tc>
      </w:tr>
      <w:tr w14:paraId="7F68E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173" w:type="pct"/>
            <w:vMerge w:val="continue"/>
            <w:vAlign w:val="center"/>
          </w:tcPr>
          <w:p w14:paraId="4B5DC24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426" w:type="pct"/>
            <w:vMerge w:val="continue"/>
            <w:shd w:val="clear" w:color="auto" w:fill="auto"/>
            <w:vAlign w:val="center"/>
          </w:tcPr>
          <w:p w14:paraId="762261E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210" w:type="pct"/>
            <w:shd w:val="clear" w:color="auto" w:fill="auto"/>
            <w:vAlign w:val="center"/>
          </w:tcPr>
          <w:p w14:paraId="1A29CDD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29</w:t>
            </w:r>
          </w:p>
        </w:tc>
        <w:tc>
          <w:tcPr>
            <w:tcW w:w="1177" w:type="pct"/>
            <w:shd w:val="clear" w:color="auto" w:fill="auto"/>
            <w:vAlign w:val="center"/>
          </w:tcPr>
          <w:p w14:paraId="4574049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城镇污水处理率</w:t>
            </w:r>
          </w:p>
        </w:tc>
        <w:tc>
          <w:tcPr>
            <w:tcW w:w="334" w:type="pct"/>
            <w:shd w:val="clear" w:color="auto" w:fill="auto"/>
            <w:vAlign w:val="center"/>
          </w:tcPr>
          <w:p w14:paraId="2B0FAB5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14:paraId="038FB54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92.7</w:t>
            </w:r>
          </w:p>
        </w:tc>
        <w:tc>
          <w:tcPr>
            <w:tcW w:w="1626" w:type="dxa"/>
            <w:vAlign w:val="center"/>
          </w:tcPr>
          <w:p w14:paraId="5B533B5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92.7</w:t>
            </w:r>
          </w:p>
        </w:tc>
        <w:tc>
          <w:tcPr>
            <w:tcW w:w="1861" w:type="dxa"/>
            <w:vAlign w:val="center"/>
          </w:tcPr>
          <w:p w14:paraId="11D167E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≥95</w:t>
            </w:r>
          </w:p>
        </w:tc>
        <w:tc>
          <w:tcPr>
            <w:tcW w:w="1873" w:type="dxa"/>
            <w:vAlign w:val="center"/>
          </w:tcPr>
          <w:p w14:paraId="1A78C77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≥97</w:t>
            </w:r>
          </w:p>
        </w:tc>
      </w:tr>
      <w:tr w14:paraId="36315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173" w:type="pct"/>
            <w:vMerge w:val="continue"/>
            <w:vAlign w:val="center"/>
          </w:tcPr>
          <w:p w14:paraId="546E7BE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426" w:type="pct"/>
            <w:vMerge w:val="continue"/>
            <w:shd w:val="clear" w:color="auto" w:fill="auto"/>
            <w:vAlign w:val="center"/>
          </w:tcPr>
          <w:p w14:paraId="729F1A3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210" w:type="pct"/>
            <w:shd w:val="clear" w:color="auto" w:fill="auto"/>
            <w:vAlign w:val="center"/>
          </w:tcPr>
          <w:p w14:paraId="579D4B2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30</w:t>
            </w:r>
          </w:p>
        </w:tc>
        <w:tc>
          <w:tcPr>
            <w:tcW w:w="1177" w:type="pct"/>
            <w:shd w:val="clear" w:color="auto" w:fill="auto"/>
            <w:vAlign w:val="center"/>
          </w:tcPr>
          <w:p w14:paraId="4B0C8D9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农村生活污水治理率</w:t>
            </w:r>
          </w:p>
        </w:tc>
        <w:tc>
          <w:tcPr>
            <w:tcW w:w="334" w:type="pct"/>
            <w:shd w:val="clear" w:color="auto" w:fill="auto"/>
            <w:vAlign w:val="center"/>
          </w:tcPr>
          <w:p w14:paraId="1DDFD1C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14:paraId="2E44961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42.7</w:t>
            </w:r>
          </w:p>
        </w:tc>
        <w:tc>
          <w:tcPr>
            <w:tcW w:w="580" w:type="pct"/>
            <w:vAlign w:val="center"/>
          </w:tcPr>
          <w:p w14:paraId="614BE99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w:t>
            </w:r>
            <w:r>
              <w:rPr>
                <w:rFonts w:hint="eastAsia" w:ascii="Times New Roman" w:hAnsi="Times New Roman" w:eastAsia="仿宋" w:cs="Times New Roman"/>
                <w:color w:val="auto"/>
                <w:sz w:val="21"/>
                <w:szCs w:val="21"/>
                <w:lang w:val="en-US" w:eastAsia="zh-CN"/>
              </w:rPr>
              <w:t>50</w:t>
            </w:r>
          </w:p>
        </w:tc>
        <w:tc>
          <w:tcPr>
            <w:tcW w:w="664" w:type="pct"/>
            <w:vAlign w:val="center"/>
          </w:tcPr>
          <w:p w14:paraId="02C259A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w:t>
            </w:r>
            <w:r>
              <w:rPr>
                <w:rFonts w:hint="eastAsia" w:ascii="Times New Roman" w:hAnsi="Times New Roman" w:eastAsia="仿宋" w:cs="Times New Roman"/>
                <w:color w:val="auto"/>
                <w:sz w:val="21"/>
                <w:szCs w:val="21"/>
                <w:lang w:val="en-US" w:eastAsia="zh-CN"/>
              </w:rPr>
              <w:t>53</w:t>
            </w:r>
          </w:p>
        </w:tc>
        <w:tc>
          <w:tcPr>
            <w:tcW w:w="668" w:type="pct"/>
            <w:vAlign w:val="center"/>
          </w:tcPr>
          <w:p w14:paraId="50FCEE8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w:t>
            </w:r>
            <w:r>
              <w:rPr>
                <w:rFonts w:hint="eastAsia" w:ascii="Times New Roman" w:hAnsi="Times New Roman" w:eastAsia="仿宋" w:cs="Times New Roman"/>
                <w:color w:val="auto"/>
                <w:sz w:val="21"/>
                <w:szCs w:val="21"/>
                <w:lang w:val="en-US" w:eastAsia="zh-CN"/>
              </w:rPr>
              <w:t>55</w:t>
            </w:r>
          </w:p>
        </w:tc>
      </w:tr>
      <w:tr w14:paraId="030CE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173" w:type="pct"/>
            <w:vMerge w:val="continue"/>
            <w:vAlign w:val="center"/>
          </w:tcPr>
          <w:p w14:paraId="62969AA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426" w:type="pct"/>
            <w:vMerge w:val="continue"/>
            <w:shd w:val="clear" w:color="auto" w:fill="auto"/>
            <w:vAlign w:val="center"/>
          </w:tcPr>
          <w:p w14:paraId="0BA495F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210" w:type="pct"/>
            <w:shd w:val="clear" w:color="auto" w:fill="auto"/>
            <w:vAlign w:val="center"/>
          </w:tcPr>
          <w:p w14:paraId="574D5D1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31</w:t>
            </w:r>
          </w:p>
        </w:tc>
        <w:tc>
          <w:tcPr>
            <w:tcW w:w="1177" w:type="pct"/>
            <w:shd w:val="clear" w:color="auto" w:fill="auto"/>
            <w:vAlign w:val="center"/>
          </w:tcPr>
          <w:p w14:paraId="7ED60AA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城镇生活垃圾无害化处理率</w:t>
            </w:r>
          </w:p>
        </w:tc>
        <w:tc>
          <w:tcPr>
            <w:tcW w:w="334" w:type="pct"/>
            <w:shd w:val="clear" w:color="auto" w:fill="auto"/>
            <w:vAlign w:val="center"/>
          </w:tcPr>
          <w:p w14:paraId="3B0B44F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14:paraId="7855563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92.5</w:t>
            </w:r>
          </w:p>
        </w:tc>
        <w:tc>
          <w:tcPr>
            <w:tcW w:w="1626" w:type="dxa"/>
            <w:vAlign w:val="center"/>
          </w:tcPr>
          <w:p w14:paraId="7D97CA7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92.5</w:t>
            </w:r>
          </w:p>
        </w:tc>
        <w:tc>
          <w:tcPr>
            <w:tcW w:w="1861" w:type="dxa"/>
            <w:vAlign w:val="center"/>
          </w:tcPr>
          <w:p w14:paraId="48CF9AF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95</w:t>
            </w:r>
          </w:p>
        </w:tc>
        <w:tc>
          <w:tcPr>
            <w:tcW w:w="1873" w:type="dxa"/>
            <w:vAlign w:val="center"/>
          </w:tcPr>
          <w:p w14:paraId="52DF82C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97</w:t>
            </w:r>
          </w:p>
        </w:tc>
      </w:tr>
      <w:tr w14:paraId="5EA3A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173" w:type="pct"/>
            <w:vMerge w:val="continue"/>
            <w:vAlign w:val="center"/>
          </w:tcPr>
          <w:p w14:paraId="73692FD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426" w:type="pct"/>
            <w:vMerge w:val="continue"/>
            <w:shd w:val="clear" w:color="auto" w:fill="auto"/>
            <w:vAlign w:val="center"/>
          </w:tcPr>
          <w:p w14:paraId="4754434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210" w:type="pct"/>
            <w:shd w:val="clear" w:color="auto" w:fill="auto"/>
            <w:vAlign w:val="center"/>
          </w:tcPr>
          <w:p w14:paraId="7208CC9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32</w:t>
            </w:r>
          </w:p>
        </w:tc>
        <w:tc>
          <w:tcPr>
            <w:tcW w:w="1177" w:type="pct"/>
            <w:shd w:val="clear" w:color="auto" w:fill="auto"/>
            <w:vAlign w:val="center"/>
          </w:tcPr>
          <w:p w14:paraId="5CE2D80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农村生活垃圾无害化处理村占比</w:t>
            </w:r>
          </w:p>
        </w:tc>
        <w:tc>
          <w:tcPr>
            <w:tcW w:w="334" w:type="pct"/>
            <w:shd w:val="clear" w:color="auto" w:fill="auto"/>
            <w:vAlign w:val="center"/>
          </w:tcPr>
          <w:p w14:paraId="1DBEF30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14:paraId="72D1B03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83.5</w:t>
            </w:r>
          </w:p>
        </w:tc>
        <w:tc>
          <w:tcPr>
            <w:tcW w:w="580" w:type="pct"/>
            <w:vAlign w:val="center"/>
          </w:tcPr>
          <w:p w14:paraId="2B17E36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84</w:t>
            </w:r>
          </w:p>
        </w:tc>
        <w:tc>
          <w:tcPr>
            <w:tcW w:w="664" w:type="pct"/>
            <w:vAlign w:val="center"/>
          </w:tcPr>
          <w:p w14:paraId="7629E54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85</w:t>
            </w:r>
          </w:p>
        </w:tc>
        <w:tc>
          <w:tcPr>
            <w:tcW w:w="668" w:type="pct"/>
            <w:vAlign w:val="center"/>
          </w:tcPr>
          <w:p w14:paraId="120055B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85</w:t>
            </w:r>
          </w:p>
        </w:tc>
      </w:tr>
      <w:tr w14:paraId="3CA92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878" w:hRule="atLeast"/>
          <w:jc w:val="center"/>
        </w:trPr>
        <w:tc>
          <w:tcPr>
            <w:tcW w:w="173" w:type="pct"/>
            <w:vMerge w:val="continue"/>
            <w:vAlign w:val="center"/>
          </w:tcPr>
          <w:p w14:paraId="6558475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426" w:type="pct"/>
            <w:vMerge w:val="continue"/>
            <w:vAlign w:val="center"/>
          </w:tcPr>
          <w:p w14:paraId="0EC4E98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210" w:type="pct"/>
            <w:vAlign w:val="center"/>
          </w:tcPr>
          <w:p w14:paraId="52A7E35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33</w:t>
            </w:r>
          </w:p>
        </w:tc>
        <w:tc>
          <w:tcPr>
            <w:tcW w:w="1177" w:type="pct"/>
            <w:vAlign w:val="center"/>
          </w:tcPr>
          <w:p w14:paraId="7A27CF1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农村无害化卫生厕所普及率</w:t>
            </w:r>
          </w:p>
        </w:tc>
        <w:tc>
          <w:tcPr>
            <w:tcW w:w="334" w:type="pct"/>
            <w:vAlign w:val="center"/>
          </w:tcPr>
          <w:p w14:paraId="0D8CC68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14:paraId="4C3F873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完成上级下达的行政村所在地农村无害化卫生户厕</w:t>
            </w:r>
            <w:r>
              <w:rPr>
                <w:rFonts w:hint="eastAsia" w:ascii="Times New Roman" w:hAnsi="Times New Roman" w:eastAsia="仿宋" w:cs="Times New Roman"/>
                <w:color w:val="auto"/>
                <w:sz w:val="21"/>
                <w:szCs w:val="21"/>
                <w:lang w:val="en-US" w:eastAsia="zh-CN"/>
              </w:rPr>
              <w:t>1226</w:t>
            </w:r>
            <w:r>
              <w:rPr>
                <w:rFonts w:hint="default" w:ascii="Times New Roman" w:hAnsi="Times New Roman" w:eastAsia="仿宋" w:cs="Times New Roman"/>
                <w:color w:val="auto"/>
                <w:sz w:val="21"/>
                <w:szCs w:val="21"/>
              </w:rPr>
              <w:t>座</w:t>
            </w:r>
          </w:p>
        </w:tc>
        <w:tc>
          <w:tcPr>
            <w:tcW w:w="580" w:type="pct"/>
            <w:vAlign w:val="center"/>
          </w:tcPr>
          <w:p w14:paraId="10BA695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完成上级规定的考核任务</w:t>
            </w:r>
          </w:p>
        </w:tc>
        <w:tc>
          <w:tcPr>
            <w:tcW w:w="664" w:type="pct"/>
            <w:vAlign w:val="center"/>
          </w:tcPr>
          <w:p w14:paraId="2917B95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完成上级规定的考核任务</w:t>
            </w:r>
          </w:p>
        </w:tc>
        <w:tc>
          <w:tcPr>
            <w:tcW w:w="668" w:type="pct"/>
            <w:vAlign w:val="center"/>
          </w:tcPr>
          <w:p w14:paraId="26E35D2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完成上级规定的考核任务</w:t>
            </w:r>
          </w:p>
        </w:tc>
      </w:tr>
      <w:tr w14:paraId="06CF3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173" w:type="pct"/>
            <w:vMerge w:val="restart"/>
            <w:vAlign w:val="center"/>
          </w:tcPr>
          <w:p w14:paraId="322D0AF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生态生活</w:t>
            </w:r>
          </w:p>
        </w:tc>
        <w:tc>
          <w:tcPr>
            <w:tcW w:w="426" w:type="pct"/>
            <w:vMerge w:val="restart"/>
            <w:vAlign w:val="center"/>
          </w:tcPr>
          <w:p w14:paraId="5D7DDED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（九）</w:t>
            </w:r>
          </w:p>
          <w:p w14:paraId="38974DF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生活</w:t>
            </w:r>
          </w:p>
          <w:p w14:paraId="4F0570E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方式</w:t>
            </w:r>
          </w:p>
          <w:p w14:paraId="4B22805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绿色化</w:t>
            </w:r>
          </w:p>
        </w:tc>
        <w:tc>
          <w:tcPr>
            <w:tcW w:w="210" w:type="pct"/>
            <w:vAlign w:val="center"/>
          </w:tcPr>
          <w:p w14:paraId="1DD15ED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34</w:t>
            </w:r>
          </w:p>
        </w:tc>
        <w:tc>
          <w:tcPr>
            <w:tcW w:w="1177" w:type="pct"/>
            <w:vAlign w:val="center"/>
          </w:tcPr>
          <w:p w14:paraId="1E91C3E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城镇新建绿色建筑比例</w:t>
            </w:r>
          </w:p>
        </w:tc>
        <w:tc>
          <w:tcPr>
            <w:tcW w:w="334" w:type="pct"/>
            <w:vAlign w:val="center"/>
          </w:tcPr>
          <w:p w14:paraId="1F7323E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14:paraId="24B986D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98.62</w:t>
            </w:r>
          </w:p>
        </w:tc>
        <w:tc>
          <w:tcPr>
            <w:tcW w:w="580" w:type="pct"/>
            <w:vAlign w:val="center"/>
          </w:tcPr>
          <w:p w14:paraId="0C76C89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FF0000"/>
                <w:sz w:val="21"/>
                <w:szCs w:val="21"/>
              </w:rPr>
            </w:pPr>
            <w:r>
              <w:rPr>
                <w:rFonts w:hint="default" w:ascii="Times New Roman" w:hAnsi="Times New Roman" w:eastAsia="仿宋" w:cs="Times New Roman"/>
                <w:color w:val="auto"/>
                <w:sz w:val="21"/>
                <w:szCs w:val="21"/>
              </w:rPr>
              <w:t>≥99</w:t>
            </w:r>
          </w:p>
        </w:tc>
        <w:tc>
          <w:tcPr>
            <w:tcW w:w="664" w:type="pct"/>
            <w:vAlign w:val="center"/>
          </w:tcPr>
          <w:p w14:paraId="3C5DEA4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FF0000"/>
                <w:sz w:val="21"/>
                <w:szCs w:val="21"/>
              </w:rPr>
            </w:pPr>
            <w:r>
              <w:rPr>
                <w:rFonts w:hint="default" w:ascii="Times New Roman" w:hAnsi="Times New Roman" w:eastAsia="仿宋" w:cs="Times New Roman"/>
                <w:color w:val="auto"/>
                <w:sz w:val="21"/>
                <w:szCs w:val="21"/>
              </w:rPr>
              <w:t>≥99</w:t>
            </w:r>
          </w:p>
        </w:tc>
        <w:tc>
          <w:tcPr>
            <w:tcW w:w="668" w:type="pct"/>
            <w:vAlign w:val="center"/>
          </w:tcPr>
          <w:p w14:paraId="23CDE61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FF0000"/>
                <w:sz w:val="21"/>
                <w:szCs w:val="21"/>
              </w:rPr>
            </w:pPr>
            <w:r>
              <w:rPr>
                <w:rFonts w:hint="default" w:ascii="Times New Roman" w:hAnsi="Times New Roman" w:eastAsia="仿宋" w:cs="Times New Roman"/>
                <w:color w:val="auto"/>
                <w:sz w:val="21"/>
                <w:szCs w:val="21"/>
              </w:rPr>
              <w:t>≥99</w:t>
            </w:r>
          </w:p>
        </w:tc>
      </w:tr>
      <w:tr w14:paraId="74064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37" w:hRule="atLeast"/>
          <w:jc w:val="center"/>
        </w:trPr>
        <w:tc>
          <w:tcPr>
            <w:tcW w:w="173" w:type="pct"/>
            <w:vMerge w:val="continue"/>
            <w:vAlign w:val="center"/>
          </w:tcPr>
          <w:p w14:paraId="5D9F2A1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426" w:type="pct"/>
            <w:vMerge w:val="continue"/>
            <w:vAlign w:val="center"/>
          </w:tcPr>
          <w:p w14:paraId="0ADE4A8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210" w:type="pct"/>
            <w:shd w:val="clear" w:color="auto" w:fill="auto"/>
            <w:vAlign w:val="center"/>
          </w:tcPr>
          <w:p w14:paraId="35C1CCA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35</w:t>
            </w:r>
          </w:p>
        </w:tc>
        <w:tc>
          <w:tcPr>
            <w:tcW w:w="1177" w:type="pct"/>
            <w:shd w:val="clear" w:color="auto" w:fill="auto"/>
            <w:vAlign w:val="center"/>
          </w:tcPr>
          <w:p w14:paraId="41941BF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城镇生活垃圾分类减量化行动</w:t>
            </w:r>
          </w:p>
        </w:tc>
        <w:tc>
          <w:tcPr>
            <w:tcW w:w="334" w:type="pct"/>
            <w:shd w:val="clear" w:color="auto" w:fill="auto"/>
            <w:vAlign w:val="center"/>
          </w:tcPr>
          <w:p w14:paraId="1E043B7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14:paraId="62B0439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印发《新平县城市生活垃圾分类实施方案》（新政办发〔2020〕28号），开展分类试点工作</w:t>
            </w:r>
          </w:p>
        </w:tc>
        <w:tc>
          <w:tcPr>
            <w:tcW w:w="580" w:type="pct"/>
            <w:vAlign w:val="center"/>
          </w:tcPr>
          <w:p w14:paraId="73A38C8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实施</w:t>
            </w:r>
          </w:p>
        </w:tc>
        <w:tc>
          <w:tcPr>
            <w:tcW w:w="664" w:type="pct"/>
            <w:vAlign w:val="center"/>
          </w:tcPr>
          <w:p w14:paraId="5E14B9C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实施</w:t>
            </w:r>
          </w:p>
        </w:tc>
        <w:tc>
          <w:tcPr>
            <w:tcW w:w="668" w:type="pct"/>
            <w:vAlign w:val="center"/>
          </w:tcPr>
          <w:p w14:paraId="4037457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实施</w:t>
            </w:r>
          </w:p>
        </w:tc>
      </w:tr>
      <w:tr w14:paraId="18512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173" w:type="pct"/>
            <w:vMerge w:val="continue"/>
            <w:vAlign w:val="center"/>
          </w:tcPr>
          <w:p w14:paraId="75DD0F5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426" w:type="pct"/>
            <w:vMerge w:val="continue"/>
            <w:vAlign w:val="center"/>
          </w:tcPr>
          <w:p w14:paraId="40B2779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210" w:type="pct"/>
            <w:vAlign w:val="center"/>
          </w:tcPr>
          <w:p w14:paraId="6188531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36</w:t>
            </w:r>
          </w:p>
        </w:tc>
        <w:tc>
          <w:tcPr>
            <w:tcW w:w="1177" w:type="pct"/>
            <w:vAlign w:val="center"/>
          </w:tcPr>
          <w:p w14:paraId="34E60A6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政府绿色采购比例</w:t>
            </w:r>
          </w:p>
        </w:tc>
        <w:tc>
          <w:tcPr>
            <w:tcW w:w="334" w:type="pct"/>
            <w:vAlign w:val="center"/>
          </w:tcPr>
          <w:p w14:paraId="7FF744E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14:paraId="73E3DF2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99.89</w:t>
            </w:r>
          </w:p>
        </w:tc>
        <w:tc>
          <w:tcPr>
            <w:tcW w:w="580" w:type="pct"/>
            <w:vAlign w:val="center"/>
          </w:tcPr>
          <w:p w14:paraId="17EDB552">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≥99.</w:t>
            </w:r>
            <w:r>
              <w:rPr>
                <w:rFonts w:hint="eastAsia" w:ascii="Times New Roman" w:hAnsi="Times New Roman" w:eastAsia="仿宋" w:cs="Times New Roman"/>
                <w:color w:val="auto"/>
                <w:sz w:val="21"/>
                <w:szCs w:val="21"/>
                <w:lang w:val="en-US" w:eastAsia="zh-CN"/>
              </w:rPr>
              <w:t>9</w:t>
            </w:r>
          </w:p>
        </w:tc>
        <w:tc>
          <w:tcPr>
            <w:tcW w:w="664" w:type="pct"/>
            <w:vAlign w:val="center"/>
          </w:tcPr>
          <w:p w14:paraId="214FD01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≥99.</w:t>
            </w:r>
            <w:r>
              <w:rPr>
                <w:rFonts w:hint="eastAsia" w:ascii="Times New Roman" w:hAnsi="Times New Roman" w:eastAsia="仿宋" w:cs="Times New Roman"/>
                <w:color w:val="auto"/>
                <w:sz w:val="21"/>
                <w:szCs w:val="21"/>
                <w:lang w:val="en-US" w:eastAsia="zh-CN"/>
              </w:rPr>
              <w:t>9</w:t>
            </w:r>
          </w:p>
        </w:tc>
        <w:tc>
          <w:tcPr>
            <w:tcW w:w="668" w:type="pct"/>
            <w:vAlign w:val="center"/>
          </w:tcPr>
          <w:p w14:paraId="0BAFFC7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≥99.</w:t>
            </w:r>
            <w:r>
              <w:rPr>
                <w:rFonts w:hint="eastAsia" w:ascii="Times New Roman" w:hAnsi="Times New Roman" w:eastAsia="仿宋" w:cs="Times New Roman"/>
                <w:color w:val="auto"/>
                <w:sz w:val="21"/>
                <w:szCs w:val="21"/>
                <w:lang w:val="en-US" w:eastAsia="zh-CN"/>
              </w:rPr>
              <w:t>9</w:t>
            </w:r>
          </w:p>
        </w:tc>
      </w:tr>
      <w:tr w14:paraId="3CF21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01" w:hRule="atLeast"/>
          <w:jc w:val="center"/>
        </w:trPr>
        <w:tc>
          <w:tcPr>
            <w:tcW w:w="173" w:type="pct"/>
            <w:vMerge w:val="restart"/>
            <w:vAlign w:val="center"/>
          </w:tcPr>
          <w:p w14:paraId="7D1A601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生态文化</w:t>
            </w:r>
          </w:p>
        </w:tc>
        <w:tc>
          <w:tcPr>
            <w:tcW w:w="426" w:type="pct"/>
            <w:vMerge w:val="restart"/>
            <w:vAlign w:val="center"/>
          </w:tcPr>
          <w:p w14:paraId="17C36EC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（十）</w:t>
            </w:r>
          </w:p>
          <w:p w14:paraId="620B18A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观念意识普及</w:t>
            </w:r>
          </w:p>
        </w:tc>
        <w:tc>
          <w:tcPr>
            <w:tcW w:w="210" w:type="pct"/>
            <w:vAlign w:val="center"/>
          </w:tcPr>
          <w:p w14:paraId="1B8EF6C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37</w:t>
            </w:r>
          </w:p>
        </w:tc>
        <w:tc>
          <w:tcPr>
            <w:tcW w:w="1177" w:type="pct"/>
            <w:vAlign w:val="center"/>
          </w:tcPr>
          <w:p w14:paraId="27B74A9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党政领导干部参加生态文明培训的人数比例</w:t>
            </w:r>
          </w:p>
        </w:tc>
        <w:tc>
          <w:tcPr>
            <w:tcW w:w="334" w:type="pct"/>
            <w:vAlign w:val="center"/>
          </w:tcPr>
          <w:p w14:paraId="2CE1442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14:paraId="12D537F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100</w:t>
            </w:r>
          </w:p>
        </w:tc>
        <w:tc>
          <w:tcPr>
            <w:tcW w:w="580" w:type="pct"/>
            <w:vAlign w:val="center"/>
          </w:tcPr>
          <w:p w14:paraId="3FDAA36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100</w:t>
            </w:r>
          </w:p>
        </w:tc>
        <w:tc>
          <w:tcPr>
            <w:tcW w:w="664" w:type="pct"/>
            <w:vAlign w:val="center"/>
          </w:tcPr>
          <w:p w14:paraId="2B43BFF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100</w:t>
            </w:r>
          </w:p>
        </w:tc>
        <w:tc>
          <w:tcPr>
            <w:tcW w:w="668" w:type="pct"/>
            <w:vAlign w:val="center"/>
          </w:tcPr>
          <w:p w14:paraId="084906B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100</w:t>
            </w:r>
          </w:p>
        </w:tc>
      </w:tr>
      <w:tr w14:paraId="03157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173" w:type="pct"/>
            <w:vMerge w:val="continue"/>
            <w:vAlign w:val="center"/>
          </w:tcPr>
          <w:p w14:paraId="116F4DE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426" w:type="pct"/>
            <w:vMerge w:val="continue"/>
            <w:vAlign w:val="center"/>
          </w:tcPr>
          <w:p w14:paraId="185A52A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210" w:type="pct"/>
            <w:vAlign w:val="center"/>
          </w:tcPr>
          <w:p w14:paraId="75E7BB7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38</w:t>
            </w:r>
          </w:p>
        </w:tc>
        <w:tc>
          <w:tcPr>
            <w:tcW w:w="1177" w:type="pct"/>
            <w:vAlign w:val="center"/>
          </w:tcPr>
          <w:p w14:paraId="40FFFA3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公众对生态文明建设的满意度</w:t>
            </w:r>
          </w:p>
        </w:tc>
        <w:tc>
          <w:tcPr>
            <w:tcW w:w="334" w:type="pct"/>
            <w:vAlign w:val="center"/>
          </w:tcPr>
          <w:p w14:paraId="72AD753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14:paraId="5A632AE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94.59</w:t>
            </w:r>
          </w:p>
        </w:tc>
        <w:tc>
          <w:tcPr>
            <w:tcW w:w="580" w:type="pct"/>
            <w:vAlign w:val="center"/>
          </w:tcPr>
          <w:p w14:paraId="250F25B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w:t>
            </w:r>
            <w:r>
              <w:rPr>
                <w:rFonts w:hint="eastAsia" w:ascii="Times New Roman" w:hAnsi="Times New Roman" w:eastAsia="仿宋" w:cs="Times New Roman"/>
                <w:color w:val="auto"/>
                <w:sz w:val="21"/>
                <w:szCs w:val="21"/>
                <w:lang w:val="en-US" w:eastAsia="zh-CN"/>
              </w:rPr>
              <w:t>95</w:t>
            </w:r>
          </w:p>
        </w:tc>
        <w:tc>
          <w:tcPr>
            <w:tcW w:w="664" w:type="pct"/>
            <w:vAlign w:val="center"/>
          </w:tcPr>
          <w:p w14:paraId="3FB2D925">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≥9</w:t>
            </w:r>
            <w:r>
              <w:rPr>
                <w:rFonts w:hint="eastAsia" w:ascii="Times New Roman" w:hAnsi="Times New Roman" w:eastAsia="仿宋" w:cs="Times New Roman"/>
                <w:color w:val="auto"/>
                <w:sz w:val="21"/>
                <w:szCs w:val="21"/>
                <w:lang w:val="en-US" w:eastAsia="zh-CN"/>
              </w:rPr>
              <w:t>6</w:t>
            </w:r>
          </w:p>
        </w:tc>
        <w:tc>
          <w:tcPr>
            <w:tcW w:w="668" w:type="pct"/>
            <w:vAlign w:val="center"/>
          </w:tcPr>
          <w:p w14:paraId="0FEF7109">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rPr>
              <w:t>9</w:t>
            </w:r>
            <w:r>
              <w:rPr>
                <w:rFonts w:hint="eastAsia" w:ascii="Times New Roman" w:hAnsi="Times New Roman" w:eastAsia="仿宋" w:cs="Times New Roman"/>
                <w:color w:val="auto"/>
                <w:sz w:val="21"/>
                <w:szCs w:val="21"/>
                <w:lang w:val="en-US" w:eastAsia="zh-CN"/>
              </w:rPr>
              <w:t>6</w:t>
            </w:r>
          </w:p>
        </w:tc>
      </w:tr>
      <w:tr w14:paraId="21A5E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173" w:type="pct"/>
            <w:vMerge w:val="continue"/>
            <w:vAlign w:val="center"/>
          </w:tcPr>
          <w:p w14:paraId="763B9BD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426" w:type="pct"/>
            <w:vMerge w:val="continue"/>
            <w:vAlign w:val="center"/>
          </w:tcPr>
          <w:p w14:paraId="35E7B54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210" w:type="pct"/>
            <w:vAlign w:val="center"/>
          </w:tcPr>
          <w:p w14:paraId="3488F87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39</w:t>
            </w:r>
          </w:p>
        </w:tc>
        <w:tc>
          <w:tcPr>
            <w:tcW w:w="1177" w:type="pct"/>
            <w:vAlign w:val="center"/>
          </w:tcPr>
          <w:p w14:paraId="720C6DA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公众对生态文明建设的参与度</w:t>
            </w:r>
          </w:p>
        </w:tc>
        <w:tc>
          <w:tcPr>
            <w:tcW w:w="334" w:type="pct"/>
            <w:vAlign w:val="center"/>
          </w:tcPr>
          <w:p w14:paraId="1216F45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14:paraId="609AEA4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92.13</w:t>
            </w:r>
          </w:p>
        </w:tc>
        <w:tc>
          <w:tcPr>
            <w:tcW w:w="580" w:type="pct"/>
            <w:vAlign w:val="center"/>
          </w:tcPr>
          <w:p w14:paraId="7DDB3DC5">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≥9</w:t>
            </w:r>
            <w:r>
              <w:rPr>
                <w:rFonts w:hint="eastAsia" w:ascii="Times New Roman" w:hAnsi="Times New Roman" w:eastAsia="仿宋" w:cs="Times New Roman"/>
                <w:color w:val="auto"/>
                <w:sz w:val="21"/>
                <w:szCs w:val="21"/>
                <w:lang w:val="en-US" w:eastAsia="zh-CN"/>
              </w:rPr>
              <w:t>3</w:t>
            </w:r>
          </w:p>
        </w:tc>
        <w:tc>
          <w:tcPr>
            <w:tcW w:w="664" w:type="pct"/>
            <w:vAlign w:val="center"/>
          </w:tcPr>
          <w:p w14:paraId="206BE9B1">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≥9</w:t>
            </w:r>
            <w:r>
              <w:rPr>
                <w:rFonts w:hint="eastAsia" w:ascii="Times New Roman" w:hAnsi="Times New Roman" w:eastAsia="仿宋" w:cs="Times New Roman"/>
                <w:color w:val="auto"/>
                <w:sz w:val="21"/>
                <w:szCs w:val="21"/>
                <w:lang w:val="en-US" w:eastAsia="zh-CN"/>
              </w:rPr>
              <w:t>4</w:t>
            </w:r>
          </w:p>
        </w:tc>
        <w:tc>
          <w:tcPr>
            <w:tcW w:w="668" w:type="pct"/>
            <w:vAlign w:val="center"/>
          </w:tcPr>
          <w:p w14:paraId="0F229DE2">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≥9</w:t>
            </w:r>
            <w:r>
              <w:rPr>
                <w:rFonts w:hint="eastAsia" w:ascii="Times New Roman" w:hAnsi="Times New Roman" w:eastAsia="仿宋" w:cs="Times New Roman"/>
                <w:color w:val="auto"/>
                <w:sz w:val="21"/>
                <w:szCs w:val="21"/>
                <w:lang w:val="en-US" w:eastAsia="zh-CN"/>
              </w:rPr>
              <w:t>5</w:t>
            </w:r>
          </w:p>
        </w:tc>
      </w:tr>
    </w:tbl>
    <w:p w14:paraId="20C8F6BE">
      <w:pPr>
        <w:pStyle w:val="13"/>
        <w:ind w:left="640" w:firstLine="640"/>
        <w:jc w:val="center"/>
        <w:rPr>
          <w:color w:val="FF0000"/>
        </w:rPr>
        <w:sectPr>
          <w:pgSz w:w="16838" w:h="11906" w:orient="landscape"/>
          <w:pgMar w:top="1800" w:right="1440" w:bottom="1800" w:left="1440" w:header="851" w:footer="992" w:gutter="0"/>
          <w:pgNumType w:fmt="decimal"/>
          <w:cols w:space="425" w:num="1"/>
          <w:docGrid w:type="lines" w:linePitch="312" w:charSpace="0"/>
        </w:sectPr>
      </w:pPr>
    </w:p>
    <w:p w14:paraId="0C287008">
      <w:pPr>
        <w:pStyle w:val="3"/>
        <w:pageBreakBefore w:val="0"/>
        <w:kinsoku/>
        <w:wordWrap/>
        <w:overflowPunct/>
        <w:topLinePunct w:val="0"/>
        <w:autoSpaceDE/>
        <w:autoSpaceDN/>
        <w:bidi w:val="0"/>
        <w:spacing w:before="0" w:after="0" w:line="500" w:lineRule="exact"/>
        <w:jc w:val="center"/>
        <w:textAlignment w:val="auto"/>
        <w:rPr>
          <w:rFonts w:hint="default" w:ascii="Times New Roman" w:hAnsi="Times New Roman" w:eastAsia="仿宋" w:cs="Times New Roman"/>
          <w:color w:val="auto"/>
          <w:sz w:val="44"/>
          <w:lang w:val="en-US" w:eastAsia="zh-CN"/>
        </w:rPr>
      </w:pPr>
      <w:bookmarkStart w:id="233" w:name="_Toc88223195"/>
      <w:bookmarkStart w:id="234" w:name="_Toc103590105"/>
      <w:bookmarkStart w:id="235" w:name="_Toc31016"/>
      <w:r>
        <w:rPr>
          <w:rFonts w:hint="default" w:ascii="Times New Roman" w:hAnsi="Times New Roman" w:eastAsia="仿宋" w:cs="Times New Roman"/>
          <w:color w:val="auto"/>
          <w:sz w:val="44"/>
          <w:lang w:val="en-US" w:eastAsia="zh-CN"/>
        </w:rPr>
        <w:t>5严格落实政策，健全生态制度体系</w:t>
      </w:r>
      <w:bookmarkEnd w:id="233"/>
      <w:bookmarkEnd w:id="234"/>
      <w:bookmarkEnd w:id="235"/>
    </w:p>
    <w:p w14:paraId="3A44BDC7">
      <w:pPr>
        <w:pStyle w:val="4"/>
        <w:pageBreakBefore w:val="0"/>
        <w:kinsoku/>
        <w:wordWrap/>
        <w:overflowPunct/>
        <w:topLinePunct w:val="0"/>
        <w:autoSpaceDE/>
        <w:autoSpaceDN/>
        <w:bidi w:val="0"/>
        <w:spacing w:before="260" w:after="260" w:line="500" w:lineRule="exact"/>
        <w:ind w:firstLine="0"/>
        <w:textAlignment w:val="auto"/>
        <w:rPr>
          <w:rFonts w:hint="eastAsia" w:ascii="Times New Roman" w:hAnsi="Times New Roman" w:eastAsia="仿宋" w:cs="Times New Roman"/>
          <w:color w:val="auto"/>
          <w:sz w:val="32"/>
          <w:lang w:val="en-US" w:eastAsia="zh-CN"/>
        </w:rPr>
      </w:pPr>
      <w:bookmarkStart w:id="236" w:name="_Toc22011"/>
      <w:bookmarkStart w:id="237" w:name="_Toc23757"/>
      <w:bookmarkStart w:id="238" w:name="_Toc10625"/>
      <w:bookmarkStart w:id="239" w:name="_Toc2526"/>
      <w:bookmarkStart w:id="240" w:name="_Toc19429"/>
      <w:r>
        <w:rPr>
          <w:rFonts w:hint="default" w:ascii="Times New Roman" w:hAnsi="Times New Roman" w:eastAsia="仿宋" w:cs="Times New Roman"/>
          <w:color w:val="auto"/>
          <w:sz w:val="32"/>
          <w:lang w:val="en-US" w:eastAsia="zh-CN"/>
        </w:rPr>
        <w:t>5.1</w:t>
      </w:r>
      <w:r>
        <w:rPr>
          <w:rFonts w:hint="eastAsia" w:ascii="Times New Roman" w:hAnsi="Times New Roman" w:eastAsia="仿宋" w:cs="Times New Roman"/>
          <w:color w:val="auto"/>
          <w:sz w:val="32"/>
          <w:lang w:val="en-US" w:eastAsia="zh-CN"/>
        </w:rPr>
        <w:t>健全</w:t>
      </w:r>
      <w:r>
        <w:rPr>
          <w:rFonts w:hint="default" w:ascii="Times New Roman" w:hAnsi="Times New Roman" w:eastAsia="仿宋" w:cs="Times New Roman"/>
          <w:color w:val="auto"/>
          <w:sz w:val="32"/>
          <w:lang w:val="en-US" w:eastAsia="zh-CN"/>
        </w:rPr>
        <w:t>完善</w:t>
      </w:r>
      <w:r>
        <w:rPr>
          <w:rFonts w:hint="eastAsia" w:ascii="Times New Roman" w:hAnsi="Times New Roman" w:eastAsia="仿宋" w:cs="Times New Roman"/>
          <w:color w:val="auto"/>
          <w:sz w:val="32"/>
          <w:lang w:val="en-US" w:eastAsia="zh-CN"/>
        </w:rPr>
        <w:t>自然资源资产产权和</w:t>
      </w:r>
      <w:r>
        <w:rPr>
          <w:rFonts w:hint="default" w:ascii="Times New Roman" w:hAnsi="Times New Roman" w:eastAsia="仿宋" w:cs="Times New Roman"/>
          <w:color w:val="auto"/>
          <w:sz w:val="32"/>
          <w:lang w:val="en-US" w:eastAsia="zh-CN"/>
        </w:rPr>
        <w:t>资源总量管理全面节约制度</w:t>
      </w:r>
      <w:bookmarkEnd w:id="236"/>
    </w:p>
    <w:p w14:paraId="7E709078">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241" w:name="_Toc8315"/>
      <w:bookmarkStart w:id="242" w:name="_Toc16223"/>
      <w:bookmarkStart w:id="243" w:name="_Toc23208"/>
      <w:r>
        <w:rPr>
          <w:rFonts w:hint="default" w:eastAsia="仿宋"/>
          <w:snapToGrid w:val="0"/>
          <w:color w:val="auto"/>
          <w:sz w:val="28"/>
          <w:szCs w:val="28"/>
          <w:lang w:val="en-US" w:eastAsia="zh-CN"/>
        </w:rPr>
        <w:t>5.</w:t>
      </w:r>
      <w:r>
        <w:rPr>
          <w:rFonts w:hint="eastAsia" w:eastAsia="仿宋"/>
          <w:snapToGrid w:val="0"/>
          <w:color w:val="auto"/>
          <w:sz w:val="28"/>
          <w:szCs w:val="28"/>
          <w:lang w:val="en-US" w:eastAsia="zh-CN"/>
        </w:rPr>
        <w:t>1</w:t>
      </w:r>
      <w:r>
        <w:rPr>
          <w:rFonts w:hint="default" w:eastAsia="仿宋"/>
          <w:snapToGrid w:val="0"/>
          <w:color w:val="auto"/>
          <w:sz w:val="28"/>
          <w:szCs w:val="28"/>
          <w:lang w:val="en-US" w:eastAsia="zh-CN"/>
        </w:rPr>
        <w:t>.1健全自然资源资产产权制度和用途管制制度</w:t>
      </w:r>
      <w:bookmarkEnd w:id="241"/>
      <w:bookmarkEnd w:id="242"/>
      <w:bookmarkEnd w:id="243"/>
    </w:p>
    <w:p w14:paraId="503E1486">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编制自然资源资产负债表。开展</w:t>
      </w:r>
      <w:r>
        <w:rPr>
          <w:rFonts w:hint="eastAsia" w:ascii="Times New Roman" w:hAnsi="Times New Roman" w:eastAsia="方正仿宋_GBK" w:cs="方正仿宋_GBK"/>
          <w:b w:val="0"/>
          <w:bCs w:val="0"/>
          <w:color w:val="auto"/>
          <w:kern w:val="2"/>
          <w:sz w:val="28"/>
          <w:szCs w:val="28"/>
          <w:lang w:val="en-US" w:eastAsia="zh-CN" w:bidi="ar-SA"/>
        </w:rPr>
        <w:t>新平县</w:t>
      </w:r>
      <w:r>
        <w:rPr>
          <w:rFonts w:hint="default" w:ascii="Times New Roman" w:hAnsi="Times New Roman" w:eastAsia="方正仿宋_GBK" w:cs="方正仿宋_GBK"/>
          <w:b w:val="0"/>
          <w:bCs w:val="0"/>
          <w:color w:val="auto"/>
          <w:kern w:val="2"/>
          <w:sz w:val="28"/>
          <w:szCs w:val="28"/>
          <w:lang w:val="en-US" w:eastAsia="zh-CN" w:bidi="ar-SA"/>
        </w:rPr>
        <w:t>自然资源资产评估，全面加强自然资源统计调查和监测基础工作，建立</w:t>
      </w:r>
      <w:r>
        <w:rPr>
          <w:rFonts w:hint="eastAsia" w:ascii="Times New Roman" w:hAnsi="Times New Roman" w:eastAsia="方正仿宋_GBK" w:cs="方正仿宋_GBK"/>
          <w:b w:val="0"/>
          <w:bCs w:val="0"/>
          <w:color w:val="auto"/>
          <w:kern w:val="2"/>
          <w:sz w:val="28"/>
          <w:szCs w:val="28"/>
          <w:lang w:val="en-US" w:eastAsia="zh-CN" w:bidi="ar-SA"/>
        </w:rPr>
        <w:t>新平县</w:t>
      </w:r>
      <w:r>
        <w:rPr>
          <w:rFonts w:hint="default" w:ascii="Times New Roman" w:hAnsi="Times New Roman" w:eastAsia="方正仿宋_GBK" w:cs="方正仿宋_GBK"/>
          <w:b w:val="0"/>
          <w:bCs w:val="0"/>
          <w:color w:val="auto"/>
          <w:kern w:val="2"/>
          <w:sz w:val="28"/>
          <w:szCs w:val="28"/>
          <w:lang w:val="en-US" w:eastAsia="zh-CN" w:bidi="ar-SA"/>
        </w:rPr>
        <w:t>自然资源资产核算体系，编制</w:t>
      </w:r>
      <w:r>
        <w:rPr>
          <w:rFonts w:hint="eastAsia" w:ascii="Times New Roman" w:hAnsi="Times New Roman" w:eastAsia="方正仿宋_GBK" w:cs="方正仿宋_GBK"/>
          <w:b w:val="0"/>
          <w:bCs w:val="0"/>
          <w:color w:val="auto"/>
          <w:kern w:val="2"/>
          <w:sz w:val="28"/>
          <w:szCs w:val="28"/>
          <w:lang w:val="en-US" w:eastAsia="zh-CN" w:bidi="ar-SA"/>
        </w:rPr>
        <w:t>新平县</w:t>
      </w:r>
      <w:r>
        <w:rPr>
          <w:rFonts w:hint="default" w:ascii="Times New Roman" w:hAnsi="Times New Roman" w:eastAsia="方正仿宋_GBK" w:cs="方正仿宋_GBK"/>
          <w:b w:val="0"/>
          <w:bCs w:val="0"/>
          <w:color w:val="auto"/>
          <w:kern w:val="2"/>
          <w:sz w:val="28"/>
          <w:szCs w:val="28"/>
          <w:lang w:val="en-US" w:eastAsia="zh-CN" w:bidi="ar-SA"/>
        </w:rPr>
        <w:t>自然资源资产负债表，</w:t>
      </w:r>
      <w:r>
        <w:rPr>
          <w:rFonts w:hint="eastAsia" w:ascii="Times New Roman" w:hAnsi="Times New Roman" w:eastAsia="方正仿宋_GBK" w:cs="方正仿宋_GBK"/>
          <w:b w:val="0"/>
          <w:bCs w:val="0"/>
          <w:color w:val="auto"/>
          <w:kern w:val="2"/>
          <w:sz w:val="28"/>
          <w:szCs w:val="28"/>
          <w:lang w:val="en-US" w:eastAsia="zh-CN" w:bidi="ar-SA"/>
        </w:rPr>
        <w:t>建立土地资源账户、林木资源账户、水资源账户和矿产资源账户，</w:t>
      </w:r>
      <w:r>
        <w:rPr>
          <w:rFonts w:hint="default" w:ascii="Times New Roman" w:hAnsi="Times New Roman" w:eastAsia="方正仿宋_GBK" w:cs="方正仿宋_GBK"/>
          <w:b w:val="0"/>
          <w:bCs w:val="0"/>
          <w:color w:val="auto"/>
          <w:kern w:val="2"/>
          <w:sz w:val="28"/>
          <w:szCs w:val="28"/>
          <w:lang w:val="en-US" w:eastAsia="zh-CN" w:bidi="ar-SA"/>
        </w:rPr>
        <w:t>摸清自然资源资产</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家底</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及其变动情况，实现自然资源科学管理和有偿使用。</w:t>
      </w:r>
    </w:p>
    <w:p w14:paraId="196558A6">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健全完善自然资源资产用途管制制度。统一行使所有国土空间用途管制职责。坚持并完善最严格的耕地保护和节约用地制度，强化土地利用总体规划和年度计划管控，明确各类国土空间开发、利用、保护边界，加强土地用途转用许可管理。推进实施能源、水资源、矿产资源等按质量分级、梯级利用，严格节能评估审查、水资源论证和取水许可制度。完善矿产资源规划制度，强化矿产开发准入管理。</w:t>
      </w:r>
    </w:p>
    <w:p w14:paraId="245EF776">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244" w:name="_Toc18862"/>
      <w:bookmarkStart w:id="245" w:name="_Toc26944"/>
      <w:bookmarkStart w:id="246" w:name="_Toc22731"/>
      <w:r>
        <w:rPr>
          <w:rFonts w:hint="default" w:eastAsia="仿宋"/>
          <w:snapToGrid w:val="0"/>
          <w:color w:val="auto"/>
          <w:sz w:val="28"/>
          <w:szCs w:val="28"/>
          <w:lang w:val="en-US" w:eastAsia="zh-CN"/>
        </w:rPr>
        <w:t>5.</w:t>
      </w:r>
      <w:r>
        <w:rPr>
          <w:rFonts w:hint="eastAsia" w:eastAsia="仿宋"/>
          <w:snapToGrid w:val="0"/>
          <w:color w:val="auto"/>
          <w:sz w:val="28"/>
          <w:szCs w:val="28"/>
          <w:lang w:val="en-US" w:eastAsia="zh-CN"/>
        </w:rPr>
        <w:t>1</w:t>
      </w:r>
      <w:r>
        <w:rPr>
          <w:rFonts w:hint="default" w:eastAsia="仿宋"/>
          <w:snapToGrid w:val="0"/>
          <w:color w:val="auto"/>
          <w:sz w:val="28"/>
          <w:szCs w:val="28"/>
          <w:lang w:val="en-US" w:eastAsia="zh-CN"/>
        </w:rPr>
        <w:t>.2健全土地节约集约使用制度</w:t>
      </w:r>
      <w:bookmarkEnd w:id="244"/>
      <w:bookmarkEnd w:id="245"/>
      <w:bookmarkEnd w:id="246"/>
    </w:p>
    <w:p w14:paraId="2F1019DD">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落实《节约集约利用土地规定》，</w:t>
      </w:r>
      <w:r>
        <w:rPr>
          <w:rFonts w:hint="eastAsia" w:ascii="Times New Roman" w:hAnsi="Times New Roman" w:eastAsia="方正仿宋_GBK" w:cs="方正仿宋_GBK"/>
          <w:b w:val="0"/>
          <w:bCs w:val="0"/>
          <w:color w:val="auto"/>
          <w:kern w:val="2"/>
          <w:sz w:val="28"/>
          <w:szCs w:val="28"/>
          <w:lang w:val="en-US" w:eastAsia="zh-CN" w:bidi="ar-SA"/>
        </w:rPr>
        <w:t>实行</w:t>
      </w:r>
      <w:r>
        <w:rPr>
          <w:rFonts w:hint="default" w:ascii="Times New Roman" w:hAnsi="Times New Roman" w:eastAsia="方正仿宋_GBK" w:cs="方正仿宋_GBK"/>
          <w:b w:val="0"/>
          <w:bCs w:val="0"/>
          <w:color w:val="auto"/>
          <w:kern w:val="2"/>
          <w:sz w:val="28"/>
          <w:szCs w:val="28"/>
          <w:lang w:val="en-US" w:eastAsia="zh-CN" w:bidi="ar-SA"/>
        </w:rPr>
        <w:t>最严格的耕地保护制度和土地节约集约利用制度。</w:t>
      </w:r>
      <w:r>
        <w:rPr>
          <w:rFonts w:hint="eastAsia" w:ascii="Times New Roman" w:hAnsi="Times New Roman" w:eastAsia="方正仿宋_GBK" w:cs="方正仿宋_GBK"/>
          <w:b w:val="0"/>
          <w:bCs w:val="0"/>
          <w:color w:val="auto"/>
          <w:kern w:val="2"/>
          <w:sz w:val="28"/>
          <w:szCs w:val="28"/>
          <w:lang w:val="en-US" w:eastAsia="zh-CN" w:bidi="ar-SA"/>
        </w:rPr>
        <w:t>近期完成新平县国土空间规划编制，以“三区三线”为引导，优化建设用地布局，从严核定新增建设用地规模，提高土地节约集约利用水平，促进土地资源的可持续利用。</w:t>
      </w:r>
      <w:r>
        <w:rPr>
          <w:rFonts w:hint="default" w:ascii="Times New Roman" w:hAnsi="Times New Roman" w:eastAsia="方正仿宋_GBK" w:cs="方正仿宋_GBK"/>
          <w:b w:val="0"/>
          <w:bCs w:val="0"/>
          <w:color w:val="auto"/>
          <w:kern w:val="2"/>
          <w:sz w:val="28"/>
          <w:szCs w:val="28"/>
          <w:lang w:val="en-US" w:eastAsia="zh-CN" w:bidi="ar-SA"/>
        </w:rPr>
        <w:t>深化国有建设用地有偿使用制度改革，提高土地利用效率，开展城乡建设用地增减挂钩试点工作。规范土地市场，强化土地规划管理、引导节约利用用地，优化配置土地资源，充分挖掘存量土地。加强耕地质量等级评定与监测，强化耕地质量保护与提升建设。进一步加强土地管理的动态化、常态化、规范化，建立符合农村特点和市场经济规律的集体建设用地使用权流转机制和管理模式。</w:t>
      </w:r>
    </w:p>
    <w:p w14:paraId="0AA06CA0">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加强耕地资源用途管制。强化永久基本农田对各类建设布局的约束，严格控制非农建设占用，保护利用好永久基本农田。严格执行</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占一补一、先补后占、占优补先</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的耕地补占平衡制度，加强对永久基本农田占用选址论证与补划工作，推进永久基本农田储备区建设。发挥国土空间总体规划的整体管控作用，从严核定新增建设用地规模，从严控制建设占用耕地特别是优质耕地。探索建立土地用途转用许可制，强化非农建设占用耕地的转用管控。</w:t>
      </w:r>
    </w:p>
    <w:p w14:paraId="43C489BE">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实施建设用地总量控制和减量化管理，建立节约集约用地激励和约束机制，强化节约集约用地目标考核和约束，推动有条件的地区实现建设用地减量化或零增长，促进新增建设不占或尽量少占耕地，合理安排土地利用计划。</w:t>
      </w:r>
    </w:p>
    <w:p w14:paraId="2A13C836">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247" w:name="_Toc451"/>
      <w:bookmarkStart w:id="248" w:name="_Toc5099"/>
      <w:bookmarkStart w:id="249" w:name="_Toc29844"/>
      <w:r>
        <w:rPr>
          <w:rFonts w:hint="default" w:eastAsia="仿宋"/>
          <w:snapToGrid w:val="0"/>
          <w:color w:val="auto"/>
          <w:sz w:val="28"/>
          <w:szCs w:val="28"/>
          <w:lang w:val="en-US" w:eastAsia="zh-CN"/>
        </w:rPr>
        <w:t>5.</w:t>
      </w:r>
      <w:r>
        <w:rPr>
          <w:rFonts w:hint="eastAsia" w:eastAsia="仿宋"/>
          <w:snapToGrid w:val="0"/>
          <w:color w:val="auto"/>
          <w:sz w:val="28"/>
          <w:szCs w:val="28"/>
          <w:lang w:val="en-US" w:eastAsia="zh-CN"/>
        </w:rPr>
        <w:t>1</w:t>
      </w:r>
      <w:r>
        <w:rPr>
          <w:rFonts w:hint="default" w:eastAsia="仿宋"/>
          <w:snapToGrid w:val="0"/>
          <w:color w:val="auto"/>
          <w:sz w:val="28"/>
          <w:szCs w:val="28"/>
          <w:lang w:val="en-US" w:eastAsia="zh-CN"/>
        </w:rPr>
        <w:t>.3施行最严格水资源管理制度</w:t>
      </w:r>
      <w:bookmarkEnd w:id="247"/>
      <w:bookmarkEnd w:id="248"/>
      <w:bookmarkEnd w:id="249"/>
    </w:p>
    <w:p w14:paraId="73AA6759">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强化水资源消耗总量和消耗强度双控制。坚持按照节水优先、空间均衡、系统治理、两手发力的原则，严格落实水资源开发利用控制、用水效率控制、水功能区限制纳污三条红线管理。健全用水总量控制制度，完善取用水总量控制指标体系，建立健全节约集约用水机制，促进水资源使用结构调整和优化配置。完善规划和建设项目水资源论证制度。运用价格和税收手段，逐步建立农业灌溉用水量控制和定额管理、高耗水工业企业计划用水和定额管理制度。严格控制高耗水项目建设，研究探索对高耗能、高污染、产能过剩的</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两高一剩</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行业实行差别水价政策。健全用水总量和强度目标责任制和责任追究制。强化水资源承载能力对经济社会发展的刚性约束。</w:t>
      </w:r>
    </w:p>
    <w:p w14:paraId="79B11E16">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250" w:name="_Toc2581"/>
      <w:bookmarkStart w:id="251" w:name="_Toc13745"/>
      <w:bookmarkStart w:id="252" w:name="_Toc18018"/>
      <w:r>
        <w:rPr>
          <w:rFonts w:hint="default" w:eastAsia="仿宋"/>
          <w:snapToGrid w:val="0"/>
          <w:color w:val="auto"/>
          <w:sz w:val="28"/>
          <w:szCs w:val="28"/>
          <w:lang w:val="en-US" w:eastAsia="zh-CN"/>
        </w:rPr>
        <w:t>5.</w:t>
      </w:r>
      <w:r>
        <w:rPr>
          <w:rFonts w:hint="eastAsia" w:eastAsia="仿宋"/>
          <w:snapToGrid w:val="0"/>
          <w:color w:val="auto"/>
          <w:sz w:val="28"/>
          <w:szCs w:val="28"/>
          <w:lang w:val="en-US" w:eastAsia="zh-CN"/>
        </w:rPr>
        <w:t>1</w:t>
      </w:r>
      <w:r>
        <w:rPr>
          <w:rFonts w:hint="default" w:eastAsia="仿宋"/>
          <w:snapToGrid w:val="0"/>
          <w:color w:val="auto"/>
          <w:sz w:val="28"/>
          <w:szCs w:val="28"/>
          <w:lang w:val="en-US" w:eastAsia="zh-CN"/>
        </w:rPr>
        <w:t>.4强化落实能源消费</w:t>
      </w:r>
      <w:r>
        <w:rPr>
          <w:rFonts w:hint="eastAsia" w:eastAsia="仿宋"/>
          <w:snapToGrid w:val="0"/>
          <w:color w:val="auto"/>
          <w:sz w:val="28"/>
          <w:szCs w:val="28"/>
          <w:lang w:val="en-US" w:eastAsia="zh-CN"/>
        </w:rPr>
        <w:t>总量管理和节约</w:t>
      </w:r>
      <w:r>
        <w:rPr>
          <w:rFonts w:hint="default" w:eastAsia="仿宋"/>
          <w:snapToGrid w:val="0"/>
          <w:color w:val="auto"/>
          <w:sz w:val="28"/>
          <w:szCs w:val="28"/>
          <w:lang w:val="en-US" w:eastAsia="zh-CN"/>
        </w:rPr>
        <w:t>制度</w:t>
      </w:r>
      <w:bookmarkEnd w:id="250"/>
      <w:bookmarkEnd w:id="251"/>
      <w:bookmarkEnd w:id="252"/>
    </w:p>
    <w:p w14:paraId="24B83E03">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坚持节约优先，强化能耗“双控”管理，完善能源“双控”激励约束机制，守住能耗“双控”底线。严格控制高耗能、高污染项目的备案和审批。优化产业结构和能源结构，大力发展循环经济，立足新平县经济发展的产业结构，做大做强液态金属产业、推进煤炭产业转型升级和化工产业转型发展，持续推进水能、风能等新能源的规划建设，严控新增煤炭消费项目，压减高耗煤产业用煤需求，降低煤炭消费比重。推进建筑节能，推广绿色节能建筑。加强交通节能，优化交通基础设施布局，鼓励发展清洁能源车辆。继续落实居民用电、用水、用气阶梯电价制度，继续推行供热计量价格改革。制定完善节能支持政策，推进重点领域和重点用能企业节能降耗。加快节能技术研发和推广应用，加大节能减排市场化机制推广力度，改革创新能源市场体系。完善能源统计制度，加强能源监察执法。</w:t>
      </w:r>
    </w:p>
    <w:p w14:paraId="78F665F1">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探索建立能源消费总量和碳排放总量</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双控</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机制。结合重点企（事）业单位温室气体排放报告与核查等工作，严格落实节能评估和审查制度。加强</w:t>
      </w:r>
      <w:r>
        <w:rPr>
          <w:rFonts w:hint="eastAsia" w:ascii="Times New Roman" w:hAnsi="Times New Roman" w:eastAsia="方正仿宋_GBK" w:cs="方正仿宋_GBK"/>
          <w:b w:val="0"/>
          <w:bCs w:val="0"/>
          <w:color w:val="auto"/>
          <w:kern w:val="2"/>
          <w:sz w:val="28"/>
          <w:szCs w:val="28"/>
          <w:lang w:val="en-US" w:eastAsia="zh-CN" w:bidi="ar-SA"/>
        </w:rPr>
        <w:t>新平县及经开区重点</w:t>
      </w:r>
      <w:r>
        <w:rPr>
          <w:rFonts w:hint="default" w:ascii="Times New Roman" w:hAnsi="Times New Roman" w:eastAsia="方正仿宋_GBK" w:cs="方正仿宋_GBK"/>
          <w:b w:val="0"/>
          <w:bCs w:val="0"/>
          <w:color w:val="auto"/>
          <w:kern w:val="2"/>
          <w:sz w:val="28"/>
          <w:szCs w:val="28"/>
          <w:lang w:val="en-US" w:eastAsia="zh-CN" w:bidi="ar-SA"/>
        </w:rPr>
        <w:t>行业和企业的节能管理，鼓励企业建立能源管理体系，开展重点行业企业能效对标。完善重点用能单位节能管理制度，强化节能基础管理，健全节能目标制责任制和奖励制。</w:t>
      </w:r>
    </w:p>
    <w:p w14:paraId="221C23E4">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253" w:name="_Toc29004"/>
      <w:bookmarkStart w:id="254" w:name="_Toc32411"/>
      <w:bookmarkStart w:id="255" w:name="_Toc18309"/>
      <w:r>
        <w:rPr>
          <w:rFonts w:hint="default" w:eastAsia="仿宋"/>
          <w:snapToGrid w:val="0"/>
          <w:color w:val="auto"/>
          <w:sz w:val="28"/>
          <w:szCs w:val="28"/>
          <w:lang w:val="en-US" w:eastAsia="zh-CN"/>
        </w:rPr>
        <w:t>5.</w:t>
      </w:r>
      <w:r>
        <w:rPr>
          <w:rFonts w:hint="eastAsia" w:eastAsia="仿宋"/>
          <w:snapToGrid w:val="0"/>
          <w:color w:val="auto"/>
          <w:sz w:val="28"/>
          <w:szCs w:val="28"/>
          <w:lang w:val="en-US" w:eastAsia="zh-CN"/>
        </w:rPr>
        <w:t>1</w:t>
      </w:r>
      <w:r>
        <w:rPr>
          <w:rFonts w:hint="default" w:eastAsia="仿宋"/>
          <w:snapToGrid w:val="0"/>
          <w:color w:val="auto"/>
          <w:sz w:val="28"/>
          <w:szCs w:val="28"/>
          <w:lang w:val="en-US" w:eastAsia="zh-CN"/>
        </w:rPr>
        <w:t>.5完善资源循环利用制度</w:t>
      </w:r>
      <w:bookmarkEnd w:id="253"/>
      <w:bookmarkEnd w:id="254"/>
      <w:bookmarkEnd w:id="255"/>
    </w:p>
    <w:p w14:paraId="7FE2058E">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树立节约集约循环利用的资源观，不断降低生产、生活过程的资源能源消耗强度。引进绿色清洁生产技术和资源循环利用技术，通过产品设计改进、设备工艺改革、物料循环再利用等，从源头上节约资源能源、减少环境污染。推动传统产业废旧产品的再制造和再利用，从末端提高资源能源再利用率，减轻环境污染。完善再生资源回收体系，持续推进生活垃圾分类回收，建立健全生活垃圾分类收运处置体系，加快建立有利于垃圾分类和减量化、资源化、无害化处理的激励约束机制。探索家电新型消费模式，加快建立家电回收利用循环利用体系。执行再生资源回收目录及标准要求，对复合包装物、电池、农膜等低值废弃物实行强制回收。实行生产者责任延伸制度，推动生产者落实废弃产品有效回收处理等责任。</w:t>
      </w:r>
    </w:p>
    <w:p w14:paraId="4D1EC9B0">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大力发展资源循环利用新业态，推进产业循环式组合，促进生产系统和生活系统金融支持，落实好促进节能减排相关税收优惠政策。</w:t>
      </w:r>
    </w:p>
    <w:p w14:paraId="0AB5FB8D">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en-US" w:eastAsia="zh-CN"/>
        </w:rPr>
      </w:pPr>
      <w:bookmarkStart w:id="256" w:name="_Toc10917"/>
      <w:r>
        <w:rPr>
          <w:rFonts w:hint="default" w:ascii="Times New Roman" w:hAnsi="Times New Roman" w:eastAsia="仿宋" w:cs="Times New Roman"/>
          <w:color w:val="auto"/>
          <w:sz w:val="32"/>
          <w:lang w:val="en-US" w:eastAsia="zh-CN"/>
        </w:rPr>
        <w:t>5.</w:t>
      </w:r>
      <w:r>
        <w:rPr>
          <w:rFonts w:hint="eastAsia" w:ascii="Times New Roman" w:hAnsi="Times New Roman" w:eastAsia="仿宋" w:cs="Times New Roman"/>
          <w:color w:val="auto"/>
          <w:sz w:val="32"/>
          <w:lang w:val="en-US" w:eastAsia="zh-CN"/>
        </w:rPr>
        <w:t>2建立健全</w:t>
      </w:r>
      <w:r>
        <w:rPr>
          <w:rFonts w:hint="default" w:ascii="Times New Roman" w:hAnsi="Times New Roman" w:eastAsia="仿宋" w:cs="Times New Roman"/>
          <w:color w:val="auto"/>
          <w:sz w:val="32"/>
          <w:lang w:val="en-US" w:eastAsia="zh-CN"/>
        </w:rPr>
        <w:t>国土空间开发保护制度</w:t>
      </w:r>
      <w:r>
        <w:rPr>
          <w:rFonts w:hint="eastAsia" w:ascii="Times New Roman" w:hAnsi="Times New Roman" w:eastAsia="仿宋" w:cs="Times New Roman"/>
          <w:color w:val="auto"/>
          <w:sz w:val="32"/>
          <w:lang w:val="en-US" w:eastAsia="zh-CN"/>
        </w:rPr>
        <w:t>和空间规划体系</w:t>
      </w:r>
      <w:bookmarkEnd w:id="256"/>
    </w:p>
    <w:p w14:paraId="339B8CED">
      <w:pPr>
        <w:pStyle w:val="5"/>
        <w:pageBreakBefore w:val="0"/>
        <w:kinsoku/>
        <w:wordWrap/>
        <w:overflowPunct/>
        <w:topLinePunct w:val="0"/>
        <w:autoSpaceDE/>
        <w:autoSpaceDN/>
        <w:bidi w:val="0"/>
        <w:spacing w:before="120" w:after="120" w:line="500" w:lineRule="exact"/>
        <w:ind w:firstLine="0" w:firstLineChars="0"/>
        <w:textAlignment w:val="auto"/>
        <w:rPr>
          <w:rFonts w:hint="eastAsia" w:eastAsia="仿宋"/>
          <w:snapToGrid w:val="0"/>
          <w:color w:val="auto"/>
          <w:sz w:val="28"/>
          <w:lang w:val="en-US" w:eastAsia="zh-CN"/>
        </w:rPr>
      </w:pPr>
      <w:bookmarkStart w:id="257" w:name="_Toc12058"/>
      <w:r>
        <w:rPr>
          <w:rFonts w:hint="eastAsia" w:eastAsia="仿宋"/>
          <w:snapToGrid w:val="0"/>
          <w:color w:val="auto"/>
          <w:sz w:val="28"/>
          <w:lang w:val="en-US" w:eastAsia="zh-CN"/>
        </w:rPr>
        <w:t>5.2.1建立统一的确权登记系统</w:t>
      </w:r>
      <w:bookmarkEnd w:id="257"/>
    </w:p>
    <w:p w14:paraId="2B0809FB">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推进自然资源资产统一确权登记。按照《自然资源统一确权登记暂行办法》推进自然资源统一确权登记。健全自然资源确权登记制度规范，加快推进河流、湖泊、森林、山岭、荒地等自然生态空间统一确权登记，清晰界定自然资源资产产权主体，划清所有权和使用权边界，合理配置自然资源的有效使用。丰富自然资源资产使用权类型，合理界定出让、转让、出租、抵押、入股等权责归属，依托自然资源统一确权登记明确生态产品权责归属。确权登记以不动产登记为基础，依据《不动产登记暂行条例》的规定办理登记的不动产权利，登记信息纳入不动产登记信息管理基础平台，实现自然资源确权登记信息与不动产登记信息有效衔接和融合。到2026年，全面构建归属清晰、权责明确、保护严格、流转顺畅、监管有效的自然资源资产产权制度。</w:t>
      </w:r>
    </w:p>
    <w:p w14:paraId="68300562">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rPr>
      </w:pPr>
      <w:bookmarkStart w:id="258" w:name="_Toc13296"/>
      <w:r>
        <w:rPr>
          <w:rFonts w:eastAsia="仿宋"/>
          <w:snapToGrid w:val="0"/>
          <w:color w:val="auto"/>
          <w:sz w:val="28"/>
          <w:lang w:val="en-US" w:eastAsia="zh-CN"/>
        </w:rPr>
        <w:t>5.</w:t>
      </w:r>
      <w:r>
        <w:rPr>
          <w:rFonts w:hint="eastAsia" w:eastAsia="仿宋"/>
          <w:snapToGrid w:val="0"/>
          <w:color w:val="auto"/>
          <w:sz w:val="28"/>
          <w:lang w:val="en-US" w:eastAsia="zh-CN"/>
        </w:rPr>
        <w:t>2</w:t>
      </w:r>
      <w:r>
        <w:rPr>
          <w:rFonts w:eastAsia="仿宋"/>
          <w:snapToGrid w:val="0"/>
          <w:color w:val="auto"/>
          <w:sz w:val="28"/>
          <w:lang w:val="en-US" w:eastAsia="zh-CN"/>
        </w:rPr>
        <w:t>.</w:t>
      </w:r>
      <w:r>
        <w:rPr>
          <w:rFonts w:hint="eastAsia" w:eastAsia="仿宋"/>
          <w:snapToGrid w:val="0"/>
          <w:color w:val="auto"/>
          <w:sz w:val="28"/>
          <w:lang w:val="en-US" w:eastAsia="zh-CN"/>
        </w:rPr>
        <w:t>2健全国土空间用途管制制度</w:t>
      </w:r>
      <w:bookmarkEnd w:id="258"/>
    </w:p>
    <w:p w14:paraId="29EAC9A2">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简化自上而下的用地指标控制体系，调整按行政区和用地基数分配指标的做法。将开发强度指标分解到各县级行政区，作为约束性指标，控制建设用地总量。将用途管制扩大到所有自然生态空间，划定并严守生态红线，严禁任意改变用途，防止不合理开发建设活动对生态红线的破坏。完善覆盖全部国土空间的监测系统，动态监测国土空间变化。</w:t>
      </w:r>
    </w:p>
    <w:p w14:paraId="3EFCAE55">
      <w:pPr>
        <w:pStyle w:val="5"/>
        <w:pageBreakBefore w:val="0"/>
        <w:kinsoku/>
        <w:wordWrap/>
        <w:overflowPunct/>
        <w:topLinePunct w:val="0"/>
        <w:autoSpaceDE/>
        <w:autoSpaceDN/>
        <w:bidi w:val="0"/>
        <w:spacing w:line="500" w:lineRule="exact"/>
        <w:ind w:left="0" w:leftChars="0" w:firstLine="0" w:firstLineChars="0"/>
        <w:textAlignment w:val="auto"/>
        <w:rPr>
          <w:rFonts w:eastAsia="仿宋"/>
          <w:snapToGrid w:val="0"/>
          <w:color w:val="auto"/>
          <w:sz w:val="28"/>
        </w:rPr>
      </w:pPr>
      <w:bookmarkStart w:id="259" w:name="_Toc23485"/>
      <w:r>
        <w:rPr>
          <w:rFonts w:eastAsia="仿宋"/>
          <w:snapToGrid w:val="0"/>
          <w:color w:val="auto"/>
          <w:sz w:val="28"/>
          <w:lang w:val="en-US" w:eastAsia="zh-CN"/>
        </w:rPr>
        <w:t>5.</w:t>
      </w:r>
      <w:r>
        <w:rPr>
          <w:rFonts w:hint="eastAsia" w:eastAsia="仿宋"/>
          <w:snapToGrid w:val="0"/>
          <w:color w:val="auto"/>
          <w:sz w:val="28"/>
          <w:lang w:val="en-US" w:eastAsia="zh-CN"/>
        </w:rPr>
        <w:t>2</w:t>
      </w:r>
      <w:r>
        <w:rPr>
          <w:rFonts w:eastAsia="仿宋"/>
          <w:snapToGrid w:val="0"/>
          <w:color w:val="auto"/>
          <w:sz w:val="28"/>
          <w:lang w:val="en-US" w:eastAsia="zh-CN"/>
        </w:rPr>
        <w:t>.</w:t>
      </w:r>
      <w:r>
        <w:rPr>
          <w:rFonts w:hint="eastAsia" w:eastAsia="仿宋"/>
          <w:snapToGrid w:val="0"/>
          <w:color w:val="auto"/>
          <w:sz w:val="28"/>
          <w:lang w:val="en-US" w:eastAsia="zh-CN"/>
        </w:rPr>
        <w:t>3</w:t>
      </w:r>
      <w:r>
        <w:rPr>
          <w:rFonts w:eastAsia="仿宋"/>
          <w:snapToGrid w:val="0"/>
          <w:color w:val="auto"/>
          <w:sz w:val="28"/>
          <w:lang w:val="en-US" w:eastAsia="zh-CN"/>
        </w:rPr>
        <w:t>健全</w:t>
      </w:r>
      <w:r>
        <w:rPr>
          <w:rFonts w:hint="eastAsia" w:eastAsia="仿宋"/>
          <w:snapToGrid w:val="0"/>
          <w:color w:val="auto"/>
          <w:sz w:val="28"/>
          <w:lang w:val="en-US" w:eastAsia="zh-CN"/>
        </w:rPr>
        <w:t>自然保护地保护</w:t>
      </w:r>
      <w:r>
        <w:rPr>
          <w:rFonts w:eastAsia="仿宋"/>
          <w:snapToGrid w:val="0"/>
          <w:color w:val="auto"/>
          <w:sz w:val="28"/>
          <w:lang w:val="en-US" w:eastAsia="zh-CN"/>
        </w:rPr>
        <w:t>机制</w:t>
      </w:r>
      <w:bookmarkEnd w:id="259"/>
    </w:p>
    <w:p w14:paraId="5AC3701B">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加强对重要生态系统的保护和永续利用，着力构建与新使命相适应的自然保护地管理体系，科学设置各类自然保护地，确保重要自然生态系统、自然景观和生物多样性得到系统性保护，提升生态产品供给能力，筑牢红河水系元江流域生态安全屏障。全面加强自然保护地保护管理和监督考核，强化自然保护地监测、评估、考核、监督，逐步形成一整套体系完备、监管有力的监督管理制度。</w:t>
      </w:r>
    </w:p>
    <w:p w14:paraId="24CD5480">
      <w:pPr>
        <w:pStyle w:val="5"/>
        <w:pageBreakBefore w:val="0"/>
        <w:kinsoku/>
        <w:wordWrap/>
        <w:overflowPunct/>
        <w:topLinePunct w:val="0"/>
        <w:autoSpaceDE/>
        <w:autoSpaceDN/>
        <w:bidi w:val="0"/>
        <w:spacing w:line="500" w:lineRule="exact"/>
        <w:ind w:left="0" w:leftChars="0" w:firstLine="0" w:firstLineChars="0"/>
        <w:textAlignment w:val="auto"/>
        <w:rPr>
          <w:rFonts w:eastAsia="仿宋"/>
          <w:snapToGrid w:val="0"/>
          <w:color w:val="auto"/>
          <w:sz w:val="28"/>
          <w:lang w:val="en-US" w:eastAsia="zh-CN"/>
        </w:rPr>
      </w:pPr>
      <w:bookmarkStart w:id="260" w:name="_Toc15008"/>
      <w:r>
        <w:rPr>
          <w:rFonts w:eastAsia="仿宋"/>
          <w:snapToGrid w:val="0"/>
          <w:color w:val="auto"/>
          <w:sz w:val="28"/>
          <w:lang w:val="en-US" w:eastAsia="zh-CN"/>
        </w:rPr>
        <w:t>5.</w:t>
      </w:r>
      <w:r>
        <w:rPr>
          <w:rFonts w:hint="eastAsia" w:eastAsia="仿宋"/>
          <w:snapToGrid w:val="0"/>
          <w:color w:val="auto"/>
          <w:sz w:val="28"/>
          <w:lang w:val="en-US" w:eastAsia="zh-CN"/>
        </w:rPr>
        <w:t>2</w:t>
      </w:r>
      <w:r>
        <w:rPr>
          <w:rFonts w:eastAsia="仿宋"/>
          <w:snapToGrid w:val="0"/>
          <w:color w:val="auto"/>
          <w:sz w:val="28"/>
          <w:lang w:val="en-US" w:eastAsia="zh-CN"/>
        </w:rPr>
        <w:t>.</w:t>
      </w:r>
      <w:r>
        <w:rPr>
          <w:rFonts w:hint="eastAsia" w:eastAsia="仿宋"/>
          <w:snapToGrid w:val="0"/>
          <w:color w:val="auto"/>
          <w:sz w:val="28"/>
          <w:lang w:val="en-US" w:eastAsia="zh-CN"/>
        </w:rPr>
        <w:t>4建立空间规划体系</w:t>
      </w:r>
      <w:bookmarkEnd w:id="260"/>
    </w:p>
    <w:p w14:paraId="13B6CBD0">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编制空间规划</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推进市县“多规合一”。整合目前各部门分头编制的各类空间性规划，编制统一的空间规划，实现规划全覆盖。空间规划是国家空间发展的指南、可持续发展的空间蓝图，是各类开发建设活动的基本依据研究建立统一规范的空间规划编制机制。支持市县推进“多规合一”，统一编制市县空间规划，逐步形成一个市县一个规划、一张蓝图。市县空间规划要统一土地分类标准，根据主体功能定位和省级空间规划要求，划定生产空间、生活空间、生态空间，明确城镇建设区、工业区、农村居民点等的开发边界，以及耕地、林地、草原、河流、湖泊、湿地等的保护边界，加强对城市地下空间的统筹规划。</w:t>
      </w:r>
    </w:p>
    <w:p w14:paraId="0C1300CB">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en-US" w:eastAsia="zh-CN"/>
        </w:rPr>
      </w:pPr>
      <w:bookmarkStart w:id="261" w:name="_Toc28551"/>
      <w:r>
        <w:rPr>
          <w:rFonts w:hint="eastAsia" w:ascii="Times New Roman" w:hAnsi="Times New Roman" w:eastAsia="仿宋" w:cs="Times New Roman"/>
          <w:color w:val="auto"/>
          <w:sz w:val="32"/>
          <w:lang w:val="en-US" w:eastAsia="zh-CN"/>
        </w:rPr>
        <w:t>5.3</w:t>
      </w:r>
      <w:r>
        <w:rPr>
          <w:rFonts w:hint="default" w:ascii="Times New Roman" w:hAnsi="Times New Roman" w:eastAsia="仿宋" w:cs="Times New Roman"/>
          <w:color w:val="auto"/>
          <w:sz w:val="32"/>
          <w:lang w:val="en-US" w:eastAsia="zh-CN"/>
        </w:rPr>
        <w:t>健全资源有偿使用和生态补偿制度</w:t>
      </w:r>
      <w:bookmarkEnd w:id="261"/>
    </w:p>
    <w:p w14:paraId="3CC97BA9">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rPr>
      </w:pPr>
      <w:bookmarkStart w:id="262" w:name="_Toc7888"/>
      <w:r>
        <w:rPr>
          <w:rFonts w:eastAsia="仿宋"/>
          <w:snapToGrid w:val="0"/>
          <w:color w:val="auto"/>
          <w:sz w:val="28"/>
        </w:rPr>
        <w:t>5.</w:t>
      </w:r>
      <w:r>
        <w:rPr>
          <w:rFonts w:hint="eastAsia" w:eastAsia="仿宋"/>
          <w:snapToGrid w:val="0"/>
          <w:color w:val="auto"/>
          <w:sz w:val="28"/>
          <w:lang w:val="en-US" w:eastAsia="zh-CN"/>
        </w:rPr>
        <w:t>3</w:t>
      </w:r>
      <w:r>
        <w:rPr>
          <w:rFonts w:eastAsia="仿宋"/>
          <w:snapToGrid w:val="0"/>
          <w:color w:val="auto"/>
          <w:sz w:val="28"/>
        </w:rPr>
        <w:t>.1</w:t>
      </w:r>
      <w:r>
        <w:rPr>
          <w:rFonts w:hint="eastAsia" w:ascii="Times New Roman" w:hAnsi="Times New Roman" w:eastAsia="仿宋" w:cs="Times New Roman"/>
          <w:color w:val="auto"/>
          <w:sz w:val="32"/>
          <w:lang w:val="en-US" w:eastAsia="zh-CN"/>
        </w:rPr>
        <w:t>加快自然资源及其产品价格改革</w:t>
      </w:r>
      <w:bookmarkEnd w:id="262"/>
    </w:p>
    <w:p w14:paraId="7EBD7AE1">
      <w:pPr>
        <w:pStyle w:val="9"/>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Times New Roman"/>
          <w:color w:val="auto"/>
          <w:kern w:val="2"/>
          <w:sz w:val="32"/>
          <w:szCs w:val="32"/>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按照成本、收益相统一的原则，充分考虑社会可承受能力，建立自然资源开发使用成本评估机制，将资源所有者权益和生态环境损害等纳入自然资源及其产品价格形成机制。加强对自然垄断环节的价格监管，建立定价成本监审制度和价格调整机制，完善价格决策程序和信息公开制度。推进农业水价综合改革，全面实行非居民用水超计划、超定额累进加价制度，全面推行城镇居民用水阶梯价格制度。</w:t>
      </w:r>
    </w:p>
    <w:p w14:paraId="25D92092">
      <w:pPr>
        <w:pStyle w:val="5"/>
        <w:pageBreakBefore w:val="0"/>
        <w:kinsoku/>
        <w:wordWrap/>
        <w:overflowPunct/>
        <w:topLinePunct w:val="0"/>
        <w:autoSpaceDE/>
        <w:autoSpaceDN/>
        <w:bidi w:val="0"/>
        <w:spacing w:before="120" w:after="120" w:line="500" w:lineRule="exact"/>
        <w:ind w:firstLine="0" w:firstLineChars="0"/>
        <w:textAlignment w:val="auto"/>
        <w:rPr>
          <w:rFonts w:hint="eastAsia" w:eastAsia="仿宋"/>
          <w:snapToGrid w:val="0"/>
          <w:color w:val="auto"/>
          <w:sz w:val="28"/>
          <w:lang w:val="en-US" w:eastAsia="zh-CN"/>
        </w:rPr>
      </w:pPr>
      <w:bookmarkStart w:id="263" w:name="_Toc7915"/>
      <w:r>
        <w:rPr>
          <w:rFonts w:eastAsia="仿宋"/>
          <w:snapToGrid w:val="0"/>
          <w:color w:val="auto"/>
          <w:sz w:val="28"/>
        </w:rPr>
        <w:t>5.</w:t>
      </w:r>
      <w:r>
        <w:rPr>
          <w:rFonts w:hint="eastAsia" w:eastAsia="仿宋"/>
          <w:snapToGrid w:val="0"/>
          <w:color w:val="auto"/>
          <w:sz w:val="28"/>
          <w:lang w:val="en-US" w:eastAsia="zh-CN"/>
        </w:rPr>
        <w:t>3</w:t>
      </w:r>
      <w:r>
        <w:rPr>
          <w:rFonts w:eastAsia="仿宋"/>
          <w:snapToGrid w:val="0"/>
          <w:color w:val="auto"/>
          <w:sz w:val="28"/>
        </w:rPr>
        <w:t>.</w:t>
      </w:r>
      <w:r>
        <w:rPr>
          <w:rFonts w:hint="eastAsia" w:eastAsia="仿宋"/>
          <w:snapToGrid w:val="0"/>
          <w:color w:val="auto"/>
          <w:sz w:val="28"/>
          <w:lang w:val="en-US" w:eastAsia="zh-CN"/>
        </w:rPr>
        <w:t>2完善土地有偿使用制度</w:t>
      </w:r>
      <w:bookmarkEnd w:id="263"/>
    </w:p>
    <w:p w14:paraId="264F0CC3">
      <w:pPr>
        <w:pStyle w:val="9"/>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扩大国有土地有偿使用范围，扩大招拍挂出让比例，减少非公益性用地划拨，国有土地出让收支纳入预算管理。改革完善工业用地供应方式，探索实行弹性出让年限以及长期租赁、先租后让、租让结合供应。完善地价形成机制和评估制度，健全土地等级评价体系，理顺与土地相关的出让金、租金和税费关系。建立有效调节工业用地和居住用地合理比价机制，提高工业用地出让地价水平，降低工业用地比例。探索通过土地承包经营、出租等方式，健全国有农用地有偿使用制度。</w:t>
      </w:r>
    </w:p>
    <w:p w14:paraId="6C571F2D">
      <w:pPr>
        <w:pStyle w:val="5"/>
        <w:pageBreakBefore w:val="0"/>
        <w:kinsoku/>
        <w:wordWrap/>
        <w:overflowPunct/>
        <w:topLinePunct w:val="0"/>
        <w:autoSpaceDE/>
        <w:autoSpaceDN/>
        <w:bidi w:val="0"/>
        <w:spacing w:before="120" w:after="120" w:line="500" w:lineRule="exact"/>
        <w:ind w:firstLine="0" w:firstLineChars="0"/>
        <w:textAlignment w:val="auto"/>
        <w:rPr>
          <w:rFonts w:hint="eastAsia" w:eastAsia="仿宋"/>
          <w:snapToGrid w:val="0"/>
          <w:color w:val="auto"/>
          <w:sz w:val="28"/>
          <w:lang w:val="en-US" w:eastAsia="zh-CN"/>
        </w:rPr>
      </w:pPr>
      <w:bookmarkStart w:id="264" w:name="_Toc19681"/>
      <w:r>
        <w:rPr>
          <w:rFonts w:eastAsia="仿宋"/>
          <w:snapToGrid w:val="0"/>
          <w:color w:val="auto"/>
          <w:sz w:val="28"/>
        </w:rPr>
        <w:t>5.</w:t>
      </w:r>
      <w:r>
        <w:rPr>
          <w:rFonts w:hint="eastAsia" w:eastAsia="仿宋"/>
          <w:snapToGrid w:val="0"/>
          <w:color w:val="auto"/>
          <w:sz w:val="28"/>
          <w:lang w:val="en-US" w:eastAsia="zh-CN"/>
        </w:rPr>
        <w:t>3</w:t>
      </w:r>
      <w:r>
        <w:rPr>
          <w:rFonts w:eastAsia="仿宋"/>
          <w:snapToGrid w:val="0"/>
          <w:color w:val="auto"/>
          <w:sz w:val="28"/>
        </w:rPr>
        <w:t>.</w:t>
      </w:r>
      <w:r>
        <w:rPr>
          <w:rFonts w:hint="eastAsia" w:eastAsia="仿宋"/>
          <w:snapToGrid w:val="0"/>
          <w:color w:val="auto"/>
          <w:sz w:val="28"/>
          <w:lang w:val="en-US" w:eastAsia="zh-CN"/>
        </w:rPr>
        <w:t>3完善矿产资源有偿使用制度</w:t>
      </w:r>
      <w:bookmarkEnd w:id="264"/>
    </w:p>
    <w:p w14:paraId="4C06A017">
      <w:pPr>
        <w:pStyle w:val="9"/>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完善矿业权出让制度，建立符合市场经济要求和矿业规律的探矿权采矿权出让方式，原则上实行市场化出让，国有矿产资源出让收支纳入预算管理。理清有偿取得、占用和开采中所有者、投资者、使用者的产权关系，研究建立矿产资源国家权益金制度。调整探矿权采矿权使用费标准、矿产资源最低勘查投入标准。推进实现全国统一的矿业权交易平台建设，加大矿业权出让转让信息公开力度。</w:t>
      </w:r>
    </w:p>
    <w:p w14:paraId="0A89F6BC">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rPr>
      </w:pPr>
      <w:bookmarkStart w:id="265" w:name="_Toc28572"/>
      <w:bookmarkStart w:id="266" w:name="_Toc18795"/>
      <w:bookmarkStart w:id="267" w:name="_Toc675"/>
      <w:r>
        <w:rPr>
          <w:rFonts w:eastAsia="仿宋"/>
          <w:snapToGrid w:val="0"/>
          <w:color w:val="auto"/>
          <w:sz w:val="28"/>
        </w:rPr>
        <w:t>5.3.4探索完善生态补偿制度</w:t>
      </w:r>
      <w:bookmarkEnd w:id="265"/>
      <w:bookmarkEnd w:id="266"/>
      <w:bookmarkEnd w:id="267"/>
    </w:p>
    <w:p w14:paraId="1A465204">
      <w:pPr>
        <w:pStyle w:val="9"/>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探索建立市场化、多元化生态补偿机制。制定与经济社会发展水平相协调的补偿政策，加快探索绿水青山就是金山银山的多种现实转化路径，支持开展大气、森林、草地、湿地等生态要素综合补偿试点。完善重要生态功能区生态补偿机制，加大对重点领域的补偿力度，完善生态保护成效与资金分配挂钩的激励约束机制，合理确定补偿方式和范围，以财政奖补为基础，加大对承担基本农田、生态公益林、重要湿地、饮用水水源保护区等保护责任的主体实施生态补偿。完善补偿资金管理，制定生态补偿专项资金使用方案，奖补资金可用于地方生态保护修复和生态产业开发，促进生态保护和绿色产业发展。积极开展生态保护补偿绩效评估，建立区域统筹型生态保护补偿制度，促进区域协调、公平发展。</w:t>
      </w:r>
    </w:p>
    <w:p w14:paraId="7EA9DD7C">
      <w:pPr>
        <w:pStyle w:val="4"/>
        <w:pageBreakBefore w:val="0"/>
        <w:kinsoku/>
        <w:wordWrap/>
        <w:overflowPunct/>
        <w:topLinePunct w:val="0"/>
        <w:autoSpaceDE/>
        <w:autoSpaceDN/>
        <w:bidi w:val="0"/>
        <w:spacing w:before="260" w:after="260" w:line="500" w:lineRule="exact"/>
        <w:ind w:firstLine="0"/>
        <w:textAlignment w:val="auto"/>
        <w:rPr>
          <w:rFonts w:hint="eastAsia" w:ascii="Times New Roman" w:hAnsi="Times New Roman" w:eastAsia="仿宋" w:cs="Times New Roman"/>
          <w:color w:val="auto"/>
          <w:sz w:val="32"/>
          <w:lang w:val="en-US" w:eastAsia="zh-CN"/>
        </w:rPr>
      </w:pPr>
      <w:bookmarkStart w:id="268" w:name="_Toc6986"/>
      <w:r>
        <w:rPr>
          <w:rFonts w:hint="eastAsia" w:ascii="Times New Roman" w:hAnsi="Times New Roman" w:eastAsia="仿宋" w:cs="Times New Roman"/>
          <w:color w:val="auto"/>
          <w:sz w:val="32"/>
          <w:lang w:val="en-US" w:eastAsia="zh-CN"/>
        </w:rPr>
        <w:t>5.4建立健全环境治理体系</w:t>
      </w:r>
      <w:bookmarkEnd w:id="268"/>
    </w:p>
    <w:p w14:paraId="199C1758">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rPr>
      </w:pPr>
      <w:bookmarkStart w:id="269" w:name="_Toc32222"/>
      <w:bookmarkStart w:id="270" w:name="_Toc18526"/>
      <w:bookmarkStart w:id="271" w:name="_Toc20367"/>
      <w:r>
        <w:rPr>
          <w:rFonts w:eastAsia="仿宋"/>
          <w:snapToGrid w:val="0"/>
          <w:color w:val="auto"/>
          <w:sz w:val="28"/>
        </w:rPr>
        <w:t>5.</w:t>
      </w:r>
      <w:r>
        <w:rPr>
          <w:rFonts w:hint="eastAsia" w:eastAsia="仿宋"/>
          <w:snapToGrid w:val="0"/>
          <w:color w:val="auto"/>
          <w:sz w:val="28"/>
          <w:lang w:val="en-US" w:eastAsia="zh-CN"/>
        </w:rPr>
        <w:t>4</w:t>
      </w:r>
      <w:r>
        <w:rPr>
          <w:rFonts w:eastAsia="仿宋"/>
          <w:snapToGrid w:val="0"/>
          <w:color w:val="auto"/>
          <w:sz w:val="28"/>
        </w:rPr>
        <w:t>.1</w:t>
      </w:r>
      <w:bookmarkEnd w:id="269"/>
      <w:r>
        <w:rPr>
          <w:rFonts w:hint="eastAsia" w:eastAsia="仿宋"/>
          <w:snapToGrid w:val="0"/>
          <w:color w:val="auto"/>
          <w:sz w:val="28"/>
        </w:rPr>
        <w:t>严格执行生态环境准入制度</w:t>
      </w:r>
      <w:bookmarkEnd w:id="270"/>
      <w:bookmarkEnd w:id="271"/>
    </w:p>
    <w:p w14:paraId="3EF98D55">
      <w:pPr>
        <w:pStyle w:val="9"/>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严格落实《曲靖市“三线一单”生态环境分区管控实施方案》要求，加强“三线一单”与国土空间规划的衔接应用，将“三线一单”生态环境分区管控和生态环境准入清单作为资源开发、产业布局和结构调整、城镇建设、重大项目选址的重要依据。以生态环境质量改善为核心，落实资源环境承载力硬约束，确保发展不超载，底线不突破。建立资源环境承载能力监测预警长效机制，合理控制空间开发强度，切实将各类开发活动限制在资源环境承载能力之内，为构建高效协调可持续的国土空间开发格局奠定坚实基础。严格实行《云南省环境管控单元生态环境准入清单（2019年）》，禁止发展不具备区域资源禀赋条件、不符合国家重点生态功能区开发管制原则的产业项目。</w:t>
      </w:r>
    </w:p>
    <w:p w14:paraId="2A4077CC">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rPr>
      </w:pPr>
      <w:bookmarkStart w:id="272" w:name="_Toc29698"/>
      <w:bookmarkStart w:id="273" w:name="_Toc10746"/>
      <w:r>
        <w:rPr>
          <w:rFonts w:hint="eastAsia" w:eastAsia="仿宋"/>
          <w:snapToGrid w:val="0"/>
          <w:color w:val="auto"/>
          <w:sz w:val="28"/>
        </w:rPr>
        <w:t>5.</w:t>
      </w:r>
      <w:r>
        <w:rPr>
          <w:rFonts w:hint="eastAsia" w:eastAsia="仿宋"/>
          <w:snapToGrid w:val="0"/>
          <w:color w:val="auto"/>
          <w:sz w:val="28"/>
          <w:lang w:val="en-US" w:eastAsia="zh-CN"/>
        </w:rPr>
        <w:t>4</w:t>
      </w:r>
      <w:r>
        <w:rPr>
          <w:rFonts w:hint="eastAsia" w:eastAsia="仿宋"/>
          <w:snapToGrid w:val="0"/>
          <w:color w:val="auto"/>
          <w:sz w:val="28"/>
        </w:rPr>
        <w:t>.2深入执行环境影响评价与排污许可制度</w:t>
      </w:r>
      <w:bookmarkEnd w:id="272"/>
      <w:bookmarkEnd w:id="273"/>
    </w:p>
    <w:p w14:paraId="2A7131BB">
      <w:pPr>
        <w:pStyle w:val="9"/>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严格落实环境影响评价制度。严格落实国家有关规划环境影响评价、跟踪评价、区域评估的法律规定。强化环评制度源头预防效能，严格落实环境影响评价与“三同时”制度；依法依规对土地利用有关规划和区域、工业园区、流域的建设、开发利用规划，以及工业、农业、畜牧业、林业、能源、水利、交通、城市建设、旅游、自然资源开发的有关专项规划，进行环境影响评价；探索温室气体排放环境影响评价工作并开展温室气体源强核算、评价方法等专题研究；建立统一监管的污染物排放环保管理制度，深化环评审批制度改革；深化环评“放管服”改革工作；推动提升环评审批服务水平，加强事中事后监管。全面推进环评与排污许可政务服务标准化，深化“证照分离”改革，加快推进电子证照应用。</w:t>
      </w:r>
    </w:p>
    <w:p w14:paraId="14F719E8">
      <w:pPr>
        <w:pStyle w:val="9"/>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Times New Roman"/>
          <w:color w:val="auto"/>
          <w:kern w:val="2"/>
          <w:sz w:val="32"/>
          <w:szCs w:val="32"/>
          <w:lang w:val="en-US" w:eastAsia="zh-CN" w:bidi="ar-SA"/>
        </w:rPr>
      </w:pPr>
      <w:bookmarkStart w:id="274" w:name="_Toc28738"/>
      <w:r>
        <w:rPr>
          <w:rFonts w:hint="eastAsia" w:ascii="Times New Roman" w:hAnsi="Times New Roman" w:eastAsia="方正仿宋_GBK" w:cs="方正仿宋_GBK"/>
          <w:b w:val="0"/>
          <w:bCs w:val="0"/>
          <w:color w:val="auto"/>
          <w:kern w:val="2"/>
          <w:sz w:val="28"/>
          <w:szCs w:val="28"/>
          <w:lang w:val="en-US" w:eastAsia="zh-CN" w:bidi="ar-SA"/>
        </w:rPr>
        <w:t>全面实施排污许可制度。建立以排污许可证为主要依据的生态环境日常执法监督工作体系，加强排污许“一证式”管理，加强排污许可证后监督及管理；开展基于排污许可证的监管、监测、监察“三监”联动试点，推动重点行业环境影响评价、排污许可、监管执法全闭环管理；构建以排污许可制度为核心的固定污染源监管制度体系；持续做好排污许可证换证或登记延续动态更新，生态环境主管部门负责具体落实排污许可证后管理相关工作；对排污许可证后管理过程中发现的相关违法问题，生态环境部门按照《排污许可管理条例》依法依规予以处置。</w:t>
      </w:r>
    </w:p>
    <w:p w14:paraId="6DF1A863">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rPr>
      </w:pPr>
      <w:bookmarkStart w:id="275" w:name="_Toc1755"/>
      <w:bookmarkStart w:id="276" w:name="_Toc19801"/>
      <w:r>
        <w:rPr>
          <w:rFonts w:eastAsia="仿宋"/>
          <w:snapToGrid w:val="0"/>
          <w:color w:val="auto"/>
          <w:sz w:val="28"/>
        </w:rPr>
        <w:t>5.</w:t>
      </w:r>
      <w:r>
        <w:rPr>
          <w:rFonts w:hint="eastAsia" w:eastAsia="仿宋"/>
          <w:snapToGrid w:val="0"/>
          <w:color w:val="auto"/>
          <w:sz w:val="28"/>
          <w:lang w:val="en-US" w:eastAsia="zh-CN"/>
        </w:rPr>
        <w:t>4</w:t>
      </w:r>
      <w:r>
        <w:rPr>
          <w:rFonts w:eastAsia="仿宋"/>
          <w:snapToGrid w:val="0"/>
          <w:color w:val="auto"/>
          <w:sz w:val="28"/>
        </w:rPr>
        <w:t>.</w:t>
      </w:r>
      <w:bookmarkEnd w:id="274"/>
      <w:bookmarkStart w:id="277" w:name="_Toc10779"/>
      <w:r>
        <w:rPr>
          <w:rFonts w:hint="eastAsia" w:eastAsia="仿宋"/>
          <w:snapToGrid w:val="0"/>
          <w:color w:val="auto"/>
          <w:sz w:val="28"/>
        </w:rPr>
        <w:t>3</w:t>
      </w:r>
      <w:r>
        <w:rPr>
          <w:rFonts w:eastAsia="仿宋"/>
          <w:snapToGrid w:val="0"/>
          <w:color w:val="auto"/>
          <w:sz w:val="28"/>
        </w:rPr>
        <w:t>严格落实污染物排放总量控制制度</w:t>
      </w:r>
      <w:bookmarkEnd w:id="275"/>
      <w:bookmarkEnd w:id="276"/>
      <w:bookmarkEnd w:id="277"/>
    </w:p>
    <w:p w14:paraId="709D5EFA">
      <w:pPr>
        <w:pStyle w:val="9"/>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实施精细化的污染物排放总量管理制度，坚持精准治污、科学治污、依法治污，把污染物排放总量控制制度作为加快绿色低碳发展、推动结构优化调整、提升环境治理水平的重要抓手，推进实施重点减排工程，形成有效减排能力。进一步加强对工业园区以及国、省控重点污染源的污染排放管理，确保各项污染物稳定达标排放。强化重金属污染物、VOCs排放等重点行业污染治理工作，持续推动污染物减排，全县所有排污企业必须在允许的排污控制量内排放污染物，完善总量减排考核体系，健全激励约束机制，强化总量减排监督管理。</w:t>
      </w:r>
    </w:p>
    <w:p w14:paraId="6390667F">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rPr>
      </w:pPr>
      <w:bookmarkStart w:id="278" w:name="_Toc3565"/>
      <w:bookmarkStart w:id="279" w:name="_Toc6472"/>
      <w:bookmarkStart w:id="280" w:name="_Toc3571"/>
      <w:r>
        <w:rPr>
          <w:rFonts w:eastAsia="仿宋"/>
          <w:snapToGrid w:val="0"/>
          <w:color w:val="auto"/>
          <w:sz w:val="28"/>
        </w:rPr>
        <w:t>5.</w:t>
      </w:r>
      <w:r>
        <w:rPr>
          <w:rFonts w:hint="eastAsia" w:eastAsia="仿宋"/>
          <w:snapToGrid w:val="0"/>
          <w:color w:val="auto"/>
          <w:sz w:val="28"/>
          <w:lang w:val="en-US" w:eastAsia="zh-CN"/>
        </w:rPr>
        <w:t>4</w:t>
      </w:r>
      <w:r>
        <w:rPr>
          <w:rFonts w:eastAsia="仿宋"/>
          <w:snapToGrid w:val="0"/>
          <w:color w:val="auto"/>
          <w:sz w:val="28"/>
        </w:rPr>
        <w:t>.</w:t>
      </w:r>
      <w:r>
        <w:rPr>
          <w:rFonts w:hint="eastAsia" w:eastAsia="仿宋"/>
          <w:snapToGrid w:val="0"/>
          <w:color w:val="auto"/>
          <w:sz w:val="28"/>
        </w:rPr>
        <w:t>4</w:t>
      </w:r>
      <w:r>
        <w:rPr>
          <w:rFonts w:eastAsia="仿宋"/>
          <w:snapToGrid w:val="0"/>
          <w:color w:val="auto"/>
          <w:sz w:val="28"/>
        </w:rPr>
        <w:t>健全落实环境信息公开制度</w:t>
      </w:r>
      <w:bookmarkEnd w:id="278"/>
      <w:bookmarkEnd w:id="279"/>
      <w:bookmarkEnd w:id="280"/>
    </w:p>
    <w:p w14:paraId="02AE40AE">
      <w:pPr>
        <w:pStyle w:val="9"/>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加大环境信息公开力度，健全环境信息公开制度，依法扩大政府环境信息主动公开的范围，规范和畅通信息公开的渠道，主动接受社会公众监督。全面推进大气、水、声等环境质量信息公开、排污单位环境信息公开、监管部门环境信息公开、突发环境事件信息公开，建立定期和动态相结合的信息发布机制，健全建设项目环境影响评价信息公开机制。完善公众参与制度，保障社会公众依法有序行使环境监督权，推进环保设施面向公众开放活动，引导公众积极参与环境决策、环境治理和环境监督。建立环境保护网络举报平台和举报制度，健全举报、听证、舆论监督等制度，健全环境新闻发言人制度。探索创新信息公开途径，充分利用微信公众平台、短视频平台等新兴媒体媒介开展环境信息公开。</w:t>
      </w:r>
    </w:p>
    <w:p w14:paraId="733A774F">
      <w:pPr>
        <w:pStyle w:val="9"/>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加强企事业单位环境信息公开，建立健全信息强制披露机制，按照《企业环境信息依法披露管理办法》规定，监督重点排污单位、实施强制性清洁生产审核的企业、上市公司、发债企业等市场主体依法、及时、真实、准确、完整地披露环境信息。完善企业环保信用管理机制，定期向社会公告企业环保信用评级结果，将环境信息依法披露纳入企业信用管理，作为评价企业信用的重要指标，并将企业违反环境信息依法披露要求的行政处罚信息记入信用记录。</w:t>
      </w:r>
    </w:p>
    <w:p w14:paraId="3DE01240">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rPr>
      </w:pPr>
      <w:bookmarkStart w:id="281" w:name="_Toc7236"/>
      <w:bookmarkStart w:id="282" w:name="_Toc8465"/>
      <w:bookmarkStart w:id="283" w:name="_Toc17463"/>
      <w:r>
        <w:rPr>
          <w:rFonts w:eastAsia="仿宋"/>
          <w:snapToGrid w:val="0"/>
          <w:color w:val="auto"/>
          <w:sz w:val="28"/>
        </w:rPr>
        <w:t>5.</w:t>
      </w:r>
      <w:r>
        <w:rPr>
          <w:rFonts w:hint="eastAsia" w:eastAsia="仿宋"/>
          <w:snapToGrid w:val="0"/>
          <w:color w:val="auto"/>
          <w:sz w:val="28"/>
          <w:lang w:val="en-US" w:eastAsia="zh-CN"/>
        </w:rPr>
        <w:t>4</w:t>
      </w:r>
      <w:r>
        <w:rPr>
          <w:rFonts w:eastAsia="仿宋"/>
          <w:snapToGrid w:val="0"/>
          <w:color w:val="auto"/>
          <w:sz w:val="28"/>
        </w:rPr>
        <w:t>.</w:t>
      </w:r>
      <w:r>
        <w:rPr>
          <w:rFonts w:hint="eastAsia" w:eastAsia="仿宋"/>
          <w:snapToGrid w:val="0"/>
          <w:color w:val="auto"/>
          <w:sz w:val="28"/>
        </w:rPr>
        <w:t>5</w:t>
      </w:r>
      <w:r>
        <w:rPr>
          <w:rFonts w:eastAsia="仿宋"/>
          <w:snapToGrid w:val="0"/>
          <w:color w:val="auto"/>
          <w:sz w:val="28"/>
        </w:rPr>
        <w:t>深化生态环境监管制度</w:t>
      </w:r>
      <w:bookmarkEnd w:id="281"/>
      <w:bookmarkEnd w:id="282"/>
      <w:bookmarkEnd w:id="283"/>
    </w:p>
    <w:p w14:paraId="0A2A302C">
      <w:pPr>
        <w:pStyle w:val="9"/>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健全生态环境综合执法体系。推进执法能力标准化建设，规范生态环境执法程序和执法行为，加快补齐生态环境监管领域执法能力短板，健全生态环境网格化监管执法体系。完善监管机制，整合相关部门污染防治和生态环境保护执法职责、队伍，统一实行生态环境保护执法。加强生态保护红线、自然保护地等重点区域监管执法，定期开展生态保护红线常态化执法监督检查，持续开展“绿盾”自然保护地强化监督，及时发现各类生态破坏行为并跟踪督办，扎实推进生态环境保护督察整改及长效机制建设。强化监测能力建设，完善生态环境监测网络和技术体系，全面提高监测自动化、标准化、信息化水平，推动实现环境质量预报预警，确保监测数据“真、准、全”。</w:t>
      </w:r>
    </w:p>
    <w:p w14:paraId="30375DC9">
      <w:pPr>
        <w:pStyle w:val="9"/>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创新生态环境执法监管模式。健全以“双随机、一公开”为手段、以重点监管为补充、以信用监管为基础的监管机制。充分运用在线监控、卫星遥感、无人机等科技手段，大力推进非现场执法。加强环境行政执法和刑事司法衔接，形成打击环境违法犯罪行为的高压态势，完善信息共享、案情通报、案件移送等制度，确保在证据认定、法律适用等环节与司法机关达成一致，精准高效打击环境违法行为。完善生态环境违法容错纠错、重点环境问题后督察等制度。</w:t>
      </w:r>
    </w:p>
    <w:p w14:paraId="792AC488">
      <w:pPr>
        <w:pStyle w:val="9"/>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bookmarkStart w:id="284" w:name="_Toc103590107"/>
      <w:bookmarkStart w:id="285" w:name="_Toc88223197"/>
      <w:r>
        <w:rPr>
          <w:rFonts w:hint="eastAsia" w:ascii="Times New Roman" w:hAnsi="Times New Roman" w:eastAsia="方正仿宋_GBK" w:cs="方正仿宋_GBK"/>
          <w:b w:val="0"/>
          <w:bCs w:val="0"/>
          <w:color w:val="auto"/>
          <w:kern w:val="2"/>
          <w:sz w:val="28"/>
          <w:szCs w:val="28"/>
          <w:lang w:val="en-US" w:eastAsia="zh-CN" w:bidi="ar-SA"/>
        </w:rPr>
        <w:t>建立区域联防联控及部门协调机制。进一步加强与会泽县、沾益区等相邻县（区）的治污合作，建立区域污染防治机制，加强区域间环境监测、环境执法、环境事件应急等协同协作，加大区域联合执法力度，严厉打击各类环境污染、破坏生态行为，建立地区间互相监督、信息共享、公益诉讼协助、环境修复协作等工作机制，实现区域联防联控，形成污染防治攻坚合力，促进区域环境质量提高。建立跨部门生态环境保护执法联动机制，加强生态环境、自然资源、林草、水务、卫生健康、应急等各部门之间的协调配合，形成生态环境保护工作合力。</w:t>
      </w:r>
    </w:p>
    <w:p w14:paraId="333F9CEB">
      <w:pPr>
        <w:pStyle w:val="9"/>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完善企业环境信用评价制度和监管体系。加强企业环境信用评价，健全环境信用信息归集、评价、奖惩机制，强化信用评价结果运用，构建以环境信用评级为基础的分级分类差别化信用监管模式，将执法监管方式和频次、执法正面清单等与信用评价结果挂钩，以环境信用监管引导企业建立现代环境治理体系。</w:t>
      </w:r>
      <w:bookmarkEnd w:id="284"/>
      <w:bookmarkEnd w:id="285"/>
      <w:bookmarkStart w:id="286" w:name="_Toc29446"/>
      <w:bookmarkStart w:id="287" w:name="_Toc26407"/>
    </w:p>
    <w:p w14:paraId="4DE5472B">
      <w:pPr>
        <w:pStyle w:val="9"/>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推深做实河（湖）长制。持续深入推进河（湖）长制从“有名”向“有实”“有能”转变，强化河长制工作保障机制，提升河湖治理能力，推进河湖管护各项专项行动常态化、规范化。完善河长制信息管理系统建设，加强与市级信息系统互联互通，推进智慧河湖建设。夯实管理基础，完善基层巡（护）河员体系，做好河湖日常巡查、水面和堤岸保洁。探索建立健全重点流域上下游左右岸相互监督及生态保护补偿机制，推动区域间联防联治。推进“一河（库）一策”修编，积极开展元江流域、化念河水库等重点河流、水库健康评价，为河湖管理和河长科学决策提供技术支撑。深入推进全县美丽河湖建设，积极开展美丽河湖生物多样性监测、河湖健康评价、水生生物栖息地修复等工作。建立健全以党政领导负责制为核心的责任体系，明确各级河（湖）长职责，强化工作措施，全面压实河（湖）长巡河（湖）护河（湖）工作责任。强化单位间信息共享和联合执法机制，进一步构建良好的生态河湖格局。持续推进“河长制+全民参与”模式，探索制定“河湖问题有奖监督举报机制”，积极引导全民参与河湖管理与保护，形成全社会共同参与水生态水环境治理保护的强大合力。</w:t>
      </w:r>
    </w:p>
    <w:p w14:paraId="78CBF1CE">
      <w:pPr>
        <w:pStyle w:val="9"/>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构建现代生态林业治理体系。按照山水林田湖草沙系统治理的要求，要坚持生态优先、保护为主、绿色发展，深入实施生态立县战略，进一步明确各级党政领导干部保护发展森林草原资源目标责任，深化林草资源综合改革，建立健全以党政领导责任制为核心的市、县、乡、村四级林长制责任体系，建立林长制工作机制，构建党政同责、属地负责、部门协同、源头治理、全域覆盖的森林、草原、湿地保护发展长效机制。健全考核评价体系，研究建立科学合理的林长考核指标体系，完善考核办法，细化考核内容。不断巩固提升三级林长制组织体系运行质量，构建形成责任明确、协调有序、运行高效、监管严格的森林资源发展和保护工作机制。贯彻落实《新平县林长巡林制度》，常态化推进“林长+检察长”工作机制，协同推进“护绿、增绿、管绿、用绿、活绿”。探索开展“智慧林区”示范点创建行动，强化林区基础设施建设，逐步实现林业治理体系和治理能力现代化。</w:t>
      </w:r>
    </w:p>
    <w:bookmarkEnd w:id="286"/>
    <w:bookmarkEnd w:id="287"/>
    <w:p w14:paraId="38517DB6">
      <w:pPr>
        <w:pStyle w:val="4"/>
        <w:pageBreakBefore w:val="0"/>
        <w:kinsoku/>
        <w:wordWrap/>
        <w:overflowPunct/>
        <w:topLinePunct w:val="0"/>
        <w:autoSpaceDE/>
        <w:autoSpaceDN/>
        <w:bidi w:val="0"/>
        <w:spacing w:before="260" w:after="260" w:line="500" w:lineRule="exact"/>
        <w:ind w:firstLine="0"/>
        <w:textAlignment w:val="auto"/>
        <w:rPr>
          <w:rFonts w:hint="eastAsia" w:ascii="Times New Roman" w:hAnsi="Times New Roman" w:eastAsia="仿宋" w:cs="Times New Roman"/>
          <w:color w:val="auto"/>
          <w:sz w:val="32"/>
          <w:lang w:val="en-US" w:eastAsia="zh-CN"/>
        </w:rPr>
      </w:pPr>
      <w:bookmarkStart w:id="288" w:name="_Toc24415"/>
      <w:r>
        <w:rPr>
          <w:rFonts w:hint="eastAsia" w:ascii="Times New Roman" w:hAnsi="Times New Roman" w:eastAsia="仿宋" w:cs="Times New Roman"/>
          <w:color w:val="auto"/>
          <w:sz w:val="32"/>
          <w:lang w:val="en-US" w:eastAsia="zh-CN"/>
        </w:rPr>
        <w:t>5.5健全环境治理和生态保护市场体系</w:t>
      </w:r>
      <w:bookmarkEnd w:id="288"/>
    </w:p>
    <w:p w14:paraId="272B3B61">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rPr>
      </w:pPr>
      <w:bookmarkStart w:id="289" w:name="_Toc30753"/>
      <w:r>
        <w:rPr>
          <w:rFonts w:eastAsia="仿宋"/>
          <w:snapToGrid w:val="0"/>
          <w:color w:val="auto"/>
          <w:sz w:val="28"/>
        </w:rPr>
        <w:t>5.</w:t>
      </w:r>
      <w:r>
        <w:rPr>
          <w:rFonts w:hint="eastAsia" w:eastAsia="仿宋"/>
          <w:snapToGrid w:val="0"/>
          <w:color w:val="auto"/>
          <w:sz w:val="28"/>
          <w:lang w:val="en-US" w:eastAsia="zh-CN"/>
        </w:rPr>
        <w:t>5</w:t>
      </w:r>
      <w:r>
        <w:rPr>
          <w:rFonts w:eastAsia="仿宋"/>
          <w:snapToGrid w:val="0"/>
          <w:color w:val="auto"/>
          <w:sz w:val="28"/>
        </w:rPr>
        <w:t>.</w:t>
      </w:r>
      <w:r>
        <w:rPr>
          <w:rFonts w:hint="eastAsia" w:eastAsia="仿宋"/>
          <w:snapToGrid w:val="0"/>
          <w:color w:val="auto"/>
          <w:sz w:val="28"/>
          <w:lang w:val="en-US" w:eastAsia="zh-CN"/>
        </w:rPr>
        <w:t>1</w:t>
      </w:r>
      <w:r>
        <w:rPr>
          <w:rFonts w:eastAsia="仿宋"/>
          <w:snapToGrid w:val="0"/>
          <w:color w:val="auto"/>
          <w:sz w:val="28"/>
        </w:rPr>
        <w:t>培育环境治理和生态保护市场主体</w:t>
      </w:r>
      <w:bookmarkEnd w:id="289"/>
    </w:p>
    <w:p w14:paraId="47BD5194">
      <w:pPr>
        <w:pStyle w:val="9"/>
        <w:pageBreakBefore w:val="0"/>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采取鼓励发展节能环保产业的体制机制和政策措施。废止妨碍形成全国统一市场和公平竞争的规定和做法，鼓励各类投资进入环保市场。能由政府和社会资本合作开展的环境治理和生态保护事务，都可以吸引社会资本参与建设和运营。通过政府购买服务等方式，加大对环境污染第三方治理的支持力度。加快推进污水垃圾处理设施运营管理单位向独立核算、自主经营的企业转变。组建或改组设立国有资本投资运营公司，推动国有资本加大对环境治理和生态保护等方面的投入。支持生态环境保护领域国有企业实行混合所有制改革。</w:t>
      </w:r>
    </w:p>
    <w:p w14:paraId="41247883">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rPr>
      </w:pPr>
      <w:bookmarkStart w:id="290" w:name="_Toc22065"/>
      <w:r>
        <w:rPr>
          <w:rFonts w:eastAsia="仿宋"/>
          <w:snapToGrid w:val="0"/>
          <w:color w:val="auto"/>
          <w:sz w:val="28"/>
          <w:lang w:val="en-US" w:eastAsia="zh-CN"/>
        </w:rPr>
        <w:t>5.</w:t>
      </w:r>
      <w:r>
        <w:rPr>
          <w:rFonts w:hint="eastAsia" w:eastAsia="仿宋"/>
          <w:snapToGrid w:val="0"/>
          <w:color w:val="auto"/>
          <w:sz w:val="28"/>
          <w:lang w:val="en-US" w:eastAsia="zh-CN"/>
        </w:rPr>
        <w:t>5</w:t>
      </w:r>
      <w:r>
        <w:rPr>
          <w:rFonts w:eastAsia="仿宋"/>
          <w:snapToGrid w:val="0"/>
          <w:color w:val="auto"/>
          <w:sz w:val="28"/>
          <w:lang w:val="en-US" w:eastAsia="zh-CN"/>
        </w:rPr>
        <w:t>.</w:t>
      </w:r>
      <w:r>
        <w:rPr>
          <w:rFonts w:hint="eastAsia" w:eastAsia="仿宋"/>
          <w:snapToGrid w:val="0"/>
          <w:color w:val="auto"/>
          <w:sz w:val="28"/>
          <w:lang w:val="en-US" w:eastAsia="zh-CN"/>
        </w:rPr>
        <w:t>2</w:t>
      </w:r>
      <w:r>
        <w:rPr>
          <w:rFonts w:hint="default" w:eastAsia="仿宋"/>
          <w:snapToGrid w:val="0"/>
          <w:color w:val="auto"/>
          <w:sz w:val="28"/>
          <w:lang w:val="en-US" w:eastAsia="zh-CN"/>
        </w:rPr>
        <w:t>推行用能权和碳排放权交易制度</w:t>
      </w:r>
      <w:bookmarkEnd w:id="290"/>
    </w:p>
    <w:p w14:paraId="058332AB">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lang w:val="en-US" w:eastAsia="zh-CN"/>
        </w:rPr>
      </w:pPr>
      <w:bookmarkStart w:id="291" w:name="_Toc11048"/>
      <w:r>
        <w:rPr>
          <w:rFonts w:eastAsia="仿宋"/>
          <w:snapToGrid w:val="0"/>
          <w:color w:val="auto"/>
          <w:sz w:val="28"/>
          <w:lang w:val="en-US" w:eastAsia="zh-CN"/>
        </w:rPr>
        <w:t>5.</w:t>
      </w:r>
      <w:r>
        <w:rPr>
          <w:rFonts w:hint="eastAsia" w:eastAsia="仿宋"/>
          <w:snapToGrid w:val="0"/>
          <w:color w:val="auto"/>
          <w:sz w:val="28"/>
          <w:lang w:val="en-US" w:eastAsia="zh-CN"/>
        </w:rPr>
        <w:t>5</w:t>
      </w:r>
      <w:r>
        <w:rPr>
          <w:rFonts w:eastAsia="仿宋"/>
          <w:snapToGrid w:val="0"/>
          <w:color w:val="auto"/>
          <w:sz w:val="28"/>
          <w:lang w:val="en-US" w:eastAsia="zh-CN"/>
        </w:rPr>
        <w:t>.</w:t>
      </w:r>
      <w:r>
        <w:rPr>
          <w:rFonts w:hint="eastAsia" w:eastAsia="仿宋"/>
          <w:snapToGrid w:val="0"/>
          <w:color w:val="auto"/>
          <w:sz w:val="28"/>
          <w:lang w:val="en-US" w:eastAsia="zh-CN"/>
        </w:rPr>
        <w:t>3</w:t>
      </w:r>
      <w:r>
        <w:rPr>
          <w:rFonts w:hint="default" w:eastAsia="仿宋"/>
          <w:snapToGrid w:val="0"/>
          <w:color w:val="auto"/>
          <w:sz w:val="28"/>
          <w:lang w:val="en-US" w:eastAsia="zh-CN"/>
        </w:rPr>
        <w:t>推行排污权交易制度</w:t>
      </w:r>
      <w:bookmarkEnd w:id="291"/>
    </w:p>
    <w:p w14:paraId="2BB7C49A">
      <w:pPr>
        <w:pStyle w:val="9"/>
        <w:pageBreakBefore w:val="0"/>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在企业排污总量控制制度基础上，尽快完善初始排污权核定，扩大涵盖的污染物覆盖面。在现行以行政区为单元层层分解机制基础上，根据行业先进排污水平，逐步强化以企业为单元进行总量控制、通过排污权交易获得减排收益的机制。在重点流域和大气污染重点区域，合理推进跨行政区排污权交易。扩大排污权有偿使用和交易试点，将更多条件成熟地区纳入试点。加强排污权交易平台建设。制定排污权核定、使用费收取使用和交易价格等规定。</w:t>
      </w:r>
    </w:p>
    <w:p w14:paraId="56D9CB0E">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lang w:val="en-US" w:eastAsia="zh-CN"/>
        </w:rPr>
      </w:pPr>
      <w:bookmarkStart w:id="292" w:name="_Toc26786"/>
      <w:r>
        <w:rPr>
          <w:rFonts w:hint="default" w:eastAsia="仿宋"/>
          <w:snapToGrid w:val="0"/>
          <w:color w:val="auto"/>
          <w:sz w:val="28"/>
          <w:lang w:val="en-US" w:eastAsia="zh-CN"/>
        </w:rPr>
        <w:t>5.</w:t>
      </w:r>
      <w:r>
        <w:rPr>
          <w:rFonts w:hint="eastAsia" w:eastAsia="仿宋"/>
          <w:snapToGrid w:val="0"/>
          <w:color w:val="auto"/>
          <w:sz w:val="28"/>
          <w:lang w:val="en-US" w:eastAsia="zh-CN"/>
        </w:rPr>
        <w:t>5</w:t>
      </w:r>
      <w:r>
        <w:rPr>
          <w:rFonts w:hint="default" w:eastAsia="仿宋"/>
          <w:snapToGrid w:val="0"/>
          <w:color w:val="auto"/>
          <w:sz w:val="28"/>
          <w:lang w:val="en-US" w:eastAsia="zh-CN"/>
        </w:rPr>
        <w:t>.</w:t>
      </w:r>
      <w:r>
        <w:rPr>
          <w:rFonts w:hint="eastAsia" w:eastAsia="仿宋"/>
          <w:snapToGrid w:val="0"/>
          <w:color w:val="auto"/>
          <w:sz w:val="28"/>
          <w:lang w:val="en-US" w:eastAsia="zh-CN"/>
        </w:rPr>
        <w:t>4</w:t>
      </w:r>
      <w:r>
        <w:rPr>
          <w:rFonts w:hint="default" w:eastAsia="仿宋"/>
          <w:snapToGrid w:val="0"/>
          <w:color w:val="auto"/>
          <w:sz w:val="28"/>
          <w:lang w:val="en-US" w:eastAsia="zh-CN"/>
        </w:rPr>
        <w:t>推行水权交易制度</w:t>
      </w:r>
      <w:bookmarkEnd w:id="292"/>
    </w:p>
    <w:p w14:paraId="034B8254">
      <w:pPr>
        <w:pStyle w:val="9"/>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结合水生态补偿机制的建立健全，合理界定和分配水权，探索地区间、流域间、流域上下游、行业间、用水户间等水权交易方式。研究制定水权交易管理办法，明确可交易水权的范围和类型、交易主体和期限、交易价格形成机制、交易平台运作规则等。开展水权交易平台建设</w:t>
      </w:r>
      <w:r>
        <w:rPr>
          <w:rFonts w:hint="eastAsia" w:ascii="Times New Roman" w:hAnsi="Times New Roman" w:eastAsia="方正仿宋_GBK" w:cs="方正仿宋_GBK"/>
          <w:b w:val="0"/>
          <w:bCs w:val="0"/>
          <w:color w:val="auto"/>
          <w:kern w:val="2"/>
          <w:sz w:val="28"/>
          <w:szCs w:val="28"/>
          <w:lang w:val="en-US" w:eastAsia="zh-CN" w:bidi="ar-SA"/>
        </w:rPr>
        <w:t>。</w:t>
      </w:r>
    </w:p>
    <w:p w14:paraId="451C1017">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lang w:val="en-US" w:eastAsia="zh-CN"/>
        </w:rPr>
      </w:pPr>
      <w:bookmarkStart w:id="293" w:name="_Toc24418"/>
      <w:r>
        <w:rPr>
          <w:rFonts w:hint="default" w:eastAsia="仿宋"/>
          <w:snapToGrid w:val="0"/>
          <w:color w:val="auto"/>
          <w:sz w:val="28"/>
          <w:lang w:val="en-US" w:eastAsia="zh-CN"/>
        </w:rPr>
        <w:t>5.</w:t>
      </w:r>
      <w:r>
        <w:rPr>
          <w:rFonts w:hint="eastAsia" w:eastAsia="仿宋"/>
          <w:snapToGrid w:val="0"/>
          <w:color w:val="auto"/>
          <w:sz w:val="28"/>
          <w:lang w:val="en-US" w:eastAsia="zh-CN"/>
        </w:rPr>
        <w:t>5</w:t>
      </w:r>
      <w:r>
        <w:rPr>
          <w:rFonts w:hint="default" w:eastAsia="仿宋"/>
          <w:snapToGrid w:val="0"/>
          <w:color w:val="auto"/>
          <w:sz w:val="28"/>
          <w:lang w:val="en-US" w:eastAsia="zh-CN"/>
        </w:rPr>
        <w:t>.</w:t>
      </w:r>
      <w:r>
        <w:rPr>
          <w:rFonts w:hint="eastAsia" w:eastAsia="仿宋"/>
          <w:snapToGrid w:val="0"/>
          <w:color w:val="auto"/>
          <w:sz w:val="28"/>
          <w:lang w:val="en-US" w:eastAsia="zh-CN"/>
        </w:rPr>
        <w:t>5</w:t>
      </w:r>
      <w:r>
        <w:rPr>
          <w:rFonts w:hint="default" w:eastAsia="仿宋"/>
          <w:snapToGrid w:val="0"/>
          <w:color w:val="auto"/>
          <w:sz w:val="28"/>
          <w:lang w:val="en-US" w:eastAsia="zh-CN"/>
        </w:rPr>
        <w:t>建立绿色金融体系</w:t>
      </w:r>
      <w:bookmarkEnd w:id="293"/>
    </w:p>
    <w:p w14:paraId="18901697">
      <w:pPr>
        <w:pStyle w:val="9"/>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推广绿色信贷，研究采取财政贴息等方式加大扶持力度，鼓励各类金融机构加大绿色信贷的发放力度，明确贷款人的尽职免责要求和环境保护法律责任。加强资本市场相关制度建设，研究设立绿色股票指数和发展相关投资产品，研究银行和企业发行绿色债券，鼓励对绿色信贷资产实行证券化。支持设立各类绿色发展基金，实行市场化运作。建立上市公司环保信息强制性披露机制。完善对节能低碳、生态环保项目的各类担保机制，加大风险补偿力度。在环境高风险领域建立环境污染强制责任保险制度。建立绿色评级体系以及公益性的环境成本核算和影响评估体系。积极推动绿色金融领域各类国际合作。将目前分头设立的环保、节能、节水、循环、低碳、再生、有机等产品统一整合为绿色产品，建立统一的绿色产品标准、认证、标识等体系。完善对绿色产品研发生产、运输配送、购买使用的财税金融支持和政府采购等政策。</w:t>
      </w:r>
    </w:p>
    <w:p w14:paraId="7C475683">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rPr>
      </w:pPr>
      <w:bookmarkStart w:id="294" w:name="_Toc17403"/>
      <w:bookmarkStart w:id="295" w:name="_Toc30388"/>
      <w:r>
        <w:rPr>
          <w:rFonts w:eastAsia="仿宋"/>
          <w:snapToGrid w:val="0"/>
          <w:color w:val="auto"/>
          <w:sz w:val="28"/>
        </w:rPr>
        <w:t>5.</w:t>
      </w:r>
      <w:r>
        <w:rPr>
          <w:rFonts w:hint="eastAsia" w:eastAsia="仿宋"/>
          <w:snapToGrid w:val="0"/>
          <w:color w:val="auto"/>
          <w:sz w:val="28"/>
          <w:lang w:val="en-US" w:eastAsia="zh-CN"/>
        </w:rPr>
        <w:t>5</w:t>
      </w:r>
      <w:r>
        <w:rPr>
          <w:rFonts w:eastAsia="仿宋"/>
          <w:snapToGrid w:val="0"/>
          <w:color w:val="auto"/>
          <w:sz w:val="28"/>
        </w:rPr>
        <w:t>.</w:t>
      </w:r>
      <w:r>
        <w:rPr>
          <w:rFonts w:hint="eastAsia" w:eastAsia="仿宋"/>
          <w:snapToGrid w:val="0"/>
          <w:color w:val="auto"/>
          <w:sz w:val="28"/>
          <w:lang w:val="en-US" w:eastAsia="zh-CN"/>
        </w:rPr>
        <w:t>6</w:t>
      </w:r>
      <w:r>
        <w:rPr>
          <w:rFonts w:eastAsia="仿宋"/>
          <w:snapToGrid w:val="0"/>
          <w:color w:val="auto"/>
          <w:sz w:val="28"/>
        </w:rPr>
        <w:t>健全生态产品价值实现支撑机制</w:t>
      </w:r>
      <w:bookmarkEnd w:id="294"/>
      <w:bookmarkEnd w:id="295"/>
    </w:p>
    <w:p w14:paraId="6E17C54D">
      <w:pPr>
        <w:pStyle w:val="9"/>
        <w:pageBreakBefore w:val="0"/>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建立生态产品价值实现机制。建立生态产品的生产、流通、消费与保护的全过程价值实现机制，积极探索</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从资源到资产、从资产到资本</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的全链条式生态产品价值实现路径，将资源所有者权益和生态环境损害等纳入自然资源及其产品价格形成机制。在严格保护生态环境前提下，鼓励采取多样化模式和路径，科学合理推动生态产品价值实现，科学运用先进技术实施精深加工，拓展延伸生态产品产业链和价值链，依托资源禀赋打造旅游与康养休闲融合发展的生态旅游开发模式。不断完善投融资机制，为生态产品的价值提供多样化的金融服务。</w:t>
      </w:r>
    </w:p>
    <w:p w14:paraId="191C044F">
      <w:pPr>
        <w:pStyle w:val="9"/>
        <w:pageBreakBefore w:val="0"/>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建立生态产品价值评价机制。开展生态产品价值核算指标体系研究，探索建立生态产品价值核算方法，形成生态产品价值核算成果的应用机制，将生态产品价值核算成果作为自然资源有偿使用、生态保护补偿、自然资源损害赔偿和绿色发展考核等重要参考。推动市场化机制对生态产品价值实现的探索。</w:t>
      </w:r>
    </w:p>
    <w:p w14:paraId="6CC07A0A">
      <w:pPr>
        <w:pStyle w:val="9"/>
        <w:pageBreakBefore w:val="0"/>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建立生态产品价值考核机制。鼓励开展生态产品价值实现的政府考核评估机制，探索将生态产品价值核算结果作为领导干部自然资源资产离任审计的重要参考。</w:t>
      </w:r>
    </w:p>
    <w:p w14:paraId="3FC9F721">
      <w:pPr>
        <w:pStyle w:val="4"/>
        <w:pageBreakBefore w:val="0"/>
        <w:kinsoku/>
        <w:wordWrap/>
        <w:overflowPunct/>
        <w:topLinePunct w:val="0"/>
        <w:autoSpaceDE/>
        <w:autoSpaceDN/>
        <w:bidi w:val="0"/>
        <w:spacing w:before="260" w:after="260" w:line="500" w:lineRule="exact"/>
        <w:ind w:firstLine="0"/>
        <w:textAlignment w:val="auto"/>
        <w:rPr>
          <w:rFonts w:hint="eastAsia" w:ascii="Times New Roman" w:hAnsi="Times New Roman" w:eastAsia="仿宋" w:cs="Times New Roman"/>
          <w:color w:val="auto"/>
          <w:sz w:val="32"/>
          <w:lang w:val="en-US" w:eastAsia="zh-CN"/>
        </w:rPr>
      </w:pPr>
      <w:bookmarkStart w:id="296" w:name="_Toc24953"/>
      <w:r>
        <w:rPr>
          <w:rFonts w:hint="eastAsia" w:ascii="Times New Roman" w:hAnsi="Times New Roman" w:eastAsia="仿宋" w:cs="Times New Roman"/>
          <w:color w:val="auto"/>
          <w:sz w:val="32"/>
          <w:lang w:val="en-US" w:eastAsia="zh-CN"/>
        </w:rPr>
        <w:t>5.6完善生态文明绩效评价考核和责任追究制度</w:t>
      </w:r>
      <w:bookmarkEnd w:id="296"/>
    </w:p>
    <w:p w14:paraId="6FF865C6">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rPr>
      </w:pPr>
      <w:bookmarkStart w:id="297" w:name="_Toc12751"/>
      <w:bookmarkStart w:id="298" w:name="_Toc25774"/>
      <w:bookmarkStart w:id="299" w:name="_Toc22371"/>
      <w:r>
        <w:rPr>
          <w:rFonts w:eastAsia="仿宋"/>
          <w:snapToGrid w:val="0"/>
          <w:color w:val="auto"/>
          <w:sz w:val="28"/>
        </w:rPr>
        <w:t>5.</w:t>
      </w:r>
      <w:r>
        <w:rPr>
          <w:rFonts w:hint="eastAsia" w:eastAsia="仿宋"/>
          <w:snapToGrid w:val="0"/>
          <w:color w:val="auto"/>
          <w:sz w:val="28"/>
          <w:lang w:val="en-US" w:eastAsia="zh-CN"/>
        </w:rPr>
        <w:t>6</w:t>
      </w:r>
      <w:r>
        <w:rPr>
          <w:rFonts w:eastAsia="仿宋"/>
          <w:snapToGrid w:val="0"/>
          <w:color w:val="auto"/>
          <w:sz w:val="28"/>
        </w:rPr>
        <w:t>.1完善生态文明建设目标责任制度</w:t>
      </w:r>
      <w:bookmarkEnd w:id="297"/>
      <w:bookmarkEnd w:id="298"/>
      <w:bookmarkEnd w:id="299"/>
    </w:p>
    <w:p w14:paraId="4E6BE62E">
      <w:pPr>
        <w:pStyle w:val="9"/>
        <w:pageBreakBefore w:val="0"/>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全面落实</w:t>
      </w:r>
      <w:r>
        <w:rPr>
          <w:rFonts w:hint="eastAsia" w:ascii="Times New Roman" w:hAnsi="Times New Roman" w:eastAsia="方正仿宋_GBK" w:cs="方正仿宋_GBK"/>
          <w:b w:val="0"/>
          <w:bCs w:val="0"/>
          <w:color w:val="auto"/>
          <w:kern w:val="2"/>
          <w:sz w:val="28"/>
          <w:szCs w:val="28"/>
          <w:lang w:val="en-US" w:eastAsia="zh-CN" w:bidi="ar-SA"/>
        </w:rPr>
        <w:t>《新平县市级有关部门生态环境保护责任清单》</w:t>
      </w:r>
      <w:r>
        <w:rPr>
          <w:rFonts w:hint="default" w:ascii="Times New Roman" w:hAnsi="Times New Roman" w:eastAsia="方正仿宋_GBK" w:cs="方正仿宋_GBK"/>
          <w:b w:val="0"/>
          <w:bCs w:val="0"/>
          <w:color w:val="auto"/>
          <w:kern w:val="2"/>
          <w:sz w:val="28"/>
          <w:szCs w:val="28"/>
          <w:lang w:val="en-US" w:eastAsia="zh-CN" w:bidi="ar-SA"/>
        </w:rPr>
        <w:t>，实施政府部门生态文明建设目标年度评价、考核机制，完善</w:t>
      </w:r>
      <w:r>
        <w:rPr>
          <w:rFonts w:hint="eastAsia" w:ascii="Times New Roman" w:hAnsi="Times New Roman" w:eastAsia="方正仿宋_GBK" w:cs="方正仿宋_GBK"/>
          <w:b w:val="0"/>
          <w:bCs w:val="0"/>
          <w:color w:val="auto"/>
          <w:kern w:val="2"/>
          <w:sz w:val="28"/>
          <w:szCs w:val="28"/>
          <w:lang w:val="en-US" w:eastAsia="zh-CN" w:bidi="ar-SA"/>
        </w:rPr>
        <w:t>新平县</w:t>
      </w:r>
      <w:r>
        <w:rPr>
          <w:rFonts w:hint="default" w:ascii="Times New Roman" w:hAnsi="Times New Roman" w:eastAsia="方正仿宋_GBK" w:cs="方正仿宋_GBK"/>
          <w:b w:val="0"/>
          <w:bCs w:val="0"/>
          <w:color w:val="auto"/>
          <w:kern w:val="2"/>
          <w:sz w:val="28"/>
          <w:szCs w:val="28"/>
          <w:lang w:val="en-US" w:eastAsia="zh-CN" w:bidi="ar-SA"/>
        </w:rPr>
        <w:t>生态文明综合考评办法和指标体系，推动考评重点向绿色发展和生态建设等高质量发展指标转变。考核结果向社会公布，并作为</w:t>
      </w:r>
      <w:r>
        <w:rPr>
          <w:rFonts w:hint="eastAsia" w:ascii="Times New Roman" w:hAnsi="Times New Roman" w:eastAsia="方正仿宋_GBK" w:cs="方正仿宋_GBK"/>
          <w:b w:val="0"/>
          <w:bCs w:val="0"/>
          <w:color w:val="auto"/>
          <w:kern w:val="2"/>
          <w:sz w:val="28"/>
          <w:szCs w:val="28"/>
          <w:lang w:val="en-US" w:eastAsia="zh-CN" w:bidi="ar-SA"/>
        </w:rPr>
        <w:t>各级</w:t>
      </w:r>
      <w:r>
        <w:rPr>
          <w:rFonts w:hint="default" w:ascii="Times New Roman" w:hAnsi="Times New Roman" w:eastAsia="方正仿宋_GBK" w:cs="方正仿宋_GBK"/>
          <w:b w:val="0"/>
          <w:bCs w:val="0"/>
          <w:color w:val="auto"/>
          <w:kern w:val="2"/>
          <w:sz w:val="28"/>
          <w:szCs w:val="28"/>
          <w:lang w:val="en-US" w:eastAsia="zh-CN" w:bidi="ar-SA"/>
        </w:rPr>
        <w:t>党政领导班子和领导干部综合考核评价、干部奖惩任免的重要依据。完善奖惩分明的工作激励机制，发挥考评的导向和激励作用。提高生态文明建设工作在党政实绩考核中的比例，将资源消耗、环境损害、生态效益等绿色发展指标纳入党政实绩考核范畴，制定生态文明建设的年度计划，分解落实生态文明建设任务，确保规划编制的各项工程和任务顺利落实。将</w:t>
      </w:r>
      <w:r>
        <w:rPr>
          <w:rFonts w:hint="eastAsia" w:ascii="Times New Roman" w:hAnsi="Times New Roman" w:eastAsia="方正仿宋_GBK" w:cs="方正仿宋_GBK"/>
          <w:b w:val="0"/>
          <w:bCs w:val="0"/>
          <w:color w:val="auto"/>
          <w:kern w:val="2"/>
          <w:sz w:val="28"/>
          <w:szCs w:val="28"/>
          <w:lang w:val="en-US" w:eastAsia="zh-CN" w:bidi="ar-SA"/>
        </w:rPr>
        <w:t>全县</w:t>
      </w:r>
      <w:r>
        <w:rPr>
          <w:rFonts w:hint="default" w:ascii="Times New Roman" w:hAnsi="Times New Roman" w:eastAsia="方正仿宋_GBK" w:cs="方正仿宋_GBK"/>
          <w:b w:val="0"/>
          <w:bCs w:val="0"/>
          <w:color w:val="auto"/>
          <w:kern w:val="2"/>
          <w:sz w:val="28"/>
          <w:szCs w:val="28"/>
          <w:lang w:val="en-US" w:eastAsia="zh-CN" w:bidi="ar-SA"/>
        </w:rPr>
        <w:t>生态文明建设目标达标情况以及生态文明建设重点任务、措施完成情况纳入部门考核，确保生态文明建设工作占党政实绩考核的比例达到</w:t>
      </w:r>
      <w:r>
        <w:rPr>
          <w:rFonts w:hint="eastAsia" w:ascii="Times New Roman" w:hAnsi="Times New Roman" w:eastAsia="方正仿宋_GBK" w:cs="方正仿宋_GBK"/>
          <w:b w:val="0"/>
          <w:bCs w:val="0"/>
          <w:color w:val="auto"/>
          <w:kern w:val="2"/>
          <w:sz w:val="28"/>
          <w:szCs w:val="28"/>
          <w:highlight w:val="yellow"/>
          <w:lang w:val="en-US" w:eastAsia="zh-CN" w:bidi="ar-SA"/>
        </w:rPr>
        <w:t>24</w:t>
      </w:r>
      <w:r>
        <w:rPr>
          <w:rFonts w:hint="default" w:ascii="Times New Roman" w:hAnsi="Times New Roman" w:eastAsia="方正仿宋_GBK" w:cs="方正仿宋_GBK"/>
          <w:b w:val="0"/>
          <w:bCs w:val="0"/>
          <w:color w:val="auto"/>
          <w:kern w:val="2"/>
          <w:sz w:val="28"/>
          <w:szCs w:val="28"/>
          <w:highlight w:val="yellow"/>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以上。</w:t>
      </w:r>
    </w:p>
    <w:p w14:paraId="5B4935E8">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rPr>
      </w:pPr>
      <w:bookmarkStart w:id="300" w:name="_Toc20342"/>
      <w:bookmarkStart w:id="301" w:name="_Toc28004"/>
      <w:bookmarkStart w:id="302" w:name="_Toc18139"/>
      <w:r>
        <w:rPr>
          <w:rFonts w:eastAsia="仿宋"/>
          <w:snapToGrid w:val="0"/>
          <w:color w:val="auto"/>
          <w:sz w:val="28"/>
        </w:rPr>
        <w:t>5.</w:t>
      </w:r>
      <w:r>
        <w:rPr>
          <w:rFonts w:hint="eastAsia" w:eastAsia="仿宋"/>
          <w:snapToGrid w:val="0"/>
          <w:color w:val="auto"/>
          <w:sz w:val="28"/>
          <w:lang w:val="en-US" w:eastAsia="zh-CN"/>
        </w:rPr>
        <w:t>6</w:t>
      </w:r>
      <w:r>
        <w:rPr>
          <w:rFonts w:eastAsia="仿宋"/>
          <w:snapToGrid w:val="0"/>
          <w:color w:val="auto"/>
          <w:sz w:val="28"/>
        </w:rPr>
        <w:t>.2完善生态环境损害责任追究制度</w:t>
      </w:r>
      <w:bookmarkEnd w:id="300"/>
      <w:bookmarkEnd w:id="301"/>
      <w:bookmarkEnd w:id="302"/>
    </w:p>
    <w:p w14:paraId="0CE38B78">
      <w:pPr>
        <w:pageBreakBefore w:val="0"/>
        <w:widowControl/>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完善生态环境损害责任终身追究制度。严格落实《云南省党政领导干部生态环境损害责任追究实施细则（试行）》，严格责任追究，对造成生态环境损害的，依据《党政领导干部生态环境损害责任追究办法（试行）》追究有关领导干部责任，不论是否已调离、提拔或退休，落实终身追责。加强生态文明考核与责任追究的统筹协调，建立落实保障制度。对不顾资源和生态环境盲目决策、造成严重后果的，严肃追究有关人员的领导责任；对履职不力、监管不严、失职渎职的，依纪依法追究有关人员的监管责任。</w:t>
      </w:r>
    </w:p>
    <w:p w14:paraId="7FFB6D38">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rPr>
      </w:pPr>
      <w:bookmarkStart w:id="303" w:name="_Toc4014"/>
      <w:bookmarkStart w:id="304" w:name="_Toc13592"/>
      <w:bookmarkStart w:id="305" w:name="_Toc31730"/>
      <w:r>
        <w:rPr>
          <w:rFonts w:eastAsia="仿宋"/>
          <w:snapToGrid w:val="0"/>
          <w:color w:val="auto"/>
          <w:sz w:val="28"/>
        </w:rPr>
        <w:t>5.</w:t>
      </w:r>
      <w:r>
        <w:rPr>
          <w:rFonts w:hint="eastAsia" w:eastAsia="仿宋"/>
          <w:snapToGrid w:val="0"/>
          <w:color w:val="auto"/>
          <w:sz w:val="28"/>
          <w:lang w:val="en-US" w:eastAsia="zh-CN"/>
        </w:rPr>
        <w:t>6</w:t>
      </w:r>
      <w:r>
        <w:rPr>
          <w:rFonts w:eastAsia="仿宋"/>
          <w:snapToGrid w:val="0"/>
          <w:color w:val="auto"/>
          <w:sz w:val="28"/>
        </w:rPr>
        <w:t>.3健全自然资源资产离任审计制度</w:t>
      </w:r>
      <w:bookmarkEnd w:id="303"/>
      <w:bookmarkEnd w:id="304"/>
      <w:bookmarkEnd w:id="305"/>
    </w:p>
    <w:p w14:paraId="1A0B40F4">
      <w:pPr>
        <w:pageBreakBefore w:val="0"/>
        <w:widowControl/>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推进领导干部自然资源资产离任审计。摸清自然资源资产现状，编制资产负债表，建立资产数据档案。以土地、水、矿产、森林等各种自然资源资产为审计对象开展自然资源资产离任审计，以领导干部任期内辖区自然资源资产变化状况为基础，客观评价领导干部履行自然资源资产管理责任情况，依法界定领导干部应当承担的责任，强化领导干部任职期间履行自然资源资产管理和生态环境保护责任，促进自然资源资产节约集约利用和生态环境安全。明确自然资源资产离任审计的工作机制、审计内容、审计评价、审计结果运用。</w:t>
      </w:r>
    </w:p>
    <w:p w14:paraId="6280768F">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rPr>
      </w:pPr>
      <w:bookmarkStart w:id="306" w:name="_Toc18609"/>
      <w:bookmarkStart w:id="307" w:name="_Toc10417"/>
      <w:bookmarkStart w:id="308" w:name="_Toc86"/>
      <w:r>
        <w:rPr>
          <w:rFonts w:eastAsia="仿宋"/>
          <w:snapToGrid w:val="0"/>
          <w:color w:val="auto"/>
          <w:sz w:val="28"/>
        </w:rPr>
        <w:t>5.</w:t>
      </w:r>
      <w:r>
        <w:rPr>
          <w:rFonts w:hint="eastAsia" w:eastAsia="仿宋"/>
          <w:snapToGrid w:val="0"/>
          <w:color w:val="auto"/>
          <w:sz w:val="28"/>
          <w:lang w:val="en-US" w:eastAsia="zh-CN"/>
        </w:rPr>
        <w:t>6</w:t>
      </w:r>
      <w:r>
        <w:rPr>
          <w:rFonts w:eastAsia="仿宋"/>
          <w:snapToGrid w:val="0"/>
          <w:color w:val="auto"/>
          <w:sz w:val="28"/>
        </w:rPr>
        <w:t>.4健全生态环境损害赔偿制度</w:t>
      </w:r>
      <w:bookmarkEnd w:id="306"/>
      <w:bookmarkEnd w:id="307"/>
      <w:bookmarkEnd w:id="308"/>
    </w:p>
    <w:p w14:paraId="0629ACAF">
      <w:pPr>
        <w:pageBreakBefore w:val="0"/>
        <w:widowControl/>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严格落实《云南省生态环境损害赔偿制度改革试点工作实施方案》《曲靖市生态环境损害赔偿制度改革实施方案》，持续推进生态环境损害赔偿制度改革，把环境损害纳入</w:t>
      </w:r>
      <w:r>
        <w:rPr>
          <w:rFonts w:hint="eastAsia" w:ascii="Times New Roman" w:hAnsi="Times New Roman" w:eastAsia="方正仿宋_GBK" w:cs="方正仿宋_GBK"/>
          <w:b w:val="0"/>
          <w:bCs w:val="0"/>
          <w:color w:val="auto"/>
          <w:kern w:val="2"/>
          <w:sz w:val="28"/>
          <w:szCs w:val="28"/>
          <w:lang w:val="en-US" w:eastAsia="zh-CN" w:bidi="ar-SA"/>
        </w:rPr>
        <w:t>全县</w:t>
      </w:r>
      <w:r>
        <w:rPr>
          <w:rFonts w:hint="default" w:ascii="Times New Roman" w:hAnsi="Times New Roman" w:eastAsia="方正仿宋_GBK" w:cs="方正仿宋_GBK"/>
          <w:b w:val="0"/>
          <w:bCs w:val="0"/>
          <w:color w:val="auto"/>
          <w:kern w:val="2"/>
          <w:sz w:val="28"/>
          <w:szCs w:val="28"/>
          <w:lang w:val="en-US" w:eastAsia="zh-CN" w:bidi="ar-SA"/>
        </w:rPr>
        <w:t>经济社会发展评价体系，对污染环境、破坏生态行为</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零容忍</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加强生态环境损害赔偿能力建设，形成相应的鉴定评估管理和技术体系、资金保障和运行机制。强化生态环境损害者环境保护法律责任，加大造成生态环境损害的企业和个人的违法违规成本，形成环境有价、损害担责的社会氛围，有效遏制环境污染和生态破坏行为。坚持依法推进环境损害司法鉴定评估规范化管理，加大对重特大环境事件的责任追究力度。探索建立环境污染损害赔偿责任风险基金，鼓励推行环境污染损害责任保险制度。构建责任明确、途径畅通、机制完善、技术规范、保障有力、公开透明、赔偿到位、修复有效的生态环境损害赔偿制度。</w:t>
      </w:r>
    </w:p>
    <w:p w14:paraId="5096CFB8">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rPr>
      </w:pPr>
      <w:bookmarkStart w:id="309" w:name="_Toc18231"/>
      <w:bookmarkStart w:id="310" w:name="_Toc6057"/>
      <w:bookmarkStart w:id="311" w:name="_Toc23833"/>
      <w:r>
        <w:rPr>
          <w:rFonts w:eastAsia="仿宋"/>
          <w:snapToGrid w:val="0"/>
          <w:color w:val="auto"/>
          <w:sz w:val="28"/>
        </w:rPr>
        <w:t>5.</w:t>
      </w:r>
      <w:r>
        <w:rPr>
          <w:rFonts w:hint="eastAsia" w:eastAsia="仿宋"/>
          <w:snapToGrid w:val="0"/>
          <w:color w:val="auto"/>
          <w:sz w:val="28"/>
          <w:lang w:val="en-US" w:eastAsia="zh-CN"/>
        </w:rPr>
        <w:t>6</w:t>
      </w:r>
      <w:r>
        <w:rPr>
          <w:rFonts w:eastAsia="仿宋"/>
          <w:snapToGrid w:val="0"/>
          <w:color w:val="auto"/>
          <w:sz w:val="28"/>
        </w:rPr>
        <w:t>.5落实企业生态环境保护责任</w:t>
      </w:r>
      <w:bookmarkEnd w:id="309"/>
      <w:bookmarkEnd w:id="310"/>
      <w:bookmarkEnd w:id="311"/>
    </w:p>
    <w:p w14:paraId="3CCB7C75">
      <w:pPr>
        <w:pageBreakBefore w:val="0"/>
        <w:widowControl/>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企事业单位和其他生产经营者应自觉遵守环境保护法律法规，落实各项环境管理制度，履行环境保护义务，接受社会监督，承担污染治理、损害赔偿和生态修复责任，健全环境治理企业责任体系。</w:t>
      </w:r>
    </w:p>
    <w:p w14:paraId="43C35A93">
      <w:pPr>
        <w:pageBreakBefore w:val="0"/>
        <w:widowControl/>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严格落实排污许可管理制度。排污单位应落实环境治理主体责任，依法申领排污许可证或进行排污登记，不得无证排污，切实履行排污许可的法定责任。排污单位应当遵守排污许可证规定，规范化建设污染物排放口，开展自行监测、建立环境管理台账记录制度并如实记录、填报并提交排污许可证执行报告、公开污染物排放信息，加强证后管理。</w:t>
      </w:r>
    </w:p>
    <w:p w14:paraId="17327B84">
      <w:pPr>
        <w:pageBreakBefore w:val="0"/>
        <w:widowControl/>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推进生产服务绿色化。加快</w:t>
      </w:r>
      <w:r>
        <w:rPr>
          <w:rFonts w:hint="eastAsia" w:ascii="Times New Roman" w:hAnsi="Times New Roman" w:eastAsia="方正仿宋_GBK" w:cs="方正仿宋_GBK"/>
          <w:b w:val="0"/>
          <w:bCs w:val="0"/>
          <w:color w:val="auto"/>
          <w:kern w:val="2"/>
          <w:sz w:val="28"/>
          <w:szCs w:val="28"/>
          <w:lang w:val="en-US" w:eastAsia="zh-CN" w:bidi="ar-SA"/>
        </w:rPr>
        <w:t>新平县</w:t>
      </w:r>
      <w:r>
        <w:rPr>
          <w:rFonts w:hint="default" w:ascii="Times New Roman" w:hAnsi="Times New Roman" w:eastAsia="方正仿宋_GBK" w:cs="方正仿宋_GBK"/>
          <w:b w:val="0"/>
          <w:bCs w:val="0"/>
          <w:color w:val="auto"/>
          <w:kern w:val="2"/>
          <w:sz w:val="28"/>
          <w:szCs w:val="28"/>
          <w:lang w:val="en-US" w:eastAsia="zh-CN" w:bidi="ar-SA"/>
        </w:rPr>
        <w:t>煤炭产业转型升级</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落实生产者责任延伸制度，全面推行</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源头减量、过程控制、纵向延伸、横向耦合、末端再生</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的绿色生产方式，加大清洁生产力度，落实节能减排任务和措施，加强全过程管理，提供生产和服务过程清洁化、消费模式绿色化的产品及服务，减少资源消耗和污染物排放。大力开展技术创新，特别是现代化产业体系和绿色技术创新，引导</w:t>
      </w:r>
      <w:r>
        <w:rPr>
          <w:rFonts w:hint="eastAsia" w:ascii="Times New Roman" w:hAnsi="Times New Roman" w:eastAsia="方正仿宋_GBK" w:cs="方正仿宋_GBK"/>
          <w:b w:val="0"/>
          <w:bCs w:val="0"/>
          <w:color w:val="auto"/>
          <w:kern w:val="2"/>
          <w:sz w:val="28"/>
          <w:szCs w:val="28"/>
          <w:lang w:val="en-US" w:eastAsia="zh-CN" w:bidi="ar-SA"/>
        </w:rPr>
        <w:t>新平县及经开区各工业</w:t>
      </w:r>
      <w:r>
        <w:rPr>
          <w:rFonts w:hint="default" w:ascii="Times New Roman" w:hAnsi="Times New Roman" w:eastAsia="方正仿宋_GBK" w:cs="方正仿宋_GBK"/>
          <w:b w:val="0"/>
          <w:bCs w:val="0"/>
          <w:color w:val="auto"/>
          <w:kern w:val="2"/>
          <w:sz w:val="28"/>
          <w:szCs w:val="28"/>
          <w:lang w:val="en-US" w:eastAsia="zh-CN" w:bidi="ar-SA"/>
        </w:rPr>
        <w:t>企业推动生产工艺技术和装备升级改造。大力推广</w:t>
      </w:r>
      <w:r>
        <w:rPr>
          <w:rFonts w:hint="eastAsia" w:ascii="Times New Roman" w:hAnsi="Times New Roman" w:eastAsia="方正仿宋_GBK" w:cs="方正仿宋_GBK"/>
          <w:b w:val="0"/>
          <w:bCs w:val="0"/>
          <w:color w:val="auto"/>
          <w:kern w:val="2"/>
          <w:sz w:val="28"/>
          <w:szCs w:val="28"/>
          <w:lang w:val="en-US" w:eastAsia="zh-CN" w:bidi="ar-SA"/>
        </w:rPr>
        <w:t>企业开展清洁生产及成效评估，针对集中产业集群和用能相对较高的磷化工、煤焦等行业开展</w:t>
      </w:r>
      <w:r>
        <w:rPr>
          <w:rFonts w:hint="default" w:ascii="Times New Roman" w:hAnsi="Times New Roman" w:eastAsia="方正仿宋_GBK" w:cs="方正仿宋_GBK"/>
          <w:b w:val="0"/>
          <w:bCs w:val="0"/>
          <w:color w:val="auto"/>
          <w:kern w:val="2"/>
          <w:sz w:val="28"/>
          <w:szCs w:val="28"/>
          <w:lang w:val="en-US" w:eastAsia="zh-CN" w:bidi="ar-SA"/>
        </w:rPr>
        <w:t>节能技术</w:t>
      </w:r>
      <w:r>
        <w:rPr>
          <w:rFonts w:hint="eastAsia" w:ascii="Times New Roman" w:hAnsi="Times New Roman" w:eastAsia="方正仿宋_GBK" w:cs="方正仿宋_GBK"/>
          <w:b w:val="0"/>
          <w:bCs w:val="0"/>
          <w:color w:val="auto"/>
          <w:kern w:val="2"/>
          <w:sz w:val="28"/>
          <w:szCs w:val="28"/>
          <w:lang w:val="en-US" w:eastAsia="zh-CN" w:bidi="ar-SA"/>
        </w:rPr>
        <w:t>试点</w:t>
      </w:r>
      <w:r>
        <w:rPr>
          <w:rFonts w:hint="default" w:ascii="Times New Roman" w:hAnsi="Times New Roman" w:eastAsia="方正仿宋_GBK" w:cs="方正仿宋_GBK"/>
          <w:b w:val="0"/>
          <w:bCs w:val="0"/>
          <w:color w:val="auto"/>
          <w:kern w:val="2"/>
          <w:sz w:val="28"/>
          <w:szCs w:val="28"/>
          <w:lang w:val="en-US" w:eastAsia="zh-CN" w:bidi="ar-SA"/>
        </w:rPr>
        <w:t>，实施碳减排示范重点工程。支持企业开展资源能源节约、超低排放等绿色化改造，推进绿色工厂、绿色园区创建，培育企业绿色发展示范典型。</w:t>
      </w:r>
    </w:p>
    <w:p w14:paraId="0D14F90C">
      <w:pPr>
        <w:pageBreakBefore w:val="0"/>
        <w:widowControl/>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提高治污能力和水平。强化企业环境治理责任，建立环境管理制度，健全排污管理责任制，按照生态环境管理要求运行和维护污染防治设施，严格控制污染物排放。把环境风险防范纳入环境管理体系，逐步实现污染管理向风险管理转变，构建以预防为主的环境风险管理体系，主动防范和化解环境风险。</w:t>
      </w:r>
    </w:p>
    <w:p w14:paraId="3E81C3A3">
      <w:pPr>
        <w:pageBreakBefore w:val="0"/>
        <w:widowControl/>
        <w:kinsoku/>
        <w:wordWrap/>
        <w:overflowPunct/>
        <w:topLinePunct w:val="0"/>
        <w:autoSpaceDE/>
        <w:autoSpaceDN/>
        <w:bidi w:val="0"/>
        <w:spacing w:line="500" w:lineRule="exact"/>
        <w:ind w:firstLine="560" w:firstLineChars="200"/>
        <w:textAlignment w:val="auto"/>
        <w:rPr>
          <w:rFonts w:ascii="Times New Roman" w:hAnsi="Times New Roman" w:eastAsia="仿宋" w:cs="Times New Roman"/>
          <w:color w:val="auto"/>
          <w:sz w:val="24"/>
        </w:rPr>
      </w:pPr>
      <w:r>
        <w:rPr>
          <w:rFonts w:hint="default" w:ascii="Times New Roman" w:hAnsi="Times New Roman" w:eastAsia="方正仿宋_GBK" w:cs="方正仿宋_GBK"/>
          <w:b w:val="0"/>
          <w:bCs w:val="0"/>
          <w:color w:val="auto"/>
          <w:kern w:val="2"/>
          <w:sz w:val="28"/>
          <w:szCs w:val="28"/>
          <w:lang w:val="en-US" w:eastAsia="zh-CN" w:bidi="ar-SA"/>
        </w:rPr>
        <w:t>主动公开环境信息。完善企业环境治理信息主动公开机制，排污单位应当通过全国排污许可管理信息平台、企业网站等途径依法公开建设项目环境影响评价、污染防治设施建设运行情况、污染物排放种类、浓度及排放量、自行监测数据等环境信息，并对信息真实性负责，自觉主动接受社会公众监督</w:t>
      </w:r>
      <w:r>
        <w:rPr>
          <w:rFonts w:hint="default" w:ascii="Times New Roman" w:hAnsi="Times New Roman" w:eastAsia="方正仿宋_GBK" w:cs="Times New Roman"/>
          <w:color w:val="auto"/>
          <w:kern w:val="2"/>
          <w:sz w:val="32"/>
          <w:szCs w:val="32"/>
          <w:lang w:val="en-US" w:eastAsia="zh-CN" w:bidi="ar-SA"/>
        </w:rPr>
        <w:t>。</w:t>
      </w:r>
    </w:p>
    <w:p w14:paraId="439DCACB">
      <w:pPr>
        <w:widowControl/>
        <w:jc w:val="center"/>
        <w:rPr>
          <w:rFonts w:ascii="Times New Roman" w:hAnsi="Times New Roman" w:eastAsia="仿宋" w:cs="Times New Roman"/>
          <w:b/>
          <w:bCs/>
          <w:color w:val="auto"/>
          <w:sz w:val="24"/>
        </w:rPr>
      </w:pPr>
      <w:r>
        <w:rPr>
          <w:rFonts w:ascii="Times New Roman" w:hAnsi="Times New Roman" w:eastAsia="仿宋" w:cs="Times New Roman"/>
          <w:b/>
          <w:bCs/>
          <w:color w:val="auto"/>
          <w:sz w:val="24"/>
        </w:rPr>
        <w:t>表5.</w:t>
      </w:r>
      <w:r>
        <w:rPr>
          <w:rFonts w:hint="eastAsia" w:ascii="Times New Roman" w:hAnsi="Times New Roman" w:eastAsia="仿宋" w:cs="Times New Roman"/>
          <w:b/>
          <w:bCs/>
          <w:color w:val="auto"/>
          <w:sz w:val="24"/>
          <w:lang w:val="en-US" w:eastAsia="zh-CN"/>
        </w:rPr>
        <w:t>6</w:t>
      </w:r>
      <w:r>
        <w:rPr>
          <w:rFonts w:ascii="Times New Roman" w:hAnsi="Times New Roman" w:eastAsia="仿宋" w:cs="Times New Roman"/>
          <w:b/>
          <w:bCs/>
          <w:color w:val="auto"/>
          <w:sz w:val="24"/>
        </w:rPr>
        <w:t>-1生态环境制度分类</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1"/>
        <w:gridCol w:w="1696"/>
        <w:gridCol w:w="5991"/>
      </w:tblGrid>
      <w:tr w14:paraId="6ACEE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493" w:type="pct"/>
            <w:shd w:val="clear" w:color="auto" w:fill="BEBEBE"/>
            <w:noWrap w:val="0"/>
            <w:vAlign w:val="center"/>
          </w:tcPr>
          <w:p w14:paraId="232AA09F">
            <w:pPr>
              <w:widowControl/>
              <w:spacing w:line="320" w:lineRule="exact"/>
              <w:jc w:val="center"/>
              <w:rPr>
                <w:rFonts w:ascii="Times New Roman" w:hAnsi="Times New Roman" w:eastAsia="仿宋" w:cs="Times New Roman"/>
                <w:b/>
                <w:bCs/>
                <w:color w:val="auto"/>
                <w:sz w:val="21"/>
                <w:szCs w:val="20"/>
              </w:rPr>
            </w:pPr>
            <w:r>
              <w:rPr>
                <w:rFonts w:ascii="Times New Roman" w:hAnsi="Times New Roman" w:eastAsia="仿宋" w:cs="Times New Roman"/>
                <w:b/>
                <w:bCs/>
                <w:color w:val="auto"/>
                <w:sz w:val="21"/>
                <w:szCs w:val="20"/>
              </w:rPr>
              <w:t>序号</w:t>
            </w:r>
          </w:p>
        </w:tc>
        <w:tc>
          <w:tcPr>
            <w:tcW w:w="994" w:type="pct"/>
            <w:shd w:val="clear" w:color="auto" w:fill="BEBEBE"/>
            <w:noWrap w:val="0"/>
            <w:vAlign w:val="center"/>
          </w:tcPr>
          <w:p w14:paraId="42150651">
            <w:pPr>
              <w:widowControl/>
              <w:spacing w:line="320" w:lineRule="exact"/>
              <w:jc w:val="center"/>
              <w:rPr>
                <w:rFonts w:ascii="Times New Roman" w:hAnsi="Times New Roman" w:eastAsia="仿宋" w:cs="Times New Roman"/>
                <w:b/>
                <w:bCs/>
                <w:color w:val="auto"/>
                <w:sz w:val="21"/>
                <w:szCs w:val="20"/>
              </w:rPr>
            </w:pPr>
            <w:r>
              <w:rPr>
                <w:rFonts w:ascii="Times New Roman" w:hAnsi="Times New Roman" w:eastAsia="仿宋" w:cs="Times New Roman"/>
                <w:b/>
                <w:bCs/>
                <w:color w:val="auto"/>
                <w:sz w:val="21"/>
                <w:szCs w:val="20"/>
              </w:rPr>
              <w:t>制度分类</w:t>
            </w:r>
          </w:p>
        </w:tc>
        <w:tc>
          <w:tcPr>
            <w:tcW w:w="3512" w:type="pct"/>
            <w:shd w:val="clear" w:color="auto" w:fill="BEBEBE"/>
            <w:noWrap w:val="0"/>
            <w:vAlign w:val="center"/>
          </w:tcPr>
          <w:p w14:paraId="571EA545">
            <w:pPr>
              <w:widowControl/>
              <w:spacing w:line="320" w:lineRule="exact"/>
              <w:jc w:val="center"/>
              <w:rPr>
                <w:rFonts w:ascii="Times New Roman" w:hAnsi="Times New Roman" w:eastAsia="仿宋" w:cs="Times New Roman"/>
                <w:b/>
                <w:bCs/>
                <w:color w:val="auto"/>
                <w:sz w:val="21"/>
                <w:szCs w:val="20"/>
              </w:rPr>
            </w:pPr>
            <w:r>
              <w:rPr>
                <w:rFonts w:ascii="Times New Roman" w:hAnsi="Times New Roman" w:eastAsia="仿宋" w:cs="Times New Roman"/>
                <w:b/>
                <w:bCs/>
                <w:color w:val="auto"/>
                <w:sz w:val="21"/>
                <w:szCs w:val="20"/>
              </w:rPr>
              <w:t>制度名称</w:t>
            </w:r>
          </w:p>
        </w:tc>
      </w:tr>
      <w:tr w14:paraId="7DA46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noWrap w:val="0"/>
            <w:vAlign w:val="center"/>
          </w:tcPr>
          <w:p w14:paraId="039B0CC9">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1</w:t>
            </w:r>
          </w:p>
        </w:tc>
        <w:tc>
          <w:tcPr>
            <w:tcW w:w="994" w:type="pct"/>
            <w:vMerge w:val="restart"/>
            <w:noWrap w:val="0"/>
            <w:vAlign w:val="center"/>
          </w:tcPr>
          <w:p w14:paraId="7CA7DE4A">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需落实制度</w:t>
            </w:r>
          </w:p>
        </w:tc>
        <w:tc>
          <w:tcPr>
            <w:tcW w:w="3512" w:type="pct"/>
            <w:noWrap w:val="0"/>
            <w:vAlign w:val="center"/>
          </w:tcPr>
          <w:p w14:paraId="6EA1C6B2">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环境影响评价制度</w:t>
            </w:r>
          </w:p>
        </w:tc>
      </w:tr>
      <w:tr w14:paraId="1E7EA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3" w:type="pct"/>
            <w:noWrap w:val="0"/>
            <w:vAlign w:val="center"/>
          </w:tcPr>
          <w:p w14:paraId="300E8845">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2</w:t>
            </w:r>
          </w:p>
        </w:tc>
        <w:tc>
          <w:tcPr>
            <w:tcW w:w="994" w:type="pct"/>
            <w:vMerge w:val="continue"/>
            <w:noWrap w:val="0"/>
            <w:vAlign w:val="center"/>
          </w:tcPr>
          <w:p w14:paraId="1108766D">
            <w:pPr>
              <w:widowControl/>
              <w:spacing w:line="320" w:lineRule="exact"/>
              <w:jc w:val="center"/>
              <w:rPr>
                <w:rFonts w:ascii="Times New Roman" w:hAnsi="Times New Roman" w:eastAsia="仿宋" w:cs="Times New Roman"/>
                <w:color w:val="auto"/>
                <w:sz w:val="21"/>
                <w:szCs w:val="20"/>
              </w:rPr>
            </w:pPr>
          </w:p>
        </w:tc>
        <w:tc>
          <w:tcPr>
            <w:tcW w:w="3512" w:type="pct"/>
            <w:noWrap w:val="0"/>
            <w:vAlign w:val="center"/>
          </w:tcPr>
          <w:p w14:paraId="709EBF5E">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排污许可制</w:t>
            </w:r>
          </w:p>
        </w:tc>
      </w:tr>
      <w:tr w14:paraId="59359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noWrap w:val="0"/>
            <w:vAlign w:val="center"/>
          </w:tcPr>
          <w:p w14:paraId="42B530D1">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3</w:t>
            </w:r>
          </w:p>
        </w:tc>
        <w:tc>
          <w:tcPr>
            <w:tcW w:w="994" w:type="pct"/>
            <w:vMerge w:val="continue"/>
            <w:noWrap w:val="0"/>
            <w:vAlign w:val="center"/>
          </w:tcPr>
          <w:p w14:paraId="6C716718">
            <w:pPr>
              <w:widowControl/>
              <w:spacing w:line="320" w:lineRule="exact"/>
              <w:jc w:val="center"/>
              <w:rPr>
                <w:rFonts w:ascii="Times New Roman" w:hAnsi="Times New Roman" w:eastAsia="仿宋" w:cs="Times New Roman"/>
                <w:color w:val="auto"/>
                <w:sz w:val="21"/>
                <w:szCs w:val="20"/>
              </w:rPr>
            </w:pPr>
          </w:p>
        </w:tc>
        <w:tc>
          <w:tcPr>
            <w:tcW w:w="3512" w:type="pct"/>
            <w:noWrap w:val="0"/>
            <w:vAlign w:val="center"/>
          </w:tcPr>
          <w:p w14:paraId="62382709">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环境信息公开制度</w:t>
            </w:r>
          </w:p>
        </w:tc>
      </w:tr>
      <w:tr w14:paraId="28B28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noWrap w:val="0"/>
            <w:vAlign w:val="center"/>
          </w:tcPr>
          <w:p w14:paraId="7CA8C85F">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4</w:t>
            </w:r>
          </w:p>
        </w:tc>
        <w:tc>
          <w:tcPr>
            <w:tcW w:w="994" w:type="pct"/>
            <w:vMerge w:val="continue"/>
            <w:noWrap w:val="0"/>
            <w:vAlign w:val="center"/>
          </w:tcPr>
          <w:p w14:paraId="4FFDAAB5">
            <w:pPr>
              <w:widowControl/>
              <w:spacing w:line="320" w:lineRule="exact"/>
              <w:jc w:val="center"/>
              <w:rPr>
                <w:rFonts w:ascii="Times New Roman" w:hAnsi="Times New Roman" w:eastAsia="仿宋" w:cs="Times New Roman"/>
                <w:color w:val="auto"/>
                <w:sz w:val="21"/>
                <w:szCs w:val="20"/>
              </w:rPr>
            </w:pPr>
          </w:p>
        </w:tc>
        <w:tc>
          <w:tcPr>
            <w:tcW w:w="3512" w:type="pct"/>
            <w:noWrap w:val="0"/>
            <w:vAlign w:val="center"/>
          </w:tcPr>
          <w:p w14:paraId="0590895D">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河（湖）长制</w:t>
            </w:r>
          </w:p>
        </w:tc>
      </w:tr>
      <w:tr w14:paraId="7BDEF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noWrap w:val="0"/>
            <w:vAlign w:val="center"/>
          </w:tcPr>
          <w:p w14:paraId="031E63C8">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5</w:t>
            </w:r>
          </w:p>
        </w:tc>
        <w:tc>
          <w:tcPr>
            <w:tcW w:w="994" w:type="pct"/>
            <w:vMerge w:val="continue"/>
            <w:noWrap w:val="0"/>
            <w:vAlign w:val="center"/>
          </w:tcPr>
          <w:p w14:paraId="2B291D7A">
            <w:pPr>
              <w:widowControl/>
              <w:spacing w:line="320" w:lineRule="exact"/>
              <w:jc w:val="center"/>
              <w:rPr>
                <w:rFonts w:ascii="Times New Roman" w:hAnsi="Times New Roman" w:eastAsia="仿宋" w:cs="Times New Roman"/>
                <w:color w:val="auto"/>
                <w:sz w:val="21"/>
                <w:szCs w:val="20"/>
              </w:rPr>
            </w:pPr>
          </w:p>
        </w:tc>
        <w:tc>
          <w:tcPr>
            <w:tcW w:w="3512" w:type="pct"/>
            <w:noWrap w:val="0"/>
            <w:vAlign w:val="center"/>
          </w:tcPr>
          <w:p w14:paraId="092AFE90">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林长制</w:t>
            </w:r>
          </w:p>
        </w:tc>
      </w:tr>
      <w:tr w14:paraId="4FE47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noWrap w:val="0"/>
            <w:vAlign w:val="center"/>
          </w:tcPr>
          <w:p w14:paraId="339183F1">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6</w:t>
            </w:r>
          </w:p>
        </w:tc>
        <w:tc>
          <w:tcPr>
            <w:tcW w:w="994" w:type="pct"/>
            <w:vMerge w:val="continue"/>
            <w:noWrap w:val="0"/>
            <w:vAlign w:val="center"/>
          </w:tcPr>
          <w:p w14:paraId="074E294C">
            <w:pPr>
              <w:widowControl/>
              <w:spacing w:line="320" w:lineRule="exact"/>
              <w:jc w:val="center"/>
              <w:rPr>
                <w:rFonts w:ascii="Times New Roman" w:hAnsi="Times New Roman" w:eastAsia="仿宋" w:cs="Times New Roman"/>
                <w:color w:val="auto"/>
                <w:sz w:val="21"/>
                <w:szCs w:val="20"/>
              </w:rPr>
            </w:pPr>
          </w:p>
        </w:tc>
        <w:tc>
          <w:tcPr>
            <w:tcW w:w="3512" w:type="pct"/>
            <w:noWrap w:val="0"/>
            <w:vAlign w:val="center"/>
          </w:tcPr>
          <w:p w14:paraId="28F75F8B">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自然资源资产产权制度和用途管制制度</w:t>
            </w:r>
          </w:p>
        </w:tc>
      </w:tr>
      <w:tr w14:paraId="4BCD5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noWrap w:val="0"/>
            <w:vAlign w:val="center"/>
          </w:tcPr>
          <w:p w14:paraId="60EB078E">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7</w:t>
            </w:r>
          </w:p>
        </w:tc>
        <w:tc>
          <w:tcPr>
            <w:tcW w:w="994" w:type="pct"/>
            <w:vMerge w:val="continue"/>
            <w:noWrap w:val="0"/>
            <w:vAlign w:val="center"/>
          </w:tcPr>
          <w:p w14:paraId="1F749BDF">
            <w:pPr>
              <w:widowControl/>
              <w:spacing w:line="320" w:lineRule="exact"/>
              <w:jc w:val="center"/>
              <w:rPr>
                <w:rFonts w:ascii="Times New Roman" w:hAnsi="Times New Roman" w:eastAsia="仿宋" w:cs="Times New Roman"/>
                <w:color w:val="auto"/>
                <w:sz w:val="21"/>
                <w:szCs w:val="20"/>
              </w:rPr>
            </w:pPr>
          </w:p>
        </w:tc>
        <w:tc>
          <w:tcPr>
            <w:tcW w:w="3512" w:type="pct"/>
            <w:noWrap w:val="0"/>
            <w:vAlign w:val="center"/>
          </w:tcPr>
          <w:p w14:paraId="1443835B">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自然资源资产离任审计制度</w:t>
            </w:r>
          </w:p>
        </w:tc>
      </w:tr>
      <w:tr w14:paraId="58923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noWrap w:val="0"/>
            <w:vAlign w:val="center"/>
          </w:tcPr>
          <w:p w14:paraId="3739A456">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8</w:t>
            </w:r>
          </w:p>
        </w:tc>
        <w:tc>
          <w:tcPr>
            <w:tcW w:w="994" w:type="pct"/>
            <w:vMerge w:val="continue"/>
            <w:noWrap w:val="0"/>
            <w:vAlign w:val="center"/>
          </w:tcPr>
          <w:p w14:paraId="701A11E0">
            <w:pPr>
              <w:widowControl/>
              <w:spacing w:line="320" w:lineRule="exact"/>
              <w:jc w:val="center"/>
              <w:rPr>
                <w:rFonts w:ascii="Times New Roman" w:hAnsi="Times New Roman" w:eastAsia="仿宋" w:cs="Times New Roman"/>
                <w:color w:val="auto"/>
                <w:sz w:val="21"/>
                <w:szCs w:val="20"/>
              </w:rPr>
            </w:pPr>
          </w:p>
        </w:tc>
        <w:tc>
          <w:tcPr>
            <w:tcW w:w="3512" w:type="pct"/>
            <w:noWrap w:val="0"/>
            <w:vAlign w:val="center"/>
          </w:tcPr>
          <w:p w14:paraId="36D7204F">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编制自然资源资产负债表</w:t>
            </w:r>
          </w:p>
        </w:tc>
      </w:tr>
      <w:tr w14:paraId="52882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noWrap w:val="0"/>
            <w:vAlign w:val="center"/>
          </w:tcPr>
          <w:p w14:paraId="027459F2">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9</w:t>
            </w:r>
          </w:p>
        </w:tc>
        <w:tc>
          <w:tcPr>
            <w:tcW w:w="994" w:type="pct"/>
            <w:vMerge w:val="continue"/>
            <w:noWrap w:val="0"/>
            <w:vAlign w:val="center"/>
          </w:tcPr>
          <w:p w14:paraId="704CEF32">
            <w:pPr>
              <w:widowControl/>
              <w:spacing w:line="320" w:lineRule="exact"/>
              <w:jc w:val="center"/>
              <w:rPr>
                <w:rFonts w:ascii="Times New Roman" w:hAnsi="Times New Roman" w:eastAsia="仿宋" w:cs="Times New Roman"/>
                <w:color w:val="auto"/>
                <w:sz w:val="21"/>
                <w:szCs w:val="20"/>
              </w:rPr>
            </w:pPr>
          </w:p>
        </w:tc>
        <w:tc>
          <w:tcPr>
            <w:tcW w:w="3512" w:type="pct"/>
            <w:noWrap w:val="0"/>
            <w:vAlign w:val="center"/>
          </w:tcPr>
          <w:p w14:paraId="5E5FB14A">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土地节约集约使用制度</w:t>
            </w:r>
          </w:p>
        </w:tc>
      </w:tr>
      <w:tr w14:paraId="0A486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noWrap w:val="0"/>
            <w:vAlign w:val="center"/>
          </w:tcPr>
          <w:p w14:paraId="28272B3E">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10</w:t>
            </w:r>
          </w:p>
        </w:tc>
        <w:tc>
          <w:tcPr>
            <w:tcW w:w="994" w:type="pct"/>
            <w:vMerge w:val="continue"/>
            <w:noWrap w:val="0"/>
            <w:vAlign w:val="center"/>
          </w:tcPr>
          <w:p w14:paraId="276F65EB">
            <w:pPr>
              <w:widowControl/>
              <w:spacing w:line="320" w:lineRule="exact"/>
              <w:jc w:val="center"/>
              <w:rPr>
                <w:rFonts w:ascii="Times New Roman" w:hAnsi="Times New Roman" w:eastAsia="仿宋" w:cs="Times New Roman"/>
                <w:color w:val="auto"/>
                <w:sz w:val="21"/>
                <w:szCs w:val="20"/>
              </w:rPr>
            </w:pPr>
          </w:p>
        </w:tc>
        <w:tc>
          <w:tcPr>
            <w:tcW w:w="3512" w:type="pct"/>
            <w:noWrap w:val="0"/>
            <w:vAlign w:val="center"/>
          </w:tcPr>
          <w:p w14:paraId="2141EB75">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最严格水资源管理制度</w:t>
            </w:r>
          </w:p>
        </w:tc>
      </w:tr>
      <w:tr w14:paraId="7C0B2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noWrap w:val="0"/>
            <w:vAlign w:val="center"/>
          </w:tcPr>
          <w:p w14:paraId="77B300D2">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11</w:t>
            </w:r>
          </w:p>
        </w:tc>
        <w:tc>
          <w:tcPr>
            <w:tcW w:w="994" w:type="pct"/>
            <w:vMerge w:val="continue"/>
            <w:noWrap w:val="0"/>
            <w:vAlign w:val="center"/>
          </w:tcPr>
          <w:p w14:paraId="1AF426DC">
            <w:pPr>
              <w:widowControl/>
              <w:spacing w:line="320" w:lineRule="exact"/>
              <w:jc w:val="center"/>
              <w:rPr>
                <w:rFonts w:ascii="Times New Roman" w:hAnsi="Times New Roman" w:eastAsia="仿宋" w:cs="Times New Roman"/>
                <w:color w:val="auto"/>
                <w:sz w:val="21"/>
                <w:szCs w:val="20"/>
              </w:rPr>
            </w:pPr>
          </w:p>
        </w:tc>
        <w:tc>
          <w:tcPr>
            <w:tcW w:w="3512" w:type="pct"/>
            <w:noWrap w:val="0"/>
            <w:vAlign w:val="center"/>
          </w:tcPr>
          <w:p w14:paraId="7634B86D">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能源消费管控制度</w:t>
            </w:r>
          </w:p>
        </w:tc>
      </w:tr>
      <w:tr w14:paraId="40DEC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noWrap w:val="0"/>
            <w:vAlign w:val="center"/>
          </w:tcPr>
          <w:p w14:paraId="1AB7DDDE">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12</w:t>
            </w:r>
          </w:p>
        </w:tc>
        <w:tc>
          <w:tcPr>
            <w:tcW w:w="994" w:type="pct"/>
            <w:vMerge w:val="continue"/>
            <w:noWrap w:val="0"/>
            <w:vAlign w:val="center"/>
          </w:tcPr>
          <w:p w14:paraId="0AC3661E">
            <w:pPr>
              <w:widowControl/>
              <w:spacing w:line="320" w:lineRule="exact"/>
              <w:jc w:val="center"/>
              <w:rPr>
                <w:rFonts w:ascii="Times New Roman" w:hAnsi="Times New Roman" w:eastAsia="仿宋" w:cs="Times New Roman"/>
                <w:color w:val="auto"/>
                <w:sz w:val="21"/>
                <w:szCs w:val="20"/>
              </w:rPr>
            </w:pPr>
          </w:p>
        </w:tc>
        <w:tc>
          <w:tcPr>
            <w:tcW w:w="3512" w:type="pct"/>
            <w:noWrap w:val="0"/>
            <w:vAlign w:val="center"/>
          </w:tcPr>
          <w:p w14:paraId="7A214CE3">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资源循环利用制度</w:t>
            </w:r>
          </w:p>
        </w:tc>
      </w:tr>
      <w:tr w14:paraId="7AD51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noWrap w:val="0"/>
            <w:vAlign w:val="center"/>
          </w:tcPr>
          <w:p w14:paraId="5E042988">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13</w:t>
            </w:r>
          </w:p>
        </w:tc>
        <w:tc>
          <w:tcPr>
            <w:tcW w:w="994" w:type="pct"/>
            <w:vMerge w:val="continue"/>
            <w:noWrap w:val="0"/>
            <w:vAlign w:val="center"/>
          </w:tcPr>
          <w:p w14:paraId="4BB88D94">
            <w:pPr>
              <w:widowControl/>
              <w:spacing w:line="320" w:lineRule="exact"/>
              <w:jc w:val="center"/>
              <w:rPr>
                <w:rFonts w:ascii="Times New Roman" w:hAnsi="Times New Roman" w:eastAsia="仿宋" w:cs="Times New Roman"/>
                <w:color w:val="auto"/>
                <w:sz w:val="21"/>
                <w:szCs w:val="20"/>
              </w:rPr>
            </w:pPr>
          </w:p>
        </w:tc>
        <w:tc>
          <w:tcPr>
            <w:tcW w:w="3512" w:type="pct"/>
            <w:noWrap w:val="0"/>
            <w:vAlign w:val="center"/>
          </w:tcPr>
          <w:p w14:paraId="59F046E5">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生态保护红线、耕地红线管控制度</w:t>
            </w:r>
          </w:p>
        </w:tc>
      </w:tr>
      <w:tr w14:paraId="73827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noWrap w:val="0"/>
            <w:vAlign w:val="center"/>
          </w:tcPr>
          <w:p w14:paraId="64303A6D">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14</w:t>
            </w:r>
          </w:p>
        </w:tc>
        <w:tc>
          <w:tcPr>
            <w:tcW w:w="994" w:type="pct"/>
            <w:vMerge w:val="continue"/>
            <w:noWrap w:val="0"/>
            <w:vAlign w:val="center"/>
          </w:tcPr>
          <w:p w14:paraId="4F88F56D">
            <w:pPr>
              <w:widowControl/>
              <w:spacing w:line="320" w:lineRule="exact"/>
              <w:jc w:val="center"/>
              <w:rPr>
                <w:rFonts w:ascii="Times New Roman" w:hAnsi="Times New Roman" w:eastAsia="仿宋" w:cs="Times New Roman"/>
                <w:color w:val="auto"/>
                <w:sz w:val="21"/>
                <w:szCs w:val="20"/>
              </w:rPr>
            </w:pPr>
          </w:p>
        </w:tc>
        <w:tc>
          <w:tcPr>
            <w:tcW w:w="3512" w:type="pct"/>
            <w:noWrap w:val="0"/>
            <w:vAlign w:val="center"/>
          </w:tcPr>
          <w:p w14:paraId="14A65D31">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河湖岸线保护与修复机制</w:t>
            </w:r>
          </w:p>
        </w:tc>
      </w:tr>
      <w:tr w14:paraId="62D9B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noWrap w:val="0"/>
            <w:vAlign w:val="center"/>
          </w:tcPr>
          <w:p w14:paraId="5718C2BB">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15</w:t>
            </w:r>
          </w:p>
        </w:tc>
        <w:tc>
          <w:tcPr>
            <w:tcW w:w="994" w:type="pct"/>
            <w:vMerge w:val="continue"/>
            <w:noWrap w:val="0"/>
            <w:vAlign w:val="center"/>
          </w:tcPr>
          <w:p w14:paraId="1821DBAC">
            <w:pPr>
              <w:widowControl/>
              <w:spacing w:line="320" w:lineRule="exact"/>
              <w:jc w:val="center"/>
              <w:rPr>
                <w:rFonts w:ascii="Times New Roman" w:hAnsi="Times New Roman" w:eastAsia="仿宋" w:cs="Times New Roman"/>
                <w:color w:val="auto"/>
                <w:sz w:val="21"/>
                <w:szCs w:val="20"/>
              </w:rPr>
            </w:pPr>
          </w:p>
        </w:tc>
        <w:tc>
          <w:tcPr>
            <w:tcW w:w="3512" w:type="pct"/>
            <w:noWrap w:val="0"/>
            <w:vAlign w:val="center"/>
          </w:tcPr>
          <w:p w14:paraId="34BE6672">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党委政府生态环境管理领导责任制度</w:t>
            </w:r>
          </w:p>
        </w:tc>
      </w:tr>
      <w:tr w14:paraId="0B223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noWrap w:val="0"/>
            <w:vAlign w:val="center"/>
          </w:tcPr>
          <w:p w14:paraId="1365E250">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16</w:t>
            </w:r>
          </w:p>
        </w:tc>
        <w:tc>
          <w:tcPr>
            <w:tcW w:w="994" w:type="pct"/>
            <w:vMerge w:val="continue"/>
            <w:noWrap w:val="0"/>
            <w:vAlign w:val="center"/>
          </w:tcPr>
          <w:p w14:paraId="26227A05">
            <w:pPr>
              <w:widowControl/>
              <w:spacing w:line="320" w:lineRule="exact"/>
              <w:jc w:val="center"/>
              <w:rPr>
                <w:rFonts w:ascii="Times New Roman" w:hAnsi="Times New Roman" w:eastAsia="仿宋" w:cs="Times New Roman"/>
                <w:color w:val="auto"/>
                <w:sz w:val="21"/>
                <w:szCs w:val="20"/>
              </w:rPr>
            </w:pPr>
          </w:p>
        </w:tc>
        <w:tc>
          <w:tcPr>
            <w:tcW w:w="3512" w:type="pct"/>
            <w:noWrap w:val="0"/>
            <w:vAlign w:val="center"/>
          </w:tcPr>
          <w:p w14:paraId="032662DD">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生态环境损害责任追究制度</w:t>
            </w:r>
          </w:p>
        </w:tc>
      </w:tr>
      <w:tr w14:paraId="44455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noWrap w:val="0"/>
            <w:vAlign w:val="center"/>
          </w:tcPr>
          <w:p w14:paraId="7DCD383D">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17</w:t>
            </w:r>
          </w:p>
        </w:tc>
        <w:tc>
          <w:tcPr>
            <w:tcW w:w="994" w:type="pct"/>
            <w:vMerge w:val="continue"/>
            <w:noWrap w:val="0"/>
            <w:vAlign w:val="center"/>
          </w:tcPr>
          <w:p w14:paraId="061F03DE">
            <w:pPr>
              <w:widowControl/>
              <w:spacing w:line="320" w:lineRule="exact"/>
              <w:jc w:val="center"/>
              <w:rPr>
                <w:rFonts w:ascii="Times New Roman" w:hAnsi="Times New Roman" w:eastAsia="仿宋" w:cs="Times New Roman"/>
                <w:color w:val="auto"/>
                <w:sz w:val="21"/>
                <w:szCs w:val="20"/>
              </w:rPr>
            </w:pPr>
          </w:p>
        </w:tc>
        <w:tc>
          <w:tcPr>
            <w:tcW w:w="3512" w:type="pct"/>
            <w:noWrap w:val="0"/>
            <w:vAlign w:val="center"/>
          </w:tcPr>
          <w:p w14:paraId="20C7C47F">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生态环境损害赔偿制度</w:t>
            </w:r>
          </w:p>
        </w:tc>
      </w:tr>
      <w:tr w14:paraId="2C384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noWrap w:val="0"/>
            <w:vAlign w:val="center"/>
          </w:tcPr>
          <w:p w14:paraId="2E346B2B">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18</w:t>
            </w:r>
          </w:p>
        </w:tc>
        <w:tc>
          <w:tcPr>
            <w:tcW w:w="994" w:type="pct"/>
            <w:vMerge w:val="continue"/>
            <w:noWrap w:val="0"/>
            <w:vAlign w:val="center"/>
          </w:tcPr>
          <w:p w14:paraId="0D45E14E">
            <w:pPr>
              <w:widowControl/>
              <w:spacing w:line="320" w:lineRule="exact"/>
              <w:jc w:val="center"/>
              <w:rPr>
                <w:rFonts w:ascii="Times New Roman" w:hAnsi="Times New Roman" w:eastAsia="仿宋" w:cs="Times New Roman"/>
                <w:color w:val="auto"/>
                <w:sz w:val="21"/>
                <w:szCs w:val="20"/>
              </w:rPr>
            </w:pPr>
          </w:p>
        </w:tc>
        <w:tc>
          <w:tcPr>
            <w:tcW w:w="3512" w:type="pct"/>
            <w:noWrap w:val="0"/>
            <w:vAlign w:val="center"/>
          </w:tcPr>
          <w:p w14:paraId="3648658F">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生态环境保护督察制度</w:t>
            </w:r>
          </w:p>
        </w:tc>
      </w:tr>
      <w:tr w14:paraId="44E27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noWrap w:val="0"/>
            <w:vAlign w:val="center"/>
          </w:tcPr>
          <w:p w14:paraId="4B9D7733">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19</w:t>
            </w:r>
          </w:p>
        </w:tc>
        <w:tc>
          <w:tcPr>
            <w:tcW w:w="994" w:type="pct"/>
            <w:vMerge w:val="continue"/>
            <w:noWrap w:val="0"/>
            <w:vAlign w:val="center"/>
          </w:tcPr>
          <w:p w14:paraId="66BDC832">
            <w:pPr>
              <w:widowControl/>
              <w:spacing w:line="320" w:lineRule="exact"/>
              <w:jc w:val="center"/>
              <w:rPr>
                <w:rFonts w:ascii="Times New Roman" w:hAnsi="Times New Roman" w:eastAsia="仿宋" w:cs="Times New Roman"/>
                <w:color w:val="auto"/>
                <w:sz w:val="21"/>
                <w:szCs w:val="20"/>
              </w:rPr>
            </w:pPr>
          </w:p>
        </w:tc>
        <w:tc>
          <w:tcPr>
            <w:tcW w:w="3512" w:type="pct"/>
            <w:noWrap w:val="0"/>
            <w:vAlign w:val="center"/>
          </w:tcPr>
          <w:p w14:paraId="673D5C80">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生态产品价值实现机制</w:t>
            </w:r>
          </w:p>
        </w:tc>
      </w:tr>
      <w:tr w14:paraId="4C209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noWrap w:val="0"/>
            <w:vAlign w:val="center"/>
          </w:tcPr>
          <w:p w14:paraId="4CF5415E">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20</w:t>
            </w:r>
          </w:p>
        </w:tc>
        <w:tc>
          <w:tcPr>
            <w:tcW w:w="994" w:type="pct"/>
            <w:noWrap w:val="0"/>
            <w:vAlign w:val="center"/>
          </w:tcPr>
          <w:p w14:paraId="6DC58ED7">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创新型制度</w:t>
            </w:r>
          </w:p>
        </w:tc>
        <w:tc>
          <w:tcPr>
            <w:tcW w:w="3512" w:type="pct"/>
            <w:noWrap w:val="0"/>
            <w:vAlign w:val="center"/>
          </w:tcPr>
          <w:p w14:paraId="6B37F63C">
            <w:pPr>
              <w:widowControl/>
              <w:spacing w:line="320" w:lineRule="exact"/>
              <w:jc w:val="center"/>
              <w:rPr>
                <w:rFonts w:ascii="Times New Roman" w:hAnsi="Times New Roman" w:eastAsia="仿宋" w:cs="Times New Roman"/>
                <w:color w:val="auto"/>
                <w:sz w:val="21"/>
                <w:szCs w:val="20"/>
              </w:rPr>
            </w:pPr>
            <w:r>
              <w:rPr>
                <w:rFonts w:hint="eastAsia" w:ascii="Times New Roman" w:hAnsi="Times New Roman" w:eastAsia="仿宋" w:cs="Times New Roman"/>
                <w:color w:val="auto"/>
                <w:sz w:val="21"/>
                <w:szCs w:val="20"/>
                <w:lang w:val="en-US" w:eastAsia="zh-CN"/>
              </w:rPr>
              <w:t>元江</w:t>
            </w:r>
            <w:r>
              <w:rPr>
                <w:rFonts w:hint="eastAsia" w:ascii="Times New Roman" w:hAnsi="Times New Roman" w:eastAsia="仿宋" w:cs="Times New Roman"/>
                <w:color w:val="auto"/>
                <w:sz w:val="21"/>
                <w:szCs w:val="20"/>
              </w:rPr>
              <w:t>流域生态补偿机制</w:t>
            </w:r>
          </w:p>
        </w:tc>
      </w:tr>
      <w:tr w14:paraId="31107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493" w:type="pct"/>
            <w:noWrap w:val="0"/>
            <w:vAlign w:val="center"/>
          </w:tcPr>
          <w:p w14:paraId="6E113E76">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21</w:t>
            </w:r>
          </w:p>
        </w:tc>
        <w:tc>
          <w:tcPr>
            <w:tcW w:w="994" w:type="pct"/>
            <w:vMerge w:val="restart"/>
            <w:noWrap w:val="0"/>
            <w:vAlign w:val="center"/>
          </w:tcPr>
          <w:p w14:paraId="6E9B2D6A">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探索制度</w:t>
            </w:r>
          </w:p>
        </w:tc>
        <w:tc>
          <w:tcPr>
            <w:tcW w:w="3512" w:type="pct"/>
            <w:noWrap w:val="0"/>
            <w:vAlign w:val="center"/>
          </w:tcPr>
          <w:p w14:paraId="1A12FBB4">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环境污染损害责任保险制度</w:t>
            </w:r>
          </w:p>
        </w:tc>
      </w:tr>
      <w:tr w14:paraId="5AB31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493" w:type="pct"/>
            <w:noWrap w:val="0"/>
            <w:vAlign w:val="center"/>
          </w:tcPr>
          <w:p w14:paraId="1061BF29">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22</w:t>
            </w:r>
          </w:p>
        </w:tc>
        <w:tc>
          <w:tcPr>
            <w:tcW w:w="994" w:type="pct"/>
            <w:vMerge w:val="continue"/>
            <w:noWrap w:val="0"/>
            <w:vAlign w:val="center"/>
          </w:tcPr>
          <w:p w14:paraId="35ADCD3F">
            <w:pPr>
              <w:widowControl/>
              <w:spacing w:line="320" w:lineRule="exact"/>
              <w:jc w:val="center"/>
              <w:rPr>
                <w:rFonts w:ascii="Times New Roman" w:hAnsi="Times New Roman" w:eastAsia="仿宋" w:cs="Times New Roman"/>
                <w:color w:val="auto"/>
                <w:sz w:val="21"/>
                <w:szCs w:val="20"/>
              </w:rPr>
            </w:pPr>
          </w:p>
        </w:tc>
        <w:tc>
          <w:tcPr>
            <w:tcW w:w="3512" w:type="pct"/>
            <w:noWrap w:val="0"/>
            <w:vAlign w:val="center"/>
          </w:tcPr>
          <w:p w14:paraId="598A7F2F">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生态产品价值核算及应用机制</w:t>
            </w:r>
          </w:p>
        </w:tc>
      </w:tr>
    </w:tbl>
    <w:p w14:paraId="06935C97">
      <w:pPr>
        <w:bidi w:val="0"/>
      </w:pPr>
    </w:p>
    <w:p w14:paraId="0386A41C">
      <w:pPr>
        <w:bidi w:val="0"/>
      </w:pPr>
    </w:p>
    <w:p w14:paraId="298112D0">
      <w:pPr>
        <w:bidi w:val="0"/>
        <w:sectPr>
          <w:headerReference r:id="rId9" w:type="default"/>
          <w:footerReference r:id="rId10" w:type="default"/>
          <w:pgSz w:w="11906" w:h="16838"/>
          <w:pgMar w:top="1440" w:right="1797" w:bottom="1440" w:left="1797" w:header="851" w:footer="992" w:gutter="0"/>
          <w:pgBorders>
            <w:top w:val="none" w:sz="0" w:space="0"/>
            <w:left w:val="none" w:sz="0" w:space="0"/>
            <w:bottom w:val="none" w:sz="0" w:space="0"/>
            <w:right w:val="none" w:sz="0" w:space="0"/>
          </w:pgBorders>
          <w:pgNumType w:fmt="decimal"/>
          <w:cols w:space="425" w:num="1"/>
          <w:docGrid w:linePitch="312" w:charSpace="0"/>
        </w:sectPr>
      </w:pPr>
    </w:p>
    <w:bookmarkEnd w:id="237"/>
    <w:bookmarkEnd w:id="238"/>
    <w:bookmarkEnd w:id="239"/>
    <w:bookmarkEnd w:id="240"/>
    <w:p w14:paraId="7B63DA30">
      <w:pPr>
        <w:pStyle w:val="3"/>
        <w:pageBreakBefore w:val="0"/>
        <w:kinsoku/>
        <w:wordWrap/>
        <w:overflowPunct/>
        <w:topLinePunct w:val="0"/>
        <w:autoSpaceDE/>
        <w:autoSpaceDN/>
        <w:bidi w:val="0"/>
        <w:spacing w:before="0" w:after="0" w:line="500" w:lineRule="exact"/>
        <w:jc w:val="center"/>
        <w:textAlignment w:val="auto"/>
        <w:rPr>
          <w:rFonts w:hint="default" w:ascii="Times New Roman" w:hAnsi="Times New Roman" w:eastAsia="仿宋" w:cs="Times New Roman"/>
          <w:color w:val="auto"/>
          <w:sz w:val="44"/>
          <w:lang w:val="en-US" w:eastAsia="zh-CN"/>
        </w:rPr>
      </w:pPr>
      <w:bookmarkStart w:id="312" w:name="_Toc7226"/>
      <w:bookmarkStart w:id="313" w:name="_Toc35697786"/>
      <w:bookmarkStart w:id="314" w:name="_Toc112155889"/>
      <w:bookmarkStart w:id="315" w:name="_Toc9516127"/>
      <w:bookmarkStart w:id="316" w:name="_Toc514661276"/>
      <w:r>
        <w:rPr>
          <w:rFonts w:hint="default" w:ascii="Times New Roman" w:hAnsi="Times New Roman" w:eastAsia="仿宋" w:cs="Times New Roman"/>
          <w:color w:val="auto"/>
          <w:sz w:val="44"/>
          <w:lang w:val="en-US" w:eastAsia="zh-CN"/>
        </w:rPr>
        <w:t>6坚持全面统筹，建设生态安全体系</w:t>
      </w:r>
      <w:bookmarkEnd w:id="312"/>
    </w:p>
    <w:p w14:paraId="1EE5960F">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en-US" w:eastAsia="zh-CN"/>
        </w:rPr>
      </w:pPr>
      <w:bookmarkStart w:id="317" w:name="_Toc23359"/>
      <w:bookmarkStart w:id="318" w:name="_Toc10514"/>
      <w:bookmarkStart w:id="319" w:name="_Toc89"/>
      <w:bookmarkStart w:id="320" w:name="_Toc27641"/>
      <w:bookmarkStart w:id="321" w:name="_Toc2711"/>
      <w:bookmarkStart w:id="322" w:name="_Toc12926"/>
      <w:bookmarkStart w:id="323" w:name="_Toc10663"/>
      <w:bookmarkStart w:id="324" w:name="_Toc15149"/>
      <w:bookmarkStart w:id="325" w:name="_Toc4192"/>
      <w:bookmarkStart w:id="326" w:name="_Toc31659"/>
      <w:r>
        <w:rPr>
          <w:rFonts w:hint="eastAsia" w:ascii="Times New Roman" w:hAnsi="Times New Roman" w:eastAsia="仿宋" w:cs="Times New Roman"/>
          <w:color w:val="auto"/>
          <w:sz w:val="32"/>
          <w:lang w:val="en-US" w:eastAsia="zh-CN"/>
        </w:rPr>
        <w:t>6.1</w:t>
      </w:r>
      <w:r>
        <w:rPr>
          <w:rFonts w:hint="default" w:ascii="Times New Roman" w:hAnsi="Times New Roman" w:eastAsia="仿宋" w:cs="Times New Roman"/>
          <w:color w:val="auto"/>
          <w:sz w:val="32"/>
          <w:lang w:val="en-US" w:eastAsia="zh-CN"/>
        </w:rPr>
        <w:t>稳定保持水生态环境质量</w:t>
      </w:r>
      <w:bookmarkEnd w:id="317"/>
      <w:bookmarkEnd w:id="318"/>
      <w:bookmarkEnd w:id="319"/>
      <w:bookmarkEnd w:id="320"/>
      <w:bookmarkEnd w:id="321"/>
      <w:bookmarkEnd w:id="322"/>
      <w:bookmarkEnd w:id="323"/>
      <w:bookmarkEnd w:id="324"/>
      <w:bookmarkEnd w:id="325"/>
      <w:bookmarkEnd w:id="326"/>
    </w:p>
    <w:p w14:paraId="0EBE0315">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327" w:name="_Toc15136"/>
      <w:bookmarkStart w:id="328" w:name="_Toc19064"/>
      <w:bookmarkStart w:id="329" w:name="_Toc3789"/>
      <w:bookmarkStart w:id="330" w:name="_Toc1978"/>
      <w:bookmarkStart w:id="331" w:name="_Toc4553"/>
      <w:r>
        <w:rPr>
          <w:rFonts w:hint="eastAsia" w:ascii="Times New Roman" w:hAnsi="Times New Roman" w:eastAsia="宋体" w:cs="Times New Roman"/>
          <w:b/>
          <w:bCs/>
          <w:snapToGrid w:val="0"/>
          <w:color w:val="auto"/>
          <w:kern w:val="2"/>
          <w:sz w:val="28"/>
          <w:szCs w:val="28"/>
          <w:highlight w:val="none"/>
          <w:lang w:val="en-US" w:eastAsia="zh-CN" w:bidi="ar-SA"/>
        </w:rPr>
        <w:t>6.1</w:t>
      </w:r>
      <w:r>
        <w:rPr>
          <w:rFonts w:hint="default" w:ascii="Times New Roman" w:hAnsi="Times New Roman" w:eastAsia="宋体" w:cs="Times New Roman"/>
          <w:b/>
          <w:bCs/>
          <w:snapToGrid w:val="0"/>
          <w:color w:val="auto"/>
          <w:kern w:val="2"/>
          <w:sz w:val="28"/>
          <w:szCs w:val="28"/>
          <w:highlight w:val="none"/>
          <w:lang w:val="en-US" w:eastAsia="zh-CN" w:bidi="ar-SA"/>
        </w:rPr>
        <w:t>.1保障水环境安全</w:t>
      </w:r>
      <w:bookmarkEnd w:id="327"/>
      <w:bookmarkEnd w:id="328"/>
      <w:bookmarkEnd w:id="329"/>
    </w:p>
    <w:p w14:paraId="01A463F4">
      <w:pPr>
        <w:pStyle w:val="6"/>
        <w:pageBreakBefore w:val="0"/>
        <w:kinsoku/>
        <w:wordWrap/>
        <w:overflowPunct/>
        <w:topLinePunct w:val="0"/>
        <w:autoSpaceDE/>
        <w:autoSpaceDN/>
        <w:bidi w:val="0"/>
        <w:spacing w:line="500" w:lineRule="exact"/>
        <w:textAlignment w:val="auto"/>
        <w:rPr>
          <w:rFonts w:hint="default" w:ascii="Times New Roman" w:hAnsi="Times New Roman" w:eastAsia="仿宋" w:cs="Times New Roman"/>
          <w:b/>
          <w:bCs/>
          <w:snapToGrid w:val="0"/>
          <w:color w:val="auto"/>
          <w:kern w:val="2"/>
          <w:sz w:val="28"/>
          <w:szCs w:val="32"/>
          <w:lang w:val="en-US" w:eastAsia="zh-CN" w:bidi="ar-SA"/>
        </w:rPr>
      </w:pPr>
      <w:r>
        <w:rPr>
          <w:rFonts w:hint="eastAsia" w:ascii="Times New Roman" w:hAnsi="Times New Roman" w:eastAsia="仿宋" w:cs="Times New Roman"/>
          <w:b/>
          <w:bCs/>
          <w:snapToGrid w:val="0"/>
          <w:color w:val="auto"/>
          <w:kern w:val="2"/>
          <w:sz w:val="28"/>
          <w:szCs w:val="32"/>
          <w:lang w:val="en-US" w:eastAsia="zh-CN" w:bidi="ar-SA"/>
        </w:rPr>
        <w:t>6.1</w:t>
      </w:r>
      <w:r>
        <w:rPr>
          <w:rFonts w:hint="default" w:ascii="Times New Roman" w:hAnsi="Times New Roman" w:eastAsia="仿宋" w:cs="Times New Roman"/>
          <w:b/>
          <w:bCs/>
          <w:snapToGrid w:val="0"/>
          <w:color w:val="auto"/>
          <w:kern w:val="2"/>
          <w:sz w:val="28"/>
          <w:szCs w:val="32"/>
          <w:lang w:val="en-US" w:eastAsia="zh-CN" w:bidi="ar-SA"/>
        </w:rPr>
        <w:t>.1.</w:t>
      </w:r>
      <w:r>
        <w:rPr>
          <w:rFonts w:hint="eastAsia" w:ascii="Times New Roman" w:hAnsi="Times New Roman" w:eastAsia="仿宋" w:cs="Times New Roman"/>
          <w:b/>
          <w:bCs/>
          <w:snapToGrid w:val="0"/>
          <w:color w:val="auto"/>
          <w:kern w:val="2"/>
          <w:sz w:val="28"/>
          <w:szCs w:val="32"/>
          <w:lang w:val="en-US" w:eastAsia="zh-CN" w:bidi="ar-SA"/>
        </w:rPr>
        <w:t>1</w:t>
      </w:r>
      <w:r>
        <w:rPr>
          <w:rFonts w:hint="default" w:ascii="Times New Roman" w:hAnsi="Times New Roman" w:eastAsia="仿宋" w:cs="Times New Roman"/>
          <w:b/>
          <w:bCs/>
          <w:snapToGrid w:val="0"/>
          <w:color w:val="auto"/>
          <w:kern w:val="2"/>
          <w:sz w:val="28"/>
          <w:szCs w:val="32"/>
          <w:lang w:val="en-US" w:eastAsia="zh-CN" w:bidi="ar-SA"/>
        </w:rPr>
        <w:t>协同推进红河水系元江流域水污染防治</w:t>
      </w:r>
    </w:p>
    <w:p w14:paraId="79252ED2">
      <w:pPr>
        <w:keepNext w:val="0"/>
        <w:keepLines w:val="0"/>
        <w:pageBreakBefore w:val="0"/>
        <w:widowControl/>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探索实施红河水系元江流域污水回用新方式，以减轻红河水系元江流域污染负荷。坚持上下游协调联动，统筹推进红河水系水污染综合防治工作。流域上游积极推进水源地保护和水源涵养林修复工程，抓好小流域治理；着力完善“两污”设施，及推进面山水土流失防治。加强工矿污染控制和脆弱生态修复。平甸河、戛洒江等主要流域实施村镇生活治理、畜禽养殖污染控制、农田面源污染治理和滨河生态修复</w:t>
      </w:r>
      <w:r>
        <w:rPr>
          <w:rFonts w:hint="eastAsia" w:ascii="Times New Roman" w:hAnsi="Times New Roman" w:eastAsia="方正仿宋_GBK" w:cs="方正仿宋_GBK"/>
          <w:b w:val="0"/>
          <w:bCs w:val="0"/>
          <w:color w:val="auto"/>
          <w:kern w:val="2"/>
          <w:sz w:val="28"/>
          <w:szCs w:val="28"/>
          <w:lang w:val="en-US" w:eastAsia="zh-CN" w:bidi="ar-SA"/>
        </w:rPr>
        <w:t>。加大入河排污口的排查整改力度，依法查处各类生态环境违法行为。同时积极向上争取专项资金，开展流域农村环境综合整治。</w:t>
      </w:r>
    </w:p>
    <w:p w14:paraId="7C2BD9EB">
      <w:pPr>
        <w:pStyle w:val="6"/>
        <w:pageBreakBefore w:val="0"/>
        <w:kinsoku/>
        <w:wordWrap/>
        <w:overflowPunct/>
        <w:topLinePunct w:val="0"/>
        <w:autoSpaceDE/>
        <w:autoSpaceDN/>
        <w:bidi w:val="0"/>
        <w:spacing w:line="500" w:lineRule="exact"/>
        <w:textAlignment w:val="auto"/>
        <w:rPr>
          <w:rFonts w:hint="default" w:ascii="Times New Roman" w:hAnsi="Times New Roman" w:eastAsia="仿宋" w:cs="Times New Roman"/>
          <w:b/>
          <w:bCs/>
          <w:snapToGrid w:val="0"/>
          <w:color w:val="auto"/>
          <w:kern w:val="2"/>
          <w:sz w:val="28"/>
          <w:szCs w:val="32"/>
          <w:lang w:val="en-US" w:eastAsia="zh-CN" w:bidi="ar-SA"/>
        </w:rPr>
      </w:pPr>
      <w:r>
        <w:rPr>
          <w:rFonts w:hint="eastAsia" w:ascii="Times New Roman" w:hAnsi="Times New Roman" w:eastAsia="仿宋" w:cs="Times New Roman"/>
          <w:b/>
          <w:bCs/>
          <w:snapToGrid w:val="0"/>
          <w:color w:val="auto"/>
          <w:kern w:val="2"/>
          <w:sz w:val="28"/>
          <w:szCs w:val="32"/>
          <w:lang w:val="en-US" w:eastAsia="zh-CN" w:bidi="ar-SA"/>
        </w:rPr>
        <w:t>6.1</w:t>
      </w:r>
      <w:r>
        <w:rPr>
          <w:rFonts w:hint="default" w:ascii="Times New Roman" w:hAnsi="Times New Roman" w:eastAsia="仿宋" w:cs="Times New Roman"/>
          <w:b/>
          <w:bCs/>
          <w:snapToGrid w:val="0"/>
          <w:color w:val="auto"/>
          <w:kern w:val="2"/>
          <w:sz w:val="28"/>
          <w:szCs w:val="32"/>
          <w:lang w:val="en-US" w:eastAsia="zh-CN" w:bidi="ar-SA"/>
        </w:rPr>
        <w:t>.1.</w:t>
      </w:r>
      <w:r>
        <w:rPr>
          <w:rFonts w:hint="eastAsia" w:ascii="Times New Roman" w:hAnsi="Times New Roman" w:eastAsia="仿宋" w:cs="Times New Roman"/>
          <w:b/>
          <w:bCs/>
          <w:snapToGrid w:val="0"/>
          <w:color w:val="auto"/>
          <w:kern w:val="2"/>
          <w:sz w:val="28"/>
          <w:szCs w:val="32"/>
          <w:lang w:val="en-US" w:eastAsia="zh-CN" w:bidi="ar-SA"/>
        </w:rPr>
        <w:t>2</w:t>
      </w:r>
      <w:r>
        <w:rPr>
          <w:rFonts w:hint="default" w:ascii="Times New Roman" w:hAnsi="Times New Roman" w:eastAsia="仿宋" w:cs="Times New Roman"/>
          <w:b/>
          <w:bCs/>
          <w:snapToGrid w:val="0"/>
          <w:color w:val="auto"/>
          <w:kern w:val="2"/>
          <w:sz w:val="28"/>
          <w:szCs w:val="32"/>
          <w:lang w:val="en-US" w:eastAsia="zh-CN" w:bidi="ar-SA"/>
        </w:rPr>
        <w:t>加大饮用水水源保护力度</w:t>
      </w:r>
    </w:p>
    <w:p w14:paraId="1F149374">
      <w:pPr>
        <w:keepNext w:val="0"/>
        <w:keepLines w:val="0"/>
        <w:pageBreakBefore w:val="0"/>
        <w:widowControl/>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确保饮用水源水质稳定保持。以清水河水库、他拉河水库2个集中式饮用水源地为重点，严格水源保护。全面推进水源地环境整治，加强供水全过程管理，严格执行水资源开发利用控制红线、用水效率控制红线和水功能区限制纳污控制红线，保障水资源可持续利用；实现一级保护区的封闭管理，减少人员活动对水源的污染；保护水源涵养林，治理水土流失，实施小流域农村“两污”和人畜粪便污染治理等工程，建立沿河自上而下系统的、多层次的拦截防控体系，构建污染防治与生态建设工程体系，将流域建设成“有水则清、无水则绿”的良好生态系统；强化水源地保护规划落实和定期评估工作。重点对水源所在地的基础环境状况、水质情况、污染源信息以及环境管理情况进行评估，针对存在的问题提出</w:t>
      </w:r>
      <w:r>
        <w:rPr>
          <w:rFonts w:hint="eastAsia" w:ascii="Times New Roman" w:hAnsi="Times New Roman" w:eastAsia="方正仿宋_GBK" w:cs="方正仿宋_GBK"/>
          <w:b w:val="0"/>
          <w:bCs w:val="0"/>
          <w:color w:val="auto"/>
          <w:kern w:val="2"/>
          <w:sz w:val="28"/>
          <w:szCs w:val="28"/>
          <w:lang w:val="en-US" w:eastAsia="zh-CN" w:bidi="ar-SA"/>
        </w:rPr>
        <w:t>有针对性的整改措施</w:t>
      </w:r>
      <w:r>
        <w:rPr>
          <w:rFonts w:hint="default" w:ascii="Times New Roman" w:hAnsi="Times New Roman" w:eastAsia="方正仿宋_GBK" w:cs="方正仿宋_GBK"/>
          <w:b w:val="0"/>
          <w:bCs w:val="0"/>
          <w:color w:val="auto"/>
          <w:kern w:val="2"/>
          <w:sz w:val="28"/>
          <w:szCs w:val="28"/>
          <w:lang w:val="en-US" w:eastAsia="zh-CN" w:bidi="ar-SA"/>
        </w:rPr>
        <w:t>；完善水源地管理制度，进一步研究提出可操作性强的水源地监管措施，制定出台水源地监督巡查制度、综合执法制度、应急保障制度，保证饮用水水源地水源安全。确保县城以上集中式饮用水源地水质达标率稳定保持100%。</w:t>
      </w:r>
    </w:p>
    <w:p w14:paraId="0AC28BD8">
      <w:pPr>
        <w:keepNext w:val="0"/>
        <w:keepLines w:val="0"/>
        <w:pageBreakBefore w:val="0"/>
        <w:widowControl/>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建立水资源补偿和监督机制。加强集中式供水水源地的保护和监督管理，确保供水水源地水环境质量达到水功能区和水资源保护目标，对各集中式供水水资源地保护区必须采取一定的保护、监督和管理措施。</w:t>
      </w:r>
    </w:p>
    <w:p w14:paraId="03412DB5">
      <w:pPr>
        <w:keepNext w:val="0"/>
        <w:keepLines w:val="0"/>
        <w:pageBreakBefore w:val="0"/>
        <w:widowControl/>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加强饮用水源地环境监管，禁止在水源保护区建设有污染物排放和破坏生态的项目。调整水源保护区的农业产业结构，推广生态农业，实施测土配方施肥，大力推广运用有机肥，最大限度减少化肥农药的施用量，提高农业废弃物综合利用率。限制畜禽养殖规模，根据水源保护区划分，一级保护区和二级保护区分别划定为禁养区和限养区。因地制宜，建设村庄生活污水及生活垃圾处理设施，实现水源保护区一、二级保护区内80%以上的村庄有生活污水及垃圾处理设施。加强水源保护区建设，提高水源涵养林效益。加大水源涵养林的抚育、更新、补种补植力度，提高适宜本地区的水源涵养效益好的混交林、阔叶林的比重。完善饮用水源地保护设施，主要集中式饮用水源地水质控制在Ⅱ类地表水标准范围内，主要集中式饮用水源地水质达标率达到100%。</w:t>
      </w:r>
    </w:p>
    <w:p w14:paraId="3B2FC061">
      <w:pPr>
        <w:pStyle w:val="6"/>
        <w:pageBreakBefore w:val="0"/>
        <w:kinsoku/>
        <w:wordWrap/>
        <w:overflowPunct/>
        <w:topLinePunct w:val="0"/>
        <w:autoSpaceDE/>
        <w:autoSpaceDN/>
        <w:bidi w:val="0"/>
        <w:spacing w:line="500" w:lineRule="exact"/>
        <w:textAlignment w:val="auto"/>
        <w:rPr>
          <w:rFonts w:hint="default" w:ascii="Times New Roman" w:hAnsi="Times New Roman" w:eastAsia="仿宋" w:cs="Times New Roman"/>
          <w:b/>
          <w:bCs/>
          <w:snapToGrid w:val="0"/>
          <w:color w:val="auto"/>
          <w:kern w:val="2"/>
          <w:sz w:val="28"/>
          <w:szCs w:val="32"/>
          <w:lang w:val="en-US" w:eastAsia="zh-CN" w:bidi="ar-SA"/>
        </w:rPr>
      </w:pPr>
      <w:r>
        <w:rPr>
          <w:rFonts w:hint="eastAsia" w:ascii="Times New Roman" w:hAnsi="Times New Roman" w:eastAsia="仿宋" w:cs="Times New Roman"/>
          <w:b/>
          <w:bCs/>
          <w:snapToGrid w:val="0"/>
          <w:color w:val="auto"/>
          <w:kern w:val="2"/>
          <w:sz w:val="28"/>
          <w:szCs w:val="32"/>
          <w:lang w:val="en-US" w:eastAsia="zh-CN" w:bidi="ar-SA"/>
        </w:rPr>
        <w:t>6.1</w:t>
      </w:r>
      <w:r>
        <w:rPr>
          <w:rFonts w:hint="default" w:ascii="Times New Roman" w:hAnsi="Times New Roman" w:eastAsia="仿宋" w:cs="Times New Roman"/>
          <w:b/>
          <w:bCs/>
          <w:snapToGrid w:val="0"/>
          <w:color w:val="auto"/>
          <w:kern w:val="2"/>
          <w:sz w:val="28"/>
          <w:szCs w:val="32"/>
          <w:lang w:val="en-US" w:eastAsia="zh-CN" w:bidi="ar-SA"/>
        </w:rPr>
        <w:t>.1.</w:t>
      </w:r>
      <w:r>
        <w:rPr>
          <w:rFonts w:hint="eastAsia" w:ascii="Times New Roman" w:hAnsi="Times New Roman" w:eastAsia="仿宋" w:cs="Times New Roman"/>
          <w:b/>
          <w:bCs/>
          <w:snapToGrid w:val="0"/>
          <w:color w:val="auto"/>
          <w:kern w:val="2"/>
          <w:sz w:val="28"/>
          <w:szCs w:val="32"/>
          <w:lang w:val="en-US" w:eastAsia="zh-CN" w:bidi="ar-SA"/>
        </w:rPr>
        <w:t>3</w:t>
      </w:r>
      <w:r>
        <w:rPr>
          <w:rFonts w:hint="default" w:ascii="Times New Roman" w:hAnsi="Times New Roman" w:eastAsia="仿宋" w:cs="Times New Roman"/>
          <w:b/>
          <w:bCs/>
          <w:snapToGrid w:val="0"/>
          <w:color w:val="auto"/>
          <w:kern w:val="2"/>
          <w:sz w:val="28"/>
          <w:szCs w:val="32"/>
          <w:lang w:val="en-US" w:eastAsia="zh-CN" w:bidi="ar-SA"/>
        </w:rPr>
        <w:t>持续深化水污染治理</w:t>
      </w:r>
    </w:p>
    <w:p w14:paraId="55B19020">
      <w:pPr>
        <w:keepNext w:val="0"/>
        <w:keepLines w:val="0"/>
        <w:pageBreakBefore w:val="0"/>
        <w:widowControl/>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落实河（湖）长制，构建流域控制单元精细化管理体系，加大南薅、居拉里大桥等断面流域内城镇生活污染及农业面源污染治理力度，加强仙福钢铁、瀛洲水泥等重点企业水污染监管，坚持上下游协调联动，统筹推进红河水系水污染综合防治工作。严格地下水水量和水位双控制，开展地下水取水专项执法检查和综合整治。实施饮用水水源保护区环境综合整治工程，加强清水河水库、他拉河水库等重要饮用水水源保护区应急监管，强化饮用水水源水质监测和动态跟踪。</w:t>
      </w:r>
      <w:r>
        <w:rPr>
          <w:rFonts w:hint="eastAsia" w:ascii="Times New Roman" w:hAnsi="Times New Roman" w:eastAsia="方正仿宋_GBK" w:cs="方正仿宋_GBK"/>
          <w:b w:val="0"/>
          <w:bCs w:val="0"/>
          <w:color w:val="auto"/>
          <w:kern w:val="2"/>
          <w:sz w:val="28"/>
          <w:szCs w:val="28"/>
          <w:lang w:val="en-US" w:eastAsia="zh-CN" w:bidi="ar-SA"/>
        </w:rPr>
        <w:t>加强流域</w:t>
      </w:r>
      <w:r>
        <w:rPr>
          <w:rFonts w:hint="default" w:ascii="Times New Roman" w:hAnsi="Times New Roman" w:eastAsia="方正仿宋_GBK" w:cs="方正仿宋_GBK"/>
          <w:b w:val="0"/>
          <w:bCs w:val="0"/>
          <w:color w:val="auto"/>
          <w:kern w:val="2"/>
          <w:sz w:val="28"/>
          <w:szCs w:val="28"/>
          <w:lang w:val="en-US" w:eastAsia="zh-CN" w:bidi="ar-SA"/>
        </w:rPr>
        <w:t>村庄生活垃圾收集、清运和村庄生活污水资源化利用，定期组织开展群众清河行动。</w:t>
      </w:r>
    </w:p>
    <w:p w14:paraId="4B51D943">
      <w:pPr>
        <w:keepNext w:val="0"/>
        <w:keepLines w:val="0"/>
        <w:pageBreakBefore w:val="0"/>
        <w:widowControl/>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强化生活污水污染防治。持续深化水污染治理。进一步扩大县城污水管网的覆盖区域，使县城污水设施物尽其用，服务区域尽可能涵盖县城周边村落。现有合流制排水系统应加快实施雨污分流改造。鼓励县城开展初期雨水收集处理体系建设，建设人工湿地水质</w:t>
      </w:r>
      <w:r>
        <w:rPr>
          <w:rFonts w:hint="eastAsia" w:ascii="Times New Roman" w:hAnsi="Times New Roman" w:eastAsia="方正仿宋_GBK" w:cs="方正仿宋_GBK"/>
          <w:b w:val="0"/>
          <w:bCs w:val="0"/>
          <w:color w:val="auto"/>
          <w:kern w:val="2"/>
          <w:sz w:val="28"/>
          <w:szCs w:val="28"/>
          <w:lang w:val="en-US" w:eastAsia="zh-CN" w:bidi="ar-SA"/>
        </w:rPr>
        <w:t>净化</w:t>
      </w:r>
      <w:r>
        <w:rPr>
          <w:rFonts w:hint="default" w:ascii="Times New Roman" w:hAnsi="Times New Roman" w:eastAsia="方正仿宋_GBK" w:cs="方正仿宋_GBK"/>
          <w:b w:val="0"/>
          <w:bCs w:val="0"/>
          <w:color w:val="auto"/>
          <w:kern w:val="2"/>
          <w:sz w:val="28"/>
          <w:szCs w:val="28"/>
          <w:lang w:val="en-US" w:eastAsia="zh-CN" w:bidi="ar-SA"/>
        </w:rPr>
        <w:t>水泥程，对处理达标后的尾水进一步净化，实现县城建成区污水“零直排”，污水处理厂出水用于绿化、农灌等用途的，合理确定管控要求达到相应污水再生利用标准。加强开展已建设乡镇污水管网排查升级改造和推动集镇污水处理厂提标改造，将县城排放标准从B标提升到一级A标，并逐步完善其余乡镇污水处理设施建设，逐步实施提标改造工程，实现城集镇生活污水处理设施全覆盖。大力推进污泥处理设施建设，健全污泥转移联单制度，确保规划期间，污泥无害化处理处置率达100%。</w:t>
      </w:r>
    </w:p>
    <w:p w14:paraId="746F273D">
      <w:pPr>
        <w:keepNext w:val="0"/>
        <w:keepLines w:val="0"/>
        <w:pageBreakBefore w:val="0"/>
        <w:widowControl/>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推进农业农村污染防治。大力推行生猪、山羊等规模化养殖场实施标准化规模养殖，配套建设粪便污水贮存、处理、利用设施，改进设施养殖工艺，完善技术装备条件；鼓励和支持散养密集区实行畜禽粪污分户收集、集中处理。推广畜禽粪便污水综合利用技术模式，规范和引导畜禽养殖场（小区）做好养殖废弃物资源化利用。制定实施农业面源污染综合防治方案。推广低毒、低残留农药使用补助试点经验，开展农作物病虫害绿色防控和统防统治，农作物病虫害统防统治覆盖率逐年提高。实行测土配方施肥，推广精准施肥技术和机具。新建高标准农田要达到相关环保要求。加快农村环境综合整治。实行农村污水处理统一规划、统一建设、统一管理，有条件的地区积极推进城镇污水处理设施和服务向农村延伸。深化“以奖促治”政策，实施农村清洁工程，开展河道清淤疏浚，推进农村环境连片整治。</w:t>
      </w:r>
    </w:p>
    <w:p w14:paraId="25F90CF9">
      <w:pPr>
        <w:keepNext w:val="0"/>
        <w:keepLines w:val="0"/>
        <w:pageBreakBefore w:val="0"/>
        <w:widowControl/>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加强工业污染防治。加快推进新平产业园区桂山片区、大开门片区污水集中收集处理设施建设。推动钢铁、水泥等重点行业及元江流域等重点区域绿色发展，制定差别化的流域性环境标准和管控要求，加快推进流域产业布局调整升级。</w:t>
      </w:r>
    </w:p>
    <w:p w14:paraId="7FA9DD7F">
      <w:pPr>
        <w:keepNext w:val="0"/>
        <w:keepLines w:val="0"/>
        <w:pageBreakBefore w:val="0"/>
        <w:widowControl/>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打好城市黑臭水体治理攻坚战。坚持“节约优先、保护优先、自然恢复”的方针，适时开展黑臭水体整治工作。在全面排查黑臭水体基础上，采取控源截污、垃圾清理、清淤疏浚、生态修复等措施，加大黑臭水体治理力度。加快推进生活污水处理及人居环境提升工程建设，完善城区截污工程建设，加快城区雨污分流工程改造，同时启动集镇、村庄污水收集工程建设，强化污水处理厂运营管理。</w:t>
      </w:r>
    </w:p>
    <w:p w14:paraId="57C76C64">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332" w:name="_Toc973"/>
      <w:bookmarkStart w:id="333" w:name="_Toc2404"/>
      <w:bookmarkStart w:id="334" w:name="_Toc28450"/>
      <w:r>
        <w:rPr>
          <w:rFonts w:hint="eastAsia" w:ascii="Times New Roman" w:hAnsi="Times New Roman" w:eastAsia="宋体" w:cs="Times New Roman"/>
          <w:b/>
          <w:bCs/>
          <w:snapToGrid w:val="0"/>
          <w:color w:val="auto"/>
          <w:kern w:val="2"/>
          <w:sz w:val="28"/>
          <w:szCs w:val="28"/>
          <w:highlight w:val="none"/>
          <w:lang w:val="en-US" w:eastAsia="zh-CN" w:bidi="ar-SA"/>
        </w:rPr>
        <w:t>6.1</w:t>
      </w:r>
      <w:r>
        <w:rPr>
          <w:rFonts w:hint="default" w:ascii="Times New Roman" w:hAnsi="Times New Roman" w:eastAsia="宋体" w:cs="Times New Roman"/>
          <w:b/>
          <w:bCs/>
          <w:snapToGrid w:val="0"/>
          <w:color w:val="auto"/>
          <w:kern w:val="2"/>
          <w:sz w:val="28"/>
          <w:szCs w:val="28"/>
          <w:highlight w:val="none"/>
          <w:lang w:val="en-US" w:eastAsia="zh-CN" w:bidi="ar-SA"/>
        </w:rPr>
        <w:t>.2积极推动水生态保护与修复</w:t>
      </w:r>
      <w:bookmarkEnd w:id="332"/>
      <w:bookmarkEnd w:id="333"/>
      <w:bookmarkEnd w:id="334"/>
    </w:p>
    <w:p w14:paraId="2C96198C">
      <w:pPr>
        <w:keepNext w:val="0"/>
        <w:keepLines w:val="0"/>
        <w:pageBreakBefore w:val="0"/>
        <w:widowControl/>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bookmarkStart w:id="335" w:name="_Toc43374888"/>
      <w:bookmarkStart w:id="336" w:name="_Toc45889563"/>
      <w:bookmarkStart w:id="337" w:name="_Toc60664805"/>
      <w:bookmarkStart w:id="338" w:name="_Toc44264136"/>
      <w:bookmarkStart w:id="339" w:name="_Toc63194610"/>
      <w:r>
        <w:rPr>
          <w:rFonts w:hint="eastAsia" w:ascii="Times New Roman" w:hAnsi="Times New Roman" w:eastAsia="方正仿宋_GBK" w:cs="方正仿宋_GBK"/>
          <w:b w:val="0"/>
          <w:bCs w:val="0"/>
          <w:color w:val="auto"/>
          <w:kern w:val="2"/>
          <w:sz w:val="28"/>
          <w:szCs w:val="28"/>
          <w:lang w:val="en-US" w:eastAsia="zh-CN" w:bidi="ar-SA"/>
        </w:rPr>
        <w:t>推进</w:t>
      </w:r>
      <w:r>
        <w:rPr>
          <w:rFonts w:hint="default" w:ascii="Times New Roman" w:hAnsi="Times New Roman" w:eastAsia="方正仿宋_GBK" w:cs="方正仿宋_GBK"/>
          <w:b w:val="0"/>
          <w:bCs w:val="0"/>
          <w:color w:val="auto"/>
          <w:kern w:val="2"/>
          <w:sz w:val="28"/>
          <w:szCs w:val="28"/>
          <w:lang w:val="en-US" w:eastAsia="zh-CN" w:bidi="ar-SA"/>
        </w:rPr>
        <w:t>重点流域治理工程。实施挖窖河、大春河、新平河、南恩河、班东河、依施河等流域综合治理工程；推进入库河道生态净化、农村生活污水治理和农业面源污染综合治理；开展戛洒镇红河（戛洒江）流域矿区生态恢复治理示范。</w:t>
      </w:r>
      <w:r>
        <w:rPr>
          <w:rFonts w:hint="eastAsia" w:ascii="Times New Roman" w:hAnsi="Times New Roman" w:eastAsia="方正仿宋_GBK" w:cs="方正仿宋_GBK"/>
          <w:b w:val="0"/>
          <w:bCs w:val="0"/>
          <w:color w:val="auto"/>
          <w:kern w:val="2"/>
          <w:sz w:val="28"/>
          <w:szCs w:val="28"/>
          <w:lang w:val="en-US" w:eastAsia="zh-CN" w:bidi="ar-SA"/>
        </w:rPr>
        <w:t>规划掐尖</w:t>
      </w:r>
      <w:r>
        <w:rPr>
          <w:rFonts w:hint="default" w:ascii="Times New Roman" w:hAnsi="Times New Roman" w:eastAsia="方正仿宋_GBK" w:cs="方正仿宋_GBK"/>
          <w:b w:val="0"/>
          <w:bCs w:val="0"/>
          <w:color w:val="auto"/>
          <w:kern w:val="2"/>
          <w:sz w:val="28"/>
          <w:szCs w:val="28"/>
          <w:lang w:val="en-US" w:eastAsia="zh-CN" w:bidi="ar-SA"/>
        </w:rPr>
        <w:t>，戛洒江、平甸河地表水水环境功能分别</w:t>
      </w:r>
      <w:r>
        <w:rPr>
          <w:rFonts w:hint="eastAsia" w:ascii="Times New Roman" w:hAnsi="Times New Roman" w:eastAsia="方正仿宋_GBK" w:cs="方正仿宋_GBK"/>
          <w:b w:val="0"/>
          <w:bCs w:val="0"/>
          <w:color w:val="auto"/>
          <w:kern w:val="2"/>
          <w:sz w:val="28"/>
          <w:szCs w:val="28"/>
          <w:lang w:val="en-US" w:eastAsia="zh-CN" w:bidi="ar-SA"/>
        </w:rPr>
        <w:t>稳定</w:t>
      </w:r>
      <w:r>
        <w:rPr>
          <w:rFonts w:hint="default" w:ascii="Times New Roman" w:hAnsi="Times New Roman" w:eastAsia="方正仿宋_GBK" w:cs="方正仿宋_GBK"/>
          <w:b w:val="0"/>
          <w:bCs w:val="0"/>
          <w:color w:val="auto"/>
          <w:kern w:val="2"/>
          <w:sz w:val="28"/>
          <w:szCs w:val="28"/>
          <w:lang w:val="en-US" w:eastAsia="zh-CN" w:bidi="ar-SA"/>
        </w:rPr>
        <w:t>达Ⅳ类、Ⅲ类。</w:t>
      </w:r>
    </w:p>
    <w:p w14:paraId="26FBC993">
      <w:pPr>
        <w:keepNext w:val="0"/>
        <w:keepLines w:val="0"/>
        <w:pageBreakBefore w:val="0"/>
        <w:widowControl/>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加强元江、麻大江河等水生态保护力度，深入开展污染连片综合整治，实施河道截污、清淤工程，建设生态湿地，恢复植被及生物多样性，减少水土流失；采用生态驳岸形式，增加水陆交替带绿化面积，恢复两岸生态绿地及生态林地，促进水景建设以及旅游开发；完善河道堤防修筑工程，进行河道两岸桥台加固防护，完善防洪工程。</w:t>
      </w:r>
    </w:p>
    <w:p w14:paraId="0CBAB595">
      <w:pPr>
        <w:keepNext w:val="0"/>
        <w:keepLines w:val="0"/>
        <w:pageBreakBefore w:val="0"/>
        <w:widowControl/>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加大流域水土保持生态建设。实施新平县西尼河、白沙河、依施河、玉租河等小流域水土流失综合治理工程。到2025年，水土流失治理率达50%。通过保土耕作、梯田工程、坡面防洪工程、水土保持与防洪生物防治等工程措施进行综合防治。保土耕作布置在村庄7°-15°以下的坡耕地上，通过采取各类微地形，增加地面植被覆盖，增加土壤入渗，提高土壤抗蚀能力，以达到保水保土，提高作物产量。应大力推广适合本流域的地膜覆盖技术、间套种植、沟垄栽培，适当少耕或免耕种植，横坡耕作等保土措施。梯田工程应根据各村农地的实际，选择坡度较缓、土质较好、距村庄近、水源及交通条件方便，并照顾保持农户生产用地的均衡性。田面平整度一般应小于5°，土壤粘性重的个别地类的旱作梯田最大坡度不超过8°。梯坎类型为石坎坡，并沿等高线呈长条带状布设梯田田块，坡沟交错面大，地形较破碎的坡面，田块布设应做到大弯就势，小弯取直。根据面积、用途，结合降雨和原有水源条件，在坡面的横向和纵向规划设计水系、道路、植物护埂等工程。分层布设沿山沟、排洪沟、引水沟，沟中及梯田边沟、背沟出水处分段设沉沙凼、纵向沟与横向沟交汇处规划布设蓄水池，蓄水池的进水口前配置沉沙凼，纵向沟坡度大或转弯处修建消力设施。</w:t>
      </w:r>
    </w:p>
    <w:bookmarkEnd w:id="335"/>
    <w:bookmarkEnd w:id="336"/>
    <w:bookmarkEnd w:id="337"/>
    <w:bookmarkEnd w:id="338"/>
    <w:bookmarkEnd w:id="339"/>
    <w:p w14:paraId="3C172BD5">
      <w:pPr>
        <w:keepNext w:val="0"/>
        <w:keepLines w:val="0"/>
        <w:pageBreakBefore w:val="0"/>
        <w:widowControl/>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加强涉水生态空间管控及保护措施。涉水生态空间依据其自然生态特征分为以水体为主的河流、湖泊等水域空间，以水陆交错为主的岸线空间，以及与水资源保护密切关联的涉水陆域空间等。主要包括河流、湖泊等水域、岸线空间；水源涵养、饮用水水源保护、水土保持、行蓄洪水等陆域涉水生态空间。其中，河湖岸线是指河流两侧、湖泊周边一定范围内水陆相交的带状区域，是河流、湖泊自然生态空间的重要组成部分。按照以水而定、量水而行和强化水资源承载能力刚性约束要求，提出水资源开发利用管控措施。以划定的涉水生态空间为基础，以维护和改善河湖水生态系统功能为目标，从涉水生态空间面积不减少、生态功能不降低的要求出发，针对不同类型的空间，提出差异化的管控和保护措施。对于规划提出的重点水利基础设施用地空间，以保障水利基础设施建设为重点，提出预留和管控要求。</w:t>
      </w:r>
    </w:p>
    <w:p w14:paraId="1DD1967C">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340" w:name="_Toc1925"/>
      <w:bookmarkStart w:id="341" w:name="_Toc4421"/>
      <w:bookmarkStart w:id="342" w:name="_Toc28086"/>
      <w:r>
        <w:rPr>
          <w:rFonts w:hint="eastAsia" w:ascii="Times New Roman" w:hAnsi="Times New Roman" w:eastAsia="宋体" w:cs="Times New Roman"/>
          <w:b/>
          <w:bCs/>
          <w:snapToGrid w:val="0"/>
          <w:color w:val="auto"/>
          <w:kern w:val="2"/>
          <w:sz w:val="28"/>
          <w:szCs w:val="28"/>
          <w:highlight w:val="none"/>
          <w:lang w:val="en-US" w:eastAsia="zh-CN" w:bidi="ar-SA"/>
        </w:rPr>
        <w:t>6.1</w:t>
      </w:r>
      <w:r>
        <w:rPr>
          <w:rFonts w:hint="default" w:ascii="Times New Roman" w:hAnsi="Times New Roman" w:eastAsia="宋体" w:cs="Times New Roman"/>
          <w:b/>
          <w:bCs/>
          <w:snapToGrid w:val="0"/>
          <w:color w:val="auto"/>
          <w:kern w:val="2"/>
          <w:sz w:val="28"/>
          <w:szCs w:val="28"/>
          <w:highlight w:val="none"/>
          <w:lang w:val="en-US" w:eastAsia="zh-CN" w:bidi="ar-SA"/>
        </w:rPr>
        <w:t>.3强化水资源保护与管理</w:t>
      </w:r>
      <w:bookmarkEnd w:id="340"/>
      <w:bookmarkEnd w:id="341"/>
      <w:bookmarkEnd w:id="342"/>
    </w:p>
    <w:p w14:paraId="4D6F17E4">
      <w:pPr>
        <w:keepNext w:val="0"/>
        <w:keepLines w:val="0"/>
        <w:pageBreakBefore w:val="0"/>
        <w:widowControl/>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实施最严格的水资源管理。一是强化节水约束性指标管理。严格落实水资源开发利用“三条红线”，实施水资源消耗总量和强度双控行动，编制水资源资产负债表，加强最严格水资源管理考核。二是强化水资源承载能力刚性约束。全面落实建设项目水资源论证制度和规划水资源论证制度，加强用水效率管理，落实超计划用水累进加价征收水资源费制度。三是建立水资源安全风险识别和预警体系。围绕经济安全、资源安全、生态安全，加强水资源风险防控。开展水资源承载能力评价，建立水资源安全风险识别和预警机制。</w:t>
      </w:r>
    </w:p>
    <w:p w14:paraId="7CAF417B">
      <w:pPr>
        <w:keepNext w:val="0"/>
        <w:keepLines w:val="0"/>
        <w:pageBreakBefore w:val="0"/>
        <w:widowControl/>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加强水资源保护与利用。对新平县饮用水源地保护提出了相应的工程措施和非工程措施；对水功能区进行分区保护和管理，保护区管理突出保护工作，禁止新建、改建、扩建与保护水资源无关的建设项目和涉水活动，原有影响水资源保护的项目，应督促项目业主增强保护措施，逐步降低、消除对水功能区的影响。保留区原则上维持现状，严格控制在保留区内从事大规模或者可能对其水量、水质、水生态造成重大影响的开发利用活动。开发利用区要兼顾多种开发利用功能，突出主要功能，按水质、水量要求最高的功能管理保护。加强水资源保护监测体系建设，逐步增加各类监测站点，提高水质监测能力，及时了解水质状况，保障供水安全，为水资源保护提供基础依据。加强监测能力建设，主要包括实验室装备、自动监测设备、应急移动监测设备、水生态监测设备和遥感监测系统建设等内容。</w:t>
      </w:r>
    </w:p>
    <w:p w14:paraId="5EAAA77D">
      <w:pPr>
        <w:keepNext w:val="0"/>
        <w:keepLines w:val="0"/>
        <w:pageBreakBefore w:val="0"/>
        <w:widowControl/>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提高水资源保护意识。大力宣传节水和洁水观念，树立节约用水就是保护生态、保护水源就是保护家园的意识，营造亲水、惜水、节水的良好氛围，消除水龙头上的浪费，倡导节约每一滴水，使爱护水、节约水成为全社会的良好风尚和自觉行动。强化公民环境意识，倡导勤俭节约、绿色低碳消费，推广节能、节水用品和绿色环保家具、建材等，推广绿色低碳出行，鼓励引导消费者购买节能环保再生产品，推动形成节约适度、绿色低碳、文明健康的生活方式和消费模式。</w:t>
      </w:r>
    </w:p>
    <w:bookmarkEnd w:id="330"/>
    <w:bookmarkEnd w:id="331"/>
    <w:p w14:paraId="223DEFB7">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en-US" w:eastAsia="zh-CN"/>
        </w:rPr>
      </w:pPr>
      <w:bookmarkStart w:id="343" w:name="_Toc35697801"/>
      <w:bookmarkStart w:id="344" w:name="_Toc9516138"/>
      <w:bookmarkStart w:id="345" w:name="_Toc514661300"/>
      <w:bookmarkStart w:id="346" w:name="_Toc23327"/>
      <w:bookmarkStart w:id="347" w:name="_Toc24289"/>
      <w:bookmarkStart w:id="348" w:name="_Toc30457"/>
      <w:bookmarkStart w:id="349" w:name="_Toc18544"/>
      <w:bookmarkStart w:id="350" w:name="_Toc32305"/>
      <w:bookmarkStart w:id="351" w:name="_Toc28052"/>
      <w:bookmarkStart w:id="352" w:name="_Toc11366"/>
      <w:bookmarkStart w:id="353" w:name="_Toc21662"/>
      <w:bookmarkStart w:id="354" w:name="_Toc12981"/>
      <w:bookmarkStart w:id="355" w:name="_Toc5705"/>
      <w:r>
        <w:rPr>
          <w:rFonts w:hint="eastAsia" w:ascii="Times New Roman" w:hAnsi="Times New Roman" w:eastAsia="仿宋" w:cs="Times New Roman"/>
          <w:color w:val="auto"/>
          <w:sz w:val="32"/>
          <w:lang w:val="en-US" w:eastAsia="zh-CN"/>
        </w:rPr>
        <w:t>6.2</w:t>
      </w:r>
      <w:r>
        <w:rPr>
          <w:rFonts w:hint="default" w:ascii="Times New Roman" w:hAnsi="Times New Roman" w:eastAsia="仿宋" w:cs="Times New Roman"/>
          <w:color w:val="auto"/>
          <w:sz w:val="32"/>
          <w:lang w:val="en-US" w:eastAsia="zh-CN"/>
        </w:rPr>
        <w:t>持续改善大气环境</w:t>
      </w:r>
      <w:bookmarkEnd w:id="343"/>
      <w:bookmarkEnd w:id="344"/>
      <w:bookmarkEnd w:id="345"/>
      <w:r>
        <w:rPr>
          <w:rFonts w:hint="default" w:ascii="Times New Roman" w:hAnsi="Times New Roman" w:eastAsia="仿宋" w:cs="Times New Roman"/>
          <w:color w:val="auto"/>
          <w:sz w:val="32"/>
          <w:lang w:val="en-US" w:eastAsia="zh-CN"/>
        </w:rPr>
        <w:t>质量</w:t>
      </w:r>
      <w:bookmarkEnd w:id="346"/>
      <w:bookmarkEnd w:id="347"/>
      <w:bookmarkEnd w:id="348"/>
      <w:bookmarkEnd w:id="349"/>
      <w:bookmarkEnd w:id="350"/>
      <w:bookmarkEnd w:id="351"/>
      <w:bookmarkEnd w:id="352"/>
      <w:bookmarkEnd w:id="353"/>
      <w:bookmarkEnd w:id="354"/>
      <w:bookmarkEnd w:id="355"/>
    </w:p>
    <w:p w14:paraId="4A708BFE">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356" w:name="_Toc2162"/>
      <w:bookmarkStart w:id="357" w:name="_Toc5608"/>
      <w:bookmarkStart w:id="358" w:name="_Toc29635"/>
      <w:bookmarkStart w:id="359" w:name="_Toc18405"/>
      <w:bookmarkStart w:id="360" w:name="_Toc21347"/>
      <w:bookmarkStart w:id="361" w:name="_Toc2689"/>
      <w:bookmarkStart w:id="362" w:name="_Toc20038"/>
      <w:bookmarkStart w:id="363" w:name="_Toc16242"/>
      <w:bookmarkStart w:id="364" w:name="_Toc28660"/>
      <w:bookmarkStart w:id="365" w:name="_Toc21614"/>
      <w:bookmarkStart w:id="366" w:name="_Toc23479"/>
      <w:bookmarkStart w:id="367" w:name="_Toc27621"/>
      <w:bookmarkStart w:id="368" w:name="_Toc3652"/>
      <w:bookmarkStart w:id="369" w:name="_Toc18763"/>
      <w:bookmarkStart w:id="370" w:name="_Toc30825"/>
      <w:bookmarkStart w:id="371" w:name="_Toc24387"/>
      <w:bookmarkStart w:id="372" w:name="_Toc32584"/>
      <w:r>
        <w:rPr>
          <w:rFonts w:hint="eastAsia" w:ascii="Times New Roman" w:hAnsi="Times New Roman" w:eastAsia="宋体" w:cs="Times New Roman"/>
          <w:b/>
          <w:bCs/>
          <w:snapToGrid w:val="0"/>
          <w:color w:val="auto"/>
          <w:kern w:val="2"/>
          <w:sz w:val="28"/>
          <w:szCs w:val="28"/>
          <w:highlight w:val="none"/>
          <w:lang w:val="en-US" w:eastAsia="zh-CN" w:bidi="ar-SA"/>
        </w:rPr>
        <w:t>6.2</w:t>
      </w:r>
      <w:r>
        <w:rPr>
          <w:rFonts w:hint="default" w:ascii="Times New Roman" w:hAnsi="Times New Roman" w:eastAsia="宋体" w:cs="Times New Roman"/>
          <w:b/>
          <w:bCs/>
          <w:snapToGrid w:val="0"/>
          <w:color w:val="auto"/>
          <w:kern w:val="2"/>
          <w:sz w:val="28"/>
          <w:szCs w:val="28"/>
          <w:highlight w:val="none"/>
          <w:lang w:val="en-US" w:eastAsia="zh-CN" w:bidi="ar-SA"/>
        </w:rPr>
        <w:t>.1协同温室气体和污染物治理</w:t>
      </w:r>
      <w:bookmarkEnd w:id="356"/>
      <w:bookmarkEnd w:id="357"/>
      <w:bookmarkEnd w:id="358"/>
    </w:p>
    <w:p w14:paraId="7539CCCA">
      <w:pPr>
        <w:keepNext w:val="0"/>
        <w:keepLines w:val="0"/>
        <w:pageBreakBefore w:val="0"/>
        <w:widowControl/>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深入挖掘温室气体与局地污染物协同控制的制度潜力、技术潜力，安排好温室气体减排与空气污染物减排、水污染物减排、固体废物减排等工作的协同推进。着力打好臭氧污染防治攻坚战，聚焦夏秋季臭氧污染，将臭氧防治与PM2.5、挥发性有机物、氮氧化物等污染物防治有机结合起来，实施协同防治。统筹考虑O3和PM2.5污染区域传输规律和季节性特征，强化分区分时分类差异化精细化协同管控。继续实施钢铁、水泥、制糖、造纸等非电行业烟气脱硫脱硝工程和机动车尾气治理工程，加快机动车尾气检测线建设。针对施工场地、运输过程和餐饮娱乐的空气污染开展专项整治。以加油站、储油库、油罐车为重点，实施挥发性有机物污染治理。到2025年，挥发性有机物、氮氧化物排放总量比2020年分别下降10%以上，PM2.5浓度稳定下降，臭氧浓度增长趋势得到有效遏制，实现细颗粒物和臭氧协同控制。</w:t>
      </w:r>
    </w:p>
    <w:p w14:paraId="2069F663">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373" w:name="_Toc5496"/>
      <w:r>
        <w:rPr>
          <w:rFonts w:hint="eastAsia" w:ascii="Times New Roman" w:hAnsi="Times New Roman" w:eastAsia="宋体" w:cs="Times New Roman"/>
          <w:b/>
          <w:bCs/>
          <w:snapToGrid w:val="0"/>
          <w:color w:val="auto"/>
          <w:kern w:val="2"/>
          <w:sz w:val="28"/>
          <w:szCs w:val="28"/>
          <w:highlight w:val="none"/>
          <w:lang w:val="en-US" w:eastAsia="zh-CN" w:bidi="ar-SA"/>
        </w:rPr>
        <w:t>6.2</w:t>
      </w:r>
      <w:r>
        <w:rPr>
          <w:rFonts w:hint="default" w:ascii="Times New Roman" w:hAnsi="Times New Roman" w:eastAsia="宋体" w:cs="Times New Roman"/>
          <w:b/>
          <w:bCs/>
          <w:snapToGrid w:val="0"/>
          <w:color w:val="auto"/>
          <w:kern w:val="2"/>
          <w:sz w:val="28"/>
          <w:szCs w:val="28"/>
          <w:highlight w:val="none"/>
          <w:lang w:val="en-US" w:eastAsia="zh-CN" w:bidi="ar-SA"/>
        </w:rPr>
        <w:t>.</w:t>
      </w:r>
      <w:r>
        <w:rPr>
          <w:rFonts w:hint="eastAsia" w:ascii="Times New Roman" w:hAnsi="Times New Roman" w:eastAsia="宋体" w:cs="Times New Roman"/>
          <w:b/>
          <w:bCs/>
          <w:snapToGrid w:val="0"/>
          <w:color w:val="auto"/>
          <w:kern w:val="2"/>
          <w:sz w:val="28"/>
          <w:szCs w:val="28"/>
          <w:highlight w:val="none"/>
          <w:lang w:val="en-US" w:eastAsia="zh-CN" w:bidi="ar-SA"/>
        </w:rPr>
        <w:t>2</w:t>
      </w:r>
      <w:r>
        <w:rPr>
          <w:rFonts w:hint="default" w:ascii="Times New Roman" w:hAnsi="Times New Roman" w:eastAsia="宋体" w:cs="Times New Roman"/>
          <w:b/>
          <w:bCs/>
          <w:snapToGrid w:val="0"/>
          <w:color w:val="auto"/>
          <w:kern w:val="2"/>
          <w:sz w:val="28"/>
          <w:szCs w:val="28"/>
          <w:highlight w:val="none"/>
          <w:lang w:val="en-US" w:eastAsia="zh-CN" w:bidi="ar-SA"/>
        </w:rPr>
        <w:t>加强大气面源污染治理</w:t>
      </w:r>
      <w:bookmarkEnd w:id="359"/>
      <w:bookmarkEnd w:id="360"/>
      <w:bookmarkEnd w:id="361"/>
      <w:bookmarkEnd w:id="362"/>
      <w:bookmarkEnd w:id="373"/>
    </w:p>
    <w:p w14:paraId="232186EE">
      <w:pPr>
        <w:keepNext w:val="0"/>
        <w:keepLines w:val="0"/>
        <w:pageBreakBefore w:val="0"/>
        <w:widowControl/>
        <w:kinsoku/>
        <w:wordWrap/>
        <w:overflowPunct/>
        <w:topLinePunct w:val="0"/>
        <w:autoSpaceDE/>
        <w:autoSpaceDN/>
        <w:bidi w:val="0"/>
        <w:adjustRightInd w:val="0"/>
        <w:snapToGrid w:val="0"/>
        <w:spacing w:line="500" w:lineRule="exact"/>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宋体" w:cs="Times New Roman"/>
          <w:color w:val="auto"/>
          <w:sz w:val="28"/>
          <w:szCs w:val="28"/>
          <w:highlight w:val="none"/>
          <w:lang w:val="en-US" w:eastAsia="zh-CN"/>
        </w:rPr>
        <w:t xml:space="preserve">  </w:t>
      </w:r>
      <w:r>
        <w:rPr>
          <w:rFonts w:hint="eastAsia" w:ascii="Times New Roman" w:hAnsi="Times New Roman" w:eastAsia="方正仿宋_GBK" w:cs="方正仿宋_GBK"/>
          <w:b w:val="0"/>
          <w:bCs w:val="0"/>
          <w:color w:val="auto"/>
          <w:kern w:val="2"/>
          <w:sz w:val="28"/>
          <w:szCs w:val="28"/>
          <w:lang w:val="en-US" w:eastAsia="zh-CN" w:bidi="ar-SA"/>
        </w:rPr>
        <w:t xml:space="preserve"> 加强计划性烧除污染防控。一是统筹做好大气污染防治与计划烧除工作。科学组织开展森林草原可燃物计划烧（清）除工作，会同县林草、气象等部门加强统筹协调，对全县计划烧除实施备案管理、会商研判、信息共享，督促科学实施烧除，确保最大限度减少对空气环境影响。二是做好重污染天气应急准备。严格按照省市要求修订和完善重污染天气应急预案。在计划烧除期间加强会商研判和预警预报，强化协调联动，针对可能出现区域性污染天气，及时发布预警提示，统一时间和工作要求，提前采取应急管控措施，坚决避免重污染天气发生。</w:t>
      </w:r>
    </w:p>
    <w:p w14:paraId="023E9832">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推进扬尘精细化管控。继续加强对全县建筑施工工地、交通道路、渣土运输车辆等城镇扬尘主要来源地重点管控，落实对建筑工地“六个百分百”管理措施，做好工地周边围挡、物料堆放覆盖、土方开挖、湿法作业、路面硬化、出入车辆清洗和渣土车辆密闭运输全面推行绿色施工，将绿色施工纳入企业资质评价、信用评价。在建区域等重点区域道路、水务等线性工程进行分段施工。推进低尘机械化湿式清扫作业，加大县城出入口、城乡接合部等重要路段冲洗保洁力度，渣土车实施硬覆盖与全密闭运输，强化道路绿化用地扬尘治理。</w:t>
      </w:r>
    </w:p>
    <w:p w14:paraId="7131E779">
      <w:pPr>
        <w:keepNext w:val="0"/>
        <w:keepLines w:val="0"/>
        <w:pageBreakBefore w:val="0"/>
        <w:widowControl/>
        <w:kinsoku/>
        <w:wordWrap/>
        <w:overflowPunct/>
        <w:topLinePunct w:val="0"/>
        <w:autoSpaceDE/>
        <w:autoSpaceDN/>
        <w:bidi w:val="0"/>
        <w:adjustRightInd w:val="0"/>
        <w:snapToGrid w:val="0"/>
        <w:spacing w:line="500" w:lineRule="exact"/>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强化餐饮油烟排放治理。制定油烟治理设施运行管理机制并实施有效监管。新建饮食服务经营场所必须使用管道煤气、天然气、电等清洁能源，已建饮食服务经营场所要限期完成清洁能源使用改造。未安装油烟治理设施的饮食业油烟排放单位必须安装油烟治理设施，设施正常使用率应不低于95%。</w:t>
      </w:r>
    </w:p>
    <w:p w14:paraId="1A297EF3">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提高农业秸秆综合利用效率，加强大气氨排放控制。严禁秸秆露天焚烧，强化秸秆禁烧主体责任。推进秸秆综合利用，发展秸秆饲料化利用工程，把秸秆作为畜牧养殖的重要饲料。结合新平养殖业特色，提高生猪规模养殖场粪污处理能力，推广新型粪污处理技术，实现生猪养殖粪污减量化、肥料化；大力发展牛、羊等食草畜牧业，加快推广秸秆青贮、氨化和发酵技术</w:t>
      </w:r>
      <w:r>
        <w:rPr>
          <w:rFonts w:hint="eastAsia" w:ascii="Times New Roman" w:hAnsi="Times New Roman" w:eastAsia="方正仿宋_GBK" w:cs="方正仿宋_GBK"/>
          <w:b w:val="0"/>
          <w:bCs w:val="0"/>
          <w:color w:val="auto"/>
          <w:kern w:val="2"/>
          <w:sz w:val="28"/>
          <w:szCs w:val="28"/>
          <w:lang w:val="en-US" w:eastAsia="zh-CN" w:bidi="ar-SA"/>
        </w:rPr>
        <w:t>。</w:t>
      </w:r>
    </w:p>
    <w:p w14:paraId="37F4C54C">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374" w:name="_Toc28113"/>
      <w:bookmarkStart w:id="375" w:name="_Toc27073"/>
      <w:bookmarkStart w:id="376" w:name="_Toc31898"/>
      <w:bookmarkStart w:id="377" w:name="_Toc17118"/>
      <w:bookmarkStart w:id="378" w:name="_Toc9494"/>
      <w:r>
        <w:rPr>
          <w:rFonts w:hint="eastAsia" w:ascii="Times New Roman" w:hAnsi="Times New Roman" w:eastAsia="宋体" w:cs="Times New Roman"/>
          <w:b/>
          <w:bCs/>
          <w:snapToGrid w:val="0"/>
          <w:color w:val="auto"/>
          <w:kern w:val="2"/>
          <w:sz w:val="28"/>
          <w:szCs w:val="28"/>
          <w:highlight w:val="none"/>
          <w:lang w:val="en-US" w:eastAsia="zh-CN" w:bidi="ar-SA"/>
        </w:rPr>
        <w:t>6.2</w:t>
      </w:r>
      <w:r>
        <w:rPr>
          <w:rFonts w:hint="default" w:ascii="Times New Roman" w:hAnsi="Times New Roman" w:eastAsia="宋体" w:cs="Times New Roman"/>
          <w:b/>
          <w:bCs/>
          <w:snapToGrid w:val="0"/>
          <w:color w:val="auto"/>
          <w:kern w:val="2"/>
          <w:sz w:val="28"/>
          <w:szCs w:val="28"/>
          <w:highlight w:val="none"/>
          <w:lang w:val="en-US" w:eastAsia="zh-CN" w:bidi="ar-SA"/>
        </w:rPr>
        <w:t>.</w:t>
      </w:r>
      <w:r>
        <w:rPr>
          <w:rFonts w:hint="eastAsia" w:ascii="Times New Roman" w:hAnsi="Times New Roman" w:eastAsia="宋体" w:cs="Times New Roman"/>
          <w:b/>
          <w:bCs/>
          <w:snapToGrid w:val="0"/>
          <w:color w:val="auto"/>
          <w:kern w:val="2"/>
          <w:sz w:val="28"/>
          <w:szCs w:val="28"/>
          <w:highlight w:val="none"/>
          <w:lang w:val="en-US" w:eastAsia="zh-CN" w:bidi="ar-SA"/>
        </w:rPr>
        <w:t>3</w:t>
      </w:r>
      <w:r>
        <w:rPr>
          <w:rFonts w:hint="default" w:ascii="Times New Roman" w:hAnsi="Times New Roman" w:eastAsia="宋体" w:cs="Times New Roman"/>
          <w:b/>
          <w:bCs/>
          <w:snapToGrid w:val="0"/>
          <w:color w:val="auto"/>
          <w:kern w:val="2"/>
          <w:sz w:val="28"/>
          <w:szCs w:val="28"/>
          <w:highlight w:val="none"/>
          <w:lang w:val="en-US" w:eastAsia="zh-CN" w:bidi="ar-SA"/>
        </w:rPr>
        <w:t>深化工业企业污染防控</w:t>
      </w:r>
      <w:bookmarkEnd w:id="374"/>
      <w:bookmarkEnd w:id="375"/>
      <w:bookmarkEnd w:id="376"/>
      <w:bookmarkEnd w:id="377"/>
      <w:bookmarkEnd w:id="378"/>
    </w:p>
    <w:p w14:paraId="46353127">
      <w:pPr>
        <w:keepNext w:val="0"/>
        <w:keepLines w:val="0"/>
        <w:pageBreakBefore w:val="0"/>
        <w:widowControl/>
        <w:kinsoku/>
        <w:wordWrap/>
        <w:overflowPunct/>
        <w:topLinePunct w:val="0"/>
        <w:autoSpaceDE/>
        <w:autoSpaceDN/>
        <w:bidi w:val="0"/>
        <w:adjustRightInd w:val="0"/>
        <w:snapToGrid w:val="0"/>
        <w:spacing w:line="500" w:lineRule="exact"/>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充分发挥环境影响评价制度、排污许可证制度、排污收费制度、环保三同时制度、环境监察制度、环境监测制度等环境管理制度的作用，强化环境监督管理，促进污染源全面达标排放。进一步规范固定源大气污染源排污许可证管理。强化钢铁、水泥、制糖、造纸等重点行业性清洁生产审核，列入强制清洁生产审核的企业要在规定时间内完成清洁生产审核。</w:t>
      </w:r>
    </w:p>
    <w:p w14:paraId="3E52936C">
      <w:pPr>
        <w:keepNext w:val="0"/>
        <w:keepLines w:val="0"/>
        <w:pageBreakBefore w:val="0"/>
        <w:widowControl/>
        <w:kinsoku/>
        <w:wordWrap/>
        <w:overflowPunct/>
        <w:topLinePunct w:val="0"/>
        <w:autoSpaceDE/>
        <w:autoSpaceDN/>
        <w:bidi w:val="0"/>
        <w:adjustRightInd w:val="0"/>
        <w:snapToGrid w:val="0"/>
        <w:spacing w:line="500" w:lineRule="exact"/>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方正仿宋_GBK" w:cs="方正仿宋_GBK"/>
          <w:b w:val="0"/>
          <w:bCs w:val="0"/>
          <w:color w:val="auto"/>
          <w:kern w:val="2"/>
          <w:sz w:val="28"/>
          <w:szCs w:val="28"/>
          <w:lang w:val="en-US" w:eastAsia="zh-CN" w:bidi="ar-SA"/>
        </w:rPr>
        <w:t>深化重点行业大气污染物防治。实强化工业企业无组织排放管理。实施工业污染源全面达标排放计划，全面实施钢铁行业超低排放改造。大力推进石化、汽车维修等重点行业挥发性有机物综合整治，严格执行有机溶剂产品有害物质限量标准。巩固大气污染重点行业脱硫、脱硝技术改造成果，实施钢铁、水泥等重点行业污染源全面达标排放计划，推进钢铁行业超低浓度排放，实施“煤改气</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煤改电”工程建设，推广清洁能源使用，开展桂山、戛洒、扬武等片区集中整治，减少工业集聚区污染。</w:t>
      </w:r>
    </w:p>
    <w:p w14:paraId="672932CC">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379" w:name="_Toc14996"/>
      <w:bookmarkStart w:id="380" w:name="_Toc4937"/>
      <w:r>
        <w:rPr>
          <w:rFonts w:hint="eastAsia" w:ascii="Times New Roman" w:hAnsi="Times New Roman" w:eastAsia="宋体" w:cs="Times New Roman"/>
          <w:b/>
          <w:bCs/>
          <w:snapToGrid w:val="0"/>
          <w:color w:val="auto"/>
          <w:kern w:val="2"/>
          <w:sz w:val="28"/>
          <w:szCs w:val="28"/>
          <w:highlight w:val="none"/>
          <w:lang w:val="en-US" w:eastAsia="zh-CN" w:bidi="ar-SA"/>
        </w:rPr>
        <w:t>6.2</w:t>
      </w:r>
      <w:r>
        <w:rPr>
          <w:rFonts w:hint="default" w:ascii="Times New Roman" w:hAnsi="Times New Roman" w:eastAsia="宋体" w:cs="Times New Roman"/>
          <w:b/>
          <w:bCs/>
          <w:snapToGrid w:val="0"/>
          <w:color w:val="auto"/>
          <w:kern w:val="2"/>
          <w:sz w:val="28"/>
          <w:szCs w:val="28"/>
          <w:highlight w:val="none"/>
          <w:lang w:val="en-US" w:eastAsia="zh-CN" w:bidi="ar-SA"/>
        </w:rPr>
        <w:t>.4强化移动源污染防治</w:t>
      </w:r>
      <w:bookmarkEnd w:id="363"/>
      <w:bookmarkEnd w:id="364"/>
      <w:bookmarkEnd w:id="365"/>
      <w:bookmarkEnd w:id="379"/>
      <w:bookmarkEnd w:id="380"/>
    </w:p>
    <w:p w14:paraId="43C0B433">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加强道路大气污染治理。重点对入境货车、运输车、渣土车等进行排查抽测，围绕渣土覆盖不完全、载运货物脱落扬撒、带泥上路等运输</w:t>
      </w:r>
      <w:r>
        <w:rPr>
          <w:rFonts w:hint="eastAsia" w:ascii="Times New Roman" w:hAnsi="Times New Roman" w:eastAsia="方正仿宋_GBK" w:cs="方正仿宋_GBK"/>
          <w:b w:val="0"/>
          <w:bCs w:val="0"/>
          <w:color w:val="auto"/>
          <w:kern w:val="2"/>
          <w:sz w:val="28"/>
          <w:szCs w:val="28"/>
          <w:lang w:val="en-US" w:eastAsia="zh-CN" w:bidi="ar-SA"/>
        </w:rPr>
        <w:t>行业</w:t>
      </w:r>
      <w:r>
        <w:rPr>
          <w:rFonts w:hint="default" w:ascii="Times New Roman" w:hAnsi="Times New Roman" w:eastAsia="方正仿宋_GBK" w:cs="方正仿宋_GBK"/>
          <w:b w:val="0"/>
          <w:bCs w:val="0"/>
          <w:color w:val="auto"/>
          <w:kern w:val="2"/>
          <w:sz w:val="28"/>
          <w:szCs w:val="28"/>
          <w:lang w:val="en-US" w:eastAsia="zh-CN" w:bidi="ar-SA"/>
        </w:rPr>
        <w:t>开展整治。加强道路扬尘污染治理，大力推进道路清扫保洁机械化作业，提高主次干路路面湿扫和冲洗频率。在环城路周边设置洗车点，对泥污的长途客车和进城货运车辆先冲洗后进城。对沿线道路施工工地加大环保监管力度，确保采取苫盖、喷雾装置，最大限度减少扬尘。加快道路移动源污染防治区块链技术应用，建立交通、交警、环保等多部门联测联防联治机制，在</w:t>
      </w:r>
      <w:r>
        <w:rPr>
          <w:rFonts w:hint="eastAsia" w:ascii="Times New Roman" w:hAnsi="Times New Roman" w:eastAsia="方正仿宋_GBK" w:cs="方正仿宋_GBK"/>
          <w:b w:val="0"/>
          <w:bCs w:val="0"/>
          <w:color w:val="auto"/>
          <w:kern w:val="2"/>
          <w:sz w:val="28"/>
          <w:szCs w:val="28"/>
          <w:lang w:val="en-US" w:eastAsia="zh-CN" w:bidi="ar-SA"/>
        </w:rPr>
        <w:t>污染监测</w:t>
      </w:r>
      <w:r>
        <w:rPr>
          <w:rFonts w:hint="default" w:ascii="Times New Roman" w:hAnsi="Times New Roman" w:eastAsia="方正仿宋_GBK" w:cs="方正仿宋_GBK"/>
          <w:b w:val="0"/>
          <w:bCs w:val="0"/>
          <w:color w:val="auto"/>
          <w:kern w:val="2"/>
          <w:sz w:val="28"/>
          <w:szCs w:val="28"/>
          <w:lang w:val="en-US" w:eastAsia="zh-CN" w:bidi="ar-SA"/>
        </w:rPr>
        <w:t>、环境预警、流量控制、安全运营等方面实现信息互联互通，形成数据共享、反应快速、联动高效、合成作战的防治工作新格局。</w:t>
      </w:r>
    </w:p>
    <w:p w14:paraId="2EEDB43C">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加快推进新能源或清洁能源车辆推广应用。加大公交、出租、市政、物流配送等领域新能源车推广力度；新增（含更换）出租车采用电动车或者达到国六标准的汽油车；新增（含更换）环卫、园林绿化等车辆全部使用新能源车（特种环卫作业车辆除外）。提高公共交通、步行、自行车出行比例，合理控制机动车保有量，严格网约车环境准入，加快新能源汽车的使用，到2025年，全县公交车中新能源汽车占比力争达到90%，2030年达到95%以上。加快充电设施建设，在大型商业购物中心、农贸批发市场等物流集散地建设集中式充电桩和快速充电桩。</w:t>
      </w:r>
    </w:p>
    <w:p w14:paraId="33938F45">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加强机动车环保管理。严格执行机动车强制报废制度，加快淘汰黄标车和老旧车辆。提高机动车环境准入要求，禁止不符合排放标准的车辆生产、销售和注册登记。实施国家第六阶段机动车大气污染物排放标准。实施国六油品标准，实现车用柴油、普通柴油燃油标准并轨。加强在用车排气污染执法监管，加大对高污染车辆的查处及惩罚力度。持续打好柴油货车污染治理攻坚战，深入实施清洁柴油车（机）行动，基本淘汰国三及以下排放标准汽车，有序推广清洁能源汽车。</w:t>
      </w:r>
    </w:p>
    <w:p w14:paraId="0A1B2FF9">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en-US" w:eastAsia="zh-CN"/>
        </w:rPr>
      </w:pPr>
      <w:bookmarkStart w:id="381" w:name="_Toc27331"/>
      <w:bookmarkStart w:id="382" w:name="_Toc17493"/>
      <w:bookmarkStart w:id="383" w:name="_Toc8839"/>
      <w:bookmarkStart w:id="384" w:name="_Toc19229"/>
      <w:bookmarkStart w:id="385" w:name="_Toc27864"/>
      <w:bookmarkStart w:id="386" w:name="_Toc32353"/>
      <w:bookmarkStart w:id="387" w:name="_Toc27444"/>
      <w:bookmarkStart w:id="388" w:name="_Toc26873"/>
      <w:bookmarkStart w:id="389" w:name="_Toc8669"/>
      <w:bookmarkStart w:id="390" w:name="_Toc10144"/>
      <w:r>
        <w:rPr>
          <w:rFonts w:hint="eastAsia" w:ascii="Times New Roman" w:hAnsi="Times New Roman" w:eastAsia="仿宋" w:cs="Times New Roman"/>
          <w:color w:val="auto"/>
          <w:sz w:val="32"/>
          <w:lang w:val="en-US" w:eastAsia="zh-CN"/>
        </w:rPr>
        <w:t>6.3</w:t>
      </w:r>
      <w:r>
        <w:rPr>
          <w:rFonts w:hint="default" w:ascii="Times New Roman" w:hAnsi="Times New Roman" w:eastAsia="仿宋" w:cs="Times New Roman"/>
          <w:color w:val="auto"/>
          <w:sz w:val="32"/>
          <w:lang w:val="en-US" w:eastAsia="zh-CN"/>
        </w:rPr>
        <w:t>严格管控土壤环境质量</w:t>
      </w:r>
      <w:bookmarkEnd w:id="381"/>
      <w:bookmarkEnd w:id="382"/>
      <w:bookmarkEnd w:id="383"/>
      <w:bookmarkEnd w:id="384"/>
      <w:bookmarkEnd w:id="385"/>
      <w:bookmarkEnd w:id="386"/>
      <w:bookmarkEnd w:id="387"/>
      <w:bookmarkEnd w:id="388"/>
      <w:bookmarkEnd w:id="389"/>
      <w:bookmarkEnd w:id="390"/>
    </w:p>
    <w:p w14:paraId="5CE9E620">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391" w:name="_Toc27522"/>
      <w:bookmarkStart w:id="392" w:name="_Toc2400"/>
      <w:bookmarkStart w:id="393" w:name="_Toc31961"/>
      <w:bookmarkStart w:id="394" w:name="_Toc12990"/>
      <w:bookmarkStart w:id="395" w:name="_Toc23835"/>
      <w:r>
        <w:rPr>
          <w:rFonts w:hint="eastAsia" w:ascii="Times New Roman" w:hAnsi="Times New Roman" w:eastAsia="宋体" w:cs="Times New Roman"/>
          <w:b/>
          <w:bCs/>
          <w:snapToGrid w:val="0"/>
          <w:color w:val="auto"/>
          <w:kern w:val="2"/>
          <w:sz w:val="28"/>
          <w:szCs w:val="28"/>
          <w:highlight w:val="none"/>
          <w:lang w:val="en-US" w:eastAsia="zh-CN" w:bidi="ar-SA"/>
        </w:rPr>
        <w:t>6.3</w:t>
      </w:r>
      <w:r>
        <w:rPr>
          <w:rFonts w:hint="default" w:ascii="Times New Roman" w:hAnsi="Times New Roman" w:eastAsia="宋体" w:cs="Times New Roman"/>
          <w:b/>
          <w:bCs/>
          <w:snapToGrid w:val="0"/>
          <w:color w:val="auto"/>
          <w:kern w:val="2"/>
          <w:sz w:val="28"/>
          <w:szCs w:val="28"/>
          <w:highlight w:val="none"/>
          <w:lang w:val="en-US" w:eastAsia="zh-CN" w:bidi="ar-SA"/>
        </w:rPr>
        <w:t>.1推动土壤污染防治和安全利用</w:t>
      </w:r>
      <w:bookmarkEnd w:id="391"/>
      <w:bookmarkEnd w:id="392"/>
      <w:bookmarkEnd w:id="393"/>
      <w:bookmarkEnd w:id="394"/>
      <w:bookmarkEnd w:id="395"/>
    </w:p>
    <w:p w14:paraId="3D6A62DB">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全面开展土壤污染状况详查，实施农用地分类管理。加强退化耕地综合治理，积极推进耕地轮作休耕试点，加强轮作休耕耕地管理。建立污染地块联动监管机制，严格管控重度污染耕地，强化暂不开发污染地块的环境风险管控。严格落实畜禽禁养区管理，推进化肥农药减量，着力控制农业面源污染。实施尾矿、煤矸石等矿业固体废物产生、贮存减量水泥程，加大工业固体废物堆存场所排查整治力度。逐步禁止不可降解塑料袋等一次性塑料制品的生产、销售及使用，加快建立分类投放、分类收集、分类运输、分类处理的生活垃圾管理系统。实施危险废物分级分类管理，建立信息化监管体系，加强医疗废物和有毒有害化学品监管力度。</w:t>
      </w:r>
    </w:p>
    <w:p w14:paraId="45465262">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持续推进土壤环境质量调查监测工作。按照国家、省、</w:t>
      </w:r>
      <w:r>
        <w:rPr>
          <w:rFonts w:hint="eastAsia" w:ascii="Times New Roman" w:hAnsi="Times New Roman" w:eastAsia="方正仿宋_GBK" w:cs="方正仿宋_GBK"/>
          <w:b w:val="0"/>
          <w:bCs w:val="0"/>
          <w:color w:val="auto"/>
          <w:kern w:val="2"/>
          <w:sz w:val="28"/>
          <w:szCs w:val="28"/>
          <w:lang w:val="en-US" w:eastAsia="zh-CN" w:bidi="ar-SA"/>
        </w:rPr>
        <w:t>市</w:t>
      </w:r>
      <w:r>
        <w:rPr>
          <w:rFonts w:hint="default" w:ascii="Times New Roman" w:hAnsi="Times New Roman" w:eastAsia="方正仿宋_GBK" w:cs="方正仿宋_GBK"/>
          <w:b w:val="0"/>
          <w:bCs w:val="0"/>
          <w:color w:val="auto"/>
          <w:kern w:val="2"/>
          <w:sz w:val="28"/>
          <w:szCs w:val="28"/>
          <w:lang w:val="en-US" w:eastAsia="zh-CN" w:bidi="ar-SA"/>
        </w:rPr>
        <w:t>土壤环境调查工作部署，持续做好区域内土壤背景点、基础点监测工作；推进农用地土壤污染状况详查及重点行业企业用地土壤环境调查及成果入库集成工作，完善污染地块清单，动态掌握全县农用地及重点行业企业土壤环境污染现状。推进</w:t>
      </w:r>
      <w:r>
        <w:rPr>
          <w:rFonts w:hint="eastAsia" w:ascii="Times New Roman" w:hAnsi="Times New Roman" w:eastAsia="方正仿宋_GBK" w:cs="方正仿宋_GBK"/>
          <w:b w:val="0"/>
          <w:bCs w:val="0"/>
          <w:color w:val="auto"/>
          <w:kern w:val="2"/>
          <w:sz w:val="28"/>
          <w:szCs w:val="28"/>
          <w:lang w:val="en-US" w:eastAsia="zh-CN" w:bidi="ar-SA"/>
        </w:rPr>
        <w:t>工业园区</w:t>
      </w:r>
      <w:r>
        <w:rPr>
          <w:rFonts w:hint="default" w:ascii="Times New Roman" w:hAnsi="Times New Roman" w:eastAsia="方正仿宋_GBK" w:cs="方正仿宋_GBK"/>
          <w:b w:val="0"/>
          <w:bCs w:val="0"/>
          <w:color w:val="auto"/>
          <w:kern w:val="2"/>
          <w:sz w:val="28"/>
          <w:szCs w:val="28"/>
          <w:lang w:val="en-US" w:eastAsia="zh-CN" w:bidi="ar-SA"/>
        </w:rPr>
        <w:t>域土壤环境质量详查，实施</w:t>
      </w:r>
      <w:r>
        <w:rPr>
          <w:rFonts w:hint="eastAsia" w:ascii="Times New Roman" w:hAnsi="Times New Roman" w:eastAsia="方正仿宋_GBK" w:cs="方正仿宋_GBK"/>
          <w:b w:val="0"/>
          <w:bCs w:val="0"/>
          <w:color w:val="auto"/>
          <w:kern w:val="2"/>
          <w:sz w:val="28"/>
          <w:szCs w:val="28"/>
          <w:lang w:val="en-US" w:eastAsia="zh-CN" w:bidi="ar-SA"/>
        </w:rPr>
        <w:t>工业园区</w:t>
      </w:r>
      <w:r>
        <w:rPr>
          <w:rFonts w:hint="default" w:ascii="Times New Roman" w:hAnsi="Times New Roman" w:eastAsia="方正仿宋_GBK" w:cs="方正仿宋_GBK"/>
          <w:b w:val="0"/>
          <w:bCs w:val="0"/>
          <w:color w:val="auto"/>
          <w:kern w:val="2"/>
          <w:sz w:val="28"/>
          <w:szCs w:val="28"/>
          <w:lang w:val="en-US" w:eastAsia="zh-CN" w:bidi="ar-SA"/>
        </w:rPr>
        <w:t>域土壤污染状况详查，组织实施土壤环境调查，2025年前基本摸清全县</w:t>
      </w:r>
      <w:r>
        <w:rPr>
          <w:rFonts w:hint="eastAsia" w:ascii="Times New Roman" w:hAnsi="Times New Roman" w:eastAsia="方正仿宋_GBK" w:cs="方正仿宋_GBK"/>
          <w:b w:val="0"/>
          <w:bCs w:val="0"/>
          <w:color w:val="auto"/>
          <w:kern w:val="2"/>
          <w:sz w:val="28"/>
          <w:szCs w:val="28"/>
          <w:lang w:val="en-US" w:eastAsia="zh-CN" w:bidi="ar-SA"/>
        </w:rPr>
        <w:t>工业园区</w:t>
      </w:r>
      <w:r>
        <w:rPr>
          <w:rFonts w:hint="default" w:ascii="Times New Roman" w:hAnsi="Times New Roman" w:eastAsia="方正仿宋_GBK" w:cs="方正仿宋_GBK"/>
          <w:b w:val="0"/>
          <w:bCs w:val="0"/>
          <w:color w:val="auto"/>
          <w:kern w:val="2"/>
          <w:sz w:val="28"/>
          <w:szCs w:val="28"/>
          <w:lang w:val="en-US" w:eastAsia="zh-CN" w:bidi="ar-SA"/>
        </w:rPr>
        <w:t>域的土壤环境质量状况。</w:t>
      </w:r>
    </w:p>
    <w:p w14:paraId="737BECC3">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持续推进农用地分类管理和安全利用。加大优先保护类农用地保护力度，依法推行农用地分类管理制度，强化受污染耕地安全利用和风险管控；加强优先保护类农用地重金属污染监测预警，有效管控周边重金属污染源，推行使用有机肥、推广中碱性肥料、种植绿肥等管护措施，探索安全利用长效管护运行模式与管理机制，构建优先保护类农用地安全利用保障体系，确保农用地土壤环境质量不下降，实现优先保护类农用地持续安全利用。加大农用地保护力度，将符合条件的优先保护类耕地划为永久基本农田，实行严格保护，确保其面积不减少、土壤环境质量不下降，除法律规定的重点建设项目选址确实无法避让外，其他任何建设不得占用。农村土地流转的受让方要履行土壤保护的责任，避免因过度施肥、滥用农药等掠夺式农业生产方式造成土壤环境质量下降。严格落实粮食收购和销售出库质量安全检验制度和追溯制度。</w:t>
      </w:r>
    </w:p>
    <w:p w14:paraId="366567FB">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有序实施建设用地风险管控和治理修复。有效管控建设用地土壤污染风险。严格建设用地土壤污染风险管控和修复名录内地块的准入管理，确保规划期间，不断健全用地土壤污染风险管控和修复名录制度。未依法完成土壤污染状况调查和风险评估的地块，不得开工建设与风险管控和修复无关的项目。推广绿色修复理念，强化修复过程二次污染防控。探索实施污染土壤规模化、集约化修复。督促矿山企业依法依规编制矿山地质环境保护与土地复垦方案，落实土壤污染防治和风险管控措施。探索在产企业边生产边管控的土壤污染风险管控模式。</w:t>
      </w:r>
    </w:p>
    <w:p w14:paraId="3DF73A04">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加强土壤污染源监管。一是严控工矿污染。加强工业废物处理处置。全面整治尾矿以及脱硫、脱硝、除尘产生固体废物的堆存场所，完善防扬散、防流失、防渗漏等设施。二是控制农业面源污染。合理使用化肥农药农膜。鼓励农民增施有机肥，减少化肥使用量。科学施用农药，推行农作物病虫害专业化统防统治和绿色防控，推广高效低毒低残留农药和现代植保机械。严格化肥农药农膜生产和销售办证准入条件，加重对不法销售商的处罚力度，建立化肥农药农膜监管制度。加强废弃农膜回收利用，严厉打击违法生产和销售不合格农膜行为，建立健全废弃农膜回收贮运和综合利用网络。三是减少生活污染。建立政府、社区、企业和居民协调机制，通过分类投放收集、综合循环利用，促进垃圾减量化、资源化、无害化。推进农村生活垃圾治理及农村生活污水治理，建立村庄保洁制度，排查整治镇、村级非正规垃圾填埋场。深入实施“以奖促治”政策，扩大农村环境连片整治范围。强化废氧化汞电池、镍镉电池、铅酸蓄电池和含汞荧光灯管、温度计等含重金属废物的安全处置。到2025年，全县土壤环境治理总体保持稳定，农用地和建设用地土壤环境安全得到有效保障，土壤风险得到基本控制；受污染耕地安全利用率达到省</w:t>
      </w:r>
      <w:r>
        <w:rPr>
          <w:rFonts w:hint="eastAsia" w:ascii="Times New Roman" w:hAnsi="Times New Roman" w:eastAsia="方正仿宋_GBK" w:cs="方正仿宋_GBK"/>
          <w:b w:val="0"/>
          <w:bCs w:val="0"/>
          <w:color w:val="auto"/>
          <w:kern w:val="2"/>
          <w:sz w:val="28"/>
          <w:szCs w:val="28"/>
          <w:lang w:val="en-US" w:eastAsia="zh-CN" w:bidi="ar-SA"/>
        </w:rPr>
        <w:t>市</w:t>
      </w:r>
      <w:r>
        <w:rPr>
          <w:rFonts w:hint="default" w:ascii="Times New Roman" w:hAnsi="Times New Roman" w:eastAsia="方正仿宋_GBK" w:cs="方正仿宋_GBK"/>
          <w:b w:val="0"/>
          <w:bCs w:val="0"/>
          <w:color w:val="auto"/>
          <w:kern w:val="2"/>
          <w:sz w:val="28"/>
          <w:szCs w:val="28"/>
          <w:lang w:val="en-US" w:eastAsia="zh-CN" w:bidi="ar-SA"/>
        </w:rPr>
        <w:t>下达任务；重点建设用地安全得到有效保障。到2030年，全县土壤环境质量稳中向好，农用地和建设用地土壤环境安全得到有效保障，土壤环境风险得到全面管控。</w:t>
      </w:r>
    </w:p>
    <w:p w14:paraId="3AD26CE1">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深化土壤污染治理与修复。积极争取中央财政土壤污染防治专项资金支持，完成工业矿渣库污染整治工程，开展污染土壤治理和修复。持续推进土壤污染治理，完成国土空间规划编制、国土调查、历史遗留矿山生态修复等工作，严厉打击非法开采矿产资源、“固废”倾倒等违法行为，持续抓好河道非法采砂取石专项整治。加强重点区域土壤污染监测、整治、预防、监管，严格防控重金属污染，强化农业农村面源污染防治。</w:t>
      </w:r>
    </w:p>
    <w:p w14:paraId="27D24791">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396" w:name="_Toc17687"/>
      <w:bookmarkStart w:id="397" w:name="_Toc9889"/>
      <w:bookmarkStart w:id="398" w:name="_Toc9264"/>
      <w:bookmarkStart w:id="399" w:name="_Toc10266"/>
      <w:bookmarkStart w:id="400" w:name="_Toc25334"/>
      <w:r>
        <w:rPr>
          <w:rFonts w:hint="eastAsia" w:ascii="Times New Roman" w:hAnsi="Times New Roman" w:eastAsia="宋体" w:cs="Times New Roman"/>
          <w:b/>
          <w:bCs/>
          <w:snapToGrid w:val="0"/>
          <w:color w:val="auto"/>
          <w:kern w:val="2"/>
          <w:sz w:val="28"/>
          <w:szCs w:val="28"/>
          <w:highlight w:val="none"/>
          <w:lang w:val="en-US" w:eastAsia="zh-CN" w:bidi="ar-SA"/>
        </w:rPr>
        <w:t>6.3</w:t>
      </w:r>
      <w:r>
        <w:rPr>
          <w:rFonts w:hint="default" w:ascii="Times New Roman" w:hAnsi="Times New Roman" w:eastAsia="宋体" w:cs="Times New Roman"/>
          <w:b/>
          <w:bCs/>
          <w:snapToGrid w:val="0"/>
          <w:color w:val="auto"/>
          <w:kern w:val="2"/>
          <w:sz w:val="28"/>
          <w:szCs w:val="28"/>
          <w:highlight w:val="none"/>
          <w:lang w:val="en-US" w:eastAsia="zh-CN" w:bidi="ar-SA"/>
        </w:rPr>
        <w:t>.2加强地下水污染防治</w:t>
      </w:r>
      <w:bookmarkEnd w:id="396"/>
      <w:bookmarkEnd w:id="397"/>
      <w:bookmarkEnd w:id="398"/>
      <w:bookmarkEnd w:id="399"/>
      <w:bookmarkEnd w:id="400"/>
    </w:p>
    <w:p w14:paraId="488A73ED">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按照《地下水管理条例》要求，县人民政府对本行政区域内的地下水管理负责，将地下水管理纳入本级国民经济和社会发展规划，并采取控制开采量、防治污染等措施，维持地下水合理水位，保护地下水水质。水行政主管部门按照管理权限，负责本行政区域内地下水统一监督管理工作。生态环境主管部门负责本行政区域内地下水污染防治监督管理工作。自然资源等主管部门按照职责分工做好本行政区域内地下水调查、监测等相关工作。</w:t>
      </w:r>
    </w:p>
    <w:p w14:paraId="3453B765">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开展地下水环境状况调查。按照国家和省关于地下水污染防治分区划分技术要求，开展地下水污染分区划分工作，综合考虑地下水污染指标，地下水使用功能等因素提出地下水污染分区防控措施，实施地下水污染源分类监管。开展新平县地下水现状调查，建立地下水名录清单，按照矿山开采区、重点</w:t>
      </w:r>
      <w:r>
        <w:rPr>
          <w:rFonts w:hint="eastAsia" w:ascii="Times New Roman" w:hAnsi="Times New Roman" w:eastAsia="方正仿宋_GBK" w:cs="方正仿宋_GBK"/>
          <w:b w:val="0"/>
          <w:bCs w:val="0"/>
          <w:color w:val="auto"/>
          <w:kern w:val="2"/>
          <w:sz w:val="28"/>
          <w:szCs w:val="28"/>
          <w:lang w:val="en-US" w:eastAsia="zh-CN" w:bidi="ar-SA"/>
        </w:rPr>
        <w:t>工业园区</w:t>
      </w:r>
      <w:r>
        <w:rPr>
          <w:rFonts w:hint="default" w:ascii="Times New Roman" w:hAnsi="Times New Roman" w:eastAsia="方正仿宋_GBK" w:cs="方正仿宋_GBK"/>
          <w:b w:val="0"/>
          <w:bCs w:val="0"/>
          <w:color w:val="auto"/>
          <w:kern w:val="2"/>
          <w:sz w:val="28"/>
          <w:szCs w:val="28"/>
          <w:lang w:val="en-US" w:eastAsia="zh-CN" w:bidi="ar-SA"/>
        </w:rPr>
        <w:t>域、垃圾填埋场、石油水泥生产销售区和农业污染源确定重点调查对象，编制《新平县地下水基础环境状况调查评估工作实施方案》全面开展调查评估工作。2025年底前，查清县城、镇集中式地下水型饮用水源补给区、</w:t>
      </w:r>
      <w:r>
        <w:rPr>
          <w:rFonts w:hint="eastAsia" w:ascii="Times New Roman" w:hAnsi="Times New Roman" w:eastAsia="方正仿宋_GBK" w:cs="方正仿宋_GBK"/>
          <w:b w:val="0"/>
          <w:bCs w:val="0"/>
          <w:color w:val="auto"/>
          <w:kern w:val="2"/>
          <w:sz w:val="28"/>
          <w:szCs w:val="28"/>
          <w:lang w:val="en-US" w:eastAsia="zh-CN" w:bidi="ar-SA"/>
        </w:rPr>
        <w:t>工业园区</w:t>
      </w:r>
      <w:r>
        <w:rPr>
          <w:rFonts w:hint="default" w:ascii="Times New Roman" w:hAnsi="Times New Roman" w:eastAsia="方正仿宋_GBK" w:cs="方正仿宋_GBK"/>
          <w:b w:val="0"/>
          <w:bCs w:val="0"/>
          <w:color w:val="auto"/>
          <w:kern w:val="2"/>
          <w:sz w:val="28"/>
          <w:szCs w:val="28"/>
          <w:lang w:val="en-US" w:eastAsia="zh-CN" w:bidi="ar-SA"/>
        </w:rPr>
        <w:t>域、垃圾填埋场、加油站、危险废物处置场等区域周边地下水环境状况。针对存在人为污染且威胁饮用水水源水质安全的地下水，开展详细调查，评估其污染趋势和健康风险，若风险不可接受，应开展地下水污染修复（防控）工作。</w:t>
      </w:r>
    </w:p>
    <w:p w14:paraId="2378F3DB">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强化土壤与地下水污染协同防治。认真贯彻落实《土壤污染防治法</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土十条”关于地下水污染防治的相关要求。对安全利用类和严格管控类农用地地块的土壤污染影响或可能影响地下水的，制定污染防治方案时，应纳入地下水的内容；对污染物含量超过土壤污染风险管控标准的建设用地地块，土壤污染状况调查报告应包括地下水是否受到污染等内容；对列入风险管控和修复名录中的建设用地地块，实施风险管控措施应包括地下水污染防治的内容；实施修复的地块，修复方案应包括地下水污染修复的内容。</w:t>
      </w:r>
    </w:p>
    <w:p w14:paraId="4F56AEE2">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推进地表水与地下水协同防治。统筹区域地表水、地下水生态环境监管要求。强化地下水安全监测管理，加强工业集聚区、矿山开采区等地下水污染源对地表水的环境风险管控，督促工业集聚区、矿山开产区、垃圾填埋场等区域进行必要防渗处理工作，对报废的矿井、取水井实施封井回填。推动地下水环境分区管理。科学划定地下水污染防治重点区。加强地下水资源开发利用控制，做好农业取用地下水管理和保护工作，开展地下水环境防护工程，加强治理地下水敏感区污染，控制地下水敏感区域的污染工业发展规模，加强污水收集管网建设，强化污水处理厂运行管理，加强固体废物、堆存物的处置。强化地下水污染源及周边风险管控</w:t>
      </w:r>
    </w:p>
    <w:p w14:paraId="0675A80E">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开展地下水超采区治理，深化水利改革。严格地下水水量和水位双控制，强化地下水资源开发利用管理。通过加强农业、工业等各领域节水，优化城镇发展和产业布局，逐步实现地下水采补平衡。进一步加强地下水保护和涵养，提高地下水战略储备能力。加快地下水监测工程建设，完善地下水监控体系，建立地下水管理信息系统。进一步推进农业水价综合改革，改建骨干工程，配套末级渠系，完善计量设施，加强供水计划管理，优化用水调度，抓好水权分配，有序组织开展水权交易，拓展水权交易范围，提升用水效率和效益。进一步深化小水工程产权制度改革，落实管护主体、管护责任和管护经费。加快水利投融资体制改革步伐，积极向国家、省市有关部门争取项目和资金，衔接、落实国开行、农发行等金融机构贷款，广泛吸引社会资本投资建设水利工程。</w:t>
      </w:r>
    </w:p>
    <w:p w14:paraId="287176C9">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en-US" w:eastAsia="zh-CN"/>
        </w:rPr>
      </w:pPr>
      <w:bookmarkStart w:id="401" w:name="_Toc10074"/>
      <w:bookmarkStart w:id="402" w:name="_Toc8775"/>
      <w:bookmarkStart w:id="403" w:name="_Toc9861"/>
      <w:bookmarkStart w:id="404" w:name="_Toc15813"/>
      <w:bookmarkStart w:id="405" w:name="_Toc27566"/>
      <w:bookmarkStart w:id="406" w:name="_Toc30920"/>
      <w:bookmarkStart w:id="407" w:name="_Toc533688420"/>
      <w:bookmarkStart w:id="408" w:name="_Toc7621"/>
      <w:bookmarkStart w:id="409" w:name="_Toc5734"/>
      <w:bookmarkStart w:id="410" w:name="_Toc14686"/>
      <w:bookmarkStart w:id="411" w:name="_Toc35697803"/>
      <w:bookmarkStart w:id="412" w:name="_Toc9516140"/>
      <w:bookmarkStart w:id="413" w:name="_Toc514661302"/>
      <w:r>
        <w:rPr>
          <w:rFonts w:hint="eastAsia" w:ascii="Times New Roman" w:hAnsi="Times New Roman" w:eastAsia="仿宋" w:cs="Times New Roman"/>
          <w:color w:val="auto"/>
          <w:sz w:val="32"/>
          <w:lang w:val="en-US" w:eastAsia="zh-CN"/>
        </w:rPr>
        <w:t>6.4</w:t>
      </w:r>
      <w:r>
        <w:rPr>
          <w:rFonts w:hint="default" w:ascii="Times New Roman" w:hAnsi="Times New Roman" w:eastAsia="仿宋" w:cs="Times New Roman"/>
          <w:color w:val="auto"/>
          <w:sz w:val="32"/>
          <w:lang w:val="en-US" w:eastAsia="zh-CN"/>
        </w:rPr>
        <w:t>提高声环境质量</w:t>
      </w:r>
      <w:bookmarkEnd w:id="401"/>
      <w:bookmarkEnd w:id="402"/>
      <w:bookmarkEnd w:id="403"/>
      <w:bookmarkEnd w:id="404"/>
      <w:bookmarkEnd w:id="405"/>
      <w:bookmarkEnd w:id="406"/>
      <w:bookmarkEnd w:id="407"/>
      <w:bookmarkEnd w:id="408"/>
      <w:bookmarkEnd w:id="409"/>
      <w:bookmarkEnd w:id="410"/>
    </w:p>
    <w:p w14:paraId="6DE5C3B3">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414" w:name="_Toc26340"/>
      <w:bookmarkStart w:id="415" w:name="_Toc28088"/>
      <w:bookmarkStart w:id="416" w:name="_Toc31450"/>
      <w:bookmarkStart w:id="417" w:name="_Toc18092"/>
      <w:bookmarkStart w:id="418" w:name="_Toc21965"/>
      <w:r>
        <w:rPr>
          <w:rFonts w:hint="eastAsia" w:ascii="Times New Roman" w:hAnsi="Times New Roman" w:eastAsia="宋体" w:cs="Times New Roman"/>
          <w:b/>
          <w:bCs/>
          <w:snapToGrid w:val="0"/>
          <w:color w:val="auto"/>
          <w:kern w:val="2"/>
          <w:sz w:val="28"/>
          <w:szCs w:val="28"/>
          <w:highlight w:val="none"/>
          <w:lang w:val="en-US" w:eastAsia="zh-CN" w:bidi="ar-SA"/>
        </w:rPr>
        <w:t>6.4</w:t>
      </w:r>
      <w:r>
        <w:rPr>
          <w:rFonts w:hint="default" w:ascii="Times New Roman" w:hAnsi="Times New Roman" w:eastAsia="宋体" w:cs="Times New Roman"/>
          <w:b/>
          <w:bCs/>
          <w:snapToGrid w:val="0"/>
          <w:color w:val="auto"/>
          <w:kern w:val="2"/>
          <w:sz w:val="28"/>
          <w:szCs w:val="28"/>
          <w:highlight w:val="none"/>
          <w:lang w:val="en-US" w:eastAsia="zh-CN" w:bidi="ar-SA"/>
        </w:rPr>
        <w:t>.1</w:t>
      </w:r>
      <w:bookmarkEnd w:id="414"/>
      <w:bookmarkEnd w:id="415"/>
      <w:r>
        <w:rPr>
          <w:rFonts w:hint="eastAsia" w:ascii="Times New Roman" w:hAnsi="Times New Roman" w:eastAsia="宋体" w:cs="Times New Roman"/>
          <w:b/>
          <w:bCs/>
          <w:snapToGrid w:val="0"/>
          <w:color w:val="auto"/>
          <w:kern w:val="2"/>
          <w:sz w:val="28"/>
          <w:szCs w:val="28"/>
          <w:highlight w:val="none"/>
          <w:lang w:val="en-US" w:eastAsia="zh-CN" w:bidi="ar-SA"/>
        </w:rPr>
        <w:t>加大</w:t>
      </w:r>
      <w:r>
        <w:rPr>
          <w:rFonts w:hint="default" w:ascii="Times New Roman" w:hAnsi="Times New Roman" w:eastAsia="宋体" w:cs="Times New Roman"/>
          <w:b/>
          <w:bCs/>
          <w:snapToGrid w:val="0"/>
          <w:color w:val="auto"/>
          <w:kern w:val="2"/>
          <w:sz w:val="28"/>
          <w:szCs w:val="28"/>
          <w:highlight w:val="none"/>
          <w:lang w:val="en-US" w:eastAsia="zh-CN" w:bidi="ar-SA"/>
        </w:rPr>
        <w:t>噪声污染监管力度</w:t>
      </w:r>
      <w:bookmarkEnd w:id="416"/>
      <w:bookmarkEnd w:id="417"/>
      <w:bookmarkEnd w:id="418"/>
    </w:p>
    <w:p w14:paraId="74815F3D">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加强规划引导，严格声环境准入。县生态环境主管部门将声环境质量改善作为污染防治工作的重要任务之一，在业务办理、审核等各个环节中严格声环境准入，环境影响评价文件要设立噪声污染防治章节，建设项目环评要明确改善声污染防治的措施要求，严格项目环境噪声“三同时”验收管理，未通过验收的噪声排放项目，一律不得投入运行。</w:t>
      </w:r>
    </w:p>
    <w:p w14:paraId="4F7198A1">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强化监管督促整改，建立联动机制。县级各有关部门要建立部门联动和信息互通机制，突出解决城乡环境噪声污染问题，对噪声排放超标的场地责令其限期整改并</w:t>
      </w:r>
      <w:r>
        <w:rPr>
          <w:rFonts w:hint="eastAsia" w:ascii="Times New Roman" w:hAnsi="Times New Roman" w:eastAsia="方正仿宋_GBK" w:cs="方正仿宋_GBK"/>
          <w:b w:val="0"/>
          <w:bCs w:val="0"/>
          <w:color w:val="auto"/>
          <w:kern w:val="2"/>
          <w:sz w:val="28"/>
          <w:szCs w:val="28"/>
          <w:lang w:val="en-US" w:eastAsia="zh-CN" w:bidi="ar-SA"/>
        </w:rPr>
        <w:t>予以</w:t>
      </w:r>
      <w:r>
        <w:rPr>
          <w:rFonts w:hint="default" w:ascii="Times New Roman" w:hAnsi="Times New Roman" w:eastAsia="方正仿宋_GBK" w:cs="方正仿宋_GBK"/>
          <w:b w:val="0"/>
          <w:bCs w:val="0"/>
          <w:color w:val="auto"/>
          <w:kern w:val="2"/>
          <w:sz w:val="28"/>
          <w:szCs w:val="28"/>
          <w:lang w:val="en-US" w:eastAsia="zh-CN" w:bidi="ar-SA"/>
        </w:rPr>
        <w:t>处罚。严格实行党政同责、一岗双责，落实“管发展、管生产、管行业必须管环保”的工作要求。按照各部门工作职责，密切配合，主动作为，形成齐抓共管监管格局，强化环境噪声污染防治，改善和提高城市声环境质量，为广大人民群众提供良好的声环境，助推美丽县城建设。</w:t>
      </w:r>
    </w:p>
    <w:p w14:paraId="57E672CE">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加强宣传教育，提高噪声污染防治认识。广泛开展噪声污染防治法律、法规和政策的宣传教育活动，进一步提高广大干部群众对噪声污染防治工作的认识，按照建设生态文明的要求，切实采取有效措施，突出解决城乡环境噪声污染问题，建立环境信息通报制度，加大噪声违法的舆论监督和曝光力度，多方面、多途径地加强噪声污染防治工作，努力建设安静舒适的城乡环境。</w:t>
      </w:r>
    </w:p>
    <w:p w14:paraId="74303B3C">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完善噪声投诉与处理工作机制。根据新平县环境噪声监督职责，在环境监察大队内部设立噪声投诉热线与监督处理机构，设专人专职，根据各相关部门权责，制定行之有效的处理办法，让</w:t>
      </w:r>
      <w:r>
        <w:rPr>
          <w:rFonts w:hint="eastAsia" w:ascii="Times New Roman" w:hAnsi="Times New Roman" w:eastAsia="方正仿宋_GBK" w:cs="方正仿宋_GBK"/>
          <w:b w:val="0"/>
          <w:bCs w:val="0"/>
          <w:color w:val="auto"/>
          <w:kern w:val="2"/>
          <w:sz w:val="28"/>
          <w:szCs w:val="28"/>
          <w:lang w:val="en-US" w:eastAsia="zh-CN" w:bidi="ar-SA"/>
        </w:rPr>
        <w:t>居民</w:t>
      </w:r>
      <w:r>
        <w:rPr>
          <w:rFonts w:hint="default" w:ascii="Times New Roman" w:hAnsi="Times New Roman" w:eastAsia="方正仿宋_GBK" w:cs="方正仿宋_GBK"/>
          <w:b w:val="0"/>
          <w:bCs w:val="0"/>
          <w:color w:val="auto"/>
          <w:kern w:val="2"/>
          <w:sz w:val="28"/>
          <w:szCs w:val="28"/>
          <w:lang w:val="en-US" w:eastAsia="zh-CN" w:bidi="ar-SA"/>
        </w:rPr>
        <w:t>不用区分噪声类别，即工业噪声、建筑施工噪声、交通运输噪声和社会生活噪声，直接与相应监管部门联系，就可以在最短的时间内使问题得到妥善解决。</w:t>
      </w:r>
    </w:p>
    <w:p w14:paraId="799C6375">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419" w:name="_Toc31665"/>
      <w:bookmarkStart w:id="420" w:name="_Toc27202"/>
      <w:bookmarkStart w:id="421" w:name="_Toc9554"/>
      <w:bookmarkStart w:id="422" w:name="_Toc27013"/>
      <w:bookmarkStart w:id="423" w:name="_Toc29836"/>
      <w:r>
        <w:rPr>
          <w:rFonts w:hint="eastAsia" w:ascii="Times New Roman" w:hAnsi="Times New Roman" w:eastAsia="宋体" w:cs="Times New Roman"/>
          <w:b/>
          <w:bCs/>
          <w:snapToGrid w:val="0"/>
          <w:color w:val="auto"/>
          <w:kern w:val="2"/>
          <w:sz w:val="28"/>
          <w:szCs w:val="28"/>
          <w:highlight w:val="none"/>
          <w:lang w:val="en-US" w:eastAsia="zh-CN" w:bidi="ar-SA"/>
        </w:rPr>
        <w:t>6.4</w:t>
      </w:r>
      <w:r>
        <w:rPr>
          <w:rFonts w:hint="default" w:ascii="Times New Roman" w:hAnsi="Times New Roman" w:eastAsia="宋体" w:cs="Times New Roman"/>
          <w:b/>
          <w:bCs/>
          <w:snapToGrid w:val="0"/>
          <w:color w:val="auto"/>
          <w:kern w:val="2"/>
          <w:sz w:val="28"/>
          <w:szCs w:val="28"/>
          <w:highlight w:val="none"/>
          <w:lang w:val="en-US" w:eastAsia="zh-CN" w:bidi="ar-SA"/>
        </w:rPr>
        <w:t>.2严控各类噪声源</w:t>
      </w:r>
      <w:bookmarkEnd w:id="419"/>
      <w:bookmarkEnd w:id="420"/>
      <w:bookmarkEnd w:id="421"/>
      <w:bookmarkEnd w:id="422"/>
      <w:bookmarkEnd w:id="423"/>
    </w:p>
    <w:p w14:paraId="5C9E5294">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交通噪声污染防治。合理规划不同等级的城市道路系统密度，以保证声环境敏感区与道路间有足够的降噪距离。改善路况，加大对道路的修护，降低轮胎与道路摩擦产生的噪声。加强公路交通干线两侧绿化带建设；在城市噪声敏感区域增加限速、禁鸣标牌。加强对敏感区域交通噪声的监测和管理；采取分流措施，控制城市主干道的交通流量，减少交通噪声污染。对噪声超标的车辆，要求其安装降噪装置，并加强维护、定期淘汰、更新降噪装置。</w:t>
      </w:r>
    </w:p>
    <w:p w14:paraId="60DF75B5">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社会生活噪声污染防治。加强对营业性文化娱乐场所噪声污染防治。禁止在图书馆、文物保护单位等建筑物内和居民住宅及学校、医院、机关周围开办KTV厅等产生噪声和振动污染的娱乐场所。新建的经营性文化娱乐场所必须严格执行环境影响评价和“三同时”制度。对现有营业性文化娱乐场所实施综合整治，重点整治扰民投诉突出的KTV厅、迪吧等娱乐场所。</w:t>
      </w:r>
    </w:p>
    <w:p w14:paraId="3DE52ACB">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建筑施工噪声污染防治。严格建设执行建筑噪声</w:t>
      </w:r>
      <w:r>
        <w:rPr>
          <w:rFonts w:hint="eastAsia" w:ascii="Times New Roman" w:hAnsi="Times New Roman" w:eastAsia="方正仿宋_GBK" w:cs="方正仿宋_GBK"/>
          <w:b w:val="0"/>
          <w:bCs w:val="0"/>
          <w:color w:val="auto"/>
          <w:kern w:val="2"/>
          <w:sz w:val="28"/>
          <w:szCs w:val="28"/>
          <w:lang w:val="en-US" w:eastAsia="zh-CN" w:bidi="ar-SA"/>
        </w:rPr>
        <w:t>施工</w:t>
      </w:r>
      <w:r>
        <w:rPr>
          <w:rFonts w:hint="default" w:ascii="Times New Roman" w:hAnsi="Times New Roman" w:eastAsia="方正仿宋_GBK" w:cs="方正仿宋_GBK"/>
          <w:b w:val="0"/>
          <w:bCs w:val="0"/>
          <w:color w:val="auto"/>
          <w:kern w:val="2"/>
          <w:sz w:val="28"/>
          <w:szCs w:val="28"/>
          <w:lang w:val="en-US" w:eastAsia="zh-CN" w:bidi="ar-SA"/>
        </w:rPr>
        <w:t>审批制度。将建筑噪声控制纳入环评，建筑工程项目必须按照环境影响评价意见采取措施控制噪声污染。建筑工程必须在工程开工前15天向生态环境保护主管部门进行排污申报、登记，报送噪声污染防治方案。</w:t>
      </w:r>
    </w:p>
    <w:p w14:paraId="25C49C77">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工业噪声污染防治。禁止在医疗区、文教科研区、机关办公区、居民住宅区等声环境敏感区域内新建、扩建产生噪声的工业企业，从事机械加工、汽车维修等产生噪声污染的经营活动。严格控制工业噪声源，选用低噪声设备，对各种工业噪声源分别采用隔音、吸声、消声的措施进行治理，降低噪声源强，减少对周围的影响。同时加强企业绿水泥作，达到规定绿化率的要求，降低噪声影响。对现有企业中噪声超标的，限期进行整顿，噪声影响严重又不能整顿达标的限期关停或搬迁。</w:t>
      </w:r>
    </w:p>
    <w:p w14:paraId="3264A0A3">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en-US" w:eastAsia="zh-CN"/>
        </w:rPr>
      </w:pPr>
      <w:bookmarkStart w:id="424" w:name="_Toc32247"/>
      <w:bookmarkStart w:id="425" w:name="_Toc16777"/>
      <w:bookmarkStart w:id="426" w:name="_Toc15224"/>
      <w:bookmarkStart w:id="427" w:name="_Toc27610"/>
      <w:bookmarkStart w:id="428" w:name="_Toc11801"/>
      <w:bookmarkStart w:id="429" w:name="_Toc6499"/>
      <w:bookmarkStart w:id="430" w:name="_Toc27733"/>
      <w:bookmarkStart w:id="431" w:name="_Toc25693"/>
      <w:bookmarkStart w:id="432" w:name="_Toc16499"/>
      <w:bookmarkStart w:id="433" w:name="_Toc8261"/>
      <w:r>
        <w:rPr>
          <w:rFonts w:hint="eastAsia" w:ascii="Times New Roman" w:hAnsi="Times New Roman" w:eastAsia="仿宋" w:cs="Times New Roman"/>
          <w:color w:val="auto"/>
          <w:sz w:val="32"/>
          <w:lang w:val="en-US" w:eastAsia="zh-CN"/>
        </w:rPr>
        <w:t>6.5</w:t>
      </w:r>
      <w:r>
        <w:rPr>
          <w:rFonts w:hint="default" w:ascii="Times New Roman" w:hAnsi="Times New Roman" w:eastAsia="仿宋" w:cs="Times New Roman"/>
          <w:color w:val="auto"/>
          <w:sz w:val="32"/>
          <w:lang w:val="en-US" w:eastAsia="zh-CN"/>
        </w:rPr>
        <w:t>强化生态系统保护与</w:t>
      </w:r>
      <w:bookmarkEnd w:id="424"/>
      <w:bookmarkEnd w:id="425"/>
      <w:bookmarkEnd w:id="426"/>
      <w:bookmarkEnd w:id="427"/>
      <w:bookmarkEnd w:id="428"/>
      <w:bookmarkEnd w:id="429"/>
      <w:bookmarkEnd w:id="430"/>
      <w:bookmarkEnd w:id="431"/>
      <w:bookmarkEnd w:id="432"/>
      <w:r>
        <w:rPr>
          <w:rFonts w:hint="default" w:ascii="Times New Roman" w:hAnsi="Times New Roman" w:eastAsia="仿宋" w:cs="Times New Roman"/>
          <w:color w:val="auto"/>
          <w:sz w:val="32"/>
          <w:lang w:val="en-US" w:eastAsia="zh-CN"/>
        </w:rPr>
        <w:t>修复</w:t>
      </w:r>
      <w:bookmarkEnd w:id="433"/>
    </w:p>
    <w:p w14:paraId="1E940A25">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434" w:name="_Toc20298"/>
      <w:bookmarkStart w:id="435" w:name="_Toc19531"/>
      <w:bookmarkStart w:id="436" w:name="_Toc19860"/>
      <w:bookmarkStart w:id="437" w:name="_Toc583"/>
      <w:bookmarkStart w:id="438" w:name="_Toc10825"/>
      <w:bookmarkStart w:id="439" w:name="_Toc35697810"/>
      <w:bookmarkStart w:id="440" w:name="_Toc9516145"/>
      <w:r>
        <w:rPr>
          <w:rFonts w:hint="eastAsia" w:ascii="Times New Roman" w:hAnsi="Times New Roman" w:eastAsia="宋体" w:cs="Times New Roman"/>
          <w:b/>
          <w:bCs/>
          <w:snapToGrid w:val="0"/>
          <w:color w:val="auto"/>
          <w:kern w:val="2"/>
          <w:sz w:val="28"/>
          <w:szCs w:val="28"/>
          <w:highlight w:val="none"/>
          <w:lang w:val="en-US" w:eastAsia="zh-CN" w:bidi="ar-SA"/>
        </w:rPr>
        <w:t>6.5</w:t>
      </w:r>
      <w:r>
        <w:rPr>
          <w:rFonts w:hint="default" w:ascii="Times New Roman" w:hAnsi="Times New Roman" w:eastAsia="宋体" w:cs="Times New Roman"/>
          <w:b/>
          <w:bCs/>
          <w:snapToGrid w:val="0"/>
          <w:color w:val="auto"/>
          <w:kern w:val="2"/>
          <w:sz w:val="28"/>
          <w:szCs w:val="28"/>
          <w:highlight w:val="none"/>
          <w:lang w:val="en-US" w:eastAsia="zh-CN" w:bidi="ar-SA"/>
        </w:rPr>
        <w:t>.1提升生态系统质量和稳定性</w:t>
      </w:r>
      <w:bookmarkEnd w:id="434"/>
      <w:bookmarkEnd w:id="435"/>
      <w:bookmarkEnd w:id="436"/>
      <w:bookmarkEnd w:id="437"/>
      <w:bookmarkEnd w:id="438"/>
    </w:p>
    <w:p w14:paraId="34DC9DAF">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统筹林草湿地保护，筑牢生态基底。加强公益林管理，保护原始森林及生物多样性；加强天然林保护，加大封山育林和防护林建设力度；巩固和扩大退耕还林、还草成果，提高区域的水源涵养能力，防止生境恶化和水土流失。大力推进天然林修复、低效林改造工作，提升森林资源质量。实施国家储备林建设、防护林建设等工程。加强湿地保护恢复。在可持续利用原则的基础上，充分挖掘湿地的土地生产功能，建立适应湿地生态环境的湿地产业群，实施以生态湿地为主的生境修复工程建设，维护红河流域湿地生态平衡。实施河道疏浚、生态驳岸营造、滨岸湿地植被（带）恢复、河流漫滩恢复、面源污染防控等综合措施，恢复河流湿地自然属性。</w:t>
      </w:r>
    </w:p>
    <w:p w14:paraId="3A9A7DA1">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落实自然保护地管控要求。根据《关于建立以国家公园为主体的自然保护地体系的指导意见》，以自然保护区等为重点，充分发挥自然保护地生态作用和服务功能。制定自然保护地分类划定标准，对现有的自然保护区、森林公园等各类自然保护地开展综合评价，按照保护区域的自然属性、生态价值和管理目标进行梳理调整和归类。</w:t>
      </w:r>
    </w:p>
    <w:p w14:paraId="301B1C45">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加强森林生态保护与建设。加强城市绿化，提高城镇面山林木覆盖，城市腾退空间优先留白增绿。保留乡村风貌留住田园乡愁，全面开展乡村绿化美化工程，加强原生植被、自然景观、古树名木、小微湿地保护，坚决制止开山毁林、填塘造地等行为，积极推进荒山荒坡造林和露天矿山综合整治。持续推进退耕还林、天然林保护等工程，优化林分结构，适地适树实施森林抚育、低效林改造、国家储备林、珍贵用材林基地建设等项目，提高森林质量，展现植被立体分布特征和多样性特点，科学论证，优先选用本土树种，淘汰速生桉树林。坚持人工造林与封育自然修复相结合，着力推进退耕还林还草、防护林建设、石漠化治理等工程，带动扩大营造林规模。广泛开展沿路、沿河（湖）、沿集镇“三沿”造林绿化活动，结合全域旅游，在重点交通干线打造一批有影响的林荫大道、鲜花大道和生态景观大道，在综合交通枢纽，旅游景区、特色小镇等重点区域打造一批绿色精品工程。到2025年，全县森林覆盖率≥74%，建成国家森林城市；到2030年，全县森林覆盖率≥75%。</w:t>
      </w:r>
    </w:p>
    <w:p w14:paraId="7E5268D9">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方正仿宋_GBK" w:cs="方正仿宋_GBK"/>
          <w:b w:val="0"/>
          <w:bCs w:val="0"/>
          <w:color w:val="auto"/>
          <w:kern w:val="2"/>
          <w:sz w:val="28"/>
          <w:szCs w:val="28"/>
          <w:lang w:val="en-US" w:eastAsia="zh-CN" w:bidi="ar-SA"/>
        </w:rPr>
        <w:t>加强湿地保护恢复。推进湿地公园建设，加快重要湿地、一般湿地认定进度，完善湿地分类保护与管理，扩大湿地保护范围。开展小微湿地生境恢复和生态景观功能提质工程，加大戛洒江湿地公园、黄草坝湿地公园、纳溪湿地公园保护修复力度，提高流域森林覆盖率，恢复湿地生态系统结构和功能，稳步提高湿地保护率。到2025年，湿地保有量7万亩。</w:t>
      </w:r>
    </w:p>
    <w:bookmarkEnd w:id="439"/>
    <w:bookmarkEnd w:id="440"/>
    <w:p w14:paraId="4C3C1FC5">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441" w:name="_Toc32401"/>
      <w:bookmarkStart w:id="442" w:name="_Toc16316"/>
      <w:bookmarkStart w:id="443" w:name="_Toc514661306"/>
      <w:bookmarkStart w:id="444" w:name="_Toc30097"/>
      <w:bookmarkStart w:id="445" w:name="_Toc24068"/>
      <w:bookmarkStart w:id="446" w:name="_Toc9516144"/>
      <w:bookmarkStart w:id="447" w:name="_Toc35697809"/>
      <w:bookmarkStart w:id="448" w:name="_Toc12113"/>
      <w:r>
        <w:rPr>
          <w:rFonts w:hint="eastAsia" w:ascii="Times New Roman" w:hAnsi="Times New Roman" w:eastAsia="宋体" w:cs="Times New Roman"/>
          <w:b/>
          <w:bCs/>
          <w:snapToGrid w:val="0"/>
          <w:color w:val="auto"/>
          <w:kern w:val="2"/>
          <w:sz w:val="28"/>
          <w:szCs w:val="28"/>
          <w:highlight w:val="none"/>
          <w:lang w:val="en-US" w:eastAsia="zh-CN" w:bidi="ar-SA"/>
        </w:rPr>
        <w:t>6.5</w:t>
      </w:r>
      <w:r>
        <w:rPr>
          <w:rFonts w:hint="default" w:ascii="Times New Roman" w:hAnsi="Times New Roman" w:eastAsia="宋体" w:cs="Times New Roman"/>
          <w:b/>
          <w:bCs/>
          <w:snapToGrid w:val="0"/>
          <w:color w:val="auto"/>
          <w:kern w:val="2"/>
          <w:sz w:val="28"/>
          <w:szCs w:val="28"/>
          <w:highlight w:val="none"/>
          <w:lang w:val="en-US" w:eastAsia="zh-CN" w:bidi="ar-SA"/>
        </w:rPr>
        <w:t>.2加强生物多样性保护</w:t>
      </w:r>
      <w:bookmarkEnd w:id="441"/>
      <w:bookmarkEnd w:id="442"/>
      <w:bookmarkEnd w:id="443"/>
      <w:bookmarkEnd w:id="444"/>
      <w:bookmarkEnd w:id="445"/>
      <w:bookmarkEnd w:id="446"/>
      <w:bookmarkEnd w:id="447"/>
      <w:bookmarkEnd w:id="448"/>
    </w:p>
    <w:p w14:paraId="11FFB030">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全面推行林长制，大力提高哀牢山、磨盘山等自然保护区管护水平，构建以国家公园为主体的自然保护地体系，推动哀牢山国家级自然保护区（新平段）、磨盘山国家级森林自然公园等总体规划编制工作，加强以哀牢山—红河谷为代表的鸟类迁徙通道保护。开展珍稀濒危野生动植物及极小种群物种抢救保护工作，实施疣粒野生稻原生境保护小区建设，戛洒江巨魾种群恢复重建，绿孔雀、西黑冠长臂猿、红豆杉等珍稀物种保护工程。开展物种引进风险评估，加强外来入侵物种入侵机理、扩散途径和防范措施研究。</w:t>
      </w:r>
    </w:p>
    <w:p w14:paraId="5A834E96">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实施疣粒野生稻原生境保护小区建设、戛洒江巨魾（面瓜鱼）种群恢复重建及栖息地保护、哀牢山国家级自然保护区生物资源管护站及野生动物救助站建设等工程。到2025年，以哀牢山自然保护区为主体的保护地体系基本建立，自然保护地面积占国土面积15%以上，重要生态系统和重点保护野生动植物得到有效保护。</w:t>
      </w:r>
    </w:p>
    <w:p w14:paraId="017D6BB1">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维护生态系统所处空间的完整性和联通性，严格控制侵占、割裂、污染等人为破坏活动，保障生态系统功能和结构的完整性，通过重要生态空间整体保护修复，形成森林、草地、湿地与水体等生态系统共荣共生的生物多样性保护区，促进生态系统功能提升。</w:t>
      </w:r>
    </w:p>
    <w:p w14:paraId="137AE39D">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加强以哀牢山—红河谷为代表的鸟类迁徙通道的生态环境保护和不同规模鸟类监测站和保护站的网络建设，使鸟类迁徙过境地和停歇地成为候鸟迁徙路线上绿色、安全的生态通道。加强极小种群物种和保护地外重要物种及其生境保护和研究，维持种群稳定，扩大种群数量。建设疣粒野生稻原生境保护小区。恢复重建戛洒江巨魾（面瓜鱼）种群，保护其栖息地环境。</w:t>
      </w:r>
    </w:p>
    <w:p w14:paraId="65E17CF5">
      <w:pPr>
        <w:keepNext w:val="0"/>
        <w:keepLines w:val="0"/>
        <w:pageBreakBefore w:val="0"/>
        <w:widowControl w:val="0"/>
        <w:kinsoku/>
        <w:wordWrap/>
        <w:overflowPunct/>
        <w:topLinePunct w:val="0"/>
        <w:autoSpaceDE/>
        <w:autoSpaceDN/>
        <w:bidi w:val="0"/>
        <w:spacing w:line="500" w:lineRule="exact"/>
        <w:textAlignment w:val="auto"/>
        <w:outlineLvl w:val="2"/>
        <w:rPr>
          <w:rFonts w:hint="eastAsia" w:ascii="Times New Roman" w:hAnsi="Times New Roman" w:eastAsia="宋体" w:cs="Times New Roman"/>
          <w:b/>
          <w:bCs/>
          <w:snapToGrid w:val="0"/>
          <w:color w:val="auto"/>
          <w:kern w:val="2"/>
          <w:sz w:val="28"/>
          <w:szCs w:val="28"/>
          <w:highlight w:val="none"/>
          <w:lang w:val="en-US" w:eastAsia="zh-CN" w:bidi="ar-SA"/>
        </w:rPr>
      </w:pPr>
      <w:bookmarkStart w:id="449" w:name="_Toc8049"/>
      <w:bookmarkStart w:id="450" w:name="_Toc23427"/>
      <w:bookmarkStart w:id="451" w:name="_Toc32071"/>
      <w:bookmarkStart w:id="452" w:name="_Toc6437"/>
      <w:bookmarkStart w:id="453" w:name="_Toc12341"/>
      <w:r>
        <w:rPr>
          <w:rFonts w:hint="eastAsia" w:ascii="Times New Roman" w:hAnsi="Times New Roman" w:eastAsia="宋体" w:cs="Times New Roman"/>
          <w:b/>
          <w:bCs/>
          <w:snapToGrid w:val="0"/>
          <w:color w:val="auto"/>
          <w:kern w:val="2"/>
          <w:sz w:val="28"/>
          <w:szCs w:val="28"/>
          <w:highlight w:val="none"/>
          <w:lang w:val="en-US" w:eastAsia="zh-CN" w:bidi="ar-SA"/>
        </w:rPr>
        <w:t>6.5</w:t>
      </w:r>
      <w:r>
        <w:rPr>
          <w:rFonts w:hint="default" w:ascii="Times New Roman" w:hAnsi="Times New Roman" w:eastAsia="宋体" w:cs="Times New Roman"/>
          <w:b/>
          <w:bCs/>
          <w:snapToGrid w:val="0"/>
          <w:color w:val="auto"/>
          <w:kern w:val="2"/>
          <w:sz w:val="28"/>
          <w:szCs w:val="28"/>
          <w:highlight w:val="none"/>
          <w:lang w:val="en-US" w:eastAsia="zh-CN" w:bidi="ar-SA"/>
        </w:rPr>
        <w:t>.</w:t>
      </w:r>
      <w:r>
        <w:rPr>
          <w:rFonts w:hint="eastAsia" w:ascii="Times New Roman" w:hAnsi="Times New Roman" w:eastAsia="宋体" w:cs="Times New Roman"/>
          <w:b/>
          <w:bCs/>
          <w:snapToGrid w:val="0"/>
          <w:color w:val="auto"/>
          <w:kern w:val="2"/>
          <w:sz w:val="28"/>
          <w:szCs w:val="28"/>
          <w:highlight w:val="none"/>
          <w:lang w:val="en-US" w:eastAsia="zh-CN" w:bidi="ar-SA"/>
        </w:rPr>
        <w:t>3全面实施生态修复</w:t>
      </w:r>
      <w:bookmarkEnd w:id="449"/>
    </w:p>
    <w:p w14:paraId="0FABCA04">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1、</w:t>
      </w:r>
      <w:r>
        <w:rPr>
          <w:rFonts w:hint="default" w:ascii="Times New Roman" w:hAnsi="Times New Roman" w:eastAsia="方正仿宋_GBK" w:cs="方正仿宋_GBK"/>
          <w:b w:val="0"/>
          <w:bCs w:val="0"/>
          <w:color w:val="auto"/>
          <w:kern w:val="2"/>
          <w:sz w:val="28"/>
          <w:szCs w:val="28"/>
          <w:lang w:val="en-US" w:eastAsia="zh-CN" w:bidi="ar-SA"/>
        </w:rPr>
        <w:t>林草资源保护与利用</w:t>
      </w:r>
    </w:p>
    <w:p w14:paraId="65A53A6B">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开展国土绿化行动。持续推行林长制，大力推进天然林修复、低效林改造、退耕还林还草等工作，精准提升森林资源质量。加快实施国家储备林建设、防护林建设等工程，带动扩大营造林规模。持续开展荒漠化监测预防工作，加大戛洒江干热河谷等生态退化、生态脆弱重点区域绿化力度。坚持全民动员植树造林，广泛开展沿路、沿河（湖）、沿集镇“三沿”造林绿化活动，提高城镇面山森林覆盖率。加强森林防火体系和森林病虫防治体系建设，不断提高林草灾害防控能力。</w:t>
      </w:r>
    </w:p>
    <w:p w14:paraId="17B99D00">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加强湿地保护与修复。推进湿地公园建设，加快重要湿地、一般湿地认定进度，完善湿地分类保护与管理，扩大湿地保护范围。开展小微湿地生境恢复和生态景观功能提质工程，加大戛洒江湿地公园、黄草坝湿地公园、纳溪湿地公园保护修复力度，提高流域森林覆盖率，恢复湿地生态系统结构和功能，稳步提高湿地保护率。</w:t>
      </w:r>
    </w:p>
    <w:p w14:paraId="71E5D124">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积极发展生态经济。坚持生态产业化、产业生态化发展理念，积极发展林下经济，充分发挥林地资源和林荫空间优势，整合资源，突出特色，强化科技支撑，促进林下经济向集约化、规模化、标准化和产业化发展。建设高标准竹林基地，开展低效竹林改造，并积极开发与竹笋有关的食品、竹手工艺品以及竹原材料产品。建设优质高效核桃综合示范基地，积极融入“云南古树核桃”高端坚果品牌创建，促进核桃产业由数量增长向质量效益增长转型，积极开发高品质核桃油、核桃粉、核桃露和核桃仁等产品。推进运动、健康、养生、旅游相互融合的养生旅游资源开发，建设一批养生康复示范项目，打造一批特色鲜明、配套完善的健康养生基地，加快建成磨盘山、古州野林、戛洒、哀牢山4个健康医养旅游区。</w:t>
      </w:r>
    </w:p>
    <w:p w14:paraId="58C59B42">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2、</w:t>
      </w:r>
      <w:r>
        <w:rPr>
          <w:rFonts w:hint="default" w:ascii="Times New Roman" w:hAnsi="Times New Roman" w:eastAsia="方正仿宋_GBK" w:cs="方正仿宋_GBK"/>
          <w:b w:val="0"/>
          <w:bCs w:val="0"/>
          <w:color w:val="auto"/>
          <w:kern w:val="2"/>
          <w:sz w:val="28"/>
          <w:szCs w:val="28"/>
          <w:lang w:val="en-US" w:eastAsia="zh-CN" w:bidi="ar-SA"/>
        </w:rPr>
        <w:t>矿产资源保护与利用</w:t>
      </w:r>
    </w:p>
    <w:p w14:paraId="2269DA09">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加强矿山地质环境保护与治理。实施尾矿、煤矸石等矿业固体废物产生、贮存减量化工程，加大工业固体废物堆存场所排查整治力度。推动矿山地质环境恢复治理，探索矿区污染治理和修复模式，开展矿山地质环境分区治理，以鲁奎山铁矿和大红山铁铜矿为示范，实施采空区回填、尾矿库与废石场加固、土地复垦与植被恢复等治理修复工程，开展重金属污染土壤的污染治理和修复试点建设，加强重点范围内的露天采场和破坏山体的绿化造林及景观修复治理，逐步修复矿区生态环境。</w:t>
      </w:r>
    </w:p>
    <w:p w14:paraId="526EB1DE">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合理开发利用矿产资源。做好矿产资源勘探管理工作，严控矿产资源开发，开展矿业权联勘联审、矿山生态环境综合评估工作，做好矿山安全生产，严禁超层、越界等违法行为发生，对矿业活动可能产生的地质灾害进行积极防范，尽量减少矿山开采对地质环境的破坏。以矿产资源绿色开发为抓手，积极整合大红山片区和鲁奎山片区的低品位、难采选零星矿点，加快矿产采选技术尤其是低品位矿石选矿技术的研发和运用，推动先进采矿选矿设施设备更新，切实提高矿产资源利用率，助力新平打造云南绿色矿冶集聚区。</w:t>
      </w:r>
    </w:p>
    <w:p w14:paraId="614BC5EB">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加强矿山修复治理</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探索矿区污染治理和修复模式，开展矿山地质环境分区治理，以鲁奎山铁矿和大红山铁铜矿为示范，实施采空区回填、尾矿库与废石场加固、土地复垦与植被恢复等治理修复工程，开展重金属污染土壤的污染治理和修复试点建设，加强重点范围内的露天采场和破坏山体的绿化造林及景观修复治理，逐步修复矿区生态环境。</w:t>
      </w:r>
    </w:p>
    <w:p w14:paraId="2F6DB6DA">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454" w:name="_Toc26499"/>
      <w:r>
        <w:rPr>
          <w:rFonts w:hint="eastAsia" w:ascii="Times New Roman" w:hAnsi="Times New Roman" w:eastAsia="宋体" w:cs="Times New Roman"/>
          <w:b/>
          <w:bCs/>
          <w:snapToGrid w:val="0"/>
          <w:color w:val="auto"/>
          <w:kern w:val="2"/>
          <w:sz w:val="28"/>
          <w:szCs w:val="28"/>
          <w:highlight w:val="none"/>
          <w:lang w:val="en-US" w:eastAsia="zh-CN" w:bidi="ar-SA"/>
        </w:rPr>
        <w:t>6.5</w:t>
      </w:r>
      <w:r>
        <w:rPr>
          <w:rFonts w:hint="default" w:ascii="Times New Roman" w:hAnsi="Times New Roman" w:eastAsia="宋体" w:cs="Times New Roman"/>
          <w:b/>
          <w:bCs/>
          <w:snapToGrid w:val="0"/>
          <w:color w:val="auto"/>
          <w:kern w:val="2"/>
          <w:sz w:val="28"/>
          <w:szCs w:val="28"/>
          <w:highlight w:val="none"/>
          <w:lang w:val="en-US" w:eastAsia="zh-CN" w:bidi="ar-SA"/>
        </w:rPr>
        <w:t>.</w:t>
      </w:r>
      <w:r>
        <w:rPr>
          <w:rFonts w:hint="eastAsia" w:ascii="Times New Roman" w:hAnsi="Times New Roman" w:eastAsia="宋体" w:cs="Times New Roman"/>
          <w:b/>
          <w:bCs/>
          <w:snapToGrid w:val="0"/>
          <w:color w:val="auto"/>
          <w:kern w:val="2"/>
          <w:sz w:val="28"/>
          <w:szCs w:val="28"/>
          <w:highlight w:val="none"/>
          <w:lang w:val="en-US" w:eastAsia="zh-CN" w:bidi="ar-SA"/>
        </w:rPr>
        <w:t>4</w:t>
      </w:r>
      <w:r>
        <w:rPr>
          <w:rFonts w:hint="default" w:ascii="Times New Roman" w:hAnsi="Times New Roman" w:eastAsia="宋体" w:cs="Times New Roman"/>
          <w:b/>
          <w:bCs/>
          <w:snapToGrid w:val="0"/>
          <w:color w:val="auto"/>
          <w:kern w:val="2"/>
          <w:sz w:val="28"/>
          <w:szCs w:val="28"/>
          <w:highlight w:val="none"/>
          <w:lang w:val="en-US" w:eastAsia="zh-CN" w:bidi="ar-SA"/>
        </w:rPr>
        <w:t>持续开展国土山川大绿化行动</w:t>
      </w:r>
      <w:bookmarkEnd w:id="450"/>
      <w:bookmarkEnd w:id="451"/>
      <w:bookmarkEnd w:id="452"/>
      <w:bookmarkEnd w:id="453"/>
      <w:bookmarkEnd w:id="454"/>
    </w:p>
    <w:p w14:paraId="06D6A16F">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开展国土绿化行动。健全自然资源资产产权制度和管理体制，分类分批完成全县森林、水流、荒地、湿地自然资源调查，建成全县自然资源与地理空间基础数据库。大力推进天然林修复、低效林改造工作，精准提升森林资源质量。加快实施国家储备林建设、防护林建设等工程，带动扩大营造林规模。持续开展荒漠化监测预防工作，加大戛洒江干热河谷等生态退化、生态脆弱重点区绿化力度。广泛开展沿路、沿河（湖）、沿集镇“三沿”造林绿化活动，提高城镇面山森林覆盖率。严防松材线虫病等重大林业有害生物入侵危害，不断提高林草灾害防控能力。到2025年，森林覆盖率达</w:t>
      </w:r>
      <w:r>
        <w:rPr>
          <w:rFonts w:hint="eastAsia" w:ascii="Times New Roman" w:hAnsi="Times New Roman" w:eastAsia="方正仿宋_GBK" w:cs="方正仿宋_GBK"/>
          <w:b w:val="0"/>
          <w:bCs w:val="0"/>
          <w:color w:val="auto"/>
          <w:kern w:val="2"/>
          <w:sz w:val="28"/>
          <w:szCs w:val="28"/>
          <w:lang w:val="en-US" w:eastAsia="zh-CN" w:bidi="ar-SA"/>
        </w:rPr>
        <w:t>74</w:t>
      </w:r>
      <w:r>
        <w:rPr>
          <w:rFonts w:hint="default" w:ascii="Times New Roman" w:hAnsi="Times New Roman" w:eastAsia="方正仿宋_GBK" w:cs="方正仿宋_GBK"/>
          <w:b w:val="0"/>
          <w:bCs w:val="0"/>
          <w:color w:val="auto"/>
          <w:kern w:val="2"/>
          <w:sz w:val="28"/>
          <w:szCs w:val="28"/>
          <w:lang w:val="en-US" w:eastAsia="zh-CN" w:bidi="ar-SA"/>
        </w:rPr>
        <w:t>%，森林蓄积量达2400万立方米。</w:t>
      </w:r>
    </w:p>
    <w:p w14:paraId="0F3C0341">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持续推进“森林新平”建设。围绕“康养度假后花园”的定位，以改善城市生态环境、增加城市森林面积，提升城市森林质量、增加城市居民游憩空间为目标，大力开展城乡绿化，努力创建国家森林城市。提高城乡建成区绿化覆盖率，在城市功能疏解、更新和调整中，将腾退空间优先用于增绿增花增果，全面开展乡村绿化</w:t>
      </w:r>
      <w:r>
        <w:rPr>
          <w:rFonts w:hint="eastAsia" w:ascii="Times New Roman" w:hAnsi="Times New Roman" w:eastAsia="方正仿宋_GBK" w:cs="方正仿宋_GBK"/>
          <w:b w:val="0"/>
          <w:bCs w:val="0"/>
          <w:color w:val="auto"/>
          <w:kern w:val="2"/>
          <w:sz w:val="28"/>
          <w:szCs w:val="28"/>
          <w:lang w:val="en-US" w:eastAsia="zh-CN" w:bidi="ar-SA"/>
        </w:rPr>
        <w:t>美化</w:t>
      </w:r>
      <w:r>
        <w:rPr>
          <w:rFonts w:hint="default" w:ascii="Times New Roman" w:hAnsi="Times New Roman" w:eastAsia="方正仿宋_GBK" w:cs="方正仿宋_GBK"/>
          <w:b w:val="0"/>
          <w:bCs w:val="0"/>
          <w:color w:val="auto"/>
          <w:kern w:val="2"/>
          <w:sz w:val="28"/>
          <w:szCs w:val="28"/>
          <w:lang w:val="en-US" w:eastAsia="zh-CN" w:bidi="ar-SA"/>
        </w:rPr>
        <w:t>水</w:t>
      </w:r>
      <w:r>
        <w:rPr>
          <w:rFonts w:hint="eastAsia" w:ascii="Times New Roman" w:hAnsi="Times New Roman" w:eastAsia="方正仿宋_GBK" w:cs="方正仿宋_GBK"/>
          <w:b w:val="0"/>
          <w:bCs w:val="0"/>
          <w:color w:val="auto"/>
          <w:kern w:val="2"/>
          <w:sz w:val="28"/>
          <w:szCs w:val="28"/>
          <w:lang w:val="en-US" w:eastAsia="zh-CN" w:bidi="ar-SA"/>
        </w:rPr>
        <w:t>工程</w:t>
      </w:r>
      <w:r>
        <w:rPr>
          <w:rFonts w:hint="default" w:ascii="Times New Roman" w:hAnsi="Times New Roman" w:eastAsia="方正仿宋_GBK" w:cs="方正仿宋_GBK"/>
          <w:b w:val="0"/>
          <w:bCs w:val="0"/>
          <w:color w:val="auto"/>
          <w:kern w:val="2"/>
          <w:sz w:val="28"/>
          <w:szCs w:val="28"/>
          <w:lang w:val="en-US" w:eastAsia="zh-CN" w:bidi="ar-SA"/>
        </w:rPr>
        <w:t>。积极推进省级森林县城、森林乡村建设，推进城镇绿地系统建设、打造绿色景观廊道、修复面山生态植被的抓点、连线、造面，形成立体多维的城市森林系统，建成城市森林植被网络，推动城市森林健康发展。</w:t>
      </w:r>
    </w:p>
    <w:p w14:paraId="31A4195E">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打造绿色生态家园。完善公园旅游设施、城镇中心和城镇周边绿地系统，建设公园游园、绿道体系、交织串联点状绿地，实现“300m现绿、500m见园”。提高生态景观建设水平，持续推进重点区域造林，实施挖潜增绿和绿地提质，统筹打造城镇村绿化景观，不断提升和拓展城区亲民绿色空间品质及功能，提升绿色服务供给能力，提高人民生活环境质量。增加城市绿化中的物种和景观斑块的多样性和丰富度，推行生态绿化方式，广种适生树种，乔灌草合理搭配、自然生长，推进身边增绿，增强林草功能，构建城市绿色屏障。</w:t>
      </w:r>
    </w:p>
    <w:p w14:paraId="7F31D1FF">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en-US" w:eastAsia="zh-CN"/>
        </w:rPr>
      </w:pPr>
      <w:bookmarkStart w:id="455" w:name="_Toc2920"/>
      <w:bookmarkStart w:id="456" w:name="_Toc9926"/>
      <w:bookmarkStart w:id="457" w:name="_Toc1258"/>
      <w:bookmarkStart w:id="458" w:name="_Toc10813"/>
      <w:bookmarkStart w:id="459" w:name="_Toc32190"/>
      <w:bookmarkStart w:id="460" w:name="_Toc24627"/>
      <w:bookmarkStart w:id="461" w:name="_Toc16310"/>
      <w:bookmarkStart w:id="462" w:name="_Toc25921"/>
      <w:bookmarkStart w:id="463" w:name="_Toc19658"/>
      <w:bookmarkStart w:id="464" w:name="_Toc5685"/>
      <w:bookmarkStart w:id="465" w:name="_Toc15083"/>
      <w:bookmarkStart w:id="466" w:name="_Toc31268"/>
      <w:r>
        <w:rPr>
          <w:rFonts w:hint="eastAsia" w:ascii="Times New Roman" w:hAnsi="Times New Roman" w:eastAsia="仿宋" w:cs="Times New Roman"/>
          <w:color w:val="auto"/>
          <w:sz w:val="32"/>
          <w:lang w:val="en-US" w:eastAsia="zh-CN"/>
        </w:rPr>
        <w:t>6.6</w:t>
      </w:r>
      <w:r>
        <w:rPr>
          <w:rFonts w:hint="default" w:ascii="Times New Roman" w:hAnsi="Times New Roman" w:eastAsia="仿宋" w:cs="Times New Roman"/>
          <w:color w:val="auto"/>
          <w:sz w:val="32"/>
          <w:lang w:val="en-US" w:eastAsia="zh-CN"/>
        </w:rPr>
        <w:t>积极应对气候变化</w:t>
      </w:r>
      <w:bookmarkEnd w:id="455"/>
      <w:bookmarkEnd w:id="456"/>
      <w:bookmarkEnd w:id="457"/>
    </w:p>
    <w:p w14:paraId="107C2CAE">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467" w:name="_Toc29806"/>
      <w:bookmarkStart w:id="468" w:name="_Toc984"/>
      <w:bookmarkStart w:id="469" w:name="_Toc1163"/>
      <w:bookmarkStart w:id="470" w:name="_Toc19985"/>
      <w:bookmarkStart w:id="471" w:name="_Toc2521"/>
      <w:r>
        <w:rPr>
          <w:rFonts w:hint="eastAsia" w:ascii="Times New Roman" w:hAnsi="Times New Roman" w:eastAsia="宋体" w:cs="Times New Roman"/>
          <w:b/>
          <w:bCs/>
          <w:snapToGrid w:val="0"/>
          <w:color w:val="auto"/>
          <w:kern w:val="2"/>
          <w:sz w:val="28"/>
          <w:szCs w:val="28"/>
          <w:highlight w:val="none"/>
          <w:lang w:val="en-US" w:eastAsia="zh-CN" w:bidi="ar-SA"/>
        </w:rPr>
        <w:t>6.6</w:t>
      </w:r>
      <w:r>
        <w:rPr>
          <w:rFonts w:hint="default" w:ascii="Times New Roman" w:hAnsi="Times New Roman" w:eastAsia="宋体" w:cs="Times New Roman"/>
          <w:b/>
          <w:bCs/>
          <w:snapToGrid w:val="0"/>
          <w:color w:val="auto"/>
          <w:kern w:val="2"/>
          <w:sz w:val="28"/>
          <w:szCs w:val="28"/>
          <w:highlight w:val="none"/>
          <w:lang w:val="en-US" w:eastAsia="zh-CN" w:bidi="ar-SA"/>
        </w:rPr>
        <w:t>.1制定碳达峰行动方案</w:t>
      </w:r>
      <w:bookmarkEnd w:id="467"/>
      <w:bookmarkEnd w:id="468"/>
      <w:bookmarkEnd w:id="469"/>
      <w:bookmarkEnd w:id="470"/>
      <w:bookmarkEnd w:id="471"/>
    </w:p>
    <w:p w14:paraId="22A20CE6">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以2030年前实现碳达峰为目标，落实碳排放强度和碳排放总量双控制度，并摸清新平县碳排放现状，结合县域排放特点研究制定新平县碳达峰行动方案，明确全县碳达峰目标、实施计划和保障措施，强化各领域各层级贯彻落实。推动产业结构、能源结构调整，积极发展低碳产业、低碳交通、低碳建筑，倡导低碳生活，聚焦工业、交通、农业、建筑、服务业等重点领域，进一步提高终端用能电气化水平、减少煤炭等化石燃料消费，在2030年二氧化碳排放达到峰值。有序推进新平县碳中和测算及相关研究，提升生态碳汇能力，强化国土空间规划和用途管控，有效发挥森林、湿地、草原、土壤的固碳作用，提升生态系统碳汇增量，落实碳排放权交易，积极发展绿色金融，为我国实现2060年前碳中和的目标贡献新平力量。</w:t>
      </w:r>
    </w:p>
    <w:p w14:paraId="54BCDF24">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472" w:name="_Toc9439"/>
      <w:bookmarkStart w:id="473" w:name="_Toc28559"/>
      <w:bookmarkStart w:id="474" w:name="_Toc21806"/>
      <w:bookmarkStart w:id="475" w:name="_Toc31208"/>
      <w:bookmarkStart w:id="476" w:name="_Toc8896"/>
      <w:r>
        <w:rPr>
          <w:rFonts w:hint="eastAsia" w:ascii="Times New Roman" w:hAnsi="Times New Roman" w:eastAsia="宋体" w:cs="Times New Roman"/>
          <w:b/>
          <w:bCs/>
          <w:snapToGrid w:val="0"/>
          <w:color w:val="auto"/>
          <w:kern w:val="2"/>
          <w:sz w:val="28"/>
          <w:szCs w:val="28"/>
          <w:highlight w:val="none"/>
          <w:lang w:val="en-US" w:eastAsia="zh-CN" w:bidi="ar-SA"/>
        </w:rPr>
        <w:t>6.6</w:t>
      </w:r>
      <w:r>
        <w:rPr>
          <w:rFonts w:hint="default" w:ascii="Times New Roman" w:hAnsi="Times New Roman" w:eastAsia="宋体" w:cs="Times New Roman"/>
          <w:b/>
          <w:bCs/>
          <w:snapToGrid w:val="0"/>
          <w:color w:val="auto"/>
          <w:kern w:val="2"/>
          <w:sz w:val="28"/>
          <w:szCs w:val="28"/>
          <w:highlight w:val="none"/>
          <w:lang w:val="en-US" w:eastAsia="zh-CN" w:bidi="ar-SA"/>
        </w:rPr>
        <w:t>.2持续加强减污降碳</w:t>
      </w:r>
      <w:bookmarkEnd w:id="472"/>
      <w:bookmarkEnd w:id="473"/>
      <w:bookmarkEnd w:id="474"/>
      <w:bookmarkEnd w:id="475"/>
      <w:bookmarkEnd w:id="476"/>
    </w:p>
    <w:p w14:paraId="0AA608A0">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控制工业领域温室气体排放。重点加强钢铁、水泥等产业低碳化生产工作，实施更加严格的固定资产投资项目节能评估审查和环境影响评价制度。鼓励与支持工业企业开展清洁生产审核，促进传统产业产品高端化、发展低碳化。加快提升钢铁等重点行业技术装备水平，改造升级节能检测仪器和设备。逐步淘汰现有的落后技术及老旧设备，严格限制高耗能技术及设备的新投入应用。</w:t>
      </w:r>
    </w:p>
    <w:p w14:paraId="4431D3B9">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控制交通领域温室气体排放。一是合理配置城市交通资源。逐步建立城市机动车保有总量调控机制。积极发展城市公共交通，完善城市步行和自行车交通系统。积极推广纯电动汽车、天然气动力汽车等新能源汽车。二是完善公路交通网络。推广应用温拌沥青、沥青路面材料再生利用等低碳铺路技术和养护技术，推广隧道通风照明智能控制技术，对高速公路服务区等进行节能低碳改造。</w:t>
      </w:r>
    </w:p>
    <w:p w14:paraId="74891CF5">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控制农业和废弃物处理领域温室气体排放。鼓励使用有机肥，加强核桃、中药材等种植有机肥使用力度，因地制宜推广“猪（牧）</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沼</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果”“种</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养</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加”“立体种植”和“立体养殖”等低碳高效循环生产方式。加大农作物秸秆综合利用、农用地膜回收利用、农林废物资源化利用和牲畜粪便综合利用。控制废弃物处理领域排放，加大生活垃圾无害化处理设施和生活污水处理设施建设力度。健全生活垃圾分类回收、资源化利用、无害化处理相衔接的收转运体系，对生活垃圾进行统一收集和集中处理。推进餐厨垃圾无害化处理和资源化利用，鼓励残渣无害化处理后制作肥料。</w:t>
      </w:r>
    </w:p>
    <w:p w14:paraId="177DD341">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控制城乡建设领域温室气体排放。优化城市功能布局，加强城市低碳发展规划，城市新区建设规划探索进行碳排放评估。强化城市低碳化建设和管理，建设以节能低碳为特征的电、气等能源供应设施、给排水设施、生活污水和垃圾处理等城市基础设施，建立建筑使用全寿命周期管理制度，统筹城市低碳发展和绿色转型，协同治理城市大气污染物和温室气体排放，加强城市照明管理，实施城市绿色照明专项行动。发展低能耗和绿色建筑，采用先进的节能减碳技术和建筑材料，因地制宜推动太阳能等可再生能源建筑一体化应用，加强建筑节能管理，提升并严格执行新建建筑节能标准，推广低能耗和绿色建筑标准。</w:t>
      </w:r>
    </w:p>
    <w:p w14:paraId="6DABE49A">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倡导低碳理念。企业应强化减排责任意识，自觉履行义务。提倡个人绿色消费意识，积极发展公共交通，对工业排放进行严格监测。使用高效的冰箱、空调和其他电器。为电动装置安装更高效的涡轮机，在离开办公室时关掉灯，家中拔掉电视机、音响设备、电脑、电池充电器以及许多其他的配件和家用电器的电源。购买节能产品，防止更多的温室气体排放。将旧的白炽灯泡替换为节能灯，如紧凑型荧光灯。</w:t>
      </w:r>
    </w:p>
    <w:p w14:paraId="4E1BA75B">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477" w:name="_Toc2740"/>
      <w:bookmarkStart w:id="478" w:name="_Toc11755"/>
      <w:bookmarkStart w:id="479" w:name="_Toc23504"/>
      <w:bookmarkStart w:id="480" w:name="_Toc1604"/>
      <w:bookmarkStart w:id="481" w:name="_Toc7618"/>
      <w:bookmarkStart w:id="482" w:name="_Toc16055"/>
      <w:bookmarkStart w:id="483" w:name="_Toc12003"/>
      <w:bookmarkStart w:id="484" w:name="_Toc11153"/>
      <w:bookmarkStart w:id="485" w:name="_Toc18326"/>
      <w:r>
        <w:rPr>
          <w:rFonts w:hint="eastAsia" w:ascii="Times New Roman" w:hAnsi="Times New Roman" w:eastAsia="宋体" w:cs="Times New Roman"/>
          <w:b/>
          <w:bCs/>
          <w:snapToGrid w:val="0"/>
          <w:color w:val="auto"/>
          <w:kern w:val="2"/>
          <w:sz w:val="28"/>
          <w:szCs w:val="28"/>
          <w:highlight w:val="none"/>
          <w:lang w:val="en-US" w:eastAsia="zh-CN" w:bidi="ar-SA"/>
        </w:rPr>
        <w:t>6.6</w:t>
      </w:r>
      <w:r>
        <w:rPr>
          <w:rFonts w:hint="default" w:ascii="Times New Roman" w:hAnsi="Times New Roman" w:eastAsia="宋体" w:cs="Times New Roman"/>
          <w:b/>
          <w:bCs/>
          <w:snapToGrid w:val="0"/>
          <w:color w:val="auto"/>
          <w:kern w:val="2"/>
          <w:sz w:val="28"/>
          <w:szCs w:val="28"/>
          <w:highlight w:val="none"/>
          <w:lang w:val="en-US" w:eastAsia="zh-CN" w:bidi="ar-SA"/>
        </w:rPr>
        <w:t>.3积极发展生态降碳</w:t>
      </w:r>
      <w:bookmarkEnd w:id="477"/>
      <w:bookmarkEnd w:id="478"/>
      <w:bookmarkEnd w:id="479"/>
      <w:bookmarkEnd w:id="480"/>
      <w:bookmarkEnd w:id="481"/>
      <w:bookmarkEnd w:id="482"/>
      <w:bookmarkEnd w:id="483"/>
      <w:bookmarkEnd w:id="484"/>
      <w:bookmarkEnd w:id="485"/>
    </w:p>
    <w:p w14:paraId="2F4861E4">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增加森林、湿地及生态系统碳汇。继续实施林业生态重点工程，开展植树造林，统筹城乡绿化，深入开展全民义务植树活动，继续实施天然商品林停伐保护，开展天然林保护修复，继续实施公益林建设；加强水土流失区域的林草植被恢复建设，强化现有森林资源保护。加强农田保育，增加农业土壤碳汇，推广秸秆还田、免耕与少耕措施、轮作耕作方式，推广测土配方施肥技术、种植绿肥、增加有机肥的施用，提高土壤有机碳含量；推广等高耕作、修筑梯田、打坝淤地等工程措施，保护耕地，减少土壤侵蚀，增加农业土壤碳汇。建立完善的湿地保护管理长效机制，维护湿地生态系统稳定，增强湿地储碳能力。</w:t>
      </w:r>
    </w:p>
    <w:p w14:paraId="203494AC">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486" w:name="_Toc31389"/>
      <w:bookmarkStart w:id="487" w:name="_Toc8276"/>
      <w:bookmarkStart w:id="488" w:name="_Toc26262"/>
      <w:bookmarkStart w:id="489" w:name="_Toc25332"/>
      <w:bookmarkStart w:id="490" w:name="_Toc17496"/>
      <w:r>
        <w:rPr>
          <w:rFonts w:hint="eastAsia" w:ascii="Times New Roman" w:hAnsi="Times New Roman" w:eastAsia="宋体" w:cs="Times New Roman"/>
          <w:b/>
          <w:bCs/>
          <w:snapToGrid w:val="0"/>
          <w:color w:val="auto"/>
          <w:kern w:val="2"/>
          <w:sz w:val="28"/>
          <w:szCs w:val="28"/>
          <w:highlight w:val="none"/>
          <w:lang w:val="en-US" w:eastAsia="zh-CN" w:bidi="ar-SA"/>
        </w:rPr>
        <w:t>6.6</w:t>
      </w:r>
      <w:r>
        <w:rPr>
          <w:rFonts w:hint="default" w:ascii="Times New Roman" w:hAnsi="Times New Roman" w:eastAsia="宋体" w:cs="Times New Roman"/>
          <w:b/>
          <w:bCs/>
          <w:snapToGrid w:val="0"/>
          <w:color w:val="auto"/>
          <w:kern w:val="2"/>
          <w:sz w:val="28"/>
          <w:szCs w:val="28"/>
          <w:highlight w:val="none"/>
          <w:lang w:val="en-US" w:eastAsia="zh-CN" w:bidi="ar-SA"/>
        </w:rPr>
        <w:t>.4提高适应气候变化能力</w:t>
      </w:r>
      <w:bookmarkEnd w:id="486"/>
      <w:bookmarkEnd w:id="487"/>
      <w:bookmarkEnd w:id="488"/>
      <w:bookmarkEnd w:id="489"/>
      <w:bookmarkEnd w:id="490"/>
    </w:p>
    <w:p w14:paraId="34CDA88E">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探索研究气候变化对本地生态系统、重点行业及人民生活的影响，做好气候变暖的影响评估，聚焦本地最容易受气候变化影响的地区、行业和群体，做好气候变暖应对策略。开展气候变化风险评估，识别气候变化对本地水资源保障、粮食生产、城乡环境的影响以及因为气候变化引起的地质灾害问题，开展应对气候变化风险管理，完善本区域防灾减灾及风险应对机制，提升风险应对能力，制订应对和防范措施。建设群体突发事件的预警系统和快速反应机制，要加强应对高低温、雷电、大风等极端气象灾害能力建设和应对地质灾害等防治，以及大面积停电、燃气泄漏等突发事件预防。强化应对地质灾害、极端天气、公共卫生等突发事件应急物资储备，建立健全集中管理、统一调拨、平时服务、灾时应急、采储结合、节约高效的应急物资管理机制、快速互助机制和征用补偿机制。</w:t>
      </w:r>
    </w:p>
    <w:p w14:paraId="1FB70B97">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en-US" w:eastAsia="zh-CN"/>
        </w:rPr>
      </w:pPr>
      <w:bookmarkStart w:id="491" w:name="_Toc2611"/>
      <w:r>
        <w:rPr>
          <w:rFonts w:hint="default" w:ascii="Times New Roman" w:hAnsi="Times New Roman" w:eastAsia="仿宋" w:cs="Times New Roman"/>
          <w:color w:val="auto"/>
          <w:sz w:val="32"/>
          <w:lang w:val="en-US" w:eastAsia="zh-CN"/>
        </w:rPr>
        <w:t>6.7加强生态环境风险防范</w:t>
      </w:r>
      <w:bookmarkEnd w:id="458"/>
      <w:bookmarkEnd w:id="459"/>
      <w:bookmarkEnd w:id="460"/>
      <w:bookmarkEnd w:id="461"/>
      <w:bookmarkEnd w:id="462"/>
      <w:bookmarkEnd w:id="463"/>
      <w:bookmarkEnd w:id="464"/>
      <w:bookmarkEnd w:id="465"/>
      <w:bookmarkEnd w:id="466"/>
      <w:bookmarkEnd w:id="491"/>
    </w:p>
    <w:p w14:paraId="38521173">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492" w:name="_Toc28504"/>
      <w:bookmarkStart w:id="493" w:name="_Toc16704"/>
      <w:bookmarkStart w:id="494" w:name="_Toc19051"/>
      <w:bookmarkStart w:id="495" w:name="_Toc7012"/>
      <w:bookmarkStart w:id="496" w:name="_Toc19641"/>
      <w:r>
        <w:rPr>
          <w:rFonts w:hint="default" w:ascii="Times New Roman" w:hAnsi="Times New Roman" w:eastAsia="宋体" w:cs="Times New Roman"/>
          <w:b/>
          <w:bCs/>
          <w:snapToGrid w:val="0"/>
          <w:color w:val="auto"/>
          <w:kern w:val="2"/>
          <w:sz w:val="28"/>
          <w:szCs w:val="28"/>
          <w:highlight w:val="none"/>
          <w:lang w:val="en-US" w:eastAsia="zh-CN" w:bidi="ar-SA"/>
        </w:rPr>
        <w:t>6.7.1完善生态环境风险和应急管理体系</w:t>
      </w:r>
      <w:bookmarkEnd w:id="492"/>
      <w:bookmarkEnd w:id="493"/>
      <w:bookmarkEnd w:id="494"/>
      <w:bookmarkEnd w:id="495"/>
      <w:bookmarkEnd w:id="496"/>
    </w:p>
    <w:p w14:paraId="0E2F3812">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加强生态环境风险源头管理。开展生态环境风险摸底与评估，结合第二次全国污染源普查、环境统计工作，全面调查辖区内工业源、集中式污染治理设施、农业面源、医疗固体废物等风险源，开展重点生态环境风险源环境隐患排查，摸清生态环境风险的高发区域和敏感行业，建立生态环境风险源分类档案和信息数据库，健全生态环境风险重点监管单位清单，并动态更新。以排放重金属、危险废物、持久性有机污染物和使用重点环境管理危险化学品的污染源为重点，逐步开展重点风险源环境和健康风险评估，对主要风险源加强管控，从源头上降低生态环境风险。</w:t>
      </w:r>
    </w:p>
    <w:p w14:paraId="7121496E">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加强生态环境风险管控能力建设。要以“融入”和“联动”为理念，将环境风险管控措施有效“嵌套”到常规环境监管体系，构建多部门协调、与公共安全保障体系衔接的管控制度；以落实企业主体与政府监管责任为方向，推动环境风险防控由事后应急管理向全过程管控转变，实现事前严防严控、事中响应、事后追责赔偿；“防”与“控”并重，健全精细化管理模式，努力降低土壤、核与辐射、重金属、危险废物、化学品等重点领域、区域环境风险，基本形成多元高效、点线面结合的全过程环境风险防控网络，将环境风险管控到与经济社会发展阶段相适应的可接受水平。</w:t>
      </w:r>
    </w:p>
    <w:p w14:paraId="3EB42006">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加强生态环境风险防范能力建设。一是加强监管机构和人才队伍建设。开展全县生态环境风险管理培训，加强生态环境保护督察、环境影响评价、排污许可、环境执法和固体废物管理机构人员的技术培训与交流。加强生态环境风险专业机构及人才队伍建设，组建生态环境风险管理专家团队，强化重点难点问题的技术支撑。二是建立健全风险监管机制。针对辖区内各类生态环境风险源，细化监管责任，落实监管部门和监管人员，强化生态环境风险监管。建立健全风险监管机制，建立区域和部门联防联控联治机制，积极推动跨省流域的联防联控协议的实施，持续完善与邻近县协议联防联控机制；加强周边其他县的联络，建立生态环境风险联防联控联治机制。加强区内生态环境部门与交通运输、卫生健康、应急等相关行政主管部门合作，强化信息共享和协作配合。生态环境执法检查中发现涉嫌危险废物环境违法犯罪的问题，及时移交公安机关。三是提升信息化监管能力和水平。建立覆盖全县生态环境风险源的数据信息库，充分利用信息化手段，动态更新风险源清单，并对重点生态环境风险源进行实时跟踪。鼓励重点单位在重点环节和关键节点推行应用视频监控、电子标签等集成智能监控手段，实现对危险废物全过程跟踪管理。充分利用“互联网+监管”系统，加强事中事后环境监管，归集共享各类相关数据，及时发现和防范苗头性风险。四是提升应急物资管理保障能力。对应急物资储备情况进行全面调研，对原有物资进行盘库清点，逐项逐类建立台账。加强部门之间沟通协调，科学研判自然灾害形势，制定应急救灾物资补充方案，填平补齐相应的应急物资，指导做好短缺应急救灾物资采购储备工作，进一步提升救灾物资应急保障能力。及时完善应急救灾物资储备工作管理制度，确保物资安全、账物相符。</w:t>
      </w:r>
    </w:p>
    <w:p w14:paraId="1B13E8ED">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强化生态环境应急管理。按要素（水环境、大气、土壤等）、按对象（水源地、保护区、生态敏感区）、按风险源（交通运输、工业企业）等建立环境风险应急体系，2023年内完成县政府突发环境事件应急预案修编。县人民政府及其有关部门应当组织开展应急知识的宣传普及活动，每年要设定特定场景的应急演练。有关部门按照职责分工，加强日常环境监测，对可能导致突发环境事件的风险信息加强收集、分析和研判，建立可能导致突发环境事件的问题清单。实施企业环境应急预案电子化备案，实现涉危涉重企业电子化备案全覆盖。</w:t>
      </w:r>
    </w:p>
    <w:p w14:paraId="0D316EFA">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497" w:name="_Toc20374"/>
      <w:bookmarkStart w:id="498" w:name="_Toc11573"/>
      <w:bookmarkStart w:id="499" w:name="_Toc27440"/>
      <w:bookmarkStart w:id="500" w:name="_Toc26517"/>
      <w:bookmarkStart w:id="501" w:name="_Toc28624"/>
      <w:r>
        <w:rPr>
          <w:rFonts w:hint="default" w:ascii="Times New Roman" w:hAnsi="Times New Roman" w:eastAsia="宋体" w:cs="Times New Roman"/>
          <w:b/>
          <w:bCs/>
          <w:snapToGrid w:val="0"/>
          <w:color w:val="auto"/>
          <w:kern w:val="2"/>
          <w:sz w:val="28"/>
          <w:szCs w:val="28"/>
          <w:highlight w:val="none"/>
          <w:lang w:val="en-US" w:eastAsia="zh-CN" w:bidi="ar-SA"/>
        </w:rPr>
        <w:t>6.7.2加强危险废物、医疗废物收集处理</w:t>
      </w:r>
      <w:bookmarkEnd w:id="497"/>
      <w:bookmarkEnd w:id="498"/>
      <w:bookmarkEnd w:id="499"/>
      <w:bookmarkEnd w:id="500"/>
      <w:bookmarkEnd w:id="501"/>
    </w:p>
    <w:p w14:paraId="08950D09">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提升危险废物收集处置与利用能力。强化危险废物全过程环境监管，建立完善危险废物环境重点监管单位清单，加强对重点行业危险废物产生、贮存、利用和处置的监督管理，打击危险废物非法转移和利用处置等违法犯罪活动。规范废铅蓄电池回收管理机制。规划期间，危险废物处置率达稳定保持100%。</w:t>
      </w:r>
    </w:p>
    <w:p w14:paraId="4FFB79A0">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补齐医疗废物处置与应急能力短板。全县医疗废物通过直接或间接的方式已实现交医疗废物集中处置单位处置，要完善医疗废物收集转运处置体系，因地制宜推进农村、镇和偏远地区医疗废物安全处置，逐步健全完善的医疗废物收集转运处置体系。加强医疗废物分类管理，做好源头分类。加强建立完善医疗废物收集网络、安全运输、处置体系，制定并完善危险废物集中处置设施运行收费标准和办法，推行危险废物转移联单制度，实现危险废物收集、运输、处置的全过程环境监督管理。提高规范化管理水平，严厉打击医疗废物非法买卖等行为。建立医疗废物协同应急处置设施清单，完善处置物资储备体系，保障重大疫情医疗废物应急处置能力。</w:t>
      </w:r>
    </w:p>
    <w:p w14:paraId="78AED5A7">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502" w:name="_Toc17705"/>
      <w:bookmarkStart w:id="503" w:name="_Toc16841"/>
      <w:bookmarkStart w:id="504" w:name="_Toc5919"/>
      <w:bookmarkStart w:id="505" w:name="_Toc32234"/>
      <w:bookmarkStart w:id="506" w:name="_Toc729"/>
      <w:r>
        <w:rPr>
          <w:rFonts w:hint="default" w:ascii="Times New Roman" w:hAnsi="Times New Roman" w:eastAsia="宋体" w:cs="Times New Roman"/>
          <w:b/>
          <w:bCs/>
          <w:snapToGrid w:val="0"/>
          <w:color w:val="auto"/>
          <w:kern w:val="2"/>
          <w:sz w:val="28"/>
          <w:szCs w:val="28"/>
          <w:highlight w:val="none"/>
          <w:lang w:val="en-US" w:eastAsia="zh-CN" w:bidi="ar-SA"/>
        </w:rPr>
        <w:t>6.7.3提高固体废弃物综合利用水平</w:t>
      </w:r>
      <w:bookmarkEnd w:id="502"/>
      <w:bookmarkEnd w:id="503"/>
      <w:bookmarkEnd w:id="504"/>
      <w:bookmarkEnd w:id="505"/>
      <w:bookmarkEnd w:id="506"/>
    </w:p>
    <w:p w14:paraId="1D562A57">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推进生活垃圾资源化利用。依托现有废旧品回收市场、旧家具家电回收市场，积极组织开展可回收物分拣中心、集散市场和大件垃圾处理设施的规划、建设，进一步完善废旧家具、旧家电、旧自行车、旧纺织品等垃圾资源回收利用和管理机制，并探索建立“互联网+资源回收”模式，建立完善再生资源分类、回收、储存、中转、利用信息平台，实现再生资源回收网络和生活垃圾分类网络“两网融合”，推动再生资源回收利用规范化、专业化管理，提高可回收垃圾资源再生利用水平。</w:t>
      </w:r>
    </w:p>
    <w:p w14:paraId="7CA82941">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畜禽养殖场废弃物处理设施。加强养殖场废弃物综合利用，积极开展粪尿废水资源化利用。建设生态养殖场和养殖小区，积极推广生物发酵床等生态养殖模式和“一池三改”户用沼气工程。强化养殖业污染治理。加快发展种养有机结合的循环农业。以生猪、牛、鸡等规模养殖场为重点，开展规模化生物天然气工程和大中型沼气工程建设，整县推进畜禽养殖废弃物资源化利用。到2030年，规模畜禽养殖场全部配套粪污处理设施，畜禽粪污综合利用率达到90%。</w:t>
      </w:r>
    </w:p>
    <w:p w14:paraId="0E586C49">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425" w:num="1"/>
          <w:docGrid w:linePitch="312" w:charSpace="0"/>
        </w:sectPr>
      </w:pPr>
      <w:r>
        <w:rPr>
          <w:rFonts w:hint="default" w:ascii="Times New Roman" w:hAnsi="Times New Roman" w:eastAsia="方正仿宋_GBK" w:cs="方正仿宋_GBK"/>
          <w:b w:val="0"/>
          <w:bCs w:val="0"/>
          <w:color w:val="auto"/>
          <w:kern w:val="2"/>
          <w:sz w:val="28"/>
          <w:szCs w:val="28"/>
          <w:lang w:val="en-US" w:eastAsia="zh-CN" w:bidi="ar-SA"/>
        </w:rPr>
        <w:t>深水泥业固体废物资源化利用。一是实行</w:t>
      </w:r>
      <w:r>
        <w:rPr>
          <w:rFonts w:hint="eastAsia" w:ascii="Times New Roman" w:hAnsi="Times New Roman" w:eastAsia="方正仿宋_GBK" w:cs="方正仿宋_GBK"/>
          <w:b w:val="0"/>
          <w:bCs w:val="0"/>
          <w:color w:val="auto"/>
          <w:kern w:val="2"/>
          <w:sz w:val="28"/>
          <w:szCs w:val="28"/>
          <w:lang w:val="en-US" w:eastAsia="zh-CN" w:bidi="ar-SA"/>
        </w:rPr>
        <w:t>工业园区</w:t>
      </w:r>
      <w:r>
        <w:rPr>
          <w:rFonts w:hint="default" w:ascii="Times New Roman" w:hAnsi="Times New Roman" w:eastAsia="方正仿宋_GBK" w:cs="方正仿宋_GBK"/>
          <w:b w:val="0"/>
          <w:bCs w:val="0"/>
          <w:color w:val="auto"/>
          <w:kern w:val="2"/>
          <w:sz w:val="28"/>
          <w:szCs w:val="28"/>
          <w:lang w:val="en-US" w:eastAsia="zh-CN" w:bidi="ar-SA"/>
        </w:rPr>
        <w:t>域固体废物循环化改造，促进工业固体废物综合利用和安全处置。通过以奖代补形式促进区域的固体废物资源化利用，确保规划期间，一般工业固体废物综合利用率保持稳定。在工业固体废物产生量大的企业和市政污水处理厂，推广国家鼓励的工业固体废物综合利用先进适用技术、循环经济技术、工艺和设备、有毒有害原料（产品）替代品等，推动一般工业固体废物的资源化利用。三是拓展再生资源回收交易渠道。依托再生资源回收体系解决低值可再生一般工业固体废物处理处置出路。鼓励固体废物源头就地加工，推动固体废物再生行业贸易加工模式转变，优化再生资源利用渠道。鼓励、引导产废企业、再生资源回收经营企业和利用废物企业进入固体废物交易平台，大力推动低值可再生利用工业固体废物的综合利用工作</w:t>
      </w:r>
      <w:r>
        <w:rPr>
          <w:rFonts w:hint="eastAsia" w:ascii="Times New Roman" w:hAnsi="Times New Roman" w:eastAsia="方正仿宋_GBK" w:cs="方正仿宋_GBK"/>
          <w:b w:val="0"/>
          <w:bCs w:val="0"/>
          <w:color w:val="auto"/>
          <w:kern w:val="2"/>
          <w:sz w:val="28"/>
          <w:szCs w:val="28"/>
          <w:lang w:val="en-US" w:eastAsia="zh-CN" w:bidi="ar-SA"/>
        </w:rPr>
        <w:t>。</w:t>
      </w:r>
    </w:p>
    <w:bookmarkEnd w:id="411"/>
    <w:bookmarkEnd w:id="412"/>
    <w:bookmarkEnd w:id="413"/>
    <w:p w14:paraId="285466E0">
      <w:pPr>
        <w:pStyle w:val="3"/>
        <w:pageBreakBefore w:val="0"/>
        <w:kinsoku/>
        <w:wordWrap/>
        <w:overflowPunct/>
        <w:topLinePunct w:val="0"/>
        <w:autoSpaceDE/>
        <w:autoSpaceDN/>
        <w:bidi w:val="0"/>
        <w:spacing w:before="0" w:after="0" w:line="500" w:lineRule="exact"/>
        <w:jc w:val="center"/>
        <w:textAlignment w:val="auto"/>
        <w:rPr>
          <w:rFonts w:hint="default" w:ascii="Times New Roman" w:hAnsi="Times New Roman" w:eastAsia="仿宋" w:cs="Times New Roman"/>
          <w:color w:val="auto"/>
          <w:sz w:val="44"/>
          <w:lang w:val="en-US" w:eastAsia="zh-CN"/>
        </w:rPr>
      </w:pPr>
      <w:bookmarkStart w:id="507" w:name="_Toc29603"/>
      <w:bookmarkStart w:id="508" w:name="_Toc860"/>
      <w:bookmarkStart w:id="509" w:name="_Toc21018"/>
      <w:r>
        <w:rPr>
          <w:rFonts w:hint="default" w:ascii="Times New Roman" w:hAnsi="Times New Roman" w:eastAsia="仿宋" w:cs="Times New Roman"/>
          <w:color w:val="auto"/>
          <w:sz w:val="44"/>
          <w:lang w:val="en-US" w:eastAsia="zh-CN"/>
        </w:rPr>
        <w:t>7</w:t>
      </w:r>
      <w:bookmarkEnd w:id="366"/>
      <w:bookmarkEnd w:id="367"/>
      <w:bookmarkEnd w:id="368"/>
      <w:r>
        <w:rPr>
          <w:rFonts w:hint="default" w:ascii="Times New Roman" w:hAnsi="Times New Roman" w:eastAsia="仿宋" w:cs="Times New Roman"/>
          <w:color w:val="auto"/>
          <w:sz w:val="44"/>
          <w:lang w:val="en-US" w:eastAsia="zh-CN"/>
        </w:rPr>
        <w:t>严格空间管控，建设生态空间体系</w:t>
      </w:r>
      <w:bookmarkEnd w:id="369"/>
      <w:bookmarkEnd w:id="370"/>
      <w:bookmarkEnd w:id="371"/>
      <w:bookmarkEnd w:id="372"/>
      <w:bookmarkEnd w:id="507"/>
      <w:bookmarkEnd w:id="508"/>
      <w:bookmarkEnd w:id="509"/>
      <w:bookmarkStart w:id="510" w:name="_Toc2892"/>
      <w:bookmarkStart w:id="511" w:name="_Toc15135"/>
      <w:bookmarkStart w:id="512" w:name="_Toc11739"/>
      <w:bookmarkStart w:id="513" w:name="_Toc18872"/>
      <w:bookmarkStart w:id="514" w:name="_Toc31983"/>
      <w:bookmarkStart w:id="515" w:name="_Toc1598"/>
      <w:bookmarkStart w:id="516" w:name="_Toc13795"/>
    </w:p>
    <w:p w14:paraId="4CA1703A">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en-US" w:eastAsia="zh-CN"/>
        </w:rPr>
      </w:pPr>
      <w:bookmarkStart w:id="517" w:name="_Toc28243"/>
      <w:bookmarkStart w:id="518" w:name="_Toc23939"/>
      <w:bookmarkStart w:id="519" w:name="_Toc12333"/>
      <w:r>
        <w:rPr>
          <w:rFonts w:hint="default" w:ascii="Times New Roman" w:hAnsi="Times New Roman" w:eastAsia="仿宋" w:cs="Times New Roman"/>
          <w:color w:val="auto"/>
          <w:sz w:val="32"/>
          <w:lang w:val="en-US" w:eastAsia="zh-CN"/>
        </w:rPr>
        <w:t>7.1</w:t>
      </w:r>
      <w:bookmarkEnd w:id="510"/>
      <w:bookmarkEnd w:id="511"/>
      <w:bookmarkEnd w:id="512"/>
      <w:r>
        <w:rPr>
          <w:rFonts w:hint="default" w:ascii="Times New Roman" w:hAnsi="Times New Roman" w:eastAsia="仿宋" w:cs="Times New Roman"/>
          <w:color w:val="auto"/>
          <w:sz w:val="32"/>
          <w:lang w:val="en-US" w:eastAsia="zh-CN"/>
        </w:rPr>
        <w:t>严格生态空间用途管制</w:t>
      </w:r>
      <w:bookmarkEnd w:id="513"/>
      <w:bookmarkEnd w:id="514"/>
      <w:bookmarkEnd w:id="515"/>
      <w:bookmarkEnd w:id="516"/>
      <w:bookmarkEnd w:id="517"/>
      <w:bookmarkEnd w:id="518"/>
      <w:bookmarkEnd w:id="519"/>
    </w:p>
    <w:p w14:paraId="5AE8B0E3">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520" w:name="_Toc24088"/>
      <w:bookmarkStart w:id="521" w:name="_Toc32602"/>
      <w:bookmarkStart w:id="522" w:name="_Toc27742"/>
      <w:bookmarkStart w:id="523" w:name="_Toc7977"/>
      <w:bookmarkStart w:id="524" w:name="_Toc19744"/>
      <w:r>
        <w:rPr>
          <w:rFonts w:hint="default" w:ascii="Times New Roman" w:hAnsi="Times New Roman" w:eastAsia="宋体" w:cs="Times New Roman"/>
          <w:b/>
          <w:bCs/>
          <w:snapToGrid w:val="0"/>
          <w:color w:val="auto"/>
          <w:kern w:val="2"/>
          <w:sz w:val="28"/>
          <w:szCs w:val="28"/>
          <w:highlight w:val="none"/>
          <w:lang w:val="en-US" w:eastAsia="zh-CN" w:bidi="ar-SA"/>
        </w:rPr>
        <w:t>7.1.1落实“三线一单”</w:t>
      </w:r>
      <w:bookmarkEnd w:id="520"/>
      <w:bookmarkEnd w:id="521"/>
      <w:r>
        <w:rPr>
          <w:rFonts w:hint="default" w:ascii="Times New Roman" w:hAnsi="Times New Roman" w:eastAsia="宋体" w:cs="Times New Roman"/>
          <w:b/>
          <w:bCs/>
          <w:snapToGrid w:val="0"/>
          <w:color w:val="auto"/>
          <w:kern w:val="2"/>
          <w:sz w:val="28"/>
          <w:szCs w:val="28"/>
          <w:highlight w:val="none"/>
          <w:lang w:val="en-US" w:eastAsia="zh-CN" w:bidi="ar-SA"/>
        </w:rPr>
        <w:t>生态环境分区管控</w:t>
      </w:r>
      <w:bookmarkEnd w:id="522"/>
      <w:bookmarkEnd w:id="523"/>
      <w:bookmarkEnd w:id="524"/>
    </w:p>
    <w:p w14:paraId="39D09275">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加快推进生态保护红线勘界定标工作，完善生态红线管控措施，加大哀牢山国家级自然保护区、磨盘山国家级森林公园等优先保护区保护力度，严格禁止生态保护红线内开发性、生产性建设活动。充分衔接环境质量目标和达标期限要求，遵循环境质量不断优化原则，确立大气、水、土壤环境质量底线。按照资源总量管控要求，明确水、土、能源等资源要素利用上线。开展生态环境功能区划符合性审查，严格控制石化、水泥、有色金属冶炼等项目环境风险。</w:t>
      </w:r>
    </w:p>
    <w:p w14:paraId="66364590">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1、明确管控目标</w:t>
      </w:r>
    </w:p>
    <w:p w14:paraId="1B47CAD3">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严格执行《玉溪市“三线一单”生态环境分区管控实施方案》要求，神，坚持生态优先、绿色发展，按照“守底线、优格局、提质量、保安全”的总体思路，围绕玉溪“一极两区”发展定位，以改善区域环境质量为核心，建立覆盖全</w:t>
      </w:r>
      <w:r>
        <w:rPr>
          <w:rFonts w:hint="eastAsia" w:ascii="Times New Roman" w:hAnsi="Times New Roman" w:eastAsia="方正仿宋_GBK" w:cs="方正仿宋_GBK"/>
          <w:b w:val="0"/>
          <w:bCs w:val="0"/>
          <w:color w:val="auto"/>
          <w:kern w:val="2"/>
          <w:sz w:val="28"/>
          <w:szCs w:val="28"/>
          <w:lang w:val="en-US" w:eastAsia="zh-CN" w:bidi="ar-SA"/>
        </w:rPr>
        <w:t>县</w:t>
      </w:r>
      <w:r>
        <w:rPr>
          <w:rFonts w:hint="default" w:ascii="Times New Roman" w:hAnsi="Times New Roman" w:eastAsia="方正仿宋_GBK" w:cs="方正仿宋_GBK"/>
          <w:b w:val="0"/>
          <w:bCs w:val="0"/>
          <w:color w:val="auto"/>
          <w:kern w:val="2"/>
          <w:sz w:val="28"/>
          <w:szCs w:val="28"/>
          <w:lang w:val="en-US" w:eastAsia="zh-CN" w:bidi="ar-SA"/>
        </w:rPr>
        <w:t>的“三线一单”生态环境分区管控体系，推进生态环境治理体系和治理能力现代化，促进生态环境高水平保护和经济社会高质量发展。到2025年，全</w:t>
      </w:r>
      <w:r>
        <w:rPr>
          <w:rFonts w:hint="eastAsia" w:ascii="Times New Roman" w:hAnsi="Times New Roman" w:eastAsia="方正仿宋_GBK" w:cs="方正仿宋_GBK"/>
          <w:b w:val="0"/>
          <w:bCs w:val="0"/>
          <w:color w:val="auto"/>
          <w:kern w:val="2"/>
          <w:sz w:val="28"/>
          <w:szCs w:val="28"/>
          <w:lang w:val="en-US" w:eastAsia="zh-CN" w:bidi="ar-SA"/>
        </w:rPr>
        <w:t>县</w:t>
      </w:r>
      <w:r>
        <w:rPr>
          <w:rFonts w:hint="default" w:ascii="Times New Roman" w:hAnsi="Times New Roman" w:eastAsia="方正仿宋_GBK" w:cs="方正仿宋_GBK"/>
          <w:b w:val="0"/>
          <w:bCs w:val="0"/>
          <w:color w:val="auto"/>
          <w:kern w:val="2"/>
          <w:sz w:val="28"/>
          <w:szCs w:val="28"/>
          <w:lang w:val="en-US" w:eastAsia="zh-CN" w:bidi="ar-SA"/>
        </w:rPr>
        <w:t>生态空间得到有效保护，能源资源利用效率显著提升，主要污染物排放总量持续减少，“三湖”污染负荷得到有效控制并实现水质考核目标，生态安全屏障更加牢固，生态文明建设实现新进步。到2035年，全</w:t>
      </w:r>
      <w:r>
        <w:rPr>
          <w:rFonts w:hint="eastAsia" w:ascii="Times New Roman" w:hAnsi="Times New Roman" w:eastAsia="方正仿宋_GBK" w:cs="方正仿宋_GBK"/>
          <w:b w:val="0"/>
          <w:bCs w:val="0"/>
          <w:color w:val="auto"/>
          <w:kern w:val="2"/>
          <w:sz w:val="28"/>
          <w:szCs w:val="28"/>
          <w:lang w:val="en-US" w:eastAsia="zh-CN" w:bidi="ar-SA"/>
        </w:rPr>
        <w:t>县</w:t>
      </w:r>
      <w:r>
        <w:rPr>
          <w:rFonts w:hint="default" w:ascii="Times New Roman" w:hAnsi="Times New Roman" w:eastAsia="方正仿宋_GBK" w:cs="方正仿宋_GBK"/>
          <w:b w:val="0"/>
          <w:bCs w:val="0"/>
          <w:color w:val="auto"/>
          <w:kern w:val="2"/>
          <w:sz w:val="28"/>
          <w:szCs w:val="28"/>
          <w:lang w:val="en-US" w:eastAsia="zh-CN" w:bidi="ar-SA"/>
        </w:rPr>
        <w:t>生态环境质量全面改善并根本好转，“三湖”碧水长清，水质持续稳定向好，人与自然和谐发展，环境保护和经济发展实现良性循环。</w:t>
      </w:r>
    </w:p>
    <w:p w14:paraId="0C2BA61C">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2、明确管控要求</w:t>
      </w:r>
    </w:p>
    <w:p w14:paraId="041B0DA8">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玉溪市共划分82个生态环境管控单元，其中新平县涉及环境管控单元9个，其中优先保护单元3个，重点管控单元5个，一般管控单元1个</w:t>
      </w:r>
      <w:r>
        <w:rPr>
          <w:rFonts w:hint="eastAsia" w:ascii="Times New Roman" w:hAnsi="Times New Roman" w:eastAsia="方正仿宋_GBK" w:cs="方正仿宋_GBK"/>
          <w:b w:val="0"/>
          <w:bCs w:val="0"/>
          <w:color w:val="auto"/>
          <w:kern w:val="2"/>
          <w:sz w:val="28"/>
          <w:szCs w:val="28"/>
          <w:lang w:val="en-US" w:eastAsia="zh-CN" w:bidi="ar-SA"/>
        </w:rPr>
        <w:t>，管控要求如下：</w:t>
      </w:r>
    </w:p>
    <w:p w14:paraId="45F3FAAA">
      <w:pPr>
        <w:spacing w:after="0" w:line="360" w:lineRule="auto"/>
        <w:jc w:val="center"/>
        <w:rPr>
          <w:rFonts w:hint="default" w:ascii="Times New Roman" w:hAnsi="Times New Roman" w:eastAsia="宋体" w:cs="Times New Roman"/>
          <w:b w:val="0"/>
          <w:bCs w:val="0"/>
          <w:color w:val="auto"/>
          <w:kern w:val="2"/>
          <w:sz w:val="28"/>
          <w:szCs w:val="28"/>
          <w:highlight w:val="none"/>
          <w:lang w:val="en-US" w:eastAsia="zh-CN" w:bidi="ar-SA"/>
        </w:rPr>
      </w:pPr>
      <w:r>
        <w:rPr>
          <w:rFonts w:hint="default" w:ascii="Times New Roman" w:hAnsi="Times New Roman" w:eastAsia="宋体" w:cs="Times New Roman"/>
          <w:b w:val="0"/>
          <w:bCs w:val="0"/>
          <w:color w:val="auto"/>
          <w:kern w:val="2"/>
          <w:sz w:val="28"/>
          <w:szCs w:val="28"/>
          <w:highlight w:val="none"/>
          <w:lang w:val="en-US" w:eastAsia="zh-CN" w:bidi="ar-SA"/>
        </w:rPr>
        <w:t>表7.1-2</w:t>
      </w:r>
      <w:r>
        <w:rPr>
          <w:rFonts w:hint="eastAsia" w:ascii="Times New Roman" w:hAnsi="Times New Roman" w:eastAsia="宋体" w:cs="Times New Roman"/>
          <w:b w:val="0"/>
          <w:bCs w:val="0"/>
          <w:color w:val="auto"/>
          <w:kern w:val="2"/>
          <w:sz w:val="28"/>
          <w:szCs w:val="28"/>
          <w:highlight w:val="none"/>
          <w:lang w:val="en-US" w:eastAsia="zh-CN" w:bidi="ar-SA"/>
        </w:rPr>
        <w:t>新平县</w:t>
      </w:r>
      <w:r>
        <w:rPr>
          <w:rFonts w:hint="default" w:ascii="Times New Roman" w:hAnsi="Times New Roman" w:eastAsia="宋体" w:cs="Times New Roman"/>
          <w:b w:val="0"/>
          <w:bCs w:val="0"/>
          <w:color w:val="auto"/>
          <w:kern w:val="2"/>
          <w:sz w:val="28"/>
          <w:szCs w:val="28"/>
          <w:highlight w:val="none"/>
          <w:lang w:val="en-US" w:eastAsia="zh-CN" w:bidi="ar-SA"/>
        </w:rPr>
        <w:t>生态环境管控总体要求</w:t>
      </w:r>
    </w:p>
    <w:tbl>
      <w:tblPr>
        <w:tblStyle w:val="2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9"/>
        <w:gridCol w:w="6876"/>
      </w:tblGrid>
      <w:tr w14:paraId="0FA54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blHeader/>
        </w:trPr>
        <w:tc>
          <w:tcPr>
            <w:tcW w:w="967" w:type="pct"/>
            <w:vAlign w:val="center"/>
          </w:tcPr>
          <w:p w14:paraId="59CEA9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color w:val="auto"/>
                <w:kern w:val="0"/>
                <w:sz w:val="24"/>
                <w:szCs w:val="24"/>
                <w:highlight w:val="none"/>
                <w:lang w:val="en-US" w:eastAsia="zh-CN" w:bidi="ar-SA"/>
              </w:rPr>
            </w:pPr>
            <w:r>
              <w:rPr>
                <w:rFonts w:hint="default" w:ascii="Times New Roman" w:hAnsi="Times New Roman" w:eastAsia="宋体" w:cs="Times New Roman"/>
                <w:b w:val="0"/>
                <w:bCs/>
                <w:color w:val="auto"/>
                <w:kern w:val="0"/>
                <w:sz w:val="24"/>
                <w:szCs w:val="24"/>
                <w:highlight w:val="none"/>
              </w:rPr>
              <w:t>管控领域</w:t>
            </w:r>
          </w:p>
        </w:tc>
        <w:tc>
          <w:tcPr>
            <w:tcW w:w="4032" w:type="pct"/>
            <w:vAlign w:val="center"/>
          </w:tcPr>
          <w:p w14:paraId="04FD3ED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color w:val="auto"/>
                <w:kern w:val="0"/>
                <w:sz w:val="24"/>
                <w:szCs w:val="24"/>
                <w:highlight w:val="none"/>
                <w:lang w:val="en-US" w:eastAsia="zh-CN" w:bidi="ar-SA"/>
              </w:rPr>
            </w:pPr>
            <w:r>
              <w:rPr>
                <w:rFonts w:hint="default" w:ascii="Times New Roman" w:hAnsi="Times New Roman" w:eastAsia="宋体" w:cs="Times New Roman"/>
                <w:b w:val="0"/>
                <w:bCs/>
                <w:color w:val="auto"/>
                <w:kern w:val="0"/>
                <w:sz w:val="24"/>
                <w:szCs w:val="24"/>
                <w:highlight w:val="none"/>
              </w:rPr>
              <w:t>管控要求</w:t>
            </w:r>
          </w:p>
        </w:tc>
      </w:tr>
      <w:tr w14:paraId="32AC1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pct"/>
            <w:vAlign w:val="center"/>
          </w:tcPr>
          <w:p w14:paraId="2A2A0DC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rPr>
              <w:t>空间布局约束</w:t>
            </w:r>
          </w:p>
        </w:tc>
        <w:tc>
          <w:tcPr>
            <w:tcW w:w="4032" w:type="pct"/>
            <w:vAlign w:val="center"/>
          </w:tcPr>
          <w:p w14:paraId="0C01F591">
            <w:pPr>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元江水系干流沿岸和三大高原湖泊流域，严格控制石化、水泥、有色金属冶炼等项目的环境风险，合理布局生产装置及危险化学品仓储等设施。</w:t>
            </w:r>
          </w:p>
          <w:p w14:paraId="592B2165">
            <w:pPr>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对不符合城市发展规划的钢铁企业，支持其实施减量、环保搬迁或转型转产。</w:t>
            </w:r>
          </w:p>
          <w:p w14:paraId="3074C746">
            <w:pPr>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严格控制水污染严重地区和敏感区域高耗水、高污染行业发展，畜禽规模化养殖、食品加工、医药制造等涉水项目向环境容量大的县布局。</w:t>
            </w:r>
          </w:p>
        </w:tc>
      </w:tr>
      <w:tr w14:paraId="04D1A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pct"/>
            <w:vAlign w:val="center"/>
          </w:tcPr>
          <w:p w14:paraId="371ECC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rPr>
              <w:t>污染物排放管控</w:t>
            </w:r>
          </w:p>
        </w:tc>
        <w:tc>
          <w:tcPr>
            <w:tcW w:w="4032" w:type="pct"/>
            <w:vAlign w:val="center"/>
          </w:tcPr>
          <w:p w14:paraId="4E0E2363">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1.加大“两江”流域的保护和治理</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重点流域水污染严重地区</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新建、</w:t>
            </w:r>
            <w:r>
              <w:rPr>
                <w:rFonts w:hint="default" w:ascii="Times New Roman" w:hAnsi="Times New Roman" w:eastAsia="宋体" w:cs="Times New Roman"/>
                <w:color w:val="auto"/>
                <w:sz w:val="24"/>
                <w:szCs w:val="24"/>
                <w:highlight w:val="none"/>
                <w:lang w:eastAsia="zh-CN"/>
              </w:rPr>
              <w:t>改</w:t>
            </w:r>
            <w:r>
              <w:rPr>
                <w:rFonts w:hint="default" w:ascii="Times New Roman" w:hAnsi="Times New Roman" w:eastAsia="宋体" w:cs="Times New Roman"/>
                <w:color w:val="auto"/>
                <w:sz w:val="24"/>
                <w:szCs w:val="24"/>
                <w:highlight w:val="none"/>
              </w:rPr>
              <w:t>建、扩建重点行业建设项目实行主要污染物排放减量置换。</w:t>
            </w:r>
          </w:p>
          <w:p w14:paraId="17744016">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2.规模畜禽养殖场废弃物综合利用率达到90%以上</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规模养殖场粪污处理设施装备配套率达到100%。</w:t>
            </w:r>
          </w:p>
          <w:p w14:paraId="730184F1">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3.严格保护城乡饮用水水源地</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整治饮用水水源保护区内的污染源</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确保饮水安全。实现城镇生活污水、垃圾处理设施全覆盖和稳定运行。推进农村面源污染治理。推进工业园区、工矿企业污水处理设施全</w:t>
            </w:r>
            <w:r>
              <w:rPr>
                <w:rFonts w:hint="eastAsia" w:ascii="Times New Roman" w:hAnsi="Times New Roman" w:eastAsia="宋体" w:cs="Times New Roman"/>
                <w:color w:val="auto"/>
                <w:sz w:val="24"/>
                <w:szCs w:val="24"/>
                <w:highlight w:val="none"/>
                <w:lang w:eastAsia="zh-CN"/>
              </w:rPr>
              <w:t>覆盖</w:t>
            </w:r>
            <w:r>
              <w:rPr>
                <w:rFonts w:hint="default" w:ascii="Times New Roman" w:hAnsi="Times New Roman" w:eastAsia="宋体" w:cs="Times New Roman"/>
                <w:color w:val="auto"/>
                <w:sz w:val="24"/>
                <w:szCs w:val="24"/>
                <w:highlight w:val="none"/>
              </w:rPr>
              <w:t>和利用效率最大化。</w:t>
            </w:r>
          </w:p>
          <w:p w14:paraId="5EF2BEAE">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4.加大VOCs减排力度</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扎实推动PM</w:t>
            </w:r>
            <w:r>
              <w:rPr>
                <w:rFonts w:hint="default" w:ascii="Times New Roman" w:hAnsi="Times New Roman" w:eastAsia="宋体" w:cs="Times New Roman"/>
                <w:color w:val="auto"/>
                <w:sz w:val="24"/>
                <w:szCs w:val="24"/>
                <w:highlight w:val="none"/>
                <w:vertAlign w:val="subscript"/>
              </w:rPr>
              <w:t>2.5</w:t>
            </w:r>
            <w:r>
              <w:rPr>
                <w:rFonts w:hint="default" w:ascii="Times New Roman" w:hAnsi="Times New Roman" w:eastAsia="宋体" w:cs="Times New Roman"/>
                <w:color w:val="auto"/>
                <w:sz w:val="24"/>
                <w:szCs w:val="24"/>
                <w:highlight w:val="none"/>
              </w:rPr>
              <w:t>和臭氧协同控制</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有效提升优良天数比率。在持续推进氮氧化物减排的基础上</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重点加大石化、</w:t>
            </w:r>
            <w:r>
              <w:rPr>
                <w:rFonts w:hint="default" w:ascii="Times New Roman" w:hAnsi="Times New Roman" w:eastAsia="宋体" w:cs="Times New Roman"/>
                <w:color w:val="auto"/>
                <w:sz w:val="24"/>
                <w:szCs w:val="24"/>
                <w:highlight w:val="none"/>
                <w:lang w:eastAsia="zh-CN"/>
              </w:rPr>
              <w:t>水泥</w:t>
            </w:r>
            <w:r>
              <w:rPr>
                <w:rFonts w:hint="default" w:ascii="Times New Roman" w:hAnsi="Times New Roman" w:eastAsia="宋体" w:cs="Times New Roman"/>
                <w:color w:val="auto"/>
                <w:sz w:val="24"/>
                <w:szCs w:val="24"/>
                <w:highlight w:val="none"/>
              </w:rPr>
              <w:t>及含挥发性有机化合物产品制造企业和喷漆、制鞋、印刷、电子、服装干洗等行业清洁生产和污染治理力度</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逐步淘汰挥发性有机化合物含量高的产品生产和使用</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严控生产过程中逃逸性有机气体的排放。</w:t>
            </w:r>
          </w:p>
          <w:p w14:paraId="3254C6B4">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5.提高钢铁、水泥等高耗能产业减量置换比例</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把高能效和低碳排放纳入产能减量置换门槛</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明确重点行业二氧化碳排放达峰目标</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控制工业、交通、建筑等行业温室气体排放。实施矿冶、建材、制糖、造纸等非电行业烟气脱硫脱硝工程。</w:t>
            </w:r>
          </w:p>
          <w:p w14:paraId="389539B3">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rPr>
              <w:t>6.加强土壤污染防治</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对农用地实施分类管理</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对建设用地实行准入管理</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确定土壤环境污染重点监管企业名单</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实施土壤污染风险管控和修复名录制度</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对污染地块开发利用实行联动监管。</w:t>
            </w:r>
          </w:p>
        </w:tc>
      </w:tr>
      <w:tr w14:paraId="68981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2" w:hRule="atLeast"/>
        </w:trPr>
        <w:tc>
          <w:tcPr>
            <w:tcW w:w="967" w:type="pct"/>
            <w:vAlign w:val="center"/>
          </w:tcPr>
          <w:p w14:paraId="30A444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环境风险防控</w:t>
            </w:r>
          </w:p>
        </w:tc>
        <w:tc>
          <w:tcPr>
            <w:tcW w:w="4032" w:type="pct"/>
            <w:vAlign w:val="center"/>
          </w:tcPr>
          <w:p w14:paraId="2AF3A24B">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1.强化与其他滇中城市的大气污染防治联防联控协作机制</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加强区域内重污染天气应急联动。</w:t>
            </w:r>
          </w:p>
          <w:p w14:paraId="086D8ABE">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2.加强环境风险防控和应急管理</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制定和完善突发环境事件和饮用水水源地突发环境事件应急预案</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加强风险防控和突发环境事件应急处理处置能力</w:t>
            </w:r>
            <w:r>
              <w:rPr>
                <w:rFonts w:hint="default" w:ascii="Times New Roman" w:hAnsi="Times New Roman" w:eastAsia="宋体" w:cs="Times New Roman"/>
                <w:color w:val="auto"/>
                <w:sz w:val="24"/>
                <w:szCs w:val="24"/>
                <w:highlight w:val="none"/>
                <w:lang w:eastAsia="zh-CN"/>
              </w:rPr>
              <w:t>。</w:t>
            </w:r>
          </w:p>
        </w:tc>
      </w:tr>
      <w:tr w14:paraId="3E6F4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trPr>
        <w:tc>
          <w:tcPr>
            <w:tcW w:w="967" w:type="pct"/>
            <w:vAlign w:val="center"/>
          </w:tcPr>
          <w:p w14:paraId="2278E0F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eastAsia="zh-CN"/>
              </w:rPr>
              <w:t>资源开发利用</w:t>
            </w:r>
            <w:r>
              <w:rPr>
                <w:rFonts w:hint="default" w:ascii="Times New Roman" w:hAnsi="Times New Roman" w:eastAsia="宋体" w:cs="Times New Roman"/>
                <w:color w:val="auto"/>
                <w:kern w:val="0"/>
                <w:sz w:val="24"/>
                <w:szCs w:val="24"/>
                <w:highlight w:val="none"/>
              </w:rPr>
              <w:t>效率</w:t>
            </w:r>
          </w:p>
        </w:tc>
        <w:tc>
          <w:tcPr>
            <w:tcW w:w="4032" w:type="pct"/>
            <w:vAlign w:val="center"/>
          </w:tcPr>
          <w:p w14:paraId="703B35B9">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1.降低水、土地、矿产资源消耗强度</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强化约束性指标管理。</w:t>
            </w:r>
          </w:p>
          <w:p w14:paraId="7B57F34E">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2.实行最严格的水资源管理制度</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严格用水总量、强度指标管理</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严格取水管控</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建立重点监控取水单位名录</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强化重点监控取水单位管理。</w:t>
            </w:r>
            <w:r>
              <w:rPr>
                <w:rFonts w:hint="eastAsia" w:ascii="Times New Roman" w:hAnsi="Times New Roman" w:eastAsia="宋体" w:cs="Times New Roman"/>
                <w:color w:val="auto"/>
                <w:sz w:val="24"/>
                <w:szCs w:val="24"/>
                <w:highlight w:val="none"/>
                <w:lang w:val="en-US" w:eastAsia="zh-CN"/>
              </w:rPr>
              <w:t>全县</w:t>
            </w:r>
            <w:r>
              <w:rPr>
                <w:rFonts w:hint="default" w:ascii="Times New Roman" w:hAnsi="Times New Roman" w:eastAsia="宋体" w:cs="Times New Roman"/>
                <w:color w:val="auto"/>
                <w:sz w:val="24"/>
                <w:szCs w:val="24"/>
                <w:highlight w:val="none"/>
              </w:rPr>
              <w:t>年用水总量、万元工业增加值用水量降幅等指标达到省考核要求。</w:t>
            </w:r>
          </w:p>
          <w:p w14:paraId="36767A0F">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3.坚持最严格的耕地保护制度</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守住耕地保护红线。坚持节约用地</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严格执行耕地占补平衡等制度</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提高土地投资强度和单位面积产出水平。</w:t>
            </w:r>
          </w:p>
          <w:p w14:paraId="4B02D447">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4.全市单位GDP能耗持续下降</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能耗增量控制目标达到省考核要求。</w:t>
            </w:r>
          </w:p>
          <w:p w14:paraId="1FB26176">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5.高污染燃料禁燃区按照《高污染燃料目录》及当地有关禁燃区管理规定执行。</w:t>
            </w:r>
          </w:p>
        </w:tc>
      </w:tr>
    </w:tbl>
    <w:p w14:paraId="25528F40">
      <w:pPr>
        <w:spacing w:after="0" w:line="360" w:lineRule="auto"/>
        <w:jc w:val="center"/>
        <w:rPr>
          <w:rFonts w:hint="default" w:ascii="Times New Roman" w:hAnsi="Times New Roman" w:eastAsia="宋体" w:cs="Times New Roman"/>
          <w:b w:val="0"/>
          <w:bCs w:val="0"/>
          <w:color w:val="auto"/>
          <w:kern w:val="2"/>
          <w:sz w:val="28"/>
          <w:szCs w:val="28"/>
          <w:highlight w:val="none"/>
          <w:lang w:val="en-US" w:eastAsia="zh-CN" w:bidi="ar-SA"/>
        </w:rPr>
      </w:pPr>
      <w:r>
        <w:rPr>
          <w:rFonts w:hint="default" w:ascii="Times New Roman" w:hAnsi="Times New Roman" w:eastAsia="宋体" w:cs="Times New Roman"/>
          <w:b w:val="0"/>
          <w:bCs w:val="0"/>
          <w:color w:val="auto"/>
          <w:kern w:val="2"/>
          <w:sz w:val="28"/>
          <w:szCs w:val="28"/>
          <w:highlight w:val="none"/>
          <w:lang w:val="en-US" w:eastAsia="zh-CN" w:bidi="ar-SA"/>
        </w:rPr>
        <w:t>表7.1-3</w:t>
      </w:r>
      <w:r>
        <w:rPr>
          <w:rFonts w:hint="eastAsia" w:ascii="Times New Roman" w:hAnsi="Times New Roman" w:eastAsia="宋体" w:cs="Times New Roman"/>
          <w:b w:val="0"/>
          <w:bCs w:val="0"/>
          <w:color w:val="auto"/>
          <w:kern w:val="2"/>
          <w:sz w:val="28"/>
          <w:szCs w:val="28"/>
          <w:highlight w:val="none"/>
          <w:lang w:val="en-US" w:eastAsia="zh-CN" w:bidi="ar-SA"/>
        </w:rPr>
        <w:t>新平县</w:t>
      </w:r>
      <w:r>
        <w:rPr>
          <w:rFonts w:hint="default" w:ascii="Times New Roman" w:hAnsi="Times New Roman" w:eastAsia="宋体" w:cs="Times New Roman"/>
          <w:b w:val="0"/>
          <w:bCs w:val="0"/>
          <w:color w:val="auto"/>
          <w:kern w:val="2"/>
          <w:sz w:val="28"/>
          <w:szCs w:val="28"/>
          <w:highlight w:val="none"/>
          <w:lang w:val="en-US" w:eastAsia="zh-CN" w:bidi="ar-SA"/>
        </w:rPr>
        <w:t>优先保护单元、一般管控单元生态环境准入清单</w:t>
      </w:r>
    </w:p>
    <w:tbl>
      <w:tblPr>
        <w:tblStyle w:val="26"/>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5"/>
        <w:gridCol w:w="1345"/>
        <w:gridCol w:w="6273"/>
      </w:tblGrid>
      <w:tr w14:paraId="1767E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blHeader/>
        </w:trPr>
        <w:tc>
          <w:tcPr>
            <w:tcW w:w="1320" w:type="pct"/>
            <w:gridSpan w:val="2"/>
            <w:vAlign w:val="center"/>
          </w:tcPr>
          <w:p w14:paraId="4EEC3141">
            <w:pPr>
              <w:keepNext w:val="0"/>
              <w:keepLines w:val="0"/>
              <w:pageBreakBefore w:val="0"/>
              <w:widowControl/>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b w:val="0"/>
                <w:bCs/>
                <w:color w:val="auto"/>
                <w:kern w:val="0"/>
                <w:sz w:val="24"/>
                <w:szCs w:val="24"/>
                <w:highlight w:val="none"/>
                <w:lang w:val="en-US" w:eastAsia="zh-CN" w:bidi="ar-SA"/>
              </w:rPr>
            </w:pPr>
            <w:r>
              <w:rPr>
                <w:rFonts w:hint="default" w:ascii="Times New Roman" w:hAnsi="Times New Roman" w:eastAsia="宋体" w:cs="Times New Roman"/>
                <w:b w:val="0"/>
                <w:bCs/>
                <w:color w:val="auto"/>
                <w:kern w:val="0"/>
                <w:sz w:val="24"/>
                <w:szCs w:val="24"/>
                <w:highlight w:val="none"/>
              </w:rPr>
              <w:t>单元名称</w:t>
            </w:r>
          </w:p>
        </w:tc>
        <w:tc>
          <w:tcPr>
            <w:tcW w:w="3679" w:type="pct"/>
            <w:vAlign w:val="center"/>
          </w:tcPr>
          <w:p w14:paraId="20B363C5">
            <w:pPr>
              <w:keepNext w:val="0"/>
              <w:keepLines w:val="0"/>
              <w:pageBreakBefore w:val="0"/>
              <w:widowControl/>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b w:val="0"/>
                <w:bCs/>
                <w:color w:val="auto"/>
                <w:kern w:val="0"/>
                <w:sz w:val="24"/>
                <w:szCs w:val="24"/>
                <w:highlight w:val="none"/>
                <w:lang w:val="en-US" w:eastAsia="zh-CN" w:bidi="ar-SA"/>
              </w:rPr>
            </w:pPr>
            <w:r>
              <w:rPr>
                <w:rFonts w:hint="default" w:ascii="Times New Roman" w:hAnsi="Times New Roman" w:eastAsia="宋体" w:cs="Times New Roman"/>
                <w:b w:val="0"/>
                <w:bCs/>
                <w:color w:val="auto"/>
                <w:kern w:val="0"/>
                <w:sz w:val="24"/>
                <w:szCs w:val="24"/>
                <w:highlight w:val="none"/>
              </w:rPr>
              <w:t>管控要求</w:t>
            </w:r>
          </w:p>
        </w:tc>
      </w:tr>
      <w:tr w14:paraId="1F392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pct"/>
            <w:vMerge w:val="restart"/>
            <w:vAlign w:val="center"/>
          </w:tcPr>
          <w:p w14:paraId="444CBE3D">
            <w:pPr>
              <w:keepNext w:val="0"/>
              <w:keepLines w:val="0"/>
              <w:pageBreakBefore w:val="0"/>
              <w:widowControl/>
              <w:kinsoku/>
              <w:wordWrap/>
              <w:overflowPunct/>
              <w:topLinePunct w:val="0"/>
              <w:autoSpaceDE/>
              <w:autoSpaceDN/>
              <w:bidi w:val="0"/>
              <w:adjustRightInd w:val="0"/>
              <w:snapToGrid w:val="0"/>
              <w:spacing w:line="240" w:lineRule="auto"/>
              <w:jc w:val="center"/>
              <w:textAlignment w:val="bottom"/>
              <w:outlineLvl w:val="9"/>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rPr>
              <w:t>各市县优先保护单元</w:t>
            </w:r>
          </w:p>
        </w:tc>
        <w:tc>
          <w:tcPr>
            <w:tcW w:w="788" w:type="pct"/>
            <w:vAlign w:val="center"/>
          </w:tcPr>
          <w:p w14:paraId="6C49F4B9">
            <w:pPr>
              <w:keepNext w:val="0"/>
              <w:keepLines w:val="0"/>
              <w:pageBreakBefore w:val="0"/>
              <w:widowControl/>
              <w:kinsoku/>
              <w:wordWrap/>
              <w:overflowPunct/>
              <w:topLinePunct w:val="0"/>
              <w:autoSpaceDE/>
              <w:autoSpaceDN/>
              <w:bidi w:val="0"/>
              <w:adjustRightInd w:val="0"/>
              <w:snapToGrid w:val="0"/>
              <w:spacing w:line="240" w:lineRule="auto"/>
              <w:jc w:val="center"/>
              <w:textAlignment w:val="bottom"/>
              <w:outlineLvl w:val="9"/>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rPr>
              <w:t>生态保护红线优先保护单元</w:t>
            </w:r>
          </w:p>
        </w:tc>
        <w:tc>
          <w:tcPr>
            <w:tcW w:w="3679" w:type="pct"/>
            <w:vAlign w:val="center"/>
          </w:tcPr>
          <w:p w14:paraId="5DFB2DF9">
            <w:pPr>
              <w:keepNext w:val="0"/>
              <w:keepLines w:val="0"/>
              <w:pageBreakBefore w:val="0"/>
              <w:widowControl/>
              <w:kinsoku/>
              <w:wordWrap/>
              <w:overflowPunct/>
              <w:topLinePunct w:val="0"/>
              <w:autoSpaceDE/>
              <w:autoSpaceDN/>
              <w:bidi w:val="0"/>
              <w:adjustRightInd w:val="0"/>
              <w:snapToGrid w:val="0"/>
              <w:spacing w:line="240" w:lineRule="auto"/>
              <w:jc w:val="left"/>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1.生态保护红线内</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自然保护地核心保护区原则上禁止人为活动</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其他区域严格禁止开发性生产性建设活动</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法律法规另有规定的</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从其规定。</w:t>
            </w:r>
          </w:p>
          <w:p w14:paraId="480043A4">
            <w:pPr>
              <w:keepNext w:val="0"/>
              <w:keepLines w:val="0"/>
              <w:pageBreakBefore w:val="0"/>
              <w:widowControl/>
              <w:kinsoku/>
              <w:wordWrap/>
              <w:overflowPunct/>
              <w:topLinePunct w:val="0"/>
              <w:autoSpaceDE/>
              <w:autoSpaceDN/>
              <w:bidi w:val="0"/>
              <w:adjustRightInd w:val="0"/>
              <w:snapToGrid w:val="0"/>
              <w:spacing w:line="240" w:lineRule="auto"/>
              <w:jc w:val="left"/>
              <w:outlineLvl w:val="9"/>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rPr>
              <w:t>2.生态保护红线相关管控办法出台后</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依据其管理规定执行。</w:t>
            </w:r>
          </w:p>
        </w:tc>
      </w:tr>
      <w:tr w14:paraId="1FD9C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pct"/>
            <w:vMerge w:val="continue"/>
          </w:tcPr>
          <w:p w14:paraId="445B9A4A">
            <w:pPr>
              <w:pStyle w:val="23"/>
              <w:adjustRightInd w:val="0"/>
              <w:snapToGrid w:val="0"/>
              <w:spacing w:before="0" w:beforeAutospacing="0" w:after="0" w:afterAutospacing="0" w:line="240" w:lineRule="auto"/>
              <w:jc w:val="center"/>
              <w:outlineLvl w:val="9"/>
              <w:rPr>
                <w:rStyle w:val="28"/>
                <w:rFonts w:hint="default" w:ascii="Times New Roman" w:hAnsi="Times New Roman" w:eastAsia="宋体" w:cs="Times New Roman"/>
                <w:b w:val="0"/>
                <w:bCs w:val="0"/>
                <w:color w:val="auto"/>
                <w:sz w:val="24"/>
                <w:szCs w:val="24"/>
                <w:highlight w:val="none"/>
                <w:vertAlign w:val="baseline"/>
              </w:rPr>
            </w:pPr>
          </w:p>
        </w:tc>
        <w:tc>
          <w:tcPr>
            <w:tcW w:w="788" w:type="pct"/>
            <w:vAlign w:val="center"/>
          </w:tcPr>
          <w:p w14:paraId="410D5D41">
            <w:pPr>
              <w:keepNext w:val="0"/>
              <w:keepLines w:val="0"/>
              <w:pageBreakBefore w:val="0"/>
              <w:widowControl/>
              <w:kinsoku/>
              <w:wordWrap/>
              <w:overflowPunct/>
              <w:topLinePunct w:val="0"/>
              <w:autoSpaceDE/>
              <w:autoSpaceDN/>
              <w:bidi w:val="0"/>
              <w:adjustRightInd w:val="0"/>
              <w:snapToGrid w:val="0"/>
              <w:spacing w:line="240" w:lineRule="auto"/>
              <w:jc w:val="center"/>
              <w:textAlignment w:val="bottom"/>
              <w:outlineLvl w:val="9"/>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rPr>
              <w:t>一般生态空间优先保护单元</w:t>
            </w:r>
          </w:p>
        </w:tc>
        <w:tc>
          <w:tcPr>
            <w:tcW w:w="3679" w:type="pct"/>
            <w:vAlign w:val="center"/>
          </w:tcPr>
          <w:p w14:paraId="4805B892">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left"/>
              <w:outlineLvl w:val="9"/>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1.执行《云南省人民政府关于实施“三线一单”生态环境分区管控的意见》（云政发〔2020〕29号）。原则上按照限制开发区域的要求进行管理，严格限制大规模开发建设活动。以保护和修复生态环境、提供生态产品为首要任务</w:t>
            </w:r>
            <w:r>
              <w:rPr>
                <w:rFonts w:hint="eastAsia" w:ascii="Times New Roman" w:hAnsi="Times New Roman" w:eastAsia="宋体" w:cs="Times New Roman"/>
                <w:color w:val="auto"/>
                <w:kern w:val="0"/>
                <w:sz w:val="24"/>
                <w:szCs w:val="24"/>
                <w:highlight w:val="none"/>
                <w:lang w:val="en-US" w:eastAsia="zh-CN" w:bidi="ar-SA"/>
              </w:rPr>
              <w:t>，</w:t>
            </w:r>
            <w:r>
              <w:rPr>
                <w:rFonts w:hint="default" w:ascii="Times New Roman" w:hAnsi="Times New Roman" w:eastAsia="宋体" w:cs="Times New Roman"/>
                <w:color w:val="auto"/>
                <w:kern w:val="0"/>
                <w:sz w:val="24"/>
                <w:szCs w:val="24"/>
                <w:highlight w:val="none"/>
                <w:lang w:val="en-US" w:eastAsia="zh-CN" w:bidi="ar-SA"/>
              </w:rPr>
              <w:t>因地制宜地发展不影响主体功能定位的产业。</w:t>
            </w:r>
          </w:p>
          <w:p w14:paraId="3B945DBD">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left"/>
              <w:outlineLvl w:val="9"/>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2.重要湿地依据《湿地保护管理规定》《国务院办公厅关于印发湿地保护修复制度方案的通知》《云南省湿地保护条例》《云南省人民政府关于加强湿地保护工作的意见》等进行管理；生态公益林依据《国家级公益林管理办法</w:t>
            </w:r>
            <w:r>
              <w:rPr>
                <w:rFonts w:hint="eastAsia" w:ascii="Times New Roman" w:hAnsi="Times New Roman" w:eastAsia="宋体" w:cs="Times New Roman"/>
                <w:color w:val="auto"/>
                <w:kern w:val="0"/>
                <w:sz w:val="24"/>
                <w:szCs w:val="24"/>
                <w:highlight w:val="none"/>
                <w:lang w:val="en-US" w:eastAsia="zh-CN" w:bidi="ar-SA"/>
              </w:rPr>
              <w:t>》《</w:t>
            </w:r>
            <w:r>
              <w:rPr>
                <w:rFonts w:hint="default" w:ascii="Times New Roman" w:hAnsi="Times New Roman" w:eastAsia="宋体" w:cs="Times New Roman"/>
                <w:color w:val="auto"/>
                <w:kern w:val="0"/>
                <w:sz w:val="24"/>
                <w:szCs w:val="24"/>
                <w:highlight w:val="none"/>
                <w:lang w:val="en-US" w:eastAsia="zh-CN" w:bidi="ar-SA"/>
              </w:rPr>
              <w:t>云南省地方公益林管理办法》进行管理；天然林依据《国家林业局关于严格保护天然林的通知》（林资发〔2015〕181号）、《中共中央办公厅国务院办公厅关于印发〈天然林保护修复制度方案〉的通知》（厅字〔2019〕39号）等进行管理；基本草原依据《中华人民共和国草原法》进行管理。</w:t>
            </w:r>
          </w:p>
        </w:tc>
      </w:tr>
      <w:tr w14:paraId="68CAD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pct"/>
            <w:vMerge w:val="continue"/>
          </w:tcPr>
          <w:p w14:paraId="0B7615C0">
            <w:pPr>
              <w:pStyle w:val="23"/>
              <w:adjustRightInd w:val="0"/>
              <w:snapToGrid w:val="0"/>
              <w:spacing w:before="0" w:beforeAutospacing="0" w:after="0" w:afterAutospacing="0" w:line="240" w:lineRule="auto"/>
              <w:jc w:val="center"/>
              <w:outlineLvl w:val="9"/>
              <w:rPr>
                <w:rStyle w:val="28"/>
                <w:rFonts w:hint="default" w:ascii="Times New Roman" w:hAnsi="Times New Roman" w:eastAsia="宋体" w:cs="Times New Roman"/>
                <w:b w:val="0"/>
                <w:bCs w:val="0"/>
                <w:color w:val="auto"/>
                <w:sz w:val="24"/>
                <w:szCs w:val="24"/>
                <w:highlight w:val="none"/>
                <w:vertAlign w:val="baseline"/>
              </w:rPr>
            </w:pPr>
          </w:p>
        </w:tc>
        <w:tc>
          <w:tcPr>
            <w:tcW w:w="788" w:type="pct"/>
            <w:vAlign w:val="center"/>
          </w:tcPr>
          <w:p w14:paraId="1F89BFCE">
            <w:pPr>
              <w:keepNext w:val="0"/>
              <w:keepLines w:val="0"/>
              <w:pageBreakBefore w:val="0"/>
              <w:widowControl/>
              <w:kinsoku/>
              <w:wordWrap/>
              <w:overflowPunct/>
              <w:topLinePunct w:val="0"/>
              <w:autoSpaceDE/>
              <w:autoSpaceDN/>
              <w:bidi w:val="0"/>
              <w:adjustRightInd w:val="0"/>
              <w:snapToGrid w:val="0"/>
              <w:spacing w:line="240" w:lineRule="auto"/>
              <w:jc w:val="center"/>
              <w:textAlignment w:val="bottom"/>
              <w:outlineLvl w:val="9"/>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rPr>
              <w:t>饮用水源地优先保护单元</w:t>
            </w:r>
          </w:p>
        </w:tc>
        <w:tc>
          <w:tcPr>
            <w:tcW w:w="3679" w:type="pct"/>
            <w:vAlign w:val="center"/>
          </w:tcPr>
          <w:p w14:paraId="044D2BA5">
            <w:pPr>
              <w:keepNext w:val="0"/>
              <w:keepLines w:val="0"/>
              <w:pageBreakBefore w:val="0"/>
              <w:widowControl/>
              <w:kinsoku/>
              <w:wordWrap/>
              <w:overflowPunct/>
              <w:topLinePunct w:val="0"/>
              <w:autoSpaceDE/>
              <w:autoSpaceDN/>
              <w:bidi w:val="0"/>
              <w:adjustRightInd w:val="0"/>
              <w:snapToGrid w:val="0"/>
              <w:spacing w:line="240" w:lineRule="auto"/>
              <w:jc w:val="left"/>
              <w:outlineLvl w:val="9"/>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rPr>
              <w:t>依据《中华人民共和国水污染防治法》《饮用水水源保护区污染防治管理规定》《中华人民共和国水法》《地下水管理条例》进行管理。</w:t>
            </w:r>
          </w:p>
        </w:tc>
      </w:tr>
      <w:tr w14:paraId="789FA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pct"/>
            <w:vAlign w:val="center"/>
          </w:tcPr>
          <w:p w14:paraId="77B748E4">
            <w:pPr>
              <w:keepNext w:val="0"/>
              <w:keepLines w:val="0"/>
              <w:pageBreakBefore w:val="0"/>
              <w:widowControl/>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rPr>
              <w:t>各市县一般管控单元</w:t>
            </w:r>
          </w:p>
        </w:tc>
        <w:tc>
          <w:tcPr>
            <w:tcW w:w="788" w:type="pct"/>
            <w:vAlign w:val="center"/>
          </w:tcPr>
          <w:p w14:paraId="6B223D02">
            <w:pPr>
              <w:keepNext w:val="0"/>
              <w:keepLines w:val="0"/>
              <w:pageBreakBefore w:val="0"/>
              <w:widowControl/>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空间布局</w:t>
            </w:r>
          </w:p>
          <w:p w14:paraId="1D9A7CD8">
            <w:pPr>
              <w:keepNext w:val="0"/>
              <w:keepLines w:val="0"/>
              <w:pageBreakBefore w:val="0"/>
              <w:widowControl/>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rPr>
              <w:t>约束</w:t>
            </w:r>
          </w:p>
        </w:tc>
        <w:tc>
          <w:tcPr>
            <w:tcW w:w="3679" w:type="pct"/>
            <w:vAlign w:val="center"/>
          </w:tcPr>
          <w:p w14:paraId="54634F47">
            <w:pPr>
              <w:keepNext w:val="0"/>
              <w:keepLines w:val="0"/>
              <w:pageBreakBefore w:val="0"/>
              <w:widowControl/>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rPr>
              <w:t>落实生态环境保护基本要求</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项目建设和运行应满足产业准入、总量控制、排放标准等管理规定。</w:t>
            </w:r>
          </w:p>
        </w:tc>
      </w:tr>
    </w:tbl>
    <w:p w14:paraId="4C7BCA0D">
      <w:pPr>
        <w:pStyle w:val="2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jc w:val="center"/>
        <w:textAlignment w:val="auto"/>
        <w:outlineLvl w:val="9"/>
        <w:rPr>
          <w:rStyle w:val="28"/>
          <w:rFonts w:hint="default" w:ascii="Times New Roman" w:hAnsi="Times New Roman" w:eastAsia="宋体" w:cs="Times New Roman"/>
          <w:b w:val="0"/>
          <w:bCs w:val="0"/>
          <w:color w:val="auto"/>
          <w:sz w:val="28"/>
          <w:szCs w:val="28"/>
          <w:highlight w:val="none"/>
        </w:rPr>
      </w:pPr>
      <w:r>
        <w:rPr>
          <w:rStyle w:val="28"/>
          <w:rFonts w:hint="default" w:ascii="Times New Roman" w:hAnsi="Times New Roman" w:eastAsia="宋体" w:cs="Times New Roman"/>
          <w:b w:val="0"/>
          <w:bCs w:val="0"/>
          <w:color w:val="auto"/>
          <w:sz w:val="28"/>
          <w:szCs w:val="28"/>
          <w:highlight w:val="none"/>
          <w:lang w:eastAsia="zh-CN"/>
        </w:rPr>
        <w:t>表</w:t>
      </w:r>
      <w:r>
        <w:rPr>
          <w:rStyle w:val="28"/>
          <w:rFonts w:hint="default" w:ascii="Times New Roman" w:hAnsi="Times New Roman" w:eastAsia="宋体" w:cs="Times New Roman"/>
          <w:b w:val="0"/>
          <w:bCs w:val="0"/>
          <w:color w:val="auto"/>
          <w:sz w:val="28"/>
          <w:szCs w:val="28"/>
          <w:highlight w:val="none"/>
          <w:lang w:val="en-US" w:eastAsia="zh-CN"/>
        </w:rPr>
        <w:t>7.1-4新平县</w:t>
      </w:r>
      <w:r>
        <w:rPr>
          <w:rStyle w:val="28"/>
          <w:rFonts w:hint="default" w:ascii="Times New Roman" w:hAnsi="Times New Roman" w:eastAsia="宋体" w:cs="Times New Roman"/>
          <w:b w:val="0"/>
          <w:bCs w:val="0"/>
          <w:color w:val="auto"/>
          <w:sz w:val="28"/>
          <w:szCs w:val="28"/>
          <w:highlight w:val="none"/>
        </w:rPr>
        <w:t>重点管控单元生态环境准入清单</w:t>
      </w:r>
    </w:p>
    <w:tbl>
      <w:tblPr>
        <w:tblStyle w:val="25"/>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77"/>
        <w:gridCol w:w="1378"/>
        <w:gridCol w:w="6268"/>
      </w:tblGrid>
      <w:tr w14:paraId="18D1A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5D66DF">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单元名称</w:t>
            </w:r>
          </w:p>
        </w:tc>
        <w:tc>
          <w:tcPr>
            <w:tcW w:w="44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D8B2F3">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管控要</w:t>
            </w:r>
            <w:r>
              <w:rPr>
                <w:rStyle w:val="183"/>
                <w:rFonts w:hint="default" w:ascii="Times New Roman" w:hAnsi="Times New Roman" w:eastAsia="宋体" w:cs="Times New Roman"/>
                <w:sz w:val="24"/>
                <w:szCs w:val="24"/>
                <w:lang w:val="en-US" w:eastAsia="zh-CN" w:bidi="ar"/>
              </w:rPr>
              <w:t>求</w:t>
            </w:r>
          </w:p>
        </w:tc>
      </w:tr>
      <w:tr w14:paraId="5C21D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51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5EDE6D">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工业集中区重点管控单元</w:t>
            </w: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8F346E">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空间布局约束</w:t>
            </w:r>
          </w:p>
        </w:tc>
        <w:tc>
          <w:tcPr>
            <w:tcW w:w="3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7F5888">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优化园区空间布局，合理控制园区开发强度。桂山片区属于产城融合区，应逐步取消三类工业用地。扬武片区应对他克冲水库及后期拟划定的水源保护区予以避让；大开门地块合理确定钢铁及配套焦化产业、废弃资源综合利用等产业规模；戛洒片区白糯格地块根据受纳水体环境容量控制制糖及造纸项目等发展规模。</w:t>
            </w:r>
          </w:p>
          <w:p w14:paraId="7241B7F8">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逐步淘汰现有不符合区域发展定位和环境保护要求的企业。与规划功能、产业定位不相符的现有企业有序转移到与规划相符的片区。</w:t>
            </w:r>
          </w:p>
        </w:tc>
      </w:tr>
      <w:tr w14:paraId="7534D3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0" w:hRule="atLeast"/>
        </w:trPr>
        <w:tc>
          <w:tcPr>
            <w:tcW w:w="5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18AD26">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i w:val="0"/>
                <w:iCs w:val="0"/>
                <w:color w:val="000000"/>
                <w:sz w:val="24"/>
                <w:szCs w:val="24"/>
                <w:u w:val="none"/>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1C0067">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污染</w:t>
            </w:r>
            <w:r>
              <w:rPr>
                <w:rStyle w:val="184"/>
                <w:rFonts w:hint="default" w:ascii="Times New Roman" w:hAnsi="Times New Roman" w:eastAsia="宋体" w:cs="Times New Roman"/>
                <w:sz w:val="24"/>
                <w:szCs w:val="24"/>
                <w:lang w:val="en-US" w:eastAsia="zh-CN" w:bidi="ar"/>
              </w:rPr>
              <w:t>物排放管控</w:t>
            </w:r>
          </w:p>
        </w:tc>
        <w:tc>
          <w:tcPr>
            <w:tcW w:w="3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8E887A">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加快推进污水管网、污水处理厂的建设及提标改造。2.桂山片区采取优化排污口和提标改造等措施，加强区域水环境综合整治，确保区域影响范围内控制断面水质稳定满足水环境质量要求。</w:t>
            </w:r>
          </w:p>
          <w:p w14:paraId="25AE316C">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扬武片区大开门地块须采取有效措施减少主要污染物和二噁英、苯并[α]芘等特征污染物的排放量。</w:t>
            </w:r>
          </w:p>
          <w:p w14:paraId="02C8EC3E">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戛洒片区白糯格地块制浆造纸产业采取先进的工艺及严格的污染防治措施，避免废水排放对区域环境质量造成污染影响。</w:t>
            </w:r>
          </w:p>
          <w:p w14:paraId="5904854A">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固体废物应依法依规集中收集和处理处置。</w:t>
            </w:r>
          </w:p>
        </w:tc>
      </w:tr>
      <w:tr w14:paraId="690964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0" w:hRule="atLeast"/>
        </w:trPr>
        <w:tc>
          <w:tcPr>
            <w:tcW w:w="5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9E1E31">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i w:val="0"/>
                <w:iCs w:val="0"/>
                <w:color w:val="000000"/>
                <w:sz w:val="24"/>
                <w:szCs w:val="24"/>
                <w:u w:val="none"/>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C8EAD4">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环境风险防控</w:t>
            </w:r>
          </w:p>
        </w:tc>
        <w:tc>
          <w:tcPr>
            <w:tcW w:w="3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E81BFF">
            <w:pPr>
              <w:keepNext w:val="0"/>
              <w:keepLines w:val="0"/>
              <w:pageBreakBefore w:val="0"/>
              <w:widowControl/>
              <w:numPr>
                <w:ilvl w:val="0"/>
                <w:numId w:val="4"/>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入园项目须按规定设置足够的防护距离，避免对周边居民造成影响。</w:t>
            </w:r>
          </w:p>
          <w:p w14:paraId="305E9CBB">
            <w:pPr>
              <w:keepNext w:val="0"/>
              <w:keepLines w:val="0"/>
              <w:pageBreakBefore w:val="0"/>
              <w:widowControl/>
              <w:numPr>
                <w:ilvl w:val="0"/>
                <w:numId w:val="4"/>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加强区内重要污染源管控，强化园区危险化学品储运及尾矿库的环境风险管理，建立应急响应联动机制。</w:t>
            </w:r>
          </w:p>
        </w:tc>
      </w:tr>
      <w:tr w14:paraId="2BFB13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5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8C6250">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i w:val="0"/>
                <w:iCs w:val="0"/>
                <w:color w:val="000000"/>
                <w:sz w:val="24"/>
                <w:szCs w:val="24"/>
                <w:u w:val="none"/>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3CD3B1">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资源开发效率要求</w:t>
            </w:r>
          </w:p>
        </w:tc>
        <w:tc>
          <w:tcPr>
            <w:tcW w:w="3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87F370">
            <w:pPr>
              <w:keepNext w:val="0"/>
              <w:keepLines w:val="0"/>
              <w:pageBreakBefore w:val="0"/>
              <w:widowControl/>
              <w:numPr>
                <w:ilvl w:val="0"/>
                <w:numId w:val="5"/>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引进项目应从生产工艺、设备、单位产品能耗、物耗、污染物排放和资源利用等方面，进一步提高清洁生产水平。</w:t>
            </w:r>
          </w:p>
          <w:p w14:paraId="3CC0EE81">
            <w:pPr>
              <w:keepNext w:val="0"/>
              <w:keepLines w:val="0"/>
              <w:pageBreakBefore w:val="0"/>
              <w:widowControl/>
              <w:numPr>
                <w:ilvl w:val="0"/>
                <w:numId w:val="5"/>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大红山地块应加强矿山深部资源开发利用对地下水的环境影响论证工作。</w:t>
            </w:r>
          </w:p>
        </w:tc>
      </w:tr>
      <w:tr w14:paraId="0F91F6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51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555F03">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县城城镇生活污染重点管控单元</w:t>
            </w: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354D7B">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空间布局约束</w:t>
            </w:r>
          </w:p>
        </w:tc>
        <w:tc>
          <w:tcPr>
            <w:tcW w:w="3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DD1F77">
            <w:pPr>
              <w:keepNext w:val="0"/>
              <w:keepLines w:val="0"/>
              <w:pageBreakBefore w:val="0"/>
              <w:widowControl/>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禁止在人口集中地区、交通干线附近和其他依法需要特殊保护的区域内焚烧沥青、油毡、橡胶、塑料、皮革、秸秆、落叶、垃圾以及其他产生有毒有害烟尘和恶臭气体的物质。</w:t>
            </w:r>
          </w:p>
        </w:tc>
      </w:tr>
      <w:tr w14:paraId="5F1F0F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5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BA5233">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i w:val="0"/>
                <w:iCs w:val="0"/>
                <w:color w:val="000000"/>
                <w:sz w:val="24"/>
                <w:szCs w:val="24"/>
                <w:u w:val="none"/>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896FE5">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污染</w:t>
            </w:r>
            <w:r>
              <w:rPr>
                <w:rStyle w:val="184"/>
                <w:rFonts w:hint="default" w:ascii="Times New Roman" w:hAnsi="Times New Roman" w:eastAsia="宋体" w:cs="Times New Roman"/>
                <w:sz w:val="24"/>
                <w:szCs w:val="24"/>
                <w:lang w:val="en-US" w:eastAsia="zh-CN" w:bidi="ar"/>
              </w:rPr>
              <w:t>物排放管控</w:t>
            </w:r>
          </w:p>
        </w:tc>
        <w:tc>
          <w:tcPr>
            <w:tcW w:w="3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41F062">
            <w:pPr>
              <w:keepNext w:val="0"/>
              <w:keepLines w:val="0"/>
              <w:pageBreakBefore w:val="0"/>
              <w:widowControl/>
              <w:numPr>
                <w:ilvl w:val="0"/>
                <w:numId w:val="6"/>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现有污水处理厂应升级改造，增加脱磷除氮等设施，确保COD、氨氮等指标稳定达到更严格的排放标准。城镇污水处理厂出水应达到《城镇污水处理厂污染物排放标准》（GB18918－2002）一级标准的A标准。</w:t>
            </w:r>
          </w:p>
          <w:p w14:paraId="0C419D91">
            <w:pPr>
              <w:keepNext w:val="0"/>
              <w:keepLines w:val="0"/>
              <w:pageBreakBefore w:val="0"/>
              <w:widowControl/>
              <w:numPr>
                <w:ilvl w:val="0"/>
                <w:numId w:val="6"/>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全面推行建筑工地扬尘污染防治网格化管理，严格渣土运输车辆规范化管理，严格执行餐饮业油烟排放标准。</w:t>
            </w:r>
          </w:p>
          <w:p w14:paraId="7FF7932A">
            <w:pPr>
              <w:keepNext w:val="0"/>
              <w:keepLines w:val="0"/>
              <w:pageBreakBefore w:val="0"/>
              <w:widowControl/>
              <w:numPr>
                <w:ilvl w:val="0"/>
                <w:numId w:val="6"/>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严禁洗车污水、餐饮泔水、施工泥浆等通过雨水口进入管网后直排入河。</w:t>
            </w:r>
          </w:p>
        </w:tc>
      </w:tr>
      <w:tr w14:paraId="1E6063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9A7243">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i w:val="0"/>
                <w:iCs w:val="0"/>
                <w:color w:val="000000"/>
                <w:sz w:val="24"/>
                <w:szCs w:val="24"/>
                <w:u w:val="none"/>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7DC3C2">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环境风险防控</w:t>
            </w:r>
          </w:p>
        </w:tc>
        <w:tc>
          <w:tcPr>
            <w:tcW w:w="3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CB5542">
            <w:pPr>
              <w:keepNext w:val="0"/>
              <w:keepLines w:val="0"/>
              <w:pageBreakBefore w:val="0"/>
              <w:widowControl/>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禁止建设排放重金属、“三致物”、剧毒物质污染物的项目，严格控制持久性有机污染物的项目。</w:t>
            </w:r>
          </w:p>
        </w:tc>
      </w:tr>
      <w:tr w14:paraId="31DB95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5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CB8F65">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i w:val="0"/>
                <w:iCs w:val="0"/>
                <w:color w:val="000000"/>
                <w:sz w:val="24"/>
                <w:szCs w:val="24"/>
                <w:u w:val="none"/>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D517A1">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资源开发效率要求</w:t>
            </w:r>
          </w:p>
        </w:tc>
        <w:tc>
          <w:tcPr>
            <w:tcW w:w="3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17C489">
            <w:pPr>
              <w:keepNext w:val="0"/>
              <w:keepLines w:val="0"/>
              <w:pageBreakBefore w:val="0"/>
              <w:widowControl/>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1.全县所有城镇污水处理厂、城市中水处理设施应尽快配套建成再生水处理设施和回用管网，再生水回用率确保不低于30%。2.推进“煤改气</w:t>
            </w:r>
            <w:r>
              <w:rPr>
                <w:rFonts w:hint="eastAsia" w:ascii="Times New Roman" w:hAnsi="Times New Roman" w:eastAsia="宋体" w:cs="Times New Roman"/>
                <w:color w:val="auto"/>
                <w:kern w:val="0"/>
                <w:sz w:val="24"/>
                <w:szCs w:val="24"/>
                <w:highlight w:val="none"/>
                <w:lang w:val="en-US" w:eastAsia="zh-CN"/>
              </w:rPr>
              <w:t>”“</w:t>
            </w:r>
            <w:r>
              <w:rPr>
                <w:rFonts w:hint="default" w:ascii="Times New Roman" w:hAnsi="Times New Roman" w:eastAsia="宋体" w:cs="Times New Roman"/>
                <w:color w:val="auto"/>
                <w:kern w:val="0"/>
                <w:sz w:val="24"/>
                <w:szCs w:val="24"/>
                <w:highlight w:val="none"/>
                <w:lang w:val="en-US" w:eastAsia="zh-CN"/>
              </w:rPr>
              <w:t>煤改电”。3.提高土地节约集约利用水平。</w:t>
            </w:r>
          </w:p>
        </w:tc>
      </w:tr>
      <w:tr w14:paraId="7C3FF7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0" w:hRule="atLeast"/>
        </w:trPr>
        <w:tc>
          <w:tcPr>
            <w:tcW w:w="51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7126B2">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土壤污染重点管控单元</w:t>
            </w: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051940">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空间布局约束</w:t>
            </w:r>
          </w:p>
        </w:tc>
        <w:tc>
          <w:tcPr>
            <w:tcW w:w="3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8373B7">
            <w:pPr>
              <w:keepNext w:val="0"/>
              <w:keepLines w:val="0"/>
              <w:pageBreakBefore w:val="0"/>
              <w:widowControl/>
              <w:numPr>
                <w:ilvl w:val="0"/>
                <w:numId w:val="7"/>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禁止将重金属或者其他有毒有害物质含量超标的工业固体废物、生活垃圾或者污染土壤用于土地复垦。</w:t>
            </w:r>
          </w:p>
          <w:p w14:paraId="23C5AD10">
            <w:pPr>
              <w:keepNext w:val="0"/>
              <w:keepLines w:val="0"/>
              <w:pageBreakBefore w:val="0"/>
              <w:widowControl/>
              <w:numPr>
                <w:ilvl w:val="0"/>
                <w:numId w:val="7"/>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加强对严格管控类耕地的用途管理，依法划定特定农产品禁止生产区域，严禁种植食用农产品。</w:t>
            </w:r>
          </w:p>
          <w:p w14:paraId="026AA314">
            <w:pPr>
              <w:keepNext w:val="0"/>
              <w:keepLines w:val="0"/>
              <w:pageBreakBefore w:val="0"/>
              <w:widowControl/>
              <w:numPr>
                <w:ilvl w:val="0"/>
                <w:numId w:val="7"/>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严格执行有色金属冶炼行业等环境准入要求，涉重金属行业分布集中、产业规模大、环境问题突出的地区，制定实施更严格的地方污染物排放标准和环境准入标准，依法关停达标无望、治理整顿后仍不能稳定达标的涉重金属企业。</w:t>
            </w:r>
          </w:p>
        </w:tc>
      </w:tr>
      <w:tr w14:paraId="49CB27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0" w:hRule="atLeast"/>
        </w:trPr>
        <w:tc>
          <w:tcPr>
            <w:tcW w:w="5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E6A3CC">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i w:val="0"/>
                <w:iCs w:val="0"/>
                <w:color w:val="000000"/>
                <w:sz w:val="24"/>
                <w:szCs w:val="24"/>
                <w:u w:val="none"/>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0B2591">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污染</w:t>
            </w:r>
            <w:r>
              <w:rPr>
                <w:rStyle w:val="184"/>
                <w:rFonts w:hint="default" w:ascii="Times New Roman" w:hAnsi="Times New Roman" w:eastAsia="宋体" w:cs="Times New Roman"/>
                <w:sz w:val="24"/>
                <w:szCs w:val="24"/>
                <w:lang w:val="en-US" w:eastAsia="zh-CN" w:bidi="ar"/>
              </w:rPr>
              <w:t>物排放管控</w:t>
            </w:r>
          </w:p>
        </w:tc>
        <w:tc>
          <w:tcPr>
            <w:tcW w:w="3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97A6C7">
            <w:pPr>
              <w:keepNext w:val="0"/>
              <w:keepLines w:val="0"/>
              <w:pageBreakBefore w:val="0"/>
              <w:widowControl/>
              <w:numPr>
                <w:ilvl w:val="0"/>
                <w:numId w:val="8"/>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加强现有有关行业企业的环境监管，鼓励企业采用新技术、新工艺，提高生产技术和污染治理水平，加快提标升级改造和深度治理，确保稳定达到排放标准。</w:t>
            </w:r>
          </w:p>
          <w:p w14:paraId="104DCB5D">
            <w:pPr>
              <w:keepNext w:val="0"/>
              <w:keepLines w:val="0"/>
              <w:pageBreakBefore w:val="0"/>
              <w:widowControl/>
              <w:numPr>
                <w:ilvl w:val="0"/>
                <w:numId w:val="8"/>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铜冶炼、铅锌冶炼、铅酸蓄电池制造等主要涉重金属行业重金属排放强度低于全国平均水平。</w:t>
            </w:r>
          </w:p>
        </w:tc>
      </w:tr>
      <w:tr w14:paraId="662268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5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75035A">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i w:val="0"/>
                <w:iCs w:val="0"/>
                <w:color w:val="000000"/>
                <w:sz w:val="24"/>
                <w:szCs w:val="24"/>
                <w:u w:val="none"/>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684D31">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环境风险防控</w:t>
            </w:r>
          </w:p>
        </w:tc>
        <w:tc>
          <w:tcPr>
            <w:tcW w:w="3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4F8456">
            <w:pPr>
              <w:keepNext w:val="0"/>
              <w:keepLines w:val="0"/>
              <w:pageBreakBefore w:val="0"/>
              <w:widowControl/>
              <w:numPr>
                <w:ilvl w:val="0"/>
                <w:numId w:val="9"/>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生产、储存危险化学品及产生大量废水的企业，应配套有效措施，防止因渗漏污染地下水、土壤。</w:t>
            </w:r>
          </w:p>
          <w:p w14:paraId="5130A1F6">
            <w:pPr>
              <w:keepNext w:val="0"/>
              <w:keepLines w:val="0"/>
              <w:pageBreakBefore w:val="0"/>
              <w:widowControl/>
              <w:numPr>
                <w:ilvl w:val="0"/>
                <w:numId w:val="9"/>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产生、利用或处置固体废物（含危险废物）的企业在贮存、转移、利用、处置固体废物（含危险废物）过程中，应配套防扬散、防流失、防渗漏及其他防止污染环境的措施。</w:t>
            </w:r>
          </w:p>
          <w:p w14:paraId="3746E235">
            <w:pPr>
              <w:keepNext w:val="0"/>
              <w:keepLines w:val="0"/>
              <w:pageBreakBefore w:val="0"/>
              <w:widowControl/>
              <w:numPr>
                <w:ilvl w:val="0"/>
                <w:numId w:val="9"/>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有重点监管尾矿库的企业要开展环境风险评估，完善污染治理设施，储备应急物资。</w:t>
            </w:r>
          </w:p>
        </w:tc>
      </w:tr>
      <w:tr w14:paraId="67C2DB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50" w:hRule="atLeast"/>
        </w:trPr>
        <w:tc>
          <w:tcPr>
            <w:tcW w:w="51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2DD303">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矿产资源重点管控单元</w:t>
            </w: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B759F9">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空间布局约束</w:t>
            </w:r>
          </w:p>
        </w:tc>
        <w:tc>
          <w:tcPr>
            <w:tcW w:w="3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04E52">
            <w:pPr>
              <w:keepNext w:val="0"/>
              <w:keepLines w:val="0"/>
              <w:pageBreakBefore w:val="0"/>
              <w:widowControl/>
              <w:numPr>
                <w:ilvl w:val="0"/>
                <w:numId w:val="10"/>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限制开采高硫、高灰、高砷、高氟煤炭和湿地泥炭，以及砂金、砂铁等重砂矿物。</w:t>
            </w:r>
          </w:p>
          <w:p w14:paraId="25A14769">
            <w:pPr>
              <w:keepNext w:val="0"/>
              <w:keepLines w:val="0"/>
              <w:pageBreakBefore w:val="0"/>
              <w:widowControl/>
              <w:numPr>
                <w:ilvl w:val="0"/>
                <w:numId w:val="10"/>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新建矿山严格控制最低开采规模及最低服务年限。</w:t>
            </w:r>
          </w:p>
          <w:p w14:paraId="11E44A38">
            <w:pPr>
              <w:keepNext w:val="0"/>
              <w:keepLines w:val="0"/>
              <w:pageBreakBefore w:val="0"/>
              <w:widowControl/>
              <w:numPr>
                <w:ilvl w:val="0"/>
                <w:numId w:val="10"/>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严格执行禁止开采区规定，对各类保护区内已设置的商业探矿权和采矿权，依法退出；对各类保护区设立之前已存在的合法探矿权和采矿权，以及各类保护区设立之后各项手续完备且已征得保护区主管部门同意设立的探矿权和采矿权，分类提出差别化的补偿和退出方案，在保障探矿权和采矿权人合法权益的前提下，依法有序退出。</w:t>
            </w:r>
          </w:p>
          <w:p w14:paraId="7F848FA0">
            <w:pPr>
              <w:keepNext w:val="0"/>
              <w:keepLines w:val="0"/>
              <w:pageBreakBefore w:val="0"/>
              <w:widowControl/>
              <w:numPr>
                <w:ilvl w:val="0"/>
                <w:numId w:val="10"/>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严格尾矿库建设项目准入，严控新增环境污染风险。</w:t>
            </w:r>
          </w:p>
        </w:tc>
      </w:tr>
      <w:tr w14:paraId="12C6BD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0" w:hRule="atLeast"/>
        </w:trPr>
        <w:tc>
          <w:tcPr>
            <w:tcW w:w="5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9A260A">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i w:val="0"/>
                <w:iCs w:val="0"/>
                <w:color w:val="000000"/>
                <w:sz w:val="24"/>
                <w:szCs w:val="24"/>
                <w:u w:val="none"/>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1FF650">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污染</w:t>
            </w:r>
            <w:r>
              <w:rPr>
                <w:rStyle w:val="184"/>
                <w:rFonts w:hint="default" w:ascii="Times New Roman" w:hAnsi="Times New Roman" w:eastAsia="宋体" w:cs="Times New Roman"/>
                <w:sz w:val="24"/>
                <w:szCs w:val="24"/>
                <w:lang w:val="en-US" w:eastAsia="zh-CN" w:bidi="ar"/>
              </w:rPr>
              <w:t>物排放管控</w:t>
            </w:r>
          </w:p>
        </w:tc>
        <w:tc>
          <w:tcPr>
            <w:tcW w:w="3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9621FB">
            <w:pPr>
              <w:keepNext w:val="0"/>
              <w:keepLines w:val="0"/>
              <w:pageBreakBefore w:val="0"/>
              <w:widowControl/>
              <w:numPr>
                <w:ilvl w:val="0"/>
                <w:numId w:val="11"/>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推行清洁生产工艺，严格矿产资源开发的污染物排放。</w:t>
            </w:r>
          </w:p>
          <w:p w14:paraId="6834673F">
            <w:pPr>
              <w:keepNext w:val="0"/>
              <w:keepLines w:val="0"/>
              <w:pageBreakBefore w:val="0"/>
              <w:widowControl/>
              <w:numPr>
                <w:ilvl w:val="0"/>
                <w:numId w:val="11"/>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对原有大中型矿业进行技术改造，淘汰污染严重、资源利用率低的落后设备与工艺。</w:t>
            </w:r>
          </w:p>
          <w:p w14:paraId="2B526B65">
            <w:pPr>
              <w:keepNext w:val="0"/>
              <w:keepLines w:val="0"/>
              <w:pageBreakBefore w:val="0"/>
              <w:widowControl/>
              <w:numPr>
                <w:ilvl w:val="0"/>
                <w:numId w:val="11"/>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加强绿色勘查开采新技术、新方法和新工艺研发与推广，积极推进绿色勘查与开发。</w:t>
            </w:r>
          </w:p>
          <w:p w14:paraId="46B72A3F">
            <w:pPr>
              <w:keepNext w:val="0"/>
              <w:keepLines w:val="0"/>
              <w:pageBreakBefore w:val="0"/>
              <w:widowControl/>
              <w:numPr>
                <w:ilvl w:val="0"/>
                <w:numId w:val="11"/>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推进绿色矿山建设，完善尾矿库污染防治措施，严格排污许可制度。</w:t>
            </w:r>
          </w:p>
        </w:tc>
      </w:tr>
      <w:tr w14:paraId="3FF4EF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5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29F9FC">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i w:val="0"/>
                <w:iCs w:val="0"/>
                <w:color w:val="000000"/>
                <w:sz w:val="24"/>
                <w:szCs w:val="24"/>
                <w:u w:val="none"/>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E7F085">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环境风险防控</w:t>
            </w:r>
          </w:p>
        </w:tc>
        <w:tc>
          <w:tcPr>
            <w:tcW w:w="3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EB2348">
            <w:pPr>
              <w:keepNext w:val="0"/>
              <w:keepLines w:val="0"/>
              <w:pageBreakBefore w:val="0"/>
              <w:widowControl/>
              <w:numPr>
                <w:ilvl w:val="0"/>
                <w:numId w:val="12"/>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矿山采选区、废水处理设施、固体废物储存场所等应配备完善的污染防治措施，严防对水体和土壤造成污染。</w:t>
            </w:r>
          </w:p>
          <w:p w14:paraId="3041D0C7">
            <w:pPr>
              <w:keepNext w:val="0"/>
              <w:keepLines w:val="0"/>
              <w:pageBreakBefore w:val="0"/>
              <w:widowControl/>
              <w:numPr>
                <w:ilvl w:val="0"/>
                <w:numId w:val="12"/>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对尾矿库、废石堆通过平整、覆土、种植等措施开展复垦还绿，严防重金属污染。</w:t>
            </w:r>
          </w:p>
          <w:p w14:paraId="7F672FF0">
            <w:pPr>
              <w:keepNext w:val="0"/>
              <w:keepLines w:val="0"/>
              <w:pageBreakBefore w:val="0"/>
              <w:widowControl/>
              <w:numPr>
                <w:ilvl w:val="0"/>
                <w:numId w:val="12"/>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重点尾矿库所属企业按照有关规定，开展污染状况自行监测。</w:t>
            </w:r>
          </w:p>
        </w:tc>
      </w:tr>
      <w:tr w14:paraId="2814FC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trPr>
        <w:tc>
          <w:tcPr>
            <w:tcW w:w="5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0AE027">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i w:val="0"/>
                <w:iCs w:val="0"/>
                <w:color w:val="000000"/>
                <w:sz w:val="24"/>
                <w:szCs w:val="24"/>
                <w:u w:val="none"/>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6AB795">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资源开发效率要求</w:t>
            </w:r>
          </w:p>
        </w:tc>
        <w:tc>
          <w:tcPr>
            <w:tcW w:w="3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AB660A">
            <w:pPr>
              <w:keepNext w:val="0"/>
              <w:keepLines w:val="0"/>
              <w:pageBreakBefore w:val="0"/>
              <w:widowControl/>
              <w:numPr>
                <w:ilvl w:val="0"/>
                <w:numId w:val="13"/>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从源头减少废水产生，实施清污分流，充分利用矿井水、循环利用选矿水。</w:t>
            </w:r>
          </w:p>
          <w:p w14:paraId="50848535">
            <w:pPr>
              <w:keepNext w:val="0"/>
              <w:keepLines w:val="0"/>
              <w:pageBreakBefore w:val="0"/>
              <w:widowControl/>
              <w:numPr>
                <w:ilvl w:val="0"/>
                <w:numId w:val="13"/>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提高矿产资源回采率和综合回收率，大力开展粉煤灰、炉渣、冶炼废渣、尾矿等资源化利用。</w:t>
            </w:r>
          </w:p>
        </w:tc>
      </w:tr>
      <w:tr w14:paraId="1B0E2B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A8EAB0">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大气环境布局敏感重点管控单元</w:t>
            </w: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EE8388">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空间布局约束</w:t>
            </w:r>
          </w:p>
        </w:tc>
        <w:tc>
          <w:tcPr>
            <w:tcW w:w="36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E887E6">
            <w:pPr>
              <w:keepNext w:val="0"/>
              <w:keepLines w:val="0"/>
              <w:pageBreakBefore w:val="0"/>
              <w:widowControl/>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限制新（改、扩）建燃煤电厂、钢铁、水泥、有色冶炼、铁合金冶炼、石化、水泥等对大气污染严重的项目，确需建设该类项目应严格进行科学论证，确保不对周边敏感目标造成严重环境影响。</w:t>
            </w:r>
          </w:p>
        </w:tc>
      </w:tr>
    </w:tbl>
    <w:p w14:paraId="5E0ED3FE">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bookmarkStart w:id="525" w:name="_Toc32470"/>
      <w:bookmarkStart w:id="526" w:name="_Toc16583"/>
      <w:bookmarkStart w:id="527" w:name="_Toc26243"/>
      <w:bookmarkStart w:id="528" w:name="_Toc10611"/>
      <w:r>
        <w:rPr>
          <w:rFonts w:hint="default" w:ascii="Times New Roman" w:hAnsi="Times New Roman" w:eastAsia="方正仿宋_GBK" w:cs="方正仿宋_GBK"/>
          <w:b w:val="0"/>
          <w:bCs w:val="0"/>
          <w:color w:val="auto"/>
          <w:kern w:val="2"/>
          <w:sz w:val="28"/>
          <w:szCs w:val="28"/>
          <w:lang w:val="en-US" w:eastAsia="zh-CN" w:bidi="ar-SA"/>
        </w:rPr>
        <w:t>3、主要任务</w:t>
      </w:r>
    </w:p>
    <w:p w14:paraId="14DDACAD">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加快推进“三线一单”成果落地应用。县人民政府切实提高政治站位，落实“三线一单”硬约束，将“三线一单”作为推动生态环境治理体系和治理能力现代化的重要举措，将生态保护红线作为空间管制要求，将环境质量底线和资源利用上线作为容量管控和生态环境准入要求</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确保“三线一单”落地生效。要以生态环境质量改善为核心，确保发展不超载、底线不突破。</w:t>
      </w:r>
    </w:p>
    <w:p w14:paraId="01258A56">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服务区域经济高质量发展。正确处理好发展与保护的关系，将“三线一单”确定的生态环境管控单元及生态环境准入清单作为资源开发、产业布局和结构调整、城镇建设、重大项目选址的重要依据。规划环评、项目环评和排污许可等环境政策应落实“三线一单”生态环境分区管控要求，制定的相关政策、规划、方案要与“三线一单”充分衔接。</w:t>
      </w:r>
    </w:p>
    <w:p w14:paraId="1F288CC5">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支撑区域生态环境高水平保护。县人民政府应将生态环境分区管控作为推进生态修复、污染物排放控制、环境风险防控等工作的重要依据和生态环境监管的重点内容，严格落实生态环境分区管控要求，促进区域生态环境高水平保护。</w:t>
      </w:r>
    </w:p>
    <w:p w14:paraId="16A911C1">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配合实施动态更新调整。配合市生态环境局对“三线一单”实施情况开展评估</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原则上每5年开展1次评估调整。</w:t>
      </w:r>
    </w:p>
    <w:bookmarkEnd w:id="525"/>
    <w:bookmarkEnd w:id="526"/>
    <w:p w14:paraId="32CBF9CB">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529" w:name="_Toc10305"/>
      <w:bookmarkStart w:id="530" w:name="_Toc19108"/>
      <w:bookmarkStart w:id="531" w:name="_Toc2954"/>
      <w:r>
        <w:rPr>
          <w:rFonts w:hint="default" w:ascii="Times New Roman" w:hAnsi="Times New Roman" w:eastAsia="宋体" w:cs="Times New Roman"/>
          <w:b/>
          <w:bCs/>
          <w:snapToGrid w:val="0"/>
          <w:color w:val="auto"/>
          <w:kern w:val="2"/>
          <w:sz w:val="28"/>
          <w:szCs w:val="28"/>
          <w:highlight w:val="none"/>
          <w:lang w:val="en-US" w:eastAsia="zh-CN" w:bidi="ar-SA"/>
        </w:rPr>
        <w:t>7.1.2生态保护红线和生态空间</w:t>
      </w:r>
      <w:bookmarkEnd w:id="527"/>
      <w:bookmarkEnd w:id="528"/>
      <w:bookmarkEnd w:id="529"/>
      <w:bookmarkEnd w:id="530"/>
      <w:bookmarkEnd w:id="531"/>
    </w:p>
    <w:p w14:paraId="18C515DC">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bookmarkStart w:id="532" w:name="_Toc533688379"/>
      <w:bookmarkStart w:id="533" w:name="_Toc472853961"/>
      <w:r>
        <w:rPr>
          <w:rFonts w:hint="default" w:ascii="Times New Roman" w:hAnsi="Times New Roman" w:eastAsia="方正仿宋_GBK" w:cs="方正仿宋_GBK"/>
          <w:b w:val="0"/>
          <w:bCs w:val="0"/>
          <w:color w:val="auto"/>
          <w:kern w:val="2"/>
          <w:sz w:val="28"/>
          <w:szCs w:val="28"/>
          <w:lang w:val="en-US" w:eastAsia="zh-CN" w:bidi="ar-SA"/>
        </w:rPr>
        <w:t>1、生态保护红线管控要求</w:t>
      </w:r>
    </w:p>
    <w:p w14:paraId="587C97E3">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将自然保护地和生态空间中具有特殊重要生态功能、必须强制性严格保护的区域，主要包括哀牢山自然保护区、磨盘山国家森林公园、玉白顶自然保护区等区域，生态红线划定面积为1203.31平方公里，占全县国土面积的28.4%。生态红线划定后完成勘界定标，保障生态保护红线落地。生态保护红线一旦划定，非经法定程序不得调整。强化生态保护红线刚性约束。生态保护红线内，自然保护地核心保护区原则上禁止人为活动，其他区域严格禁止开发性、生产性建设活动，在符合现行法律法规前提下，除国家重大战略项目外，仅允许对生态功能不造成破坏的有限人为活动，严禁开展与其主导功能定位不相符合的开发利用活动。制定人为活动准入“正面清单”，并严格监督管理。</w:t>
      </w:r>
    </w:p>
    <w:p w14:paraId="6E2791D0">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2、生态空间管控</w:t>
      </w:r>
    </w:p>
    <w:bookmarkEnd w:id="532"/>
    <w:bookmarkEnd w:id="533"/>
    <w:p w14:paraId="5DC80A5F">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一是优先确定生态空间。坚持保护优先、自然恢复为主的方针，遵循生态保护连续性原则，加强生态空间与城镇空间、农业空间中的江河水系、绿地系统、森林、耕地等山水林田湖草生态要素的衔接联通，构建健康、完整、连续的绿色空间网络，明确哀牢山、磨盘山自然保护区、磨盘山国家森林公园、古州野林省级森林公园等自然保护地、生态重要和敏感地区为生态保护区，构建全域以哀牢山、磨盘山、红河、绿汁江等为重要生态屏障和生态廊道，形成连续、完整、系统的生态保护格局和开敞空间网络体系，确定生态保护与修复重点区域，合理预留基础设施廊道，维护生态安全和生物多样性，构建生态保护格局。强化县域中西部生态屏障作用，巩固新平作为云南重要生物多样性宝库的地位和作用。二是在现有《玉溪市“三线一单”生态环境分区管控实施方案》的基础，州和县两级应细化生态空间分级分类，对生态保护红线和一般生态空间实施差别化管控，制定差别化的准入条件、用途转用和生态修复要求。三是生态空间原则上按照限制开发区进行管理。以保护为主，严格限制区域开发强度，区域内污染物排放总量不得增加，严格限制矿产资源开发和水利水电开发项目，禁止采石、取土、采砂等活动，在进行各类建设开发活动前，应加强对生物多样性影响的评估，避免开发建设活动损害其生态系统服务功能。四是统筹一般生态空间保护和利用。在一般生态空间范围内按依法依规、限制开发的要求进行管理，允许在不降低生态功能、不破坏生态系统的前提下，进行土地利用结构和布局的调整。</w:t>
      </w:r>
    </w:p>
    <w:p w14:paraId="57E27CB1">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534" w:name="_Toc23723"/>
      <w:bookmarkStart w:id="535" w:name="_Toc24729"/>
      <w:bookmarkStart w:id="536" w:name="_Toc28105"/>
      <w:bookmarkStart w:id="537" w:name="_Toc1200"/>
      <w:bookmarkStart w:id="538" w:name="_Toc28929"/>
      <w:r>
        <w:rPr>
          <w:rFonts w:hint="default" w:ascii="Times New Roman" w:hAnsi="Times New Roman" w:eastAsia="宋体" w:cs="Times New Roman"/>
          <w:b/>
          <w:bCs/>
          <w:snapToGrid w:val="0"/>
          <w:color w:val="auto"/>
          <w:kern w:val="2"/>
          <w:sz w:val="28"/>
          <w:szCs w:val="28"/>
          <w:highlight w:val="none"/>
          <w:lang w:val="en-US" w:eastAsia="zh-CN" w:bidi="ar-SA"/>
        </w:rPr>
        <w:t>7.1.3永久基本农田和农业空间</w:t>
      </w:r>
      <w:bookmarkEnd w:id="534"/>
      <w:bookmarkEnd w:id="535"/>
      <w:bookmarkEnd w:id="536"/>
      <w:bookmarkEnd w:id="537"/>
      <w:bookmarkEnd w:id="538"/>
    </w:p>
    <w:p w14:paraId="7597583F">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严守耕地和基本农田红线：坚持最严格的耕地保护制度和最严格的节约用地制度，守住耕地保护红线。依据《中华人民共和国土地管理法》和《基本农田保护条例》等法律法规及有关文件，实施最严格的耕地保护和节约用地制度，有效处理县城东侧前期划定不实、划定后违法占用破坏永久基本农田问题。严守永久基本农田保护红线，落实永久基本农田储备区划定及管理。将全县永久基本农田逐一落实到地块，与土地承包经营权登记数据相结合，切实做到落地到户、落实责任、更新标志，实现永久基本农田数量、质量、生态“三位一体”保护。严格落实永久基本农田保护责任，强化全面监测监管，建立健全“划、建、管、护”长效机制。开展综合评价，对现状耕地及现状永久基本农田布局集中度、质量、粮食作物种植、土壤污染等情况以及耕地后备资源、永久基本农田储备区等布局开展评价，依据国家和省下达的永久基本农田保护任务，结合国土空间规划分区划定工作，并按照规划分区管控和用途管制的要求，层层落实划定永久基本农田。《中共中央国务院关于做好2022年全面推进乡村振兴重点工作的意见》发布，即2022年中央一号文件，分类明确耕地用途，严格落实耕地利用优先序，耕地主要用于粮食和棉、油、糖、蔬菜等农产品及饲草饲料生产，永久基本农田重点用于粮食生产，高标准农田原则上全部用于粮食生产。</w:t>
      </w:r>
    </w:p>
    <w:p w14:paraId="2F2FD36E">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农业空间管控要求，一是建立和完善基本农田保护负面清单，符合法定条件的重点项目选址确实难以避免永久基本农田的，必须进行严格论证，报国务院批准并补划；制定空间准入条件和负面清单，因地制宜制定禁止和限制发展产业名录。二是依据国土空间适宜性，科学合理引导农业结构调整，构建“一带两区”生态农业空间格局，提高农用地综合效益和质量。三是加强一般耕地“三位一体”保护，条件符合的，划入基本农田整备空间。</w:t>
      </w:r>
    </w:p>
    <w:p w14:paraId="090FB6BC">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539" w:name="_Toc15798"/>
      <w:bookmarkStart w:id="540" w:name="_Toc25712"/>
      <w:bookmarkStart w:id="541" w:name="_Toc28979"/>
      <w:bookmarkStart w:id="542" w:name="_Toc9396"/>
      <w:bookmarkStart w:id="543" w:name="_Toc26685"/>
      <w:r>
        <w:rPr>
          <w:rFonts w:hint="default" w:ascii="Times New Roman" w:hAnsi="Times New Roman" w:eastAsia="宋体" w:cs="Times New Roman"/>
          <w:b/>
          <w:bCs/>
          <w:snapToGrid w:val="0"/>
          <w:color w:val="auto"/>
          <w:kern w:val="2"/>
          <w:sz w:val="28"/>
          <w:szCs w:val="28"/>
          <w:highlight w:val="none"/>
          <w:lang w:val="en-US" w:eastAsia="zh-CN" w:bidi="ar-SA"/>
        </w:rPr>
        <w:t>7.1.4城镇开发边界线和城镇空间</w:t>
      </w:r>
      <w:bookmarkEnd w:id="539"/>
      <w:bookmarkEnd w:id="540"/>
      <w:bookmarkEnd w:id="541"/>
      <w:bookmarkEnd w:id="542"/>
      <w:bookmarkEnd w:id="543"/>
    </w:p>
    <w:p w14:paraId="11400232">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落实省、市国土空间总体规划城镇开发边界划定的规模与管控要求，立足地形条件、自然生态、环境容量等因素，综合考虑人口、产业、城镇规模和发展趋势，划定县城及戛洒镇、扬武镇、漠沙镇等集镇城镇开发边界，把建成区、集中连片城镇建设区和城中村、城边村、依法设立的各类开发区划入城镇集中建设区，确保不突破国土空间总体规划建设用地规模并预留一定弹性。按照集约适度、绿色发展的要求，结合产业发展和城市功能需求，统筹城乡建设用地，积极利用存量，合理配置增量，保障城乡发展空间。</w:t>
      </w:r>
    </w:p>
    <w:p w14:paraId="48E3264B">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城镇空间管控要求，一是实行城镇开发边界分级审批，城镇开发边界一经批准不得擅自修改，确需修改的，应按程序报相应审批机关批准。二是实施规划编制许可制度，开展分区规划、专项规划、详细规划等相关规划编制工作，不得突破城镇开发边界进行空间布局。三是实施建设开发行为许可制度，各类城镇开发和集中建设活动，必须在城镇开发边界内选址，符合土地利用总体规划和城市总体规划的空间管控要。</w:t>
      </w:r>
    </w:p>
    <w:p w14:paraId="67E8870E">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zh-CN" w:eastAsia="zh-CN"/>
        </w:rPr>
      </w:pPr>
      <w:bookmarkStart w:id="544" w:name="_Toc20700"/>
      <w:bookmarkStart w:id="545" w:name="_Toc23605"/>
      <w:bookmarkStart w:id="546" w:name="_Toc24362"/>
      <w:bookmarkStart w:id="547" w:name="_Toc27556"/>
      <w:bookmarkStart w:id="548" w:name="_Toc28812"/>
      <w:bookmarkStart w:id="549" w:name="_Toc30977"/>
      <w:bookmarkStart w:id="550" w:name="_Toc2254"/>
      <w:bookmarkStart w:id="551" w:name="_Toc20523"/>
      <w:bookmarkStart w:id="552" w:name="_Toc32563"/>
      <w:bookmarkStart w:id="553" w:name="_Toc32448"/>
      <w:r>
        <w:rPr>
          <w:rFonts w:hint="default" w:ascii="Times New Roman" w:hAnsi="Times New Roman" w:eastAsia="仿宋" w:cs="Times New Roman"/>
          <w:color w:val="auto"/>
          <w:sz w:val="32"/>
          <w:lang w:val="en-US" w:eastAsia="zh-CN"/>
        </w:rPr>
        <w:t>7</w:t>
      </w:r>
      <w:r>
        <w:rPr>
          <w:rFonts w:hint="default" w:ascii="Times New Roman" w:hAnsi="Times New Roman" w:eastAsia="仿宋" w:cs="Times New Roman"/>
          <w:color w:val="auto"/>
          <w:sz w:val="32"/>
          <w:lang w:val="zh-CN" w:eastAsia="zh-CN"/>
        </w:rPr>
        <w:t>.</w:t>
      </w:r>
      <w:r>
        <w:rPr>
          <w:rFonts w:hint="default" w:ascii="Times New Roman" w:hAnsi="Times New Roman" w:eastAsia="仿宋" w:cs="Times New Roman"/>
          <w:color w:val="auto"/>
          <w:sz w:val="32"/>
          <w:lang w:val="en-US" w:eastAsia="zh-CN"/>
        </w:rPr>
        <w:t>2</w:t>
      </w:r>
      <w:r>
        <w:rPr>
          <w:rFonts w:hint="default" w:ascii="Times New Roman" w:hAnsi="Times New Roman" w:eastAsia="仿宋" w:cs="Times New Roman"/>
          <w:color w:val="auto"/>
          <w:sz w:val="32"/>
          <w:lang w:val="zh-CN" w:eastAsia="zh-CN"/>
        </w:rPr>
        <w:t>构建自然保护地体系</w:t>
      </w:r>
      <w:bookmarkEnd w:id="544"/>
      <w:bookmarkEnd w:id="545"/>
      <w:bookmarkEnd w:id="546"/>
      <w:bookmarkEnd w:id="547"/>
      <w:bookmarkEnd w:id="548"/>
      <w:bookmarkEnd w:id="549"/>
      <w:bookmarkEnd w:id="550"/>
      <w:bookmarkEnd w:id="551"/>
      <w:bookmarkEnd w:id="552"/>
      <w:bookmarkEnd w:id="553"/>
    </w:p>
    <w:p w14:paraId="1B926705">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丰富和强化自然保护地体系建设，完善管理制度，加强哀牢山、磨盘山等自然保护区的科学考察、生态监测和物种保护，加强保护区保护设施和能力建设，提高自然保护区生物多样性。开展云南哀牢山国家级自然保护区（新平片区）、玉溪玉白顶市级自然保护区（新平片区）、新平哀牢山县级自然保护区、新平磨盘山县级自然保护区、云南磨盘山国家森林公园五个自然保护地的优化整合工作，将原核心区、缓冲区转换为核心保护区，将原实验区转换为一般控制区，优化功能分区界线。</w:t>
      </w:r>
    </w:p>
    <w:p w14:paraId="1C0501AD">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default" w:ascii="Times New Roman" w:hAnsi="Times New Roman" w:eastAsia="方正仿宋_GBK" w:cs="方正仿宋_GBK"/>
          <w:b w:val="0"/>
          <w:bCs w:val="0"/>
          <w:color w:val="auto"/>
          <w:kern w:val="2"/>
          <w:sz w:val="28"/>
          <w:szCs w:val="28"/>
          <w:lang w:val="en-US" w:eastAsia="zh-CN" w:bidi="ar-SA"/>
        </w:rPr>
        <w:t>1、</w:t>
      </w:r>
      <w:r>
        <w:rPr>
          <w:rFonts w:hint="default" w:ascii="Times New Roman" w:hAnsi="Times New Roman" w:eastAsia="方正仿宋_GBK" w:cs="方正仿宋_GBK"/>
          <w:b w:val="0"/>
          <w:bCs w:val="0"/>
          <w:color w:val="auto"/>
          <w:kern w:val="2"/>
          <w:sz w:val="28"/>
          <w:szCs w:val="28"/>
          <w:lang w:val="zh-CN" w:eastAsia="zh-CN" w:bidi="ar-SA"/>
        </w:rPr>
        <w:t>坚持交叉重叠整合、相邻相连归并、空间布局优化、边界范围细化的原则，规划自然保护地空间布局，采取划入与调出相结合，做到“应保尽保”。编制完成《新平彝族自治县自然保护地整合优化预案》，完成苍山保护机构调整设置，做好各自然保护地范围及功能分区优化调整及管理工作。到</w:t>
      </w:r>
      <w:r>
        <w:rPr>
          <w:rFonts w:hint="default" w:ascii="Times New Roman" w:hAnsi="Times New Roman" w:eastAsia="方正仿宋_GBK" w:cs="方正仿宋_GBK"/>
          <w:b w:val="0"/>
          <w:bCs w:val="0"/>
          <w:color w:val="auto"/>
          <w:kern w:val="2"/>
          <w:sz w:val="28"/>
          <w:szCs w:val="28"/>
          <w:lang w:val="en-US" w:eastAsia="zh-CN" w:bidi="ar-SA"/>
        </w:rPr>
        <w:t>2025年</w:t>
      </w:r>
      <w:r>
        <w:rPr>
          <w:rFonts w:hint="default" w:ascii="Times New Roman" w:hAnsi="Times New Roman" w:eastAsia="方正仿宋_GBK" w:cs="方正仿宋_GBK"/>
          <w:b w:val="0"/>
          <w:bCs w:val="0"/>
          <w:color w:val="auto"/>
          <w:kern w:val="2"/>
          <w:sz w:val="28"/>
          <w:szCs w:val="28"/>
          <w:lang w:val="zh-CN" w:eastAsia="zh-CN" w:bidi="ar-SA"/>
        </w:rPr>
        <w:t>，完成全县</w:t>
      </w:r>
      <w:r>
        <w:rPr>
          <w:rFonts w:hint="default" w:ascii="Times New Roman" w:hAnsi="Times New Roman" w:eastAsia="方正仿宋_GBK" w:cs="方正仿宋_GBK"/>
          <w:b w:val="0"/>
          <w:bCs w:val="0"/>
          <w:color w:val="auto"/>
          <w:kern w:val="2"/>
          <w:sz w:val="28"/>
          <w:szCs w:val="28"/>
          <w:lang w:val="en-US" w:eastAsia="zh-CN" w:bidi="ar-SA"/>
        </w:rPr>
        <w:t>5</w:t>
      </w:r>
      <w:r>
        <w:rPr>
          <w:rFonts w:hint="default" w:ascii="Times New Roman" w:hAnsi="Times New Roman" w:eastAsia="方正仿宋_GBK" w:cs="方正仿宋_GBK"/>
          <w:b w:val="0"/>
          <w:bCs w:val="0"/>
          <w:color w:val="auto"/>
          <w:kern w:val="2"/>
          <w:sz w:val="28"/>
          <w:szCs w:val="28"/>
          <w:lang w:val="zh-CN" w:eastAsia="zh-CN" w:bidi="ar-SA"/>
        </w:rPr>
        <w:t>个自然保护地的整合优化。</w:t>
      </w:r>
    </w:p>
    <w:p w14:paraId="76F68BE3">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default" w:ascii="Times New Roman" w:hAnsi="Times New Roman" w:eastAsia="方正仿宋_GBK" w:cs="方正仿宋_GBK"/>
          <w:b w:val="0"/>
          <w:bCs w:val="0"/>
          <w:color w:val="auto"/>
          <w:kern w:val="2"/>
          <w:sz w:val="28"/>
          <w:szCs w:val="28"/>
          <w:lang w:val="en-US" w:eastAsia="zh-CN" w:bidi="ar-SA"/>
        </w:rPr>
        <w:t>2、</w:t>
      </w:r>
      <w:r>
        <w:rPr>
          <w:rFonts w:hint="default" w:ascii="Times New Roman" w:hAnsi="Times New Roman" w:eastAsia="方正仿宋_GBK" w:cs="方正仿宋_GBK"/>
          <w:b w:val="0"/>
          <w:bCs w:val="0"/>
          <w:color w:val="auto"/>
          <w:kern w:val="2"/>
          <w:sz w:val="28"/>
          <w:szCs w:val="28"/>
          <w:lang w:val="zh-CN" w:eastAsia="zh-CN" w:bidi="ar-SA"/>
        </w:rPr>
        <w:t>建立完善自然保护地勘界立标边界数据，全面启动整合优化以后自然保护地的勘界立标工作，确保自然保护地的勘界立标与生态保护红线勘界立标相协调；在自然保护地整合优化的基础上，开展各级各类自然保护地资源调查，评估分析各级自然保护地重要生态功能和重点保护对象，结合国土空间规划，编制修订自然保护地发展总体规划。</w:t>
      </w:r>
    </w:p>
    <w:p w14:paraId="41FA4A2A">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default" w:ascii="Times New Roman" w:hAnsi="Times New Roman" w:eastAsia="方正仿宋_GBK" w:cs="方正仿宋_GBK"/>
          <w:b w:val="0"/>
          <w:bCs w:val="0"/>
          <w:color w:val="auto"/>
          <w:kern w:val="2"/>
          <w:sz w:val="28"/>
          <w:szCs w:val="28"/>
          <w:lang w:val="en-US" w:eastAsia="zh-CN" w:bidi="ar-SA"/>
        </w:rPr>
        <w:t>3、</w:t>
      </w:r>
      <w:r>
        <w:rPr>
          <w:rFonts w:hint="default" w:ascii="Times New Roman" w:hAnsi="Times New Roman" w:eastAsia="方正仿宋_GBK" w:cs="方正仿宋_GBK"/>
          <w:b w:val="0"/>
          <w:bCs w:val="0"/>
          <w:color w:val="auto"/>
          <w:kern w:val="2"/>
          <w:sz w:val="28"/>
          <w:szCs w:val="28"/>
          <w:lang w:val="zh-CN" w:eastAsia="zh-CN" w:bidi="ar-SA"/>
        </w:rPr>
        <w:t>建立健全自然保护地管理机构，理顺管理体制，加强自然保护地基础设施和能力建设，推进自然保护地规范化管理，建立和完善自然保护地巡护和监测体系，加强科研平台、教学实习基地及生态科普教育与体验基地建设。</w:t>
      </w:r>
    </w:p>
    <w:p w14:paraId="68ECBA2F">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default" w:ascii="Times New Roman" w:hAnsi="Times New Roman" w:eastAsia="方正仿宋_GBK" w:cs="方正仿宋_GBK"/>
          <w:b w:val="0"/>
          <w:bCs w:val="0"/>
          <w:color w:val="auto"/>
          <w:kern w:val="2"/>
          <w:sz w:val="28"/>
          <w:szCs w:val="28"/>
          <w:lang w:val="en-US" w:eastAsia="zh-CN" w:bidi="ar-SA"/>
        </w:rPr>
        <w:t>4、</w:t>
      </w:r>
      <w:r>
        <w:rPr>
          <w:rFonts w:hint="default" w:ascii="Times New Roman" w:hAnsi="Times New Roman" w:eastAsia="方正仿宋_GBK" w:cs="方正仿宋_GBK"/>
          <w:b w:val="0"/>
          <w:bCs w:val="0"/>
          <w:color w:val="auto"/>
          <w:kern w:val="2"/>
          <w:sz w:val="28"/>
          <w:szCs w:val="28"/>
          <w:lang w:val="zh-CN" w:eastAsia="zh-CN" w:bidi="ar-SA"/>
        </w:rPr>
        <w:t>落实自然保护地管控要求。根据《关于做好自然保护区范围及功能分区优化调整前期有关工作的函》，自然保护区的核心保护区内，原则上禁止人为活动，经批准，可以开展管护巡护、科学研究、资源调查、灾害防控、退耕还林还草还湿、生态廊道建设等活动。在自然保护区的一般控制区和自然公园内，严格禁止开发性、生产性建设活动，在符合现行法律法规前提下，除国家重大战略项目外，仅允许对生态功能不造成破坏的有限人为活动。</w:t>
      </w:r>
    </w:p>
    <w:p w14:paraId="23873765">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default" w:ascii="Times New Roman" w:hAnsi="Times New Roman" w:eastAsia="方正仿宋_GBK" w:cs="方正仿宋_GBK"/>
          <w:b w:val="0"/>
          <w:bCs w:val="0"/>
          <w:color w:val="auto"/>
          <w:kern w:val="2"/>
          <w:sz w:val="28"/>
          <w:szCs w:val="28"/>
          <w:lang w:val="en-US" w:eastAsia="zh-CN" w:bidi="ar-SA"/>
        </w:rPr>
        <w:t>5、</w:t>
      </w:r>
      <w:r>
        <w:rPr>
          <w:rFonts w:hint="default" w:ascii="Times New Roman" w:hAnsi="Times New Roman" w:eastAsia="方正仿宋_GBK" w:cs="方正仿宋_GBK"/>
          <w:b w:val="0"/>
          <w:bCs w:val="0"/>
          <w:color w:val="auto"/>
          <w:kern w:val="2"/>
          <w:sz w:val="28"/>
          <w:szCs w:val="28"/>
          <w:lang w:val="zh-CN" w:eastAsia="zh-CN" w:bidi="ar-SA"/>
        </w:rPr>
        <w:t>完善自然保护地用途管制机制。全县自然保护地内禁止开发性、生产性建设活动，实行空间准入正面清单管理，除可允许的活动及国家重大战略项目、保护管理项目外，仅允许对生态功能不造成破坏的有限人为活动。因地制宜拆除和清理自然保护地内的违法建筑。严格自然保护地外围国土空间用途管制，不得建设污染环境、破坏资源或景观的生产设施。</w:t>
      </w:r>
    </w:p>
    <w:p w14:paraId="67DA6713">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zh-CN" w:eastAsia="zh-CN"/>
        </w:rPr>
      </w:pPr>
      <w:bookmarkStart w:id="554" w:name="_Toc22362"/>
      <w:bookmarkStart w:id="555" w:name="_Toc19248"/>
      <w:bookmarkStart w:id="556" w:name="_Toc13478"/>
      <w:bookmarkStart w:id="557" w:name="_Toc8842"/>
      <w:bookmarkStart w:id="558" w:name="_Toc18271"/>
      <w:bookmarkStart w:id="559" w:name="_Toc27450"/>
      <w:bookmarkStart w:id="560" w:name="_Toc24979"/>
      <w:bookmarkStart w:id="561" w:name="_Toc23235"/>
      <w:bookmarkStart w:id="562" w:name="_Toc5605"/>
      <w:r>
        <w:rPr>
          <w:rFonts w:hint="default" w:ascii="Times New Roman" w:hAnsi="Times New Roman" w:eastAsia="仿宋" w:cs="Times New Roman"/>
          <w:color w:val="auto"/>
          <w:sz w:val="32"/>
          <w:lang w:val="zh-CN" w:eastAsia="zh-CN"/>
        </w:rPr>
        <w:t>7.</w:t>
      </w:r>
      <w:r>
        <w:rPr>
          <w:rFonts w:hint="default" w:ascii="Times New Roman" w:hAnsi="Times New Roman" w:eastAsia="仿宋" w:cs="Times New Roman"/>
          <w:color w:val="auto"/>
          <w:sz w:val="32"/>
          <w:lang w:val="en-US" w:eastAsia="zh-CN"/>
        </w:rPr>
        <w:t>3</w:t>
      </w:r>
      <w:bookmarkEnd w:id="554"/>
      <w:bookmarkEnd w:id="555"/>
      <w:r>
        <w:rPr>
          <w:rFonts w:hint="default" w:ascii="Times New Roman" w:hAnsi="Times New Roman" w:eastAsia="仿宋" w:cs="Times New Roman"/>
          <w:color w:val="auto"/>
          <w:sz w:val="32"/>
          <w:lang w:val="zh-CN" w:eastAsia="zh-CN"/>
        </w:rPr>
        <w:t>持续优化国土空间布局</w:t>
      </w:r>
      <w:bookmarkEnd w:id="556"/>
      <w:bookmarkEnd w:id="557"/>
      <w:bookmarkEnd w:id="558"/>
      <w:bookmarkEnd w:id="559"/>
      <w:bookmarkEnd w:id="560"/>
      <w:bookmarkEnd w:id="561"/>
      <w:bookmarkEnd w:id="562"/>
    </w:p>
    <w:p w14:paraId="1407EA2E">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563" w:name="_Toc12243"/>
      <w:bookmarkStart w:id="564" w:name="_Toc18694"/>
      <w:bookmarkStart w:id="565" w:name="_Toc9379"/>
      <w:r>
        <w:rPr>
          <w:rFonts w:hint="default" w:ascii="Times New Roman" w:hAnsi="Times New Roman" w:eastAsia="宋体" w:cs="Times New Roman"/>
          <w:b/>
          <w:bCs/>
          <w:snapToGrid w:val="0"/>
          <w:color w:val="auto"/>
          <w:kern w:val="2"/>
          <w:sz w:val="28"/>
          <w:szCs w:val="28"/>
          <w:highlight w:val="none"/>
          <w:lang w:val="en-US" w:eastAsia="zh-CN" w:bidi="ar-SA"/>
        </w:rPr>
        <w:t>7.3.1</w:t>
      </w:r>
      <w:bookmarkEnd w:id="563"/>
      <w:bookmarkEnd w:id="564"/>
      <w:r>
        <w:rPr>
          <w:rFonts w:hint="default" w:ascii="Times New Roman" w:hAnsi="Times New Roman" w:eastAsia="宋体" w:cs="Times New Roman"/>
          <w:b/>
          <w:bCs/>
          <w:snapToGrid w:val="0"/>
          <w:color w:val="auto"/>
          <w:kern w:val="2"/>
          <w:sz w:val="28"/>
          <w:szCs w:val="28"/>
          <w:highlight w:val="none"/>
          <w:lang w:val="en-US" w:eastAsia="zh-CN" w:bidi="ar-SA"/>
        </w:rPr>
        <w:t>加速融入滇中城市群一体化发展</w:t>
      </w:r>
      <w:bookmarkEnd w:id="565"/>
    </w:p>
    <w:p w14:paraId="7B593A1B">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云南提出“滇中崛起、沿边开放、滇东北开发、滇西一体化”的区域协调格局。加快滇中崛起，打造以昆明为中心的1小时现代化都市圈，推进昆玉同城化发展。新平要立足滇中外环交通网络，继续增强与滇中地区交通连接，依托昆明都市圈强大的消费市场和人口聚集优势，加快特色农产品优势区生产基地、农产品批发市场、区域性物流配送中心建设，促进农产品消费和农业一二三产融合发展。融入大滇西旅游环线、昆玉红旅游文化带、滇中旅游环线建设，整合县域特色小镇、美丽乡村、民族文化、农业庄园等旅游资源，加强与石屏、峨山、元江等地区旅游合作，推进旅游线路设计和打造，吸引游客聚集。强化园区间协调联动，推进新平产业园区建设，融入全省先进产业集群培育，发展壮大绿色矿冶、先进装备制造、生物资源加工等优势产业。推进生态共建共保，加强与双柏、元江等地建立协调机制，共同推进哀牢山生态屏障保护、红河谷—绿汁江综合开发和保护等。</w:t>
      </w:r>
    </w:p>
    <w:p w14:paraId="6815366D">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566" w:name="_Toc7559"/>
      <w:bookmarkStart w:id="567" w:name="_Toc4608"/>
      <w:bookmarkStart w:id="568" w:name="_Toc24685"/>
      <w:bookmarkStart w:id="569" w:name="_Toc5450"/>
      <w:bookmarkStart w:id="570" w:name="_Toc2245"/>
      <w:r>
        <w:rPr>
          <w:rFonts w:hint="default" w:ascii="Times New Roman" w:hAnsi="Times New Roman" w:eastAsia="宋体" w:cs="Times New Roman"/>
          <w:b/>
          <w:bCs/>
          <w:snapToGrid w:val="0"/>
          <w:color w:val="auto"/>
          <w:kern w:val="2"/>
          <w:sz w:val="28"/>
          <w:szCs w:val="28"/>
          <w:highlight w:val="none"/>
          <w:lang w:val="en-US" w:eastAsia="zh-CN" w:bidi="ar-SA"/>
        </w:rPr>
        <w:t>7.3.2优化生产力空间布局</w:t>
      </w:r>
      <w:bookmarkEnd w:id="566"/>
    </w:p>
    <w:p w14:paraId="36053803">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统筹全域发展布局，发挥区域比较优势，构建“一核三极三带”的生产力空间布局。</w:t>
      </w:r>
    </w:p>
    <w:p w14:paraId="1BAF448F">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一核：即新平县城。全面提升县城规划、建设和管理水平，进一步提升“美丽县城”建设水平，发挥新平县城的政治、经济、文化中心作用，推动人口、科技、文化等要素集聚，深化桂山和古城一体化发展，以新型城镇化为重点，强化行政服务、商贸服务、金融服务等功能，提升公共服务质量，提高城市承载能力，做强商贸物流、文化旅游、休闲度假、房地产等产业，增强中心城区辐射带动能力，不断提升城市首位度，引领全县服务水平提升和产业升级，打造县域发展核心。</w:t>
      </w:r>
    </w:p>
    <w:p w14:paraId="023B42F8">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三极：放大戛洒、扬武、漠沙的交通区位、资源禀赋、产业基础等优势，做大做强中心城镇，增强集聚、辐射功能，打造戛洒文化旅游、漠沙现代农业、扬武绿色矿冶三个县域经济增长极。</w:t>
      </w:r>
    </w:p>
    <w:p w14:paraId="7153D5BF">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戛洒文化旅游增长极。坚持文化与旅游、城镇建设、庄园农业等多领域深度融合发展的模式，以文化旅游为重点，巩固提升矿产资源采选及加工业，大力发展庄园经济，把腰街作为全县乡村振兴先行先试示范区，力争把戛洒花腰傣风情小镇创建成为全省特色小镇，把戛洒打造成为带动全县发展花腰傣文化旅游的重要增长极和西部次中心。</w:t>
      </w:r>
    </w:p>
    <w:p w14:paraId="5C4B9A81">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扬武绿色矿冶增长极。发挥昆磨高速、大开门至宝秀高速和玉磨铁路在扬武交汇的区位交通优势，以大开门片区综合开发为依托，做大做强扬武中心城镇经济实力，把扬武打造成带动全县发展绿色矿冶的重要增长极和东部次中心。</w:t>
      </w:r>
    </w:p>
    <w:p w14:paraId="70BBEF42">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漠沙现代农业增长极。充分发挥立体气候优势，以漠沙现代农业示范区建设带动建兴、平掌，大力发展蔬菜、水果、甘蔗、茶叶、中药材等高原特色农业和生态旅游，把漠沙打造成为带动全县发展高原特色现代农业的重要增长极和南部次中心。</w:t>
      </w:r>
    </w:p>
    <w:p w14:paraId="6339A46A">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三带：把握交通、热区河谷资源等带来的发展溢出效应，因地制宜，整合区域发展要素，打造昆曼国际通道产业发展带、红河谷—绿汁江热区产业经济带、哀牢山—磨盘山绿色经济带。</w:t>
      </w:r>
    </w:p>
    <w:p w14:paraId="49CF2D5D">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昆曼国际通道产业发展带。依托全资源型经济转型发展建设机遇，以扬武镇全域为主体，立足绿色钢城建设，加强与昆曼公路沿线县区产业联动发展，推动工业重心东移，以绿色矿冶集聚区建设推进城乡要素均衡配置，加快大开门综合开发，提升扬武集镇综合承载力，大力发展矿冶及配套、商贸物流等产业，打造昆曼国际通道产业经济带，形成支撑全县工业经济发展的主动脉。</w:t>
      </w:r>
    </w:p>
    <w:p w14:paraId="3A921E7D">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红河谷—绿汁江热区产业经济带。按照全市热区产业发展规划布局，发挥新化、老厂、者竜、水塘、戛洒、漠沙的热区资源优势，厚植产业发展基础，培育新产业新动能，做强热区特色农业，做大沿江两岸经济，推动流域农业发展、旅游开发、生态治理，以热区农业综合开发促进居民生产生活条件改善、巩固拓展脱贫攻坚成果，打造红河谷—绿汁江热区产业经济带，实现农旅融合发展，形成支撑全县现代农业发展的核心区。</w:t>
      </w:r>
    </w:p>
    <w:p w14:paraId="69E35919">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哀牢山—磨盘山绿色经济带。牢固树立“绿水青山就是金山银山”理念，坚持自然资源保护与开发并重，深挖哀牢山、磨盘山文化旅游资源，探索生态价值转换路径，大力发展以生态旅游为主的绿色经济和森林康养基地建设，依托扬武、平甸、新化、者竜、水塘、戛洒、漠沙、建兴、平掌，夯实旅游基础设施，开发民族文化、科考探险、登山越野、康体养生等多种旅游形态，提升景区综合功能，增强景区吸引力，打造哀牢山—磨盘山绿色经济带，实现文旅深度融合发展，构建“处处有风景，全域皆可游”的新平生态旅游大格局。</w:t>
      </w:r>
    </w:p>
    <w:p w14:paraId="78B1A6C4">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571" w:name="_Toc13518"/>
      <w:r>
        <w:rPr>
          <w:rFonts w:hint="default" w:ascii="Times New Roman" w:hAnsi="Times New Roman" w:eastAsia="宋体" w:cs="Times New Roman"/>
          <w:b/>
          <w:bCs/>
          <w:snapToGrid w:val="0"/>
          <w:color w:val="auto"/>
          <w:kern w:val="2"/>
          <w:sz w:val="28"/>
          <w:szCs w:val="28"/>
          <w:highlight w:val="none"/>
          <w:lang w:val="en-US" w:eastAsia="zh-CN" w:bidi="ar-SA"/>
        </w:rPr>
        <w:t>7.3.</w:t>
      </w:r>
      <w:bookmarkEnd w:id="567"/>
      <w:bookmarkEnd w:id="568"/>
      <w:bookmarkEnd w:id="569"/>
      <w:bookmarkEnd w:id="570"/>
      <w:r>
        <w:rPr>
          <w:rFonts w:hint="default" w:ascii="Times New Roman" w:hAnsi="Times New Roman" w:eastAsia="宋体" w:cs="Times New Roman"/>
          <w:b/>
          <w:bCs/>
          <w:snapToGrid w:val="0"/>
          <w:color w:val="auto"/>
          <w:kern w:val="2"/>
          <w:sz w:val="28"/>
          <w:szCs w:val="28"/>
          <w:highlight w:val="none"/>
          <w:lang w:val="en-US" w:eastAsia="zh-CN" w:bidi="ar-SA"/>
        </w:rPr>
        <w:t>3巩固“两</w:t>
      </w:r>
      <w:r>
        <w:rPr>
          <w:rFonts w:hint="default" w:ascii="Times New Roman" w:hAnsi="Times New Roman" w:eastAsia="宋体" w:cs="Times New Roman"/>
          <w:b/>
          <w:bCs/>
          <w:snapToGrid w:val="0"/>
          <w:color w:val="auto"/>
          <w:kern w:val="2"/>
          <w:sz w:val="28"/>
          <w:szCs w:val="28"/>
          <w:highlight w:val="none"/>
          <w:lang w:eastAsia="zh-CN" w:bidi="ar-SA"/>
        </w:rPr>
        <w:t>山</w:t>
      </w:r>
      <w:r>
        <w:rPr>
          <w:rFonts w:hint="default" w:ascii="Times New Roman" w:hAnsi="Times New Roman" w:eastAsia="宋体" w:cs="Times New Roman"/>
          <w:b/>
          <w:bCs/>
          <w:snapToGrid w:val="0"/>
          <w:color w:val="auto"/>
          <w:kern w:val="2"/>
          <w:sz w:val="28"/>
          <w:szCs w:val="28"/>
          <w:highlight w:val="none"/>
          <w:lang w:val="en-US" w:eastAsia="zh-CN" w:bidi="ar-SA"/>
        </w:rPr>
        <w:t>一</w:t>
      </w:r>
      <w:r>
        <w:rPr>
          <w:rFonts w:hint="default" w:ascii="Times New Roman" w:hAnsi="Times New Roman" w:eastAsia="宋体" w:cs="Times New Roman"/>
          <w:b/>
          <w:bCs/>
          <w:snapToGrid w:val="0"/>
          <w:color w:val="auto"/>
          <w:kern w:val="2"/>
          <w:sz w:val="28"/>
          <w:szCs w:val="28"/>
          <w:highlight w:val="none"/>
          <w:lang w:eastAsia="zh-CN" w:bidi="ar-SA"/>
        </w:rPr>
        <w:t>江</w:t>
      </w:r>
      <w:r>
        <w:rPr>
          <w:rFonts w:hint="default" w:ascii="Times New Roman" w:hAnsi="Times New Roman" w:eastAsia="宋体" w:cs="Times New Roman"/>
          <w:b/>
          <w:bCs/>
          <w:snapToGrid w:val="0"/>
          <w:color w:val="auto"/>
          <w:kern w:val="2"/>
          <w:sz w:val="28"/>
          <w:szCs w:val="28"/>
          <w:highlight w:val="none"/>
          <w:lang w:val="en-US" w:eastAsia="zh-CN" w:bidi="ar-SA"/>
        </w:rPr>
        <w:t>多点”的生态安全格局</w:t>
      </w:r>
      <w:bookmarkEnd w:id="571"/>
    </w:p>
    <w:p w14:paraId="490070DD">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践行生态文明理念，统筹“山水林田湖草”全要素保护，开展全域环境治理和生态修复，丰富生境类型，增强生物多样性，构筑“两山一江多点”的生态安全格局。</w:t>
      </w:r>
    </w:p>
    <w:p w14:paraId="34DE48D5">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两山：哀牢山生态屏障，以哀牢山国家级自然保护区保护范围为核心，严格保护以云南特有树种中山湿性常绿阔叶林生态系统、黑冠长臂猿、绿孔雀等珍稀动植物、候鸟迁徙地为主的生物多样性保护重要区域，加快申报设立哀牢山国家公园。磨盘山—玉白顶生态屏障。以磨盘山国家级森林公园为核心构建以中山湿性常绿阔叶林、半湿性常绿阔叶林生态系统及珍稀濒危动植物资源为主的保护区域。</w:t>
      </w:r>
    </w:p>
    <w:p w14:paraId="57E8560B">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一江：加强戛洒江—绿汁江生态安全廊道保护。推进建设流域绿色屏障隔离带及河流生态廊道建设。清水绿廊以生态保育为核心，强化水体优化提质、土地功能调整、产业转型升级、公共空间连通、环境景观塑造等复合功能植入，清退两侧污染源，严控临侧建设，打造绿色洪涝通道、绿色引水通道、绿色景观人文通道等综合廊道。</w:t>
      </w:r>
    </w:p>
    <w:p w14:paraId="7DBC7E18">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多点：构建以古州野林、陈氏苏铁保护区、旱地油杉保护区、绿孔雀栖息地保护区为主的生态多样性保护格局。陈氏苏铁保护区，主要分布于老厂乡、者竜。旱地油杉保护区，主要分布于水塘、者竜、老厂、新化、戛洒、漠沙六个乡镇。绿孔雀栖息地保护区，主要分布在者竜乡、老厂乡和新化乡。</w:t>
      </w:r>
    </w:p>
    <w:p w14:paraId="332FF5BB">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572" w:name="_Toc20626"/>
      <w:bookmarkStart w:id="573" w:name="_Toc15124"/>
      <w:r>
        <w:rPr>
          <w:rFonts w:hint="default" w:ascii="Times New Roman" w:hAnsi="Times New Roman" w:eastAsia="宋体" w:cs="Times New Roman"/>
          <w:b/>
          <w:bCs/>
          <w:snapToGrid w:val="0"/>
          <w:color w:val="auto"/>
          <w:kern w:val="2"/>
          <w:sz w:val="28"/>
          <w:szCs w:val="28"/>
          <w:highlight w:val="none"/>
          <w:lang w:val="en-US" w:eastAsia="zh-CN" w:bidi="ar-SA"/>
        </w:rPr>
        <w:t>7.3.4优化产业发展布局</w:t>
      </w:r>
      <w:bookmarkEnd w:id="572"/>
    </w:p>
    <w:p w14:paraId="31763A6B">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1、高原特色农业发展空间布局</w:t>
      </w:r>
    </w:p>
    <w:p w14:paraId="51FBCBA9">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围绕新平县实现高质量跨越式发展、经济社会发展再上新台阶、新时代新新平建设取得明显进展的目标，以资源环境承载力及国土空间开发适宜性评价为基础，以永金高速、大戛高速等骨干交通网络和红河谷、绿汁江为依托，严格耕地保护红线和粮食播种面积底线，加快推进高原特色农业现代化</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做精做强特色优势产业</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大力发展农产品加工业。整合区域资源，挖掘发展动力，促进县域内各乡镇互联互通、协同共进，着力构建“一带三区多点”的立体高原特色农业新格局。</w:t>
      </w:r>
    </w:p>
    <w:p w14:paraId="56E7349C">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一带：红河谷—绿汁江热区产业经济带。按照玉溪热区产业发展规划布局，发挥新化、老厂、者竜、水塘、戛洒、漠沙的热区资源优势，推动流域农业发展、旅游开发、生态治理，重点发展水果、蔬菜、水稻、甘蔗、畜禽等产业，综合提升农产品质量和多功能价值，促进农旅融合发展，带动居民生产生活条件改善、巩固拓展脱贫攻坚成果，打造全县现代农业发展的核心区域。加强与元江、双柏等地合作，共同推进农业综合开发。</w:t>
      </w:r>
    </w:p>
    <w:p w14:paraId="3FAD251C">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三区：低热河谷精品经果生产区。在海拔1300米以下，有农业综合开发后备资源76.2万亩，占全县总面积的12.0%。重点分布于红河流域的宽谷地带及其支流流域的丘陵谷地，依托炎热干燥、少霜冻的气候优势，进行亚热带水果以及甘蔗、冬早蔬菜等经济作物生产。中海拔优质粮烟生产区。在海拔1300～1900米地区，有农业综合开发后备资源117.6万亩，占全县总面积的18.5%。依托温热气候资源，在丘缓坡山区、半山区，推进玉米、水稻、烤烟种植。高海拔生态林药畜生产区。在海拔1900米以上区域，有农业综合开发后备资源30.1万亩，占全县总面积的4.7%。有大量的原始森林和高山草地，具有发展珍稀药材、经济林木、畜牧业及旅游业等自然优势。</w:t>
      </w:r>
    </w:p>
    <w:p w14:paraId="1C3696C6">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多点：现代农业庄园、田园综合体、产业基地、农产品交易中心等。依托褚橙庄园、桔荔庄园、漠沙猫哆哩庄园等，建设一批优质化、品牌化、专业化农业基地，推进</w:t>
      </w:r>
      <w:r>
        <w:rPr>
          <w:rFonts w:hint="eastAsia" w:ascii="Times New Roman" w:hAnsi="Times New Roman" w:eastAsia="方正仿宋_GBK" w:cs="方正仿宋_GBK"/>
          <w:b w:val="0"/>
          <w:bCs w:val="0"/>
          <w:color w:val="auto"/>
          <w:kern w:val="2"/>
          <w:sz w:val="28"/>
          <w:szCs w:val="28"/>
          <w:lang w:val="en-US" w:eastAsia="zh-CN" w:bidi="ar-SA"/>
        </w:rPr>
        <w:t>一、二、三产业</w:t>
      </w:r>
      <w:r>
        <w:rPr>
          <w:rFonts w:hint="default" w:ascii="Times New Roman" w:hAnsi="Times New Roman" w:eastAsia="方正仿宋_GBK" w:cs="方正仿宋_GBK"/>
          <w:b w:val="0"/>
          <w:bCs w:val="0"/>
          <w:color w:val="auto"/>
          <w:kern w:val="2"/>
          <w:sz w:val="28"/>
          <w:szCs w:val="28"/>
          <w:lang w:val="en-US" w:eastAsia="zh-CN" w:bidi="ar-SA"/>
        </w:rPr>
        <w:t>融合发展，形成现代农业发展示范。</w:t>
      </w:r>
    </w:p>
    <w:p w14:paraId="26603D08">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2、工业产业空间布局</w:t>
      </w:r>
    </w:p>
    <w:p w14:paraId="11646A43">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根据新平县地方经济发展的需要，结合县域工业产业发展现状以及外来变化趋势，规划未来产业空间发展采取“中心集聚，轴带拓展，节点增长”的布局模式，以核心引领区域，以区域连接节点，构建特色突出的工业产业格局，快速提升核心区的“引擎”作用，区域发展的聚集作用，节点连接辐射的联动作用。构建“四片区”的工业产业布局，突出四个片区的联动效应，协调县域经济的发展。</w:t>
      </w:r>
    </w:p>
    <w:p w14:paraId="534F92A0">
      <w:pPr>
        <w:keepNext w:val="0"/>
        <w:keepLines w:val="0"/>
        <w:pageBreakBefore w:val="0"/>
        <w:widowControl/>
        <w:kinsoku/>
        <w:wordWrap/>
        <w:overflowPunct/>
        <w:topLinePunct w:val="0"/>
        <w:autoSpaceDE/>
        <w:autoSpaceDN/>
        <w:bidi w:val="0"/>
        <w:adjustRightInd w:val="0"/>
        <w:snapToGrid w:val="0"/>
        <w:spacing w:line="360" w:lineRule="auto"/>
        <w:ind w:firstLine="562" w:firstLineChars="200"/>
        <w:jc w:val="center"/>
        <w:textAlignment w:val="auto"/>
        <w:rPr>
          <w:rFonts w:hint="default" w:ascii="Times New Roman" w:hAnsi="Times New Roman" w:eastAsia="方正仿宋_GBK" w:cs="方正仿宋_GBK"/>
          <w:b/>
          <w:bCs/>
          <w:color w:val="auto"/>
          <w:kern w:val="2"/>
          <w:sz w:val="28"/>
          <w:szCs w:val="28"/>
          <w:lang w:val="en-US" w:eastAsia="zh-CN" w:bidi="ar-SA"/>
        </w:rPr>
      </w:pPr>
      <w:r>
        <w:rPr>
          <w:rFonts w:hint="default" w:ascii="Times New Roman" w:hAnsi="Times New Roman" w:eastAsia="方正仿宋_GBK" w:cs="方正仿宋_GBK"/>
          <w:b/>
          <w:bCs/>
          <w:color w:val="auto"/>
          <w:kern w:val="2"/>
          <w:sz w:val="28"/>
          <w:szCs w:val="28"/>
          <w:lang w:val="en-US" w:eastAsia="zh-CN" w:bidi="ar-SA"/>
        </w:rPr>
        <w:t>7.3-1新平县工业布局优化方向</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3"/>
        <w:gridCol w:w="3390"/>
        <w:gridCol w:w="3043"/>
      </w:tblGrid>
      <w:tr w14:paraId="415CB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83" w:type="dxa"/>
            <w:vAlign w:val="center"/>
          </w:tcPr>
          <w:p w14:paraId="206F8EFB">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K" w:cs="Times New Roman"/>
                <w:b/>
                <w:bCs/>
                <w:color w:val="auto"/>
                <w:kern w:val="2"/>
                <w:sz w:val="24"/>
                <w:szCs w:val="24"/>
                <w:highlight w:val="none"/>
                <w:lang w:val="en-US" w:eastAsia="zh-CN" w:bidi="ar-SA"/>
              </w:rPr>
            </w:pPr>
            <w:r>
              <w:rPr>
                <w:rFonts w:hint="default" w:ascii="Times New Roman" w:hAnsi="Times New Roman" w:eastAsia="方正仿宋_GBK" w:cs="Times New Roman"/>
                <w:b/>
                <w:bCs/>
                <w:color w:val="auto"/>
                <w:kern w:val="2"/>
                <w:sz w:val="24"/>
                <w:szCs w:val="24"/>
                <w:highlight w:val="none"/>
                <w:lang w:val="en-US" w:eastAsia="zh-CN" w:bidi="ar-SA"/>
              </w:rPr>
              <w:t>工业发展空间</w:t>
            </w:r>
          </w:p>
        </w:tc>
        <w:tc>
          <w:tcPr>
            <w:tcW w:w="3390" w:type="dxa"/>
            <w:vAlign w:val="center"/>
          </w:tcPr>
          <w:p w14:paraId="7A753C5C">
            <w:pPr>
              <w:keepNext w:val="0"/>
              <w:keepLines w:val="0"/>
              <w:pageBreakBefore w:val="0"/>
              <w:widowControl/>
              <w:suppressLineNumbers w:val="0"/>
              <w:kinsoku/>
              <w:wordWrap/>
              <w:overflowPunct/>
              <w:topLinePunct w:val="0"/>
              <w:autoSpaceDE/>
              <w:autoSpaceDN/>
              <w:bidi w:val="0"/>
              <w:snapToGrid w:val="0"/>
              <w:spacing w:line="240" w:lineRule="auto"/>
              <w:jc w:val="center"/>
              <w:textAlignment w:val="auto"/>
              <w:rPr>
                <w:rFonts w:hint="default" w:ascii="Times New Roman" w:hAnsi="Times New Roman" w:eastAsia="方正仿宋_GBK" w:cs="Times New Roman"/>
                <w:b/>
                <w:bCs/>
                <w:color w:val="auto"/>
                <w:kern w:val="2"/>
                <w:sz w:val="24"/>
                <w:szCs w:val="24"/>
                <w:highlight w:val="none"/>
                <w:lang w:val="en-US" w:eastAsia="zh-CN" w:bidi="ar-SA"/>
              </w:rPr>
            </w:pPr>
            <w:r>
              <w:rPr>
                <w:rFonts w:hint="default" w:ascii="Times New Roman" w:hAnsi="Times New Roman" w:eastAsia="方正仿宋_GBK" w:cs="Times New Roman"/>
                <w:b/>
                <w:bCs/>
                <w:color w:val="auto"/>
                <w:kern w:val="2"/>
                <w:sz w:val="24"/>
                <w:szCs w:val="24"/>
                <w:highlight w:val="none"/>
                <w:lang w:val="en-US" w:eastAsia="zh-CN" w:bidi="ar-SA"/>
              </w:rPr>
              <w:t>涵盖区域</w:t>
            </w:r>
          </w:p>
        </w:tc>
        <w:tc>
          <w:tcPr>
            <w:tcW w:w="3043" w:type="dxa"/>
            <w:vAlign w:val="center"/>
          </w:tcPr>
          <w:p w14:paraId="70DB9BFE">
            <w:pPr>
              <w:keepNext w:val="0"/>
              <w:keepLines w:val="0"/>
              <w:widowControl/>
              <w:suppressLineNumbers w:val="0"/>
              <w:spacing w:line="240" w:lineRule="auto"/>
              <w:jc w:val="center"/>
              <w:rPr>
                <w:rFonts w:hint="default" w:ascii="Times New Roman" w:hAnsi="Times New Roman" w:eastAsia="方正仿宋_GBK" w:cs="Times New Roman"/>
                <w:b/>
                <w:bCs/>
                <w:color w:val="auto"/>
                <w:kern w:val="2"/>
                <w:sz w:val="24"/>
                <w:szCs w:val="24"/>
                <w:highlight w:val="none"/>
                <w:lang w:val="en-US" w:eastAsia="zh-CN" w:bidi="ar-SA"/>
              </w:rPr>
            </w:pPr>
            <w:r>
              <w:rPr>
                <w:rFonts w:hint="default" w:ascii="Times New Roman" w:hAnsi="Times New Roman" w:eastAsia="方正仿宋_GBK" w:cs="Times New Roman"/>
                <w:b/>
                <w:bCs/>
                <w:color w:val="auto"/>
                <w:kern w:val="2"/>
                <w:sz w:val="24"/>
                <w:szCs w:val="24"/>
                <w:highlight w:val="none"/>
                <w:lang w:val="en-US" w:eastAsia="zh-CN" w:bidi="ar-SA"/>
              </w:rPr>
              <w:t>产业布局优化</w:t>
            </w:r>
          </w:p>
        </w:tc>
      </w:tr>
      <w:tr w14:paraId="495C3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3" w:type="dxa"/>
            <w:vAlign w:val="center"/>
          </w:tcPr>
          <w:p w14:paraId="20167FDE">
            <w:pPr>
              <w:keepNext w:val="0"/>
              <w:keepLines w:val="0"/>
              <w:pageBreakBefore w:val="0"/>
              <w:widowControl/>
              <w:suppressLineNumbers w:val="0"/>
              <w:kinsoku/>
              <w:wordWrap/>
              <w:overflowPunct/>
              <w:topLinePunct w:val="0"/>
              <w:autoSpaceDE/>
              <w:autoSpaceDN/>
              <w:bidi w:val="0"/>
              <w:snapToGrid w:val="0"/>
              <w:spacing w:line="240" w:lineRule="auto"/>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kern w:val="2"/>
                <w:sz w:val="24"/>
                <w:szCs w:val="24"/>
                <w:highlight w:val="none"/>
                <w:lang w:val="en-US" w:eastAsia="zh-CN" w:bidi="ar-SA"/>
              </w:rPr>
              <w:t>桂山片区</w:t>
            </w:r>
          </w:p>
        </w:tc>
        <w:tc>
          <w:tcPr>
            <w:tcW w:w="3390" w:type="dxa"/>
            <w:vAlign w:val="center"/>
          </w:tcPr>
          <w:p w14:paraId="4D8D4BB2">
            <w:pPr>
              <w:keepNext w:val="0"/>
              <w:keepLines w:val="0"/>
              <w:pageBreakBefore w:val="0"/>
              <w:widowControl/>
              <w:suppressLineNumbers w:val="0"/>
              <w:kinsoku/>
              <w:wordWrap/>
              <w:overflowPunct/>
              <w:topLinePunct w:val="0"/>
              <w:autoSpaceDE/>
              <w:autoSpaceDN/>
              <w:bidi w:val="0"/>
              <w:snapToGrid w:val="0"/>
              <w:spacing w:line="240" w:lineRule="auto"/>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kern w:val="2"/>
                <w:sz w:val="24"/>
                <w:szCs w:val="24"/>
                <w:highlight w:val="none"/>
                <w:lang w:val="en-US" w:eastAsia="zh-CN" w:bidi="ar-SA"/>
              </w:rPr>
              <w:t>以县城为中心，涵盖桂山街道、古城街道、平甸乡和新化乡所辖区域</w:t>
            </w:r>
          </w:p>
        </w:tc>
        <w:tc>
          <w:tcPr>
            <w:tcW w:w="3043" w:type="dxa"/>
            <w:vAlign w:val="center"/>
          </w:tcPr>
          <w:p w14:paraId="4969B83A">
            <w:pPr>
              <w:keepNext w:val="0"/>
              <w:keepLines w:val="0"/>
              <w:pageBreakBefore w:val="0"/>
              <w:widowControl/>
              <w:suppressLineNumbers w:val="0"/>
              <w:kinsoku/>
              <w:wordWrap/>
              <w:overflowPunct/>
              <w:topLinePunct w:val="0"/>
              <w:autoSpaceDE/>
              <w:autoSpaceDN/>
              <w:bidi w:val="0"/>
              <w:snapToGrid w:val="0"/>
              <w:spacing w:line="240" w:lineRule="auto"/>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kern w:val="2"/>
                <w:sz w:val="24"/>
                <w:szCs w:val="24"/>
                <w:highlight w:val="none"/>
                <w:lang w:val="en-US" w:eastAsia="zh-CN" w:bidi="ar-SA"/>
              </w:rPr>
              <w:t>以绿色食品加工、生物制药、生物资源加工、现代物流、新材料、电子信息、新型建材等产业，建设全县产业研发中心</w:t>
            </w:r>
          </w:p>
        </w:tc>
      </w:tr>
      <w:tr w14:paraId="3A06D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3" w:type="dxa"/>
            <w:vAlign w:val="center"/>
          </w:tcPr>
          <w:p w14:paraId="1E93D694">
            <w:pPr>
              <w:keepNext w:val="0"/>
              <w:keepLines w:val="0"/>
              <w:pageBreakBefore w:val="0"/>
              <w:widowControl/>
              <w:suppressLineNumbers w:val="0"/>
              <w:kinsoku/>
              <w:wordWrap/>
              <w:overflowPunct/>
              <w:topLinePunct w:val="0"/>
              <w:autoSpaceDE/>
              <w:autoSpaceDN/>
              <w:bidi w:val="0"/>
              <w:snapToGrid w:val="0"/>
              <w:spacing w:line="240" w:lineRule="auto"/>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kern w:val="2"/>
                <w:sz w:val="24"/>
                <w:szCs w:val="24"/>
                <w:highlight w:val="none"/>
                <w:lang w:val="en-US" w:eastAsia="zh-CN" w:bidi="ar-SA"/>
              </w:rPr>
              <w:t>扬武片区</w:t>
            </w:r>
          </w:p>
        </w:tc>
        <w:tc>
          <w:tcPr>
            <w:tcW w:w="3390" w:type="dxa"/>
            <w:vAlign w:val="center"/>
          </w:tcPr>
          <w:p w14:paraId="4BD4C69D">
            <w:pPr>
              <w:keepNext w:val="0"/>
              <w:keepLines w:val="0"/>
              <w:pageBreakBefore w:val="0"/>
              <w:widowControl/>
              <w:suppressLineNumbers w:val="0"/>
              <w:kinsoku/>
              <w:wordWrap/>
              <w:overflowPunct/>
              <w:topLinePunct w:val="0"/>
              <w:autoSpaceDE/>
              <w:autoSpaceDN/>
              <w:bidi w:val="0"/>
              <w:snapToGrid w:val="0"/>
              <w:spacing w:line="240" w:lineRule="auto"/>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kern w:val="2"/>
                <w:sz w:val="24"/>
                <w:szCs w:val="24"/>
                <w:highlight w:val="none"/>
                <w:lang w:val="en-US" w:eastAsia="zh-CN" w:bidi="ar-SA"/>
              </w:rPr>
              <w:t>涵盖扬武镇所辖区域。</w:t>
            </w:r>
          </w:p>
        </w:tc>
        <w:tc>
          <w:tcPr>
            <w:tcW w:w="3043" w:type="dxa"/>
            <w:vAlign w:val="center"/>
          </w:tcPr>
          <w:p w14:paraId="034FEE6B">
            <w:pPr>
              <w:keepNext w:val="0"/>
              <w:keepLines w:val="0"/>
              <w:pageBreakBefore w:val="0"/>
              <w:widowControl/>
              <w:suppressLineNumbers w:val="0"/>
              <w:kinsoku/>
              <w:wordWrap/>
              <w:overflowPunct/>
              <w:topLinePunct w:val="0"/>
              <w:autoSpaceDE/>
              <w:autoSpaceDN/>
              <w:bidi w:val="0"/>
              <w:snapToGrid w:val="0"/>
              <w:spacing w:line="240" w:lineRule="auto"/>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kern w:val="2"/>
                <w:sz w:val="24"/>
                <w:szCs w:val="24"/>
                <w:highlight w:val="none"/>
                <w:lang w:val="en-US" w:eastAsia="zh-CN" w:bidi="ar-SA"/>
              </w:rPr>
              <w:t>以高科技支撑的绿色矿产品精深加工、智能装备制造产业、建筑材料、现代物流等产业，推进产城融合</w:t>
            </w:r>
          </w:p>
        </w:tc>
      </w:tr>
      <w:tr w14:paraId="064A0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3" w:type="dxa"/>
            <w:vAlign w:val="center"/>
          </w:tcPr>
          <w:p w14:paraId="18D9CE51">
            <w:pPr>
              <w:keepNext w:val="0"/>
              <w:keepLines w:val="0"/>
              <w:pageBreakBefore w:val="0"/>
              <w:widowControl/>
              <w:suppressLineNumbers w:val="0"/>
              <w:kinsoku/>
              <w:wordWrap/>
              <w:overflowPunct/>
              <w:topLinePunct w:val="0"/>
              <w:autoSpaceDE/>
              <w:autoSpaceDN/>
              <w:bidi w:val="0"/>
              <w:snapToGrid w:val="0"/>
              <w:spacing w:line="240" w:lineRule="auto"/>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kern w:val="2"/>
                <w:sz w:val="24"/>
                <w:szCs w:val="24"/>
                <w:highlight w:val="none"/>
                <w:lang w:val="en-US" w:eastAsia="zh-CN" w:bidi="ar-SA"/>
              </w:rPr>
              <w:t>戛洒片区</w:t>
            </w:r>
          </w:p>
        </w:tc>
        <w:tc>
          <w:tcPr>
            <w:tcW w:w="3390" w:type="dxa"/>
            <w:vAlign w:val="center"/>
          </w:tcPr>
          <w:p w14:paraId="60A7AE82">
            <w:pPr>
              <w:keepNext w:val="0"/>
              <w:keepLines w:val="0"/>
              <w:pageBreakBefore w:val="0"/>
              <w:widowControl/>
              <w:suppressLineNumbers w:val="0"/>
              <w:kinsoku/>
              <w:wordWrap/>
              <w:overflowPunct/>
              <w:topLinePunct w:val="0"/>
              <w:autoSpaceDE/>
              <w:autoSpaceDN/>
              <w:bidi w:val="0"/>
              <w:snapToGrid w:val="0"/>
              <w:spacing w:line="240" w:lineRule="auto"/>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kern w:val="2"/>
                <w:sz w:val="24"/>
                <w:szCs w:val="24"/>
                <w:highlight w:val="none"/>
                <w:lang w:val="en-US" w:eastAsia="zh-CN" w:bidi="ar-SA"/>
              </w:rPr>
              <w:t>以戛洒为中心，涵盖者竜、水塘所辖区域</w:t>
            </w:r>
          </w:p>
        </w:tc>
        <w:tc>
          <w:tcPr>
            <w:tcW w:w="3043" w:type="dxa"/>
            <w:vAlign w:val="center"/>
          </w:tcPr>
          <w:p w14:paraId="2651D218">
            <w:pPr>
              <w:keepNext w:val="0"/>
              <w:keepLines w:val="0"/>
              <w:pageBreakBefore w:val="0"/>
              <w:widowControl/>
              <w:suppressLineNumbers w:val="0"/>
              <w:kinsoku/>
              <w:wordWrap/>
              <w:overflowPunct/>
              <w:topLinePunct w:val="0"/>
              <w:autoSpaceDE/>
              <w:autoSpaceDN/>
              <w:bidi w:val="0"/>
              <w:snapToGrid w:val="0"/>
              <w:spacing w:line="240" w:lineRule="auto"/>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kern w:val="2"/>
                <w:sz w:val="24"/>
                <w:szCs w:val="24"/>
                <w:highlight w:val="none"/>
                <w:lang w:val="en-US" w:eastAsia="zh-CN" w:bidi="ar-SA"/>
              </w:rPr>
              <w:t>重点发展铜、铁矿色及配套产业、水电开发、特色农产品加工、冷链物流等产业</w:t>
            </w:r>
          </w:p>
        </w:tc>
      </w:tr>
      <w:tr w14:paraId="4E9A9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3" w:type="dxa"/>
            <w:vAlign w:val="center"/>
          </w:tcPr>
          <w:p w14:paraId="760C6700">
            <w:pPr>
              <w:keepNext w:val="0"/>
              <w:keepLines w:val="0"/>
              <w:pageBreakBefore w:val="0"/>
              <w:widowControl/>
              <w:suppressLineNumbers w:val="0"/>
              <w:kinsoku/>
              <w:wordWrap/>
              <w:overflowPunct/>
              <w:topLinePunct w:val="0"/>
              <w:autoSpaceDE/>
              <w:autoSpaceDN/>
              <w:bidi w:val="0"/>
              <w:snapToGrid w:val="0"/>
              <w:spacing w:line="240" w:lineRule="auto"/>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kern w:val="2"/>
                <w:sz w:val="24"/>
                <w:szCs w:val="24"/>
                <w:highlight w:val="none"/>
                <w:lang w:val="en-US" w:eastAsia="zh-CN" w:bidi="ar-SA"/>
              </w:rPr>
              <w:t>漠沙片区</w:t>
            </w:r>
          </w:p>
        </w:tc>
        <w:tc>
          <w:tcPr>
            <w:tcW w:w="3390" w:type="dxa"/>
            <w:vAlign w:val="center"/>
          </w:tcPr>
          <w:p w14:paraId="120DCCB8">
            <w:pPr>
              <w:keepNext w:val="0"/>
              <w:keepLines w:val="0"/>
              <w:pageBreakBefore w:val="0"/>
              <w:widowControl/>
              <w:suppressLineNumbers w:val="0"/>
              <w:kinsoku/>
              <w:wordWrap/>
              <w:overflowPunct/>
              <w:topLinePunct w:val="0"/>
              <w:autoSpaceDE/>
              <w:autoSpaceDN/>
              <w:bidi w:val="0"/>
              <w:snapToGrid w:val="0"/>
              <w:spacing w:line="240" w:lineRule="auto"/>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kern w:val="2"/>
                <w:sz w:val="24"/>
                <w:szCs w:val="24"/>
                <w:highlight w:val="none"/>
                <w:lang w:val="en-US" w:eastAsia="zh-CN" w:bidi="ar-SA"/>
              </w:rPr>
              <w:t>以漠沙为中心，涵盖平掌、建兴所辖区域</w:t>
            </w:r>
          </w:p>
        </w:tc>
        <w:tc>
          <w:tcPr>
            <w:tcW w:w="3043" w:type="dxa"/>
            <w:vAlign w:val="center"/>
          </w:tcPr>
          <w:p w14:paraId="3E18C9AA">
            <w:pPr>
              <w:keepNext w:val="0"/>
              <w:keepLines w:val="0"/>
              <w:pageBreakBefore w:val="0"/>
              <w:widowControl/>
              <w:suppressLineNumbers w:val="0"/>
              <w:kinsoku/>
              <w:wordWrap/>
              <w:overflowPunct/>
              <w:topLinePunct w:val="0"/>
              <w:autoSpaceDE/>
              <w:autoSpaceDN/>
              <w:bidi w:val="0"/>
              <w:snapToGrid w:val="0"/>
              <w:spacing w:line="240" w:lineRule="auto"/>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kern w:val="2"/>
                <w:sz w:val="24"/>
                <w:szCs w:val="24"/>
                <w:highlight w:val="none"/>
                <w:lang w:val="en-US" w:eastAsia="zh-CN" w:bidi="ar-SA"/>
              </w:rPr>
              <w:t>重点发展特色农产品加工、冷链物流、生物制药、生物资源加工等产业</w:t>
            </w:r>
          </w:p>
        </w:tc>
      </w:tr>
    </w:tbl>
    <w:p w14:paraId="496ADCF7">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3、旅游产业空间布局。</w:t>
      </w:r>
    </w:p>
    <w:p w14:paraId="6649FCD3">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根据新平县旅游资源的地域组合结构、类型结构、时空分布格局、开发利用方向，围绕“风情花腰傣·神秘哀牢山”形象定位，按照全地域覆盖、全资源整合、全要素配置、全产业融合的原则，统筹旅游资源、交通区位等优势，构建“一地、两极、三区、四环、五带、六重点”的旅游总体空间布局。</w:t>
      </w:r>
    </w:p>
    <w:p w14:paraId="424CB109">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一地：中国花腰傣文化旅游目的地；两极：县城旅游集散极、戛洒旅游中心极；</w:t>
      </w:r>
    </w:p>
    <w:p w14:paraId="6C143C53">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三区：哀牢山生态文化旅游区、红河谷—绿汁江特色农业花腰傣风情体验旅游区、磨盘山户外运动健康旅游区；</w:t>
      </w:r>
    </w:p>
    <w:p w14:paraId="7AC9CFD0">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四环：县城特色旅游环线、哀牢山旅游环线、红河谷—绿汁江旅游环线、磨盘山旅游环线；</w:t>
      </w:r>
    </w:p>
    <w:p w14:paraId="6ABB92E2">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五带：哀牢山生态观光休闲康养户外运动旅游带、古州野林—哈科底生态观光休闲旅游带、磨盘山乡村休闲户外运动旅游带、红河谷—绿汁江花腰傣民族风情和亚热带风光旅游带、县城周边乡村休闲旅游带；</w:t>
      </w:r>
    </w:p>
    <w:p w14:paraId="5DE2D5D3">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六重点：戛洒国家级特色旅游小镇、哀牢山乡村旅游示范区、磨盘山康体养生户外运动区、扬武驿站经济小镇、漠沙田园综合体、建兴生态休闲旅游区。</w:t>
      </w:r>
    </w:p>
    <w:p w14:paraId="19DA3F17">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574" w:name="_Toc25138"/>
      <w:r>
        <w:rPr>
          <w:rFonts w:hint="default" w:ascii="Times New Roman" w:hAnsi="Times New Roman" w:eastAsia="宋体" w:cs="Times New Roman"/>
          <w:b/>
          <w:bCs/>
          <w:snapToGrid w:val="0"/>
          <w:color w:val="auto"/>
          <w:kern w:val="2"/>
          <w:sz w:val="28"/>
          <w:szCs w:val="28"/>
          <w:highlight w:val="none"/>
          <w:lang w:val="en-US" w:eastAsia="zh-CN" w:bidi="ar-SA"/>
        </w:rPr>
        <w:t>7.3.5优化城乡发展空间</w:t>
      </w:r>
      <w:bookmarkEnd w:id="573"/>
      <w:bookmarkEnd w:id="574"/>
    </w:p>
    <w:p w14:paraId="0D502E9D">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遵循新平县地理空间格局以及资源禀赋特征、城镇发展差异，依托交通网络轴线，基于自然山水与生态格局，构建“一核三极两轴”的空间结构，促进各级城镇点轴联动发展。</w:t>
      </w:r>
    </w:p>
    <w:p w14:paraId="75AF38FE">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“一核”即新平县城。由县城构成县域经济中心区，形成经济实力强、服务功能全、文化品位高的城镇中心区。</w:t>
      </w:r>
    </w:p>
    <w:p w14:paraId="21147D47">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“三级”：放大戛洒、扬武、漠沙的交通区位、资源禀赋、产业基础等优势，做大做强中心城镇，增强集聚、辐射功能，打造戛洒、漠沙、扬武三个县域经济增长极。</w:t>
      </w:r>
    </w:p>
    <w:p w14:paraId="54E2EAEF">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两轴”为东西向的大戛城镇发展轴及南北向的永金城镇发展轴。大戛城镇发展轴是连通大开门——县城——戛洒镇，是联系县域东、西部区域的主要城镇发展主轴，通过轴带伸展，串联鲁奎山、大红山两个矿区，开发哀牢山旅游资源，拓展县域村镇发展空间。永金城镇发展轴是连通者竜乡——水塘镇——戛洒镇——漠沙镇，形成沿红河谷坝区的县域发展次轴。带动沿线乡镇集聚发展，开发红河谷沿线旅游资源，优化沿线城镇空间布局。</w:t>
      </w:r>
    </w:p>
    <w:p w14:paraId="793948E3">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en-US" w:eastAsia="zh-CN"/>
        </w:rPr>
      </w:pPr>
      <w:bookmarkStart w:id="575" w:name="_Toc5898"/>
      <w:bookmarkStart w:id="576" w:name="_Toc14028"/>
      <w:bookmarkStart w:id="577" w:name="_Toc10943"/>
      <w:bookmarkStart w:id="578" w:name="_Toc22569"/>
      <w:bookmarkStart w:id="579" w:name="_Toc903"/>
      <w:bookmarkStart w:id="580" w:name="_Toc6464"/>
      <w:bookmarkStart w:id="581" w:name="_Toc9631"/>
      <w:bookmarkStart w:id="582" w:name="_Toc8573"/>
      <w:r>
        <w:rPr>
          <w:rFonts w:hint="default" w:ascii="Times New Roman" w:hAnsi="Times New Roman" w:eastAsia="仿宋" w:cs="Times New Roman"/>
          <w:color w:val="auto"/>
          <w:sz w:val="32"/>
          <w:lang w:val="en-US" w:eastAsia="zh-CN"/>
        </w:rPr>
        <w:t>7.4</w:t>
      </w:r>
      <w:bookmarkEnd w:id="575"/>
      <w:bookmarkEnd w:id="576"/>
      <w:r>
        <w:rPr>
          <w:rFonts w:hint="default" w:ascii="Times New Roman" w:hAnsi="Times New Roman" w:eastAsia="仿宋" w:cs="Times New Roman"/>
          <w:color w:val="auto"/>
          <w:sz w:val="32"/>
          <w:lang w:val="zh-CN" w:eastAsia="zh-CN"/>
        </w:rPr>
        <w:t>严格管控岸线开发利用</w:t>
      </w:r>
      <w:bookmarkEnd w:id="577"/>
      <w:bookmarkEnd w:id="578"/>
      <w:bookmarkEnd w:id="579"/>
      <w:bookmarkEnd w:id="580"/>
      <w:bookmarkEnd w:id="581"/>
      <w:bookmarkEnd w:id="582"/>
    </w:p>
    <w:p w14:paraId="044D9004">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河湖岸线范围划定与管护。河湖岸线利用规划编制与河湖划界工作是全面推行河湖长制的重要抓手，岸线规划及界桩的埋设意味着河湖有了管理线、保护线。规划岸线、明确界限、公示规范、责权分明，明确河湖管理保护范围。加快推进河湖岸线保护与利用规划编制，河湖岸线范围划定考虑沿河地区经济社会的可持续发展，充分发挥岸线的资源属性和功能属性，促进沿河地区形成环境优美，人水和谐的局面。以打造水美、岸美、产业美为目标，开展生态防护带建设、河道整治工程建设、岸线清理整治工作、岸线绿化，强化岸线执法监督和岸线保护宣传，打造稳定安全、生态健康、景观优美的多功能型岸线。</w:t>
      </w:r>
    </w:p>
    <w:p w14:paraId="2DB013C0">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开展生态防护带建设。积极开展河道生态体系建设，推广河道生态护坡，营造河道生态防护带。对河道现状生态林进行全面调查，根据河道管理保护相关规定，合理制定河道防护带规划。按照先易后难、先急后缓、集中连片的原则，分批分期开展实施。建设沿河库生态防护带，有效治理人为破坏，逐步恢复河流生态功能河流生态功能得到有效恢复和改善。</w:t>
      </w:r>
    </w:p>
    <w:p w14:paraId="062C37DC">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425" w:num="1"/>
          <w:docGrid w:linePitch="312" w:charSpace="0"/>
        </w:sectPr>
      </w:pPr>
      <w:r>
        <w:rPr>
          <w:rFonts w:hint="default" w:ascii="Times New Roman" w:hAnsi="Times New Roman" w:eastAsia="方正仿宋_GBK" w:cs="方正仿宋_GBK"/>
          <w:b w:val="0"/>
          <w:bCs w:val="0"/>
          <w:color w:val="auto"/>
          <w:kern w:val="2"/>
          <w:sz w:val="28"/>
          <w:szCs w:val="28"/>
          <w:lang w:val="en-US" w:eastAsia="zh-CN" w:bidi="ar-SA"/>
        </w:rPr>
        <w:t>加强河湖生态保护与修复。积极开展河湖健康评价工作，评估河湖健康状态、科学分析河湖问题、强化落实河湖长制。统筹考虑河道内和河道外用水，优化配置水资源，保障重要河湖生态用水。科学确定重要河流生态流量和重要湿地生态水位，制订水量调度方案，重点保障枯水期河流生态基流和湿地生态水位。巩固已有治理成果，在满足河道防洪功能的前提下，打造集生态河道、清水河道、亲水河道为一体的美丽河道。开展河道内清淤、清障，恢复河流连续性，加强河湖生态堤防护岸建设，改造硬质堤岸，实施滨岸带植被保护与恢复，构建河滨自然生态景观系统，拓宽城市绿色生态空间。</w:t>
      </w:r>
    </w:p>
    <w:bookmarkEnd w:id="313"/>
    <w:bookmarkEnd w:id="314"/>
    <w:bookmarkEnd w:id="315"/>
    <w:bookmarkEnd w:id="316"/>
    <w:p w14:paraId="0A704D17">
      <w:pPr>
        <w:pStyle w:val="3"/>
        <w:pageBreakBefore w:val="0"/>
        <w:kinsoku/>
        <w:wordWrap/>
        <w:overflowPunct/>
        <w:topLinePunct w:val="0"/>
        <w:autoSpaceDE/>
        <w:autoSpaceDN/>
        <w:bidi w:val="0"/>
        <w:spacing w:before="0" w:after="0" w:line="500" w:lineRule="exact"/>
        <w:jc w:val="center"/>
        <w:textAlignment w:val="auto"/>
        <w:rPr>
          <w:rFonts w:hint="default" w:ascii="Times New Roman" w:hAnsi="Times New Roman" w:eastAsia="仿宋" w:cs="Times New Roman"/>
          <w:color w:val="auto"/>
          <w:sz w:val="44"/>
          <w:lang w:val="en-US" w:eastAsia="zh-CN"/>
        </w:rPr>
      </w:pPr>
      <w:bookmarkStart w:id="583" w:name="_Toc24134"/>
      <w:bookmarkStart w:id="584" w:name="_Toc24727"/>
      <w:bookmarkStart w:id="585" w:name="_Toc24903"/>
      <w:bookmarkStart w:id="586" w:name="_Toc28859"/>
      <w:bookmarkStart w:id="587" w:name="_Toc26131"/>
      <w:bookmarkStart w:id="588" w:name="_Toc5305"/>
      <w:bookmarkStart w:id="589" w:name="_Toc4547"/>
      <w:bookmarkStart w:id="590" w:name="_Toc24778"/>
      <w:r>
        <w:rPr>
          <w:rFonts w:hint="default" w:ascii="Times New Roman" w:hAnsi="Times New Roman" w:eastAsia="仿宋" w:cs="Times New Roman"/>
          <w:color w:val="auto"/>
          <w:sz w:val="44"/>
          <w:lang w:val="en-US" w:eastAsia="zh-CN"/>
        </w:rPr>
        <w:t>8坚持绿色发展，建设生态经济体系</w:t>
      </w:r>
      <w:bookmarkEnd w:id="583"/>
    </w:p>
    <w:p w14:paraId="78F145EC">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en-US" w:eastAsia="zh-CN"/>
        </w:rPr>
      </w:pPr>
      <w:bookmarkStart w:id="591" w:name="_Toc29272"/>
      <w:r>
        <w:rPr>
          <w:rFonts w:hint="default" w:ascii="Times New Roman" w:hAnsi="Times New Roman" w:eastAsia="仿宋" w:cs="Times New Roman"/>
          <w:color w:val="auto"/>
          <w:sz w:val="32"/>
          <w:lang w:val="zh-CN" w:eastAsia="zh-CN"/>
        </w:rPr>
        <w:t>8.1</w:t>
      </w:r>
      <w:r>
        <w:rPr>
          <w:rFonts w:hint="default" w:ascii="Times New Roman" w:hAnsi="Times New Roman" w:eastAsia="仿宋" w:cs="Times New Roman"/>
          <w:color w:val="auto"/>
          <w:sz w:val="32"/>
          <w:lang w:val="en-US" w:eastAsia="zh-CN"/>
        </w:rPr>
        <w:t>优化产业结构</w:t>
      </w:r>
      <w:bookmarkEnd w:id="591"/>
    </w:p>
    <w:p w14:paraId="4233A1D1">
      <w:pPr>
        <w:pStyle w:val="5"/>
        <w:pageBreakBefore w:val="0"/>
        <w:kinsoku/>
        <w:wordWrap/>
        <w:overflowPunct/>
        <w:topLinePunct w:val="0"/>
        <w:autoSpaceDE/>
        <w:autoSpaceDN/>
        <w:bidi w:val="0"/>
        <w:adjustRightInd w:val="0"/>
        <w:snapToGrid w:val="0"/>
        <w:spacing w:before="0" w:after="0" w:line="500" w:lineRule="exact"/>
        <w:ind w:firstLine="0" w:firstLineChars="0"/>
        <w:textAlignment w:val="auto"/>
        <w:rPr>
          <w:rFonts w:hint="eastAsia" w:ascii="方正仿宋_GBK" w:hAnsi="方正仿宋_GBK" w:eastAsia="方正仿宋_GBK" w:cs="方正仿宋_GBK"/>
          <w:snapToGrid w:val="0"/>
          <w:color w:val="auto"/>
          <w:sz w:val="28"/>
        </w:rPr>
      </w:pPr>
      <w:bookmarkStart w:id="592" w:name="_Toc26510"/>
      <w:r>
        <w:rPr>
          <w:rFonts w:hint="eastAsia" w:ascii="方正仿宋_GBK" w:hAnsi="方正仿宋_GBK" w:eastAsia="方正仿宋_GBK" w:cs="方正仿宋_GBK"/>
          <w:snapToGrid w:val="0"/>
          <w:color w:val="auto"/>
          <w:sz w:val="28"/>
        </w:rPr>
        <w:t>8.1.1改造提升传统支柱产业</w:t>
      </w:r>
      <w:bookmarkEnd w:id="592"/>
    </w:p>
    <w:p w14:paraId="736F9AE0">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改造矿冶产业。以钢铁、水泥行业为重点，加快推进仙福钢铁集团转型升级改造产能置换项目建设，推进钢铁行业超低排放，建设绿色钢铁产业，力争建设成为云南省矿冶产业转型升级示范区。</w:t>
      </w:r>
    </w:p>
    <w:p w14:paraId="6457A916">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改造提升造纸传统产业。支持并加快推进南恩糖纸有限责任公司搬迁技改转型升级，解决历史遗留突出环境问题。</w:t>
      </w:r>
    </w:p>
    <w:p w14:paraId="0A74C563">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提升高原特色现代农业。围绕打造“绿色食品牌”目标，实施农产品加工业转型升级行动，积极培育新型农业经营主体，加快推进培育农业产业化龙头“小巨人”，打造农业深加工产业链。大力推进“大产业+新主体+新平台”发展模式，推进烟、果、药、畜等高原特色优势产业转型升级，做强“褚橙”等农产品，打造“云果”知名品牌。</w:t>
      </w:r>
    </w:p>
    <w:p w14:paraId="3B3CDB41">
      <w:pPr>
        <w:pStyle w:val="5"/>
        <w:pageBreakBefore w:val="0"/>
        <w:kinsoku/>
        <w:wordWrap/>
        <w:overflowPunct/>
        <w:topLinePunct w:val="0"/>
        <w:autoSpaceDE/>
        <w:autoSpaceDN/>
        <w:bidi w:val="0"/>
        <w:adjustRightInd w:val="0"/>
        <w:snapToGrid w:val="0"/>
        <w:spacing w:before="0" w:after="0" w:line="500" w:lineRule="exact"/>
        <w:ind w:firstLine="0" w:firstLineChars="0"/>
        <w:textAlignment w:val="auto"/>
        <w:rPr>
          <w:rFonts w:eastAsia="仿宋"/>
          <w:snapToGrid w:val="0"/>
          <w:color w:val="auto"/>
          <w:sz w:val="28"/>
        </w:rPr>
      </w:pPr>
      <w:bookmarkStart w:id="593" w:name="_Toc411"/>
      <w:r>
        <w:rPr>
          <w:rFonts w:hint="eastAsia" w:eastAsia="仿宋"/>
          <w:snapToGrid w:val="0"/>
          <w:color w:val="auto"/>
          <w:sz w:val="28"/>
        </w:rPr>
        <w:t>8</w:t>
      </w:r>
      <w:r>
        <w:rPr>
          <w:rFonts w:eastAsia="仿宋"/>
          <w:snapToGrid w:val="0"/>
          <w:color w:val="auto"/>
          <w:sz w:val="28"/>
        </w:rPr>
        <w:t>.1.2</w:t>
      </w:r>
      <w:r>
        <w:rPr>
          <w:rFonts w:hint="eastAsia" w:eastAsia="仿宋"/>
          <w:snapToGrid w:val="0"/>
          <w:color w:val="auto"/>
          <w:sz w:val="28"/>
        </w:rPr>
        <w:t>构建循环型产业体系</w:t>
      </w:r>
      <w:bookmarkEnd w:id="593"/>
    </w:p>
    <w:p w14:paraId="3C123464">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发展园区循环经济。把产业园区作为科技创新、产业发展和转型升级的主阵地，促进主导产业向园区集中、承接产业向园区转移、关联产业在园区配套、产业集群在园区聚集。对存量园区实施循环化改造，提高产业关联度和循环化程度，增强物流管理和环境管理的精细化程度。合理延伸产业链和补齐循环链，实现园区资源产出率的明显提升。</w:t>
      </w:r>
    </w:p>
    <w:p w14:paraId="4D080DDC">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推进产业循环发展。组织实施产业绿色融合行动，推动不同行业的企业实现原料互供、资源共享，建立跨行业的循环经济产业链。扩大废旧钢铁的再利用规模和废旧装备再制造的产业化发展。加大对生态循环种养结合示范农场和农牧庄园建设的支持力度，推广“畜—沼—粮”“畜—沼—菜”“畜—沼—果”等生态农业模式，加快以褚橙庄园为代表的农业观光旅游，建设农村康体养生度假区。</w:t>
      </w:r>
    </w:p>
    <w:p w14:paraId="764F8595">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推进废弃物资源化利用。建立稀贵金属废旧物料、电子电器废弃物以及其他具有产业基础的废旧物料回收交易体系。引导畜禽养殖场（小区），实行干湿分离和粪尿资源化利用。建设专业化病死畜禽无害化处置。采取肥料化、饲料化、燃料化、基料化、原料化等多种途径，提升秸秆综合利用水平。探索基于市场机制的回收处理机制，对废弃农药包装物实施无害化处理和再利用。</w:t>
      </w:r>
    </w:p>
    <w:p w14:paraId="1372C75D">
      <w:pPr>
        <w:pStyle w:val="5"/>
        <w:pageBreakBefore w:val="0"/>
        <w:kinsoku/>
        <w:wordWrap/>
        <w:overflowPunct/>
        <w:topLinePunct w:val="0"/>
        <w:autoSpaceDE/>
        <w:autoSpaceDN/>
        <w:bidi w:val="0"/>
        <w:adjustRightInd w:val="0"/>
        <w:snapToGrid w:val="0"/>
        <w:spacing w:before="0" w:after="0" w:line="500" w:lineRule="exact"/>
        <w:ind w:firstLine="0" w:firstLineChars="0"/>
        <w:textAlignment w:val="auto"/>
        <w:rPr>
          <w:rFonts w:eastAsia="仿宋"/>
          <w:snapToGrid w:val="0"/>
          <w:color w:val="auto"/>
          <w:sz w:val="28"/>
        </w:rPr>
      </w:pPr>
      <w:bookmarkStart w:id="594" w:name="_Toc23700"/>
      <w:r>
        <w:rPr>
          <w:rFonts w:hint="eastAsia" w:eastAsia="仿宋"/>
          <w:snapToGrid w:val="0"/>
          <w:color w:val="auto"/>
          <w:sz w:val="28"/>
        </w:rPr>
        <w:t>8</w:t>
      </w:r>
      <w:r>
        <w:rPr>
          <w:rFonts w:eastAsia="仿宋"/>
          <w:snapToGrid w:val="0"/>
          <w:color w:val="auto"/>
          <w:sz w:val="28"/>
        </w:rPr>
        <w:t>.1.3</w:t>
      </w:r>
      <w:r>
        <w:rPr>
          <w:rFonts w:hint="eastAsia" w:eastAsia="仿宋"/>
          <w:snapToGrid w:val="0"/>
          <w:color w:val="auto"/>
          <w:sz w:val="28"/>
        </w:rPr>
        <w:t>构建低碳化产业体系</w:t>
      </w:r>
      <w:bookmarkEnd w:id="594"/>
    </w:p>
    <w:p w14:paraId="7779CB1C">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推动能源清洁化。优化工业能源消费结构，做优做强绿色能源产业，加快推进低碳建设。以加快转变能源发展方式为主线，加快能源清洁化进程，到2025年，非化石能源消费占能源消费总量比重达到42%以上。延长绿色能源产业链条，合理设定资源消耗“天花板”，对能源、水等战略性资源消耗总量实施管控，强化资源消耗总量管控与消耗强度管理的协同。到2025年，全县能耗和用水总量控制在全市下达指标内，单位地区生产总值用水量达到市级考核要求，单位GDP能源消耗降幅达3%。</w:t>
      </w:r>
    </w:p>
    <w:p w14:paraId="14441162">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加快工业节能。扎实推进节能示范项目，切实抓好钢铁等主要耗能行业的节能技改工作。钢铁行业重点推进冶炼余热余压回收利用，水泥行业重点推进窑纯低温余热发电、电机系统节能、能量系统优化。推广智慧能源—节能技术与信息技术的深度融合，实现节能管理系统优化。</w:t>
      </w:r>
    </w:p>
    <w:p w14:paraId="0427A0DB">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强化工业节水。着力提高单位工业产品取水量和工业企业用水重复率，按照“以点带面，分步推进”的思路，抓好典型企业节水改造工作，带动钢铁、造纸、农特产品加工及制糖等高耗水行业用水绩效的全面提升。</w:t>
      </w:r>
    </w:p>
    <w:p w14:paraId="5E0FA13C">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加强农业节水。大力开展灌区工程设施配套、建设高效节水灌溉工程、开展山区农业节水灌溉、积极发展旱作节水。依据各地水资源条件推行计划用水，按不同水平年分地区实行用水定额控制管理。</w:t>
      </w:r>
    </w:p>
    <w:p w14:paraId="0A6AAC31">
      <w:pPr>
        <w:pStyle w:val="5"/>
        <w:pageBreakBefore w:val="0"/>
        <w:kinsoku/>
        <w:wordWrap/>
        <w:overflowPunct/>
        <w:topLinePunct w:val="0"/>
        <w:autoSpaceDE/>
        <w:autoSpaceDN/>
        <w:bidi w:val="0"/>
        <w:adjustRightInd w:val="0"/>
        <w:snapToGrid w:val="0"/>
        <w:spacing w:before="0" w:after="0" w:line="500" w:lineRule="exact"/>
        <w:ind w:firstLine="0" w:firstLineChars="0"/>
        <w:textAlignment w:val="auto"/>
        <w:rPr>
          <w:rFonts w:eastAsia="仿宋"/>
          <w:snapToGrid w:val="0"/>
          <w:color w:val="auto"/>
          <w:sz w:val="28"/>
        </w:rPr>
      </w:pPr>
      <w:bookmarkStart w:id="595" w:name="_Toc19896"/>
      <w:r>
        <w:rPr>
          <w:rFonts w:hint="eastAsia" w:eastAsia="仿宋"/>
          <w:snapToGrid w:val="0"/>
          <w:color w:val="auto"/>
          <w:sz w:val="28"/>
        </w:rPr>
        <w:t>8</w:t>
      </w:r>
      <w:r>
        <w:rPr>
          <w:rFonts w:eastAsia="仿宋"/>
          <w:snapToGrid w:val="0"/>
          <w:color w:val="auto"/>
          <w:sz w:val="28"/>
        </w:rPr>
        <w:t>.1.4</w:t>
      </w:r>
      <w:r>
        <w:rPr>
          <w:rFonts w:hint="eastAsia" w:eastAsia="仿宋"/>
          <w:snapToGrid w:val="0"/>
          <w:color w:val="auto"/>
          <w:sz w:val="28"/>
        </w:rPr>
        <w:t>发展绿色生态环境产业</w:t>
      </w:r>
      <w:bookmarkEnd w:id="595"/>
    </w:p>
    <w:p w14:paraId="28035B1F">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加快生态环境技术装备。积极开展大气、水、土壤污染防治、城镇生活垃圾和危险废物处理处置、噪声和振动控制、环境大数据等方面的生态环境技术引进，大力推广垃圾及危废处理先进技术和装备。开展尾矿资源化、工业废渣、再生资源、再制造、水资源节约利用等方面的技术开发。</w:t>
      </w:r>
    </w:p>
    <w:p w14:paraId="431AA276">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创新节能生态环境服务模式。推动环境基础设施建设运营和环境治理服务咨询市场化。引导社会机构参与污染源监测、环境损害评估监测、环境质量现状监测等环境监测活动，推进环境监测服务主体多元化和服务方式多样化。</w:t>
      </w:r>
    </w:p>
    <w:p w14:paraId="41BAB12E">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发展资源循环利用产业。重点发展再生资源回收，风能、太阳能等的利用，餐厨废弃物、建筑废弃物和农林废弃物资源化利用，重点解决共性关键技术的示范推广。</w:t>
      </w:r>
    </w:p>
    <w:p w14:paraId="4D82C70A">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强化绿色产品推广。开展水污染治理产品、大气污染治理产品、噪声与振动控制产品、环境监测仪器设备、生态环境材料和药剂、固废处理处置产品等生态环境产品的绿色认证工作，开展绿色认证检测机构能力评估和资质管理，培育一批绿色生态环境产品标准、认证、监测专业服务机构，提升技术能力、工作质量和服务水平。</w:t>
      </w:r>
    </w:p>
    <w:p w14:paraId="29D91C5D">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zh-CN" w:eastAsia="zh-CN"/>
        </w:rPr>
      </w:pPr>
      <w:bookmarkStart w:id="596" w:name="_Toc22079"/>
      <w:bookmarkStart w:id="597" w:name="_Toc28631"/>
      <w:bookmarkStart w:id="598" w:name="_Toc22958"/>
      <w:bookmarkStart w:id="599" w:name="_Toc7171"/>
      <w:bookmarkStart w:id="600" w:name="_Toc692"/>
      <w:bookmarkStart w:id="601" w:name="_Toc15205"/>
      <w:bookmarkStart w:id="602" w:name="_Toc2899"/>
      <w:bookmarkStart w:id="603" w:name="_Toc15315"/>
      <w:r>
        <w:rPr>
          <w:rFonts w:hint="default" w:ascii="Times New Roman" w:hAnsi="Times New Roman" w:eastAsia="仿宋" w:cs="Times New Roman"/>
          <w:color w:val="auto"/>
          <w:sz w:val="32"/>
          <w:lang w:val="zh-CN" w:eastAsia="zh-CN"/>
        </w:rPr>
        <w:t>8.</w:t>
      </w:r>
      <w:bookmarkEnd w:id="596"/>
      <w:bookmarkEnd w:id="597"/>
      <w:bookmarkEnd w:id="598"/>
      <w:bookmarkEnd w:id="599"/>
      <w:bookmarkEnd w:id="600"/>
      <w:bookmarkEnd w:id="601"/>
      <w:bookmarkEnd w:id="602"/>
      <w:r>
        <w:rPr>
          <w:rFonts w:hint="default" w:ascii="Times New Roman" w:hAnsi="Times New Roman" w:eastAsia="仿宋" w:cs="Times New Roman"/>
          <w:color w:val="auto"/>
          <w:sz w:val="32"/>
          <w:lang w:val="zh-CN" w:eastAsia="zh-CN"/>
        </w:rPr>
        <w:t>2推进产业生态化发展</w:t>
      </w:r>
      <w:bookmarkEnd w:id="603"/>
    </w:p>
    <w:p w14:paraId="56B184DA">
      <w:pPr>
        <w:pStyle w:val="5"/>
        <w:pageBreakBefore w:val="0"/>
        <w:kinsoku/>
        <w:wordWrap/>
        <w:overflowPunct/>
        <w:topLinePunct w:val="0"/>
        <w:autoSpaceDE/>
        <w:autoSpaceDN/>
        <w:bidi w:val="0"/>
        <w:adjustRightInd w:val="0"/>
        <w:snapToGrid w:val="0"/>
        <w:spacing w:before="0" w:after="0" w:line="500" w:lineRule="exact"/>
        <w:ind w:firstLine="0" w:firstLineChars="0"/>
        <w:textAlignment w:val="auto"/>
        <w:rPr>
          <w:rFonts w:eastAsia="仿宋"/>
          <w:snapToGrid w:val="0"/>
          <w:color w:val="auto"/>
          <w:sz w:val="28"/>
        </w:rPr>
      </w:pPr>
      <w:bookmarkStart w:id="604" w:name="_Toc5600"/>
      <w:bookmarkStart w:id="605" w:name="_Toc26539"/>
      <w:bookmarkStart w:id="606" w:name="_Toc533688392"/>
      <w:bookmarkStart w:id="607" w:name="_Toc5262"/>
      <w:r>
        <w:rPr>
          <w:rFonts w:eastAsia="仿宋"/>
          <w:snapToGrid w:val="0"/>
          <w:color w:val="auto"/>
          <w:sz w:val="28"/>
        </w:rPr>
        <w:t>8.2.1推进工业绿色</w:t>
      </w:r>
      <w:r>
        <w:rPr>
          <w:rFonts w:hint="eastAsia" w:eastAsia="仿宋"/>
          <w:snapToGrid w:val="0"/>
          <w:color w:val="auto"/>
          <w:sz w:val="28"/>
        </w:rPr>
        <w:t>化</w:t>
      </w:r>
      <w:r>
        <w:rPr>
          <w:rFonts w:eastAsia="仿宋"/>
          <w:snapToGrid w:val="0"/>
          <w:color w:val="auto"/>
          <w:sz w:val="28"/>
        </w:rPr>
        <w:t>改造</w:t>
      </w:r>
      <w:bookmarkEnd w:id="604"/>
    </w:p>
    <w:p w14:paraId="0332AD98">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（1）优化工业产业结构</w:t>
      </w:r>
    </w:p>
    <w:p w14:paraId="5BBEF68D">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按照《关于实行市场准入负面清单制度的意见》，衔接《产业结构调整指导目录》，以《国民经济行业分类》为基准，落实好市场准入负面清单制度。以钢铁、建材、水泥等行业为重点，对能耗、生态环境、安全、质量、技术达不到标准和生产不合格产品或淘汰类产能，通过完善综合标准体系，严格常态化执法和强制性标准实施，推动一批能耗、生态环境、安全、质量、技术达不到标准和生产不合格产品或淘汰类产能依法依规关停退出，环境质量得到改善，产业结构持续优化升级。全面加强全产业链监管，严防地条钢死灰复燃。</w:t>
      </w:r>
    </w:p>
    <w:p w14:paraId="7A7DC358">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提升巩固传统优势产业。深化钢铁企业产能置换技术升级改造，加快发展高端高品质钢材，提高钢铁产业整体综合实力。稳定水泥生产规模，大力发展新型建材。</w:t>
      </w:r>
    </w:p>
    <w:p w14:paraId="59443DDC">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（2）建设资源节约型工业</w:t>
      </w:r>
    </w:p>
    <w:p w14:paraId="5B7E8584">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坚决关停达不到单位能耗限额要求，且不能有效整改的钢铁和建材行业企业。实行严格的能源、水资源“双控”制度，将消耗总量和效率指标分解落实到用能、用水大户。继续推动锅炉、电机、变压器等通用设备能效提升和余热余压利用。推动重点企业能源、水资源管理体系建设，将管理体系贯穿于企业生产全过程，构建能效水效提升长效机制。加强工业节能节水监察，组织开展强制性标准贯标及落后设备淘汰等监察，实施重点行业、重点企业专项监察和督查。</w:t>
      </w:r>
    </w:p>
    <w:p w14:paraId="705D8EE3">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（3）构建环境友好型工业</w:t>
      </w:r>
    </w:p>
    <w:p w14:paraId="7B5F3873">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实施全面达标排放行动。以排污许可证“一证式”改革抓手，以达标排放为底线，不断深入推进污染物减排。落实“等量淘汰（置换）”或“减量淘汰（置换）”制，严控新增污染物增量。加快实施重点行业企业达标排放限期改造，达不到排放标准且达标无望的企业，坚决实施关停；加大钢铁、制糖、造纸等重点企业工艺提升和废水废气治理力度。</w:t>
      </w:r>
    </w:p>
    <w:p w14:paraId="5CAAB856">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深化工业特征污染物防治。继续强化工业重金属污染防治。坚持“控新治旧”，以砷、铅、汞、镉、铬为关键要素，抓好涉重企业污染防控工作。强化源头控制和末端治理，大力推广安全高效的先进生产工艺，鼓励企业在达标基础上进行深度处理，县域涉重企业全面推行“一厂一策”防控方案。</w:t>
      </w:r>
    </w:p>
    <w:p w14:paraId="3D525D22">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继续推行清洁生产审核。建立健全企业自愿性清洁生产机制，扩大自愿性清洁生产审核范围。依法对超过国家和地方排放标准或总量控制的企业，以及涉及有毒有害物质的企业实施强制清洁生产审核。</w:t>
      </w:r>
    </w:p>
    <w:p w14:paraId="0A892F53">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强化工业企业监管。严处“未批先建”和“久拖不验”等严重违法违规现象，对拒不执行整改要求的企业执行“按日计罚”。增加钢铁、食品加工等重点排污工业的监管频次和力度，实行“红黄牌制度”，实施“红牌”限期停业、关闭和“黄牌”限制生产或停产整治。每季度向社会公布“黄牌”“红牌”企业名单。完善重点排污单位污染物超标排放和异常报警机制，逐步实现工业污染源排放监测数据统一采集、公开发布。加大对减排工作滞后、进展缓慢、处理不达标的重点项目和重点企业监管、专项督查和督促整改力度。加大生态环境违法查处力度。</w:t>
      </w:r>
    </w:p>
    <w:p w14:paraId="0D63C46B">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加快推进排污权交易制度实施。完善排污权交易制度，扩大涵盖的污染物和排污单位范围，加强排污权交易基础能力建设。逐步强化以企业为单元进行总量控制、通过排污权交易获得减排收益的机制。搭建污染物监测、报告与核查体系框架，实施污染物排放核查，摸清污染物排放的底数，确保企业报送数据的真实可靠，制定纳入排污权交易体系重点企业名单。明确企业的违约成本、引导企业积极交易。</w:t>
      </w:r>
    </w:p>
    <w:p w14:paraId="43E2E0EA">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（4）发展低碳导向型工业</w:t>
      </w:r>
    </w:p>
    <w:p w14:paraId="5FB4C1F7">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优化工业能源结构。从供需两侧共同发力，加快能源供给侧清洁能源产业化发展，合理布局中小型水电工程，以满足地方工业、民生用电、强化县域经济为导向，适当开发满足地方矿电结合需求的中小型水利水电工程。鼓励大中型企业参与中小水电资源整合，理顺中小水电市场秩序，提高中小水电资源利用率。稳步推进风能资源开发利用。健康发展太阳能光伏利用。全面推广使用天然气，支持重点用能企业实施可再生能源及天然气替代改造。</w:t>
      </w:r>
    </w:p>
    <w:p w14:paraId="5BF7893A">
      <w:pPr>
        <w:pStyle w:val="5"/>
        <w:pageBreakBefore w:val="0"/>
        <w:kinsoku/>
        <w:wordWrap/>
        <w:overflowPunct/>
        <w:topLinePunct w:val="0"/>
        <w:autoSpaceDE/>
        <w:autoSpaceDN/>
        <w:bidi w:val="0"/>
        <w:adjustRightInd w:val="0"/>
        <w:snapToGrid w:val="0"/>
        <w:spacing w:before="0" w:after="0" w:line="500" w:lineRule="exact"/>
        <w:ind w:firstLine="0" w:firstLineChars="0"/>
        <w:textAlignment w:val="auto"/>
        <w:rPr>
          <w:rFonts w:eastAsia="仿宋"/>
          <w:snapToGrid w:val="0"/>
          <w:color w:val="auto"/>
          <w:sz w:val="28"/>
        </w:rPr>
      </w:pPr>
      <w:bookmarkStart w:id="608" w:name="_Toc9883"/>
      <w:bookmarkStart w:id="609" w:name="_Toc24210"/>
      <w:bookmarkStart w:id="610" w:name="_Toc8139"/>
      <w:r>
        <w:rPr>
          <w:rFonts w:eastAsia="仿宋"/>
          <w:snapToGrid w:val="0"/>
          <w:color w:val="auto"/>
          <w:sz w:val="28"/>
        </w:rPr>
        <w:t>8.2.</w:t>
      </w:r>
      <w:bookmarkEnd w:id="608"/>
      <w:bookmarkEnd w:id="609"/>
      <w:r>
        <w:rPr>
          <w:rFonts w:eastAsia="仿宋"/>
          <w:snapToGrid w:val="0"/>
          <w:color w:val="auto"/>
          <w:sz w:val="28"/>
        </w:rPr>
        <w:t>2推进园区循环化改造</w:t>
      </w:r>
      <w:bookmarkEnd w:id="610"/>
    </w:p>
    <w:p w14:paraId="46284C0D">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（1）空间布局和产业结构优化</w:t>
      </w:r>
    </w:p>
    <w:p w14:paraId="60BA5F96">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空间布局合理化。根据《中共云南省委云南省人民政府关于印发〈云南省各类经济开发区优化提升总体方案〉的通知》（云委﹝2020﹞287号）文件通知，整合保留新平产业园区。根据产业关联性，开展产业园区布局总体设计或进行布局优化，改造园区内的企业、产业和基础设施的空间布局，体现产业集聚和循环链接效应，实现土地的节约集约高效利用。明晰片区产业定位及布局，围绕先进制造业育链延链补链强链，推动产业链上下游企业纵向衔接、配套企业横向协同发展。以“园区＋基地”模式，实施“三年倍增、五年跨越”行动计划，强化土地集约节约利用，推进新平产业园区高质量发展，把园区打造成为经济建设主力区、绿色矿冶集聚区。实施特色产业集群发展工程，培育以仙福集团为重点的五百亿级钢铁产业及配套集群，以两矿为重点的百亿级矿产采选集群，以斗戛轻工产业园为重点的五十亿级轻工制造集群，以南恩公司为重点的三十亿级生物资源加工集群。</w:t>
      </w:r>
    </w:p>
    <w:p w14:paraId="3CB2947F">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实施园区提档升格工程。用好云南省开发区优化提升政策，抢抓大化产业园区整合开发机遇，主动承接云南绿色钢城建设，明确园区产业定位，加快整合力度，突出产业特色，增强产业集聚发展能力，构建优势突出、布局合理、集约高效的产业体系，推进产业基础高级化、产业链条现代化。</w:t>
      </w:r>
    </w:p>
    <w:p w14:paraId="111A8EDA">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实施百亿元基础设施提升工程。围绕用地集中、开发集约、产业集聚和高质量发展要求，利用新型城镇化建设契机，加快推进扬武片区、桂山片区产城融合基础设施建设项目，着力完善园区基础设施及配套，提升园区产业聚集功能。</w:t>
      </w:r>
    </w:p>
    <w:p w14:paraId="76E49DAB">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（2）提高矿冶、钢铁传统产业链接关联度</w:t>
      </w:r>
    </w:p>
    <w:p w14:paraId="3DB53E87">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针对已发展的支柱产业，不断调整产业和产品结构，推进园区循环经济产业链建设，以矿产绿色开发为抓手，加强产业链供应链价值链协同发展，提升矿冶产业科技化水平，支持企业转型升级，培育矿冶、钢铁下游产业，推进从矿山—冶炼—铸造全链条发展，打造全省重要的绿色矿冶集聚区。</w:t>
      </w:r>
    </w:p>
    <w:p w14:paraId="73B0AD73">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重点实施产业链招商、强链补链招商，合理延伸产业链，实现园区项目间、企业间、产业间首尾相连、环环相扣、闭路循环、物尽其用，完善循环经济产业链，促进原料投入和废物排放的减量化、再利用和资源化，以及危险废物的资源化利用和无害化处理。</w:t>
      </w:r>
    </w:p>
    <w:p w14:paraId="7BEBE418">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以矿产绿色开发为抓手，加强产业链供应链价值链协同发展，提升矿冶产业科技化水平，支持企业转型升级，培育矿冶、钢铁下游产业，推进从矿山—冶炼—铸造全链条发展，打造全省重要的绿色矿冶集聚区。支持仙福等钢铁企业，调整产品结构，引进复合板材、管材、不锈钢及高性能合金钢等配套项目，开发高洁净度、高强度、高塑性变形、高抗腐蚀性和耐磨的优质钢材等终端产品，改变当前以线材、棒材、盘螺等普通建筑用钢为主的单一局面，推动从矿冶向中下游产业链延伸，促进产业转型升级。加快推进仙福集团产能置换升级改造及配套项目，建设1350立方米炼铁高炉、100吨炼钢转炉、120万吨球团生产线和60万吨活性石灰生产线、120万吨煤焦化，规划建设成发公司105万吨煤焦化项目，加快仙福集团100万吨型钢生产线、100万吨带钢项目建设。使全县的钢铁、水泥行业产能总量与市场需求、环境承载能力、资源保障基本适应。</w:t>
      </w:r>
    </w:p>
    <w:p w14:paraId="163C1950">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（3）稳步提升加工制造业</w:t>
      </w:r>
    </w:p>
    <w:p w14:paraId="6F3BEFC7">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引进和培育先进装备制造业，加快建设重要的区域性制造业基地。加快发展轻工产业，推进力高公司转型升级，发展医护人员防护用品、特种劳动防护用品等纺织制品；支持发展旅游产品、民族工艺品、竹木制品、木制家具等加工业。依托传统铸造业，延伸矿冶业产业链，大力发展铸件产品的半精加工和精深加工，以及特色五金、钢结构件、农机等金属制品业。鼓励发展新型建材产业，提高矿山采选废渣、建筑废物、煤矸石、粉煤灰等资源综合利用率，鼓励发展非粘土烧结多孔砖、混凝土多孔砖、烧结页岩多孔砖、蒸压加气混凝土砌块、石膏砌块等新型墙体材料以及其他轻质建材加工业。加快发展高新技术产业，围绕壮大新动能、培育新引擎，扩大招商引资、招才引智，加快聚集一批高端化、智能化项目，以物联网、生物医药等战略性新兴产业培育为重点，大力发展高新技术产业，提升企业自主创新能力，提高核心竞争力。到2025年，力争轻工制造业、装备制造业产值均达10亿元以上。</w:t>
      </w:r>
    </w:p>
    <w:p w14:paraId="53457188">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（4）大力发展生物资源加工业</w:t>
      </w:r>
    </w:p>
    <w:p w14:paraId="7D75E07A">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提高传统食品工业技术装备水平，培育壮大茶叶、核桃、甜橙、蔬菜、肉制品等新平特色食品加工业。加快传统特色食品工业发展，充分用好用活“新平腌菜”地理标志，整合酱菜加工企业，提升品牌效益和产品附加值，做大做强具有地方和民族特色的酱菜产业。强化果蔬产品冷链周转、分选包装和畜禽产品屠宰、冷链，推进茶叶、中药饮片等农产品初加工，发展涵盖种植和养殖基地、加工销售、研发为一体的高原特色农产品加工业。深度开发以植物提取为主的天然生物医药、保健品、保健酒、天然香料、天然化妆品等生物新产品，发展黄精、石斛、滇重楼、三七等中药材精深加工，扩大露水草、玫瑰花种植及精深加工（蜕皮激素、玫瑰精油、玫瑰纯露）生产规模，支持工业大麻加工项目建设，加快推进大麻二酚项目。大力发展以绿色食品加工为主的生物加工业，加快蔗糖加工产业转型发展，推进南恩糖纸搬迁改造转型升级项目建设，推动糖纸产业良性发展。到2025年，力争生物资源加工业产值达10亿元以上。</w:t>
      </w:r>
    </w:p>
    <w:p w14:paraId="575F51AD">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（5）节能降碳常态化</w:t>
      </w:r>
    </w:p>
    <w:p w14:paraId="0C8AD2EA">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优化能源结构。加快构建多元化的清洁能源供应网络，提高可再生能源、天然气、电力在能源消费结构中的比例。</w:t>
      </w:r>
    </w:p>
    <w:p w14:paraId="38FC8E54">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推进工业能效提升。能效提效是贯穿于工业发展始终的重要任务，应推动节能从局部、单体节能，向全流程、系统节能转变。突出抓好园区重点耗能企业的节能降耗，实施工业能效赶超行动和低碳标杆引领计划，加强高耗能企业能耗管控。在仙福钢铁等重点用能企业中，开展能效对标活动，实施能效“领跑者”制度。在推动仙福钢铁加快转型升级的同时，加强园区重点用能企业生产能力调整和改造，用高新技术、清洁生产技术改造提升传统生产工艺，开展单位能耗产出效益综合评价和节能诊断，以系统能量优化、淘汰落后高耗能设备、余热回收利用为重点，“一企一策”制定差异化节能改造方案并组织实施，大力提高能源利用水平，构建以企业为主体的低碳产业支撑体系。创新节能服务模式，鼓励实施合同能源管理。</w:t>
      </w:r>
    </w:p>
    <w:p w14:paraId="73F07084">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推进建筑节能。大幅提升新建建筑能效，大力推广新建标准厂房采用高效保温材料复合墙体，采用高效节能门窗，提高建筑幕墙周边密封技术，充分利用园区屋顶、建筑立面、车棚顶面等资源，推进光伏发电与建筑一体化应用。建设连接光伏发电、储能设备和充放电设施的微电网系统，实现电力高效消纳利用。到2025年园区新建建筑100%执行绿色建筑标准。</w:t>
      </w:r>
    </w:p>
    <w:p w14:paraId="56B42990">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（6）资源利用高效化</w:t>
      </w:r>
    </w:p>
    <w:p w14:paraId="5A3E3657">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园区资源高效化需要从园区工业生产的减量化、用能的集约化和能源的低碳化这三个途径入手，实现四个“降低”：降低经济产出带来的物质消耗需求，降低物质消耗需求带来的实际物质生产，降低实际生产带来的能源消耗，降低能源消耗带来的碳排放。根据园区内企业资源及废弃物利用情况，制定资源综合利用路线图，提出促进园区资源循环高效利用、提高资源产出率等方面的主要任务。</w:t>
      </w:r>
    </w:p>
    <w:p w14:paraId="244CA40D">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（7）污染治理集中化</w:t>
      </w:r>
    </w:p>
    <w:p w14:paraId="4120C511">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结合园区主要污染物排放情况，加强污染集中治理设施建设及升级改造的任务。培育或引进专业化节能环保服务公司，实行园区污染集中治理，创新环境服务模式，强化园区的环境综合管理，构建园区、企业和产品等不同层次的环境治理和管理体系，大力推进园区内工业副产石膏、冶炼渣等大宗工业固废集中处置和资源化利用，最大限度降低污染物排放水平。</w:t>
      </w:r>
    </w:p>
    <w:p w14:paraId="2E5BC13C">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（8）基础设施绿色化</w:t>
      </w:r>
    </w:p>
    <w:p w14:paraId="240BF4CD">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基础设施绿色升级是实现园区绿色循环发展的必经之路。加大新型低碳技术研发，引领基础设施由资源依赖型向技术依赖型发展模式转变；加速基础设施升级改造和有序淘汰，抢抓后疫情时代绿色复苏的发展机遇。结合园区基础设施现状，进一步优化园区基础设施布局与配置，提出对园区内供水、供电、供热、供冷、照明、通讯、运输、建筑等基础设施进行改造的任务。一是环境基础设施，形成资源化协同处理模式。废弃物处置：对废水、废气、废渣等污染物集中治理，规范收集储存和运输；生活垃圾：将生活垃圾、餐厨垃圾和粪便无害化处理，补齐垃圾分类末端处置能力；污水治理：实施雨污分流，污水“零排放”。通过污水在线监测系统对处理后污水的指标、排放流量进行全程监控。二是社会性基础设施，优化公共服务配套。公共建筑：充分利用自然采光、自然通风、节能门窗、高性能隔热保温材料、室内温湿度及照明智能控制建筑与光伏一体化、施工就地取材等措施。合理设计确定热网管径，科学选择相应的设备，利用节能装置确保设备高效运行；共享平台：建设企业共享综合服务中心、一站式商业配套、创客及中小微企业服务平台。三是新型基础设施，建设绿色低碳一体化信息服务平台。通过园区企业间的信息资源共享，及时发布各类发展循环经济的相关信息，提供循环经济方面的技术服务、专家咨询、金融对接、政策解读等信息服务，满足线上信息传达和线下生产对接的融合，将园区企业碳排放量统计管理纳入信息服务平台，提高用户能源数据的可追溯能力，实现以信息技术引导物质流、资源配置优化和废弃物交换交易，促进园区生产链接和区域共生，辅助园区循环经济管理决策。注重园区绿化，美化园区生态环境。大力发展天然气、风电、光伏太阳能发电、生物质能等新能源，全力协调推进新平产业园区增量配电网、新平县大开门至县城28公里天然气管道等项目建设。到2025年，力争清洁能源产值达10亿元以上。</w:t>
      </w:r>
    </w:p>
    <w:p w14:paraId="180C28BF">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（9）运行管理规范化</w:t>
      </w:r>
    </w:p>
    <w:p w14:paraId="2DA60DE0">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建立健全园区循环化改造指导协调机制，建立园区循环经济统计指标体系，提高信息化应用和管理水平。推进园区循环经济信息公共服务平台建设，鼓励园区组建重点领域循环经济产业联盟。开展园区循环经济宣传、教育和培训。强化园区内企业资源节约、环境保护的执法监督。提升企业生态化管理水平。充分调动企业对开发区建设的主体作用，立足制造业的全生命周期，从源头设计、过程控制、产品输出等方面，推动企业广泛开展生态设计、清洁生产、能源审计、能效对标、ISO14001环境管理认证、环境标志产品认证、低碳产品认证等绿色行动，塑造一批企业生态化管理示范企业。加快建设园区绿色低碳一体化信息服务平台项目——建立园区统一的服务平台、数据资源中心和大数据决策分析平台，构建园区监管与服务中枢满足国家循环化改造项目中循环经济信息平台所需的基本功能要求，强化数据资源应用，实现循环经济大数据、物联网大数据、互联网社会大数据的集中构建，进行园区废弃物交换信息、循环经济信息交换使用，集成循环经济科技研发等公共服务功能。</w:t>
      </w:r>
    </w:p>
    <w:p w14:paraId="7DE12CEF">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（10）保障区域环境安全</w:t>
      </w:r>
    </w:p>
    <w:p w14:paraId="62AF3C60">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加强污染物源头总量控制。严格环境准入，通过空间准入限制、环境影响评价、总量审批前置等强化建设项目全过程监管，从决策源头防止环境污染。强化试生产申请备案制度，将试生产申请作为项目环境管理的重要节点。实施企业环保动态跟踪制度，完善园区企业环保“一户一档”。推进化学需氧量、氨氮、二氧化硫、氮氧化物等主要污染物减排。</w:t>
      </w:r>
    </w:p>
    <w:p w14:paraId="3101926A">
      <w:pPr>
        <w:pStyle w:val="5"/>
        <w:pageBreakBefore w:val="0"/>
        <w:kinsoku/>
        <w:wordWrap/>
        <w:overflowPunct/>
        <w:topLinePunct w:val="0"/>
        <w:autoSpaceDE/>
        <w:autoSpaceDN/>
        <w:bidi w:val="0"/>
        <w:adjustRightInd w:val="0"/>
        <w:snapToGrid w:val="0"/>
        <w:spacing w:before="0" w:after="0" w:line="500" w:lineRule="exact"/>
        <w:ind w:firstLine="0" w:firstLineChars="0"/>
        <w:textAlignment w:val="auto"/>
        <w:rPr>
          <w:rFonts w:eastAsia="仿宋"/>
          <w:snapToGrid w:val="0"/>
          <w:color w:val="auto"/>
          <w:sz w:val="28"/>
        </w:rPr>
      </w:pPr>
      <w:bookmarkStart w:id="611" w:name="_Toc27206"/>
      <w:r>
        <w:rPr>
          <w:rFonts w:eastAsia="仿宋"/>
          <w:snapToGrid w:val="0"/>
          <w:color w:val="auto"/>
          <w:sz w:val="28"/>
        </w:rPr>
        <w:t>8.2.3推进农业绿色化发展</w:t>
      </w:r>
      <w:bookmarkEnd w:id="611"/>
    </w:p>
    <w:p w14:paraId="7C1647C7">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（1）确保耕地永续利用</w:t>
      </w:r>
    </w:p>
    <w:p w14:paraId="1EBFB3B0">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稳定耕地面积。实行最严格的耕地保护制度，稳定粮食播种面积，严控新增建设占用耕地，确保耕地保有量和基本农田红线。划定永久基本农田，按照保护优先的原则，将城镇周边、交通沿线、粮油生产基地的优质耕地优先划为永久基本农田，实行永久保护。</w:t>
      </w:r>
    </w:p>
    <w:p w14:paraId="56526F7D">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提升耕地质量。开展土地整治、中低产田改造建设，加大高标准农田建设力度，继续推动基本农田改造。加强基本农田水利设施建设，在有条件的地方通过引水工程、增加基本农田灌溉面积。在引水困难的区域，大量修建小水窖、小水池，充分利用雨水进行灌溉。</w:t>
      </w:r>
    </w:p>
    <w:p w14:paraId="4219A7B3">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建立农田休耕制度。在保证国家粮食安全和不影响农民收入的前提下，对土壤污染严重、区域生态功能退化、可利用水资源不足等不宜连续耕种的农田实行定期休耕。</w:t>
      </w:r>
    </w:p>
    <w:p w14:paraId="097D66E9">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（2）深化农业结构调整</w:t>
      </w:r>
    </w:p>
    <w:p w14:paraId="646B6305">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按照“宜农则农、宜林则林、宜畜则畜、宜果则果”的原则，发展特色水果等高效生态特色作物、生态观光农业。</w:t>
      </w:r>
    </w:p>
    <w:p w14:paraId="2607EE23">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加快优势特色产业基地建设。发展绿色、无公害蔬菜，特色水果产业发展。提高畜牧业发展质量，提高畜禽产品保障能力。</w:t>
      </w:r>
    </w:p>
    <w:p w14:paraId="7C189589">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（3）发展特色优势产业</w:t>
      </w:r>
    </w:p>
    <w:p w14:paraId="38D41D95">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水果产业。创建“一县一业（水果）”示范县，坚持标准化、生态化、品牌化发展，发挥“褚橙”引领示范作用，建设绿色有机农产品产地认证柑橘示范园区，将红河谷－绿汁江半山一线建设成以柑橘为主的绿色生态经济走廊。围绕香蕉、芒果、荔枝等热区水果建立优质种苗繁育基地和生产基地，推进有机果园基地建设。到2025年，水果种植面积达30万亩，产值达20亿元以上，其中：柑橘种植面积达15万亩，产值达16亿元以上。</w:t>
      </w:r>
    </w:p>
    <w:p w14:paraId="15118BAA">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畜禽产业。以生猪为重点，推广养殖业新型经营模式，大力发展种养结合和生态循环的适度规模养殖，提升畜牧业组织化程度和综合生产能力，实现百万头生猪调出大县目标。支持加工企业向畜禽养殖、饲料生产、屠宰加工、冷鲜领域拓展，提升生猪就近屠宰加工能力，构建“生猪屠宰+冷链运输+冷鲜上市”的生猪产业链模式。到2025年，肉蛋奶总产达9.88万吨，畜禽产值达60亿元。</w:t>
      </w:r>
    </w:p>
    <w:p w14:paraId="338E9AD1">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蔬菜产业。积极发展热区冬早蔬菜和温凉地区夏季蔬菜，建设老厂、水塘、戛洒、漠沙冬早蔬菜基地和平掌、建兴、新化、者竜等高山露地蔬菜基地。打好“品种差”“时间差”，开辟外销型蔬菜种植新区。加快新品种引进，建设蔬菜良种繁育基地。加强自动化分级包装流水线、田头预冷、冷链运输、冷藏保鲜等设备设施建设，提升蔬菜产业的现代化水平。到2025年，蔬菜种植面积达20万亩，蔬菜产值达10亿元以上。</w:t>
      </w:r>
    </w:p>
    <w:p w14:paraId="61496DAC">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中药材产业。优化产业布局，着力建设道地药材和特色药材基地，在哀牢山中高海拔地区重点种植露水草、龙胆草、重楼、黄精等喜阴凉的中药材，红河谷沿线热区种植辣木等喜光温中药材，合理利用林下土地资源布局中药材。加强传统工艺传承和现代加工技术研发，开发符合现代生活方式的地道品种新型饮片（民族药），提升中药材加工率。到2025年，中草药种植面积达2.5万亩，产值达1亿元以上。</w:t>
      </w:r>
    </w:p>
    <w:p w14:paraId="5A920A0C">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茶叶产业。以平掌乡、水塘镇、者竜乡为重点，建设优质普洱茶、高端绿茶、名优红茶生产基地。改造低产低质茶园，加快有机茶园建设，促进台地茶园向优质、高效转换。积极打造茶产品特色品牌，提升茶叶知名度和影响力。规范发展茶叶初制所，确保产品质量。到2025年，茶叶种植面积达4.62万亩，产值达0.7亿元以上。</w:t>
      </w:r>
    </w:p>
    <w:p w14:paraId="4A3E0E3D">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竹产业。建设高标准竹林基地，开展低效竹林改造。积极进行竹产品“三品一标”认证，以采摘季节卖鲜笋、过季时卖干笋的方式，延长特色食用笋的销售季节。开发具有民族特色的甜笋煮土鸡、酸笋煮鱼、竹虫等与竹有关食品。保护性发展传统手工草纸工艺，积极发展竹手工艺。以打造区域性竹浆原料基地为目标，巩固提升种竹效益。到2025年，竹子种植面积达36万亩以上，产值达2亿元以上。</w:t>
      </w:r>
    </w:p>
    <w:p w14:paraId="03C4927A">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核桃产业。以提质增效为核心，建设优质高效核桃综合示范基地，积极进行核桃产品“三品一标”认证，积极融入“云南古树核桃”高端坚果品牌创建，促进核桃产业由数量增长向质量效益增长转型。加快核桃产业化进程，以高品质核桃油、核桃粉、核桃露和核桃仁为重点，发展加工企业。到2025年，核桃种植面积稳定在50万亩，产值达6亿元以上。</w:t>
      </w:r>
    </w:p>
    <w:p w14:paraId="22BBBE9D">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甘蔗产业。优化种植区域布局，改善蔗区基础设施条件，建设高标准、规范化生态种植基地。引进高糖耐旱良种，推广全膜覆盖种植技术，引导蔗农科学施肥，推广机械化栽种收割，降低蔗农生产成本。到2025年，甘蔗种植面积稳定在8.5万亩左右，产值达2亿元以上。</w:t>
      </w:r>
    </w:p>
    <w:p w14:paraId="7F9871C0">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（4）发展现代标准化农业</w:t>
      </w:r>
    </w:p>
    <w:p w14:paraId="34C9E0BF">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制定主要特色农作物生产标准和技术规程，逐步建立健全农产品产地准出、质量追溯制度。鼓励农业龙头企业、农民专业合作社等农业新型经营主体，按标准组织生产和订单收购，促进农产品“按标生产、按标上市、按标流通”。加快柑橘、蔬菜等农产品质量标准体系建设，推动内外销产品“同线同标同质”。完善质量安全追溯体系建设，全面推广应用国家农产品质量安全追溯管理信息平台，加强农产品品牌评定、打造“新三品一标”，全面提升农产品品质。到2025年，新增“三品一标”产品认证50个。鼓励企业参加绿色、有机产品认证、云南省“10大名品”“10强企业”“20佳创新企业”等品牌评选活动，发挥“褚橙”等品牌引领示范作用，培育“新平柑橘”“新平芒果”“新平荔枝”等区域性品牌。</w:t>
      </w:r>
    </w:p>
    <w:p w14:paraId="53B3D56A">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（5）发展高效节水型农业</w:t>
      </w:r>
    </w:p>
    <w:p w14:paraId="163A0ECF">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优化配置农业用水。通过建设骨干水源工程和实施区域水资源配置工程，进一步优化用水结构，缓解重点农业生产区的用水压力。充分利用天然降水。根据各地水资源承载能力和自然、经济、社会条件，优化配置水、土、光、热、种质等资源，合理调整农业生产布局、农作物种植结构以及农、林、牧业用水结构。在保证粮食和烤烟稳定增产的基础上，优化农业种植结构，扩大经济作物种植面积，大力发展蔬菜、水果等优势产业，在山区、半山区积极发展畜牧业，在水资源短缺地区积极发展旱作节水农业。完善农业节水工程措施。在干旱和易发生水土流失地区，加快推广保护性耕作技术。</w:t>
      </w:r>
    </w:p>
    <w:p w14:paraId="58DE9930">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（6）推进农业投入物减量化</w:t>
      </w:r>
    </w:p>
    <w:p w14:paraId="7DF74C00">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实施化肥使用量“负增长”行动。按照“精、调、改、替”相结合的思路，进一步细化各重点区域控肥要求与技术路径，继续强化测土配方施肥，扩大施肥配方供给，完善标准化配方肥经销网络。稳步推进测土配方施肥应用。充分发挥种植大户、家庭农场、专业合作社等新型农业经营主体的示范带头作用，强化技术培训和指导服务，逐步转变施肥方式，推广滴灌施肥、喷灌施肥等水肥一体化技术、氮肥深施、磷肥集中施用技术和适应性施肥技术；大力推广缓控释肥、生物有机肥、水溶性肥料、腐植酸肥料、叶面肥料等新型肥料及其搭配组合模式。</w:t>
      </w:r>
    </w:p>
    <w:p w14:paraId="48DC7EEC">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实施农药使用量“负增长”行动。按照“控、替、清、统”相结合的思路，进一步细化各重点区域农药控制要求与技术路径，实施新平县农药使用量负增长行动。构建病虫害监测预警体系，逐步配备自动虫情测报灯、自动计数性诱捕器、病害智能监测仪等现代监测工具。普及科学用药，全面禁止并坚决打击剧毒高毒农药生产、销售和使用，扩大低毒生物农药补贴项目实施范围，鼓励开发生产生物高效低毒低残留农药并快速推广应用。提高喷雾对靶性，提高农药利用率。推进绿色防控与统防统治。集成推广一批绿色病虫害防控模式，着力解决技术不配套、不规范的问题。以标准化种植基地为重点，建立一批绿色防控示范区，带动大面积推广应用。提升病虫害防治组织化程度，积极探索第三方服务，提升装备、技术和服务水平，逐年提高主要农作物病虫害统防统治覆盖面积。</w:t>
      </w:r>
    </w:p>
    <w:p w14:paraId="5E2B56B9">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推进农膜减量化行动。严禁生产销售和使用厚度在0.01毫米以下的地膜。制定引导机制，明确对旱作农业、一膜两用、适时揭膜、机械拾膜技术的补助方案和对厚地膜使用与加工回收的补贴政策。健全废弃农膜回收贮运和综合利用网络。</w:t>
      </w:r>
    </w:p>
    <w:p w14:paraId="37EA05CD">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（7）推进农业废弃物资源化</w:t>
      </w:r>
    </w:p>
    <w:p w14:paraId="7E6E64FD">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推动养殖业粪污资源化利用。统筹考虑环境承载能力及畜禽养殖污染防治要求，按照农牧结合、种养平衡的原则，科学规划布局畜禽养殖，按照畜禽及水产分区划定要求，按时关闭或搬迁禁养区内的养殖场、养殖小区和养殖专业户。推行标准化规模养殖，配套建设粪便污水贮存、处理、利用设施，改进设施养殖工艺，完善技术装备条件。在种养密度较高的地区和新农村集中区因地制宜建设规模化沼气工程，支持第三方畜禽粪污治理体系，支持规模化养殖企业利用畜禽粪便生产有机肥，支持多种模式发展规模化生物天然气工程。在散养密集区实行干湿分离，干粪生产有机肥，尿液污水进行发酵处理，完善畜禽粪污收集、堆沤积肥、有机肥加工等设施设备，基本实现分户收集、集中处理。推进新平县畜禽粪污资源化利用整县推进项目</w:t>
      </w:r>
    </w:p>
    <w:p w14:paraId="767EF77E">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推动种植业秸秆资源化利用。开展秸秆产生及利用情况普查，结合农民意愿，确立各区域、各类秸秆最佳利用途径。以秸秆肥料化使用为重点，推动秸秆机械还田、堆沤还田。加快秸秆饲料化利用；加快开展秸秆基料化利用；探索秸秆原料化利用方式。积极推广秸秆燃料化利用，大力发展秸秆沼气、秸秆固化成型燃料等产业。</w:t>
      </w:r>
    </w:p>
    <w:p w14:paraId="04A48D62">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（8）开展生态农业示范推广</w:t>
      </w:r>
    </w:p>
    <w:p w14:paraId="66C20363">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科学布局种植业、养殖业及其产业内部结构，形成产业相互依存、相互融合、物质多级循环的农业经营模式。大力推进畜禽规模养殖场（小区）、规模种植基地走种养结合之路，引导畜禽规模养殖场（小区）配套相应规模的种植基地，促进种植业与养殖业配套发展，实现畜禽养殖粪污循环利用，就地消纳，种养双赢。充分利用果园、林地、稻田等资源发展种养殖，促进农民收入持续增长。</w:t>
      </w:r>
    </w:p>
    <w:p w14:paraId="321A30FE">
      <w:pPr>
        <w:pStyle w:val="5"/>
        <w:pageBreakBefore w:val="0"/>
        <w:kinsoku/>
        <w:wordWrap/>
        <w:overflowPunct/>
        <w:topLinePunct w:val="0"/>
        <w:autoSpaceDE/>
        <w:autoSpaceDN/>
        <w:bidi w:val="0"/>
        <w:adjustRightInd w:val="0"/>
        <w:snapToGrid w:val="0"/>
        <w:spacing w:before="0" w:after="0" w:line="500" w:lineRule="exact"/>
        <w:ind w:firstLine="0" w:firstLineChars="0"/>
        <w:textAlignment w:val="auto"/>
        <w:rPr>
          <w:rFonts w:eastAsia="仿宋"/>
          <w:snapToGrid w:val="0"/>
          <w:color w:val="auto"/>
          <w:sz w:val="28"/>
        </w:rPr>
      </w:pPr>
      <w:bookmarkStart w:id="612" w:name="_Toc210"/>
      <w:r>
        <w:rPr>
          <w:rFonts w:eastAsia="仿宋"/>
          <w:snapToGrid w:val="0"/>
          <w:color w:val="auto"/>
          <w:sz w:val="28"/>
        </w:rPr>
        <w:t>8.2.</w:t>
      </w:r>
      <w:bookmarkEnd w:id="605"/>
      <w:bookmarkEnd w:id="606"/>
      <w:bookmarkEnd w:id="607"/>
      <w:r>
        <w:rPr>
          <w:rFonts w:eastAsia="仿宋"/>
          <w:snapToGrid w:val="0"/>
          <w:color w:val="auto"/>
          <w:sz w:val="28"/>
        </w:rPr>
        <w:t>4推进固体废弃物综合利用</w:t>
      </w:r>
      <w:bookmarkEnd w:id="612"/>
    </w:p>
    <w:p w14:paraId="5BED658E">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推进产废企业生产绿色化，实现源头减量。产废行业在生产过程充分考虑后续综合利用环节，不断优化工艺流程、改进技术装备，降低固废产生强度。</w:t>
      </w:r>
    </w:p>
    <w:p w14:paraId="1D446D4F">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实施循环发展引领计划，强化工业资源综合利用，加快再生资源技术装备改造升级，深化“城市转型”示范基地建设，推动再生资源产业集聚发展。推动工业固体废弃物综合利用，加快工业园区循环化改造升级，延伸产业链，提高产业关联度，实现土地、资源和能源的高效利用和废弃物的资源化利用。推广“互联网+回收”新模式，探索建设废弃物在线回收、交易平台。</w:t>
      </w:r>
    </w:p>
    <w:p w14:paraId="7CF1FC46">
      <w:pPr>
        <w:pStyle w:val="5"/>
        <w:pageBreakBefore w:val="0"/>
        <w:kinsoku/>
        <w:wordWrap/>
        <w:overflowPunct/>
        <w:topLinePunct w:val="0"/>
        <w:autoSpaceDE/>
        <w:autoSpaceDN/>
        <w:bidi w:val="0"/>
        <w:adjustRightInd w:val="0"/>
        <w:snapToGrid w:val="0"/>
        <w:spacing w:before="0" w:after="0" w:line="500" w:lineRule="exact"/>
        <w:ind w:firstLine="0" w:firstLineChars="0"/>
        <w:textAlignment w:val="auto"/>
        <w:rPr>
          <w:rFonts w:eastAsia="仿宋"/>
          <w:snapToGrid w:val="0"/>
          <w:color w:val="auto"/>
          <w:sz w:val="28"/>
        </w:rPr>
      </w:pPr>
      <w:bookmarkStart w:id="613" w:name="_Toc533688396"/>
      <w:bookmarkStart w:id="614" w:name="_Toc547"/>
      <w:bookmarkStart w:id="615" w:name="_Toc15016"/>
      <w:bookmarkStart w:id="616" w:name="_Toc3879"/>
      <w:bookmarkStart w:id="617" w:name="_Toc517078142"/>
      <w:r>
        <w:rPr>
          <w:rFonts w:eastAsia="仿宋"/>
          <w:snapToGrid w:val="0"/>
          <w:color w:val="auto"/>
          <w:sz w:val="28"/>
          <w:lang w:val="zh-CN"/>
        </w:rPr>
        <w:t>8.</w:t>
      </w:r>
      <w:bookmarkEnd w:id="613"/>
      <w:r>
        <w:rPr>
          <w:rFonts w:eastAsia="仿宋"/>
          <w:snapToGrid w:val="0"/>
          <w:color w:val="auto"/>
          <w:sz w:val="28"/>
        </w:rPr>
        <w:t>2.</w:t>
      </w:r>
      <w:bookmarkEnd w:id="614"/>
      <w:bookmarkEnd w:id="615"/>
      <w:r>
        <w:rPr>
          <w:rFonts w:eastAsia="仿宋"/>
          <w:snapToGrid w:val="0"/>
          <w:color w:val="auto"/>
          <w:sz w:val="28"/>
        </w:rPr>
        <w:t>5提升水资源利用效率</w:t>
      </w:r>
      <w:bookmarkEnd w:id="616"/>
    </w:p>
    <w:p w14:paraId="1FE67332">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落实最严格水资源管理制度，加强“三条红线”管理，实施规划及重大建设项目水资源论证制度，强化水资源刚性约束，实施重大节水工程，提高用水效率，确保单位地区生产总值用水量保持稳定或持续改善，完成上级下达的目标任务。</w:t>
      </w:r>
    </w:p>
    <w:p w14:paraId="15BE4D0B">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加大农业节水力度。发展节水农业，贯彻实施“节水减排”战略，加强节水灌溉工程建设和节水改造，选育抗旱节水品种，发展旱作农业，推广水肥一体化等节水技术，推进规模化高效节水灌溉。完成新平重点中型灌区和一般中型灌区续建配套和节水改造任务，农田灌溉水有效利用系数达到0.5以上，逐步降低农业用水比重，优化用水结构，有效减少农田退水对水体的污染。</w:t>
      </w:r>
    </w:p>
    <w:p w14:paraId="6B5263A9">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深入开展工业节水。积极推进用水效率“领跑者”引领行动，加快高耗水工业行业节水技术改造。大力推广工业通用节水工艺和技术，加快淘汰落后用水工艺和技术。强化重点用水单位监督巡查，开展节水型企业创建工作，鼓励产业园区统一供水、废水集中处理和循环利用，工业园区重复用水率达到85%以上。</w:t>
      </w:r>
    </w:p>
    <w:bookmarkEnd w:id="617"/>
    <w:p w14:paraId="20519294">
      <w:pPr>
        <w:pStyle w:val="5"/>
        <w:pageBreakBefore w:val="0"/>
        <w:kinsoku/>
        <w:wordWrap/>
        <w:overflowPunct/>
        <w:topLinePunct w:val="0"/>
        <w:autoSpaceDE/>
        <w:autoSpaceDN/>
        <w:bidi w:val="0"/>
        <w:adjustRightInd w:val="0"/>
        <w:snapToGrid w:val="0"/>
        <w:spacing w:before="0" w:after="0" w:line="500" w:lineRule="exact"/>
        <w:ind w:firstLine="0" w:firstLineChars="0"/>
        <w:textAlignment w:val="auto"/>
        <w:rPr>
          <w:rFonts w:eastAsia="仿宋"/>
          <w:snapToGrid w:val="0"/>
          <w:color w:val="auto"/>
          <w:sz w:val="28"/>
        </w:rPr>
      </w:pPr>
      <w:bookmarkStart w:id="618" w:name="_Toc4711"/>
      <w:r>
        <w:rPr>
          <w:rFonts w:eastAsia="仿宋"/>
          <w:snapToGrid w:val="0"/>
          <w:color w:val="auto"/>
          <w:sz w:val="28"/>
          <w:lang w:val="zh-CN"/>
        </w:rPr>
        <w:t>8.</w:t>
      </w:r>
      <w:r>
        <w:rPr>
          <w:rFonts w:eastAsia="仿宋"/>
          <w:snapToGrid w:val="0"/>
          <w:color w:val="auto"/>
          <w:sz w:val="28"/>
        </w:rPr>
        <w:t>2.6提升清洁化水平</w:t>
      </w:r>
      <w:bookmarkEnd w:id="618"/>
    </w:p>
    <w:p w14:paraId="298986D1">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（1）大力推行清洁养殖</w:t>
      </w:r>
    </w:p>
    <w:p w14:paraId="6FFACA27">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加大畜禽养殖污染行政执法力度。规范养殖行为，促进现代生态循环农业发展，实现经济和生态和谐发展，实现种养殖废物的循环利用。加强对全县牛、生猪、鸡等规模化养殖场清洁养殖监督力度，积极推动养殖方式与治理方式的转变，加大农业减排新技术推广力度，促达标升级。以牛、生猪、鸡等规模养殖场为重点，开展“畜禽养殖+沼液+种植”的种养循环产业体系，整区推进畜禽养殖废弃物资源化利用，到2025年，畜禽粪污综合利用率≥93%，2030年≥95%。</w:t>
      </w:r>
    </w:p>
    <w:p w14:paraId="58928E75">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（2）大力推行工业清洁生产</w:t>
      </w:r>
    </w:p>
    <w:p w14:paraId="093105D8">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通过在能耗物耗较大的钢铁、建材等涉重、涉危、涉味重点行业全面实施清洁生产审核，制订园区重点行业清洁生产评价推进办法，建立动态监督机制。到2025年，重点企业清洁生产审核通过验收的比例达到100%。积极组织实施《中华人民共和国清洁生产促进法》，加强清洁生产组织建设，逐步建立比较完善的清洁生产管理体制和实施机制，促进行业企业编制清洁化生产方案。大力推广应用清洁生产技术，在新建、改建和扩建项目中，采用无毒、无害或者低毒、低害的原料，选用资源利用率高、污染物产生量少的工艺和设备。推进企业清洁生产，从源头减少废物的产生，促进企业能源消费、工业固体废弃物、包装废弃物的减量化与资源化综合利用，控制和减少污染物排放，提高资源利用效率。鼓励企业采用先进适用清洁生产工艺技术实施升级改造，提升清洁生产水平，优选出一批清洁生产工作成效突出的标杆企业，给予环保专项资金补贴。按照建设项目必须达到国内清洁生产领先水平，引进国外工艺设备必须达到国际清洁生产先进水平的要求，从生产技术和工艺、物耗能耗、产排污情况及环境管理等方面，对重点工业项目试行先进性评估制度。</w:t>
      </w:r>
      <w:bookmarkEnd w:id="584"/>
      <w:bookmarkEnd w:id="585"/>
      <w:bookmarkEnd w:id="586"/>
      <w:bookmarkEnd w:id="587"/>
      <w:bookmarkEnd w:id="588"/>
      <w:bookmarkEnd w:id="589"/>
      <w:bookmarkEnd w:id="590"/>
      <w:bookmarkStart w:id="619" w:name="_Toc24999"/>
      <w:bookmarkStart w:id="620" w:name="_Toc514661289"/>
      <w:bookmarkStart w:id="621" w:name="_Toc9516131"/>
      <w:bookmarkStart w:id="622" w:name="_Toc7417"/>
      <w:bookmarkStart w:id="623" w:name="_Toc35697790"/>
    </w:p>
    <w:p w14:paraId="68941D97">
      <w:pPr>
        <w:pStyle w:val="5"/>
        <w:pageBreakBefore w:val="0"/>
        <w:kinsoku/>
        <w:wordWrap/>
        <w:overflowPunct/>
        <w:topLinePunct w:val="0"/>
        <w:autoSpaceDE/>
        <w:autoSpaceDN/>
        <w:bidi w:val="0"/>
        <w:adjustRightInd w:val="0"/>
        <w:snapToGrid w:val="0"/>
        <w:spacing w:before="0" w:after="0" w:line="500" w:lineRule="exact"/>
        <w:ind w:firstLine="0" w:firstLineChars="0"/>
        <w:textAlignment w:val="auto"/>
        <w:rPr>
          <w:rFonts w:eastAsia="仿宋"/>
          <w:snapToGrid w:val="0"/>
          <w:color w:val="auto"/>
          <w:sz w:val="28"/>
        </w:rPr>
      </w:pPr>
      <w:bookmarkStart w:id="624" w:name="_Toc20830"/>
      <w:r>
        <w:rPr>
          <w:rFonts w:eastAsia="仿宋"/>
          <w:snapToGrid w:val="0"/>
          <w:color w:val="auto"/>
          <w:sz w:val="28"/>
        </w:rPr>
        <w:t>8.2.</w:t>
      </w:r>
      <w:bookmarkEnd w:id="619"/>
      <w:bookmarkEnd w:id="620"/>
      <w:bookmarkEnd w:id="621"/>
      <w:bookmarkEnd w:id="622"/>
      <w:bookmarkEnd w:id="623"/>
      <w:r>
        <w:rPr>
          <w:rFonts w:eastAsia="仿宋"/>
          <w:snapToGrid w:val="0"/>
          <w:color w:val="auto"/>
          <w:sz w:val="28"/>
        </w:rPr>
        <w:t>7</w:t>
      </w:r>
      <w:r>
        <w:rPr>
          <w:rFonts w:hint="eastAsia" w:eastAsia="仿宋"/>
          <w:snapToGrid w:val="0"/>
          <w:color w:val="auto"/>
          <w:sz w:val="28"/>
        </w:rPr>
        <w:t>打造中国花腰傣文化旅游目的地</w:t>
      </w:r>
      <w:bookmarkEnd w:id="624"/>
    </w:p>
    <w:p w14:paraId="2D9777C7">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以打好“健康生活目的地牌”为抓手，积极服务和融入大滇西旅游环线、昆玉红旅游文化带建设，提高旅游服务能力，擦亮“花腰傣之乡”“褚橙之乡”“中国天然氧吧”等名片，打造中国花腰傣文化旅游目的地。到2025年，文化旅游现代服务业收入达100亿元以上。</w:t>
      </w:r>
    </w:p>
    <w:p w14:paraId="59DF0827">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（1）优化全域旅游布局</w:t>
      </w:r>
    </w:p>
    <w:p w14:paraId="4615157A">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围绕“风情花腰傣</w:t>
      </w:r>
      <w:r>
        <w:rPr>
          <w:rFonts w:hint="cs" w:ascii="Times New Roman" w:hAnsi="Times New Roman" w:eastAsia="方正仿宋_GBK" w:cs="方正仿宋_GBK"/>
          <w:b w:val="0"/>
          <w:bCs w:val="0"/>
          <w:color w:val="auto"/>
          <w:kern w:val="2"/>
          <w:sz w:val="28"/>
          <w:szCs w:val="28"/>
          <w:lang w:val="en-US" w:eastAsia="zh-CN" w:bidi="ar-SA"/>
        </w:rPr>
        <w:t>•</w:t>
      </w:r>
      <w:r>
        <w:rPr>
          <w:rFonts w:hint="eastAsia" w:ascii="Times New Roman" w:hAnsi="Times New Roman" w:eastAsia="方正仿宋_GBK" w:cs="方正仿宋_GBK"/>
          <w:b w:val="0"/>
          <w:bCs w:val="0"/>
          <w:color w:val="auto"/>
          <w:kern w:val="2"/>
          <w:sz w:val="28"/>
          <w:szCs w:val="28"/>
          <w:lang w:val="en-US" w:eastAsia="zh-CN" w:bidi="ar-SA"/>
        </w:rPr>
        <w:t>神秘哀牢山”形象定位，大力发展文化旅游产业，着力打造中国花腰傣文化旅游目的地。按照全地域覆盖、全资源整合、全要素配置、全产业融合的原则，统筹旅游资源、交通区位等优势，进一步优化“一地、两极、三区、四环、五带、六重点”的旅游总体发展格局。</w:t>
      </w:r>
    </w:p>
    <w:p w14:paraId="04C69F18">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一地：中国花腰傣文化旅游目的地；两极：县城旅游集散极、戛洒旅游中心极；三区：哀牢山生态文化旅游区、红河谷—绿汁江特色农业花腰傣风情体验旅游区、磨盘山户外运动健康旅游区；四环：县城特色旅游环线、哀牢山旅游环线、红河谷—绿汁江旅游环线、磨盘山旅游环线；五带：哀牢山生态观光休闲康养户外运动旅游带、古州野林—哈科底生态观光休闲旅游带、磨盘山乡村休闲户外运动旅游带、红河谷—绿汁江花腰傣民族风情和亚热带风光旅游带、县城周边乡村休闲旅游带；六重点：戛洒国家级特色旅游小镇、哀牢山乡村旅游示范区、磨盘山康体养生户外运动区、扬武驿站经济小镇、漠沙田园综合体、建兴生态休闲旅游区。</w:t>
      </w:r>
    </w:p>
    <w:p w14:paraId="7E55A876">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（2）打造特色旅游景区</w:t>
      </w:r>
    </w:p>
    <w:p w14:paraId="1ED19FC2">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发挥民族文化和自然生态两个资源优势，提升红河谷花腰傣文化体验、哀牢山生态康养度假、磨盘山户外运动休闲三个旅游区，建设一批半山酒店，打造一批旅游特色村寨和精品庄园，发展文化体验游、乡村休闲游、生态观光游，加强旅游商品开发，打造特色餐饮和节庆活动品牌，力争创建国家级全域旅游示范县。深入挖掘花腰傣文化，积极申报“国家非遗”项目，擦亮新平“花腰傣之乡”旅游名片。加快推进哀牢山生态文化精品旅游区、磨盘山户外运动健康精品旅游区和红河谷—绿汁江特色农业体验精品旅游区三个片区的高端名牌打造。加快在平甸、漠沙、戛洒等打造一批“乡村环境优、民族文化浓、市场前景好、致富带动强、乡风文明美”的宜居、宜业、宜游的旅游特色村和美丽乡村。发挥“褚橙庄园”“桔荔庄园”等庄园示范作用，大力发展乡村精品旅游业。到2025年，新建旅游A级景区5个，总数达到10个，其中：AAAAA级景区1个、AAAA级景区1个；接待游客700万人次以上，实现旅游总收入70亿元以上。</w:t>
      </w:r>
    </w:p>
    <w:p w14:paraId="2C78ED1E">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（3）完善旅游基础配套设施</w:t>
      </w:r>
    </w:p>
    <w:p w14:paraId="2224F8AF">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围绕“吃、住、行、游、购、娱”等基本旅游要素，进一步完善旅游硬件和软件设施，提升旅游服务质量和水平。顺应大众化旅游趋势，以方便和满足自助自驾游客消费需求，加强游客服务中心、休息站点、自驾露营地、旅游厕所、停车场及交通、旅游标识系统建设。以推进综合交通体系建设为依托，加大旅游区、城镇、乡村连接道路、骑行道路、景区游路及旅游环线路建设，打造“快进漫游”交通条件，推动发展周末经济、“后备箱经济”。加快智慧旅游发展，依托“一部手机游云南”平台，建立全域旅游信息化体系，打造集智慧管理、服务、营销于一体的智慧旅游一体化平台，加速AAAA级景区数字化提升。推进多业联动，树立“大会展”理念，着力打造区域性旅游会展中心。围绕戛洒特色小镇建设，以全国党员教育培训基地、戛洒外滩温泉康养小镇、戛洒欢乐水世界、半山酒店、哀牢山AAAA级景区开发等项目为抓手，打造旅游、会议培训、商业购物、公共交通、夜间经济等具有会展功能的旅游中心，促进全县旅游产业多业态互动、多元化消费，形成会展与旅游、商贸、文化、体育、科技等产业融合发展。</w:t>
      </w:r>
    </w:p>
    <w:p w14:paraId="64698B53">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（4）融合发展旅游康养产业</w:t>
      </w:r>
    </w:p>
    <w:p w14:paraId="6FEC6FB8">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依托“两山一谷”，抓住磨盘山森林体验国家重点建设基地建设契机，打造一批集养生养老、旅游度假、特色民居体验、温泉康养、民族文化体验等功能为一体的康体养生度假村。以县城各医疗卫生机构为依托，建设集医疗、康复、养老等为一体的康复护理体系。以开发康养旅游、度假休闲、自然观光、生态旅游为重点，强化哀牢山、磨盘山原始森林保护与开发，充分发挥“灵山、秀水、好空气”优势，加快哀牢山景区整体开发项目，巩固提升磨盘山、大沐浴、南薅花腰傣民俗风情景区，打造磨盘山森林康养小镇，打通生态旅游通道。大力发展河谷养生、森林康养、中药疗养、田园体验等生态养生新业态。大力发展“健身游”，以运动养生基地为载体开展强身健体和愉悦身心的体育活动，并提供心理理疗、健身定制等服务体验</w:t>
      </w:r>
    </w:p>
    <w:p w14:paraId="11E7190C">
      <w:pPr>
        <w:pStyle w:val="5"/>
        <w:pageBreakBefore w:val="0"/>
        <w:kinsoku/>
        <w:wordWrap/>
        <w:overflowPunct/>
        <w:topLinePunct w:val="0"/>
        <w:autoSpaceDE/>
        <w:autoSpaceDN/>
        <w:bidi w:val="0"/>
        <w:adjustRightInd w:val="0"/>
        <w:snapToGrid w:val="0"/>
        <w:spacing w:before="0" w:after="0" w:line="500" w:lineRule="exact"/>
        <w:ind w:firstLine="0" w:firstLineChars="0"/>
        <w:textAlignment w:val="auto"/>
        <w:rPr>
          <w:rFonts w:eastAsia="仿宋"/>
          <w:snapToGrid w:val="0"/>
          <w:color w:val="auto"/>
          <w:sz w:val="28"/>
        </w:rPr>
      </w:pPr>
      <w:bookmarkStart w:id="625" w:name="_Toc3478"/>
      <w:bookmarkStart w:id="626" w:name="_Toc7"/>
      <w:bookmarkStart w:id="627" w:name="_Toc30462"/>
      <w:bookmarkStart w:id="628" w:name="_Toc514661277"/>
      <w:r>
        <w:rPr>
          <w:rFonts w:eastAsia="仿宋"/>
          <w:snapToGrid w:val="0"/>
          <w:color w:val="auto"/>
          <w:sz w:val="28"/>
        </w:rPr>
        <w:t>8.2.8积极推进生态产品价值实现</w:t>
      </w:r>
      <w:bookmarkEnd w:id="625"/>
      <w:bookmarkEnd w:id="626"/>
      <w:bookmarkEnd w:id="627"/>
    </w:p>
    <w:p w14:paraId="614D2156">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推进森林资源生态产业化发展，深化集体林权制度改革，加强林下经济发展。引导和鼓励农民以林地使用权和林木所有权入股、合资、合作等形式组建专业合作组织。积极鼓励引导群众发展林药、林果、林菜、生态鸡等林下种植养殖产业，科学、合理利用林草资源，发展森林康养产业，逐步形成以林下种植、养殖、采集加工和森林旅游为重点的林下产业发展新格局。推进湿地资源生态产业化，强化全县湿地与野生动植物相关自然保护地的生态教育职能，积极探索湿地教育培训，提升全民湿地保护意识，提升湿地保护管理水平。加快生态旅游产业发展。深度挖掘优势旅游资源，依托新平县区位优势、优美的自然环境、深厚的历史文化，深入挖掘森林资源、生物多样性等方面资源，发展生态旅游产业，推动全域旅游发展。</w:t>
      </w:r>
    </w:p>
    <w:p w14:paraId="5E4849AC">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深入贯彻“绿水青山就是金山银山”理念，按照保护、合理开发利用绿水青山的思路，摸清资源本底，盘活生态资源和资本，与绿色产业发展和生态文明建设同步建立生态产品普查、评估、核算、登记等基础制度。加强自然资源调查评价监测和确权登记，建立健全资源有偿使用制度，完善资源价格形成机制。创新生态产品价值实现路径，推动传统农产品向农林生态+产业链转化。深挖哀牢山、磨盘山文化旅游资源，探索生态价值转换路径，大力发展以生态旅游为主的绿色经济和森林康养基地建设，依托扬武、平甸、新化、者竜、水塘、戛洒、漠沙、建兴、平掌，夯实旅游基础设施，开发民族文化、科考探险、登山越野、康体养生等多种旅游形态，提升景区综合功能，增强景区吸引力，打造哀牢山—磨盘山绿色经济带，实现文旅深度融合发展，构建“处处有风景，全域皆可游”的新平生态旅游大格局。全面实行排污许可制，加快完善排污权、用能权、用水权、碳排放交易。提高矿产、水生态等自然资源开发保护水平，探索建立元江流域水生态供水横向生态补偿机制。</w:t>
      </w:r>
    </w:p>
    <w:p w14:paraId="3197D9F1">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zh-CN" w:eastAsia="zh-CN"/>
        </w:rPr>
      </w:pPr>
      <w:bookmarkStart w:id="629" w:name="_Toc8271"/>
      <w:r>
        <w:rPr>
          <w:rFonts w:hint="default" w:ascii="Times New Roman" w:hAnsi="Times New Roman" w:eastAsia="仿宋" w:cs="Times New Roman"/>
          <w:color w:val="auto"/>
          <w:sz w:val="32"/>
          <w:lang w:val="zh-CN" w:eastAsia="zh-CN"/>
        </w:rPr>
        <w:t>8.3推进区域融合发展</w:t>
      </w:r>
      <w:bookmarkEnd w:id="629"/>
    </w:p>
    <w:p w14:paraId="3EC5B07D">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玉溪市新平县将主动融入昆曼公路、泛亚铁路中线等经济大通道战略中，统筹全域绿色发展综合改革试验，把矿冶资源、生物资源、花腰傣文化优势转化为绿色产业集群优势，开启生态、生产、生活“三生”新空间，构建以“绿色矿冶”为主体、以“大农业”和“大文旅”为两翼的现代绿色产业体系，实现经济社会可持续发展、民族团结进步、一、二、三产业融合发展，近期（2020—2025年）把新平打造为玉溪南部中心城市，中期（2025—2030年）打造为滇中高端绿色产业集聚高地，远期（2030—2035年）打造为区域性（面向南亚东南亚）国际绿色产业新领军城市。</w:t>
      </w:r>
    </w:p>
    <w:bookmarkEnd w:id="628"/>
    <w:p w14:paraId="3D60DE6A">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zh-CN" w:eastAsia="zh-CN"/>
        </w:rPr>
      </w:pPr>
      <w:bookmarkStart w:id="630" w:name="_Toc49"/>
      <w:bookmarkStart w:id="631" w:name="_Toc27817"/>
      <w:bookmarkStart w:id="632" w:name="_Toc24628"/>
      <w:bookmarkStart w:id="633" w:name="_Toc35697791"/>
      <w:bookmarkStart w:id="634" w:name="_Toc25975"/>
      <w:bookmarkStart w:id="635" w:name="_Toc18093"/>
      <w:bookmarkStart w:id="636" w:name="_Toc7380"/>
      <w:bookmarkStart w:id="637" w:name="_Toc14551"/>
      <w:bookmarkStart w:id="638" w:name="_Toc11743"/>
      <w:r>
        <w:rPr>
          <w:rFonts w:hint="default" w:ascii="Times New Roman" w:hAnsi="Times New Roman" w:eastAsia="仿宋" w:cs="Times New Roman"/>
          <w:color w:val="auto"/>
          <w:sz w:val="32"/>
          <w:lang w:val="zh-CN" w:eastAsia="zh-CN"/>
        </w:rPr>
        <w:t>8.</w:t>
      </w:r>
      <w:bookmarkEnd w:id="630"/>
      <w:bookmarkEnd w:id="631"/>
      <w:bookmarkEnd w:id="632"/>
      <w:bookmarkEnd w:id="633"/>
      <w:bookmarkStart w:id="639" w:name="_Toc517078146"/>
      <w:bookmarkStart w:id="640" w:name="_Toc502138852"/>
      <w:bookmarkStart w:id="641" w:name="_Toc533688399"/>
      <w:bookmarkStart w:id="642" w:name="_Toc514661283"/>
      <w:bookmarkStart w:id="643" w:name="_Toc9516133"/>
      <w:bookmarkStart w:id="644" w:name="_Toc35697793"/>
      <w:r>
        <w:rPr>
          <w:rFonts w:hint="default" w:ascii="Times New Roman" w:hAnsi="Times New Roman" w:eastAsia="仿宋" w:cs="Times New Roman"/>
          <w:color w:val="auto"/>
          <w:sz w:val="32"/>
          <w:lang w:val="zh-CN" w:eastAsia="zh-CN"/>
        </w:rPr>
        <w:t>4构建清洁低碳现代能源体系</w:t>
      </w:r>
      <w:bookmarkEnd w:id="634"/>
      <w:bookmarkEnd w:id="635"/>
      <w:bookmarkEnd w:id="636"/>
      <w:bookmarkEnd w:id="637"/>
      <w:bookmarkEnd w:id="638"/>
    </w:p>
    <w:p w14:paraId="63BF22EA">
      <w:pPr>
        <w:pStyle w:val="5"/>
        <w:pageBreakBefore w:val="0"/>
        <w:kinsoku/>
        <w:wordWrap/>
        <w:overflowPunct/>
        <w:topLinePunct w:val="0"/>
        <w:autoSpaceDE/>
        <w:autoSpaceDN/>
        <w:bidi w:val="0"/>
        <w:adjustRightInd w:val="0"/>
        <w:snapToGrid w:val="0"/>
        <w:spacing w:before="0" w:after="0" w:line="500" w:lineRule="exact"/>
        <w:ind w:firstLine="0" w:firstLineChars="0"/>
        <w:textAlignment w:val="auto"/>
        <w:rPr>
          <w:rFonts w:eastAsia="仿宋"/>
          <w:snapToGrid w:val="0"/>
          <w:color w:val="auto"/>
          <w:sz w:val="28"/>
          <w:lang w:val="zh-CN"/>
        </w:rPr>
      </w:pPr>
      <w:bookmarkStart w:id="645" w:name="_Toc9877"/>
      <w:bookmarkStart w:id="646" w:name="_Toc8296"/>
      <w:bookmarkStart w:id="647" w:name="_Toc5406"/>
      <w:r>
        <w:rPr>
          <w:rFonts w:eastAsia="仿宋"/>
          <w:snapToGrid w:val="0"/>
          <w:color w:val="auto"/>
          <w:sz w:val="28"/>
          <w:lang w:val="zh-CN"/>
        </w:rPr>
        <w:t>8.</w:t>
      </w:r>
      <w:r>
        <w:rPr>
          <w:rFonts w:eastAsia="仿宋"/>
          <w:snapToGrid w:val="0"/>
          <w:color w:val="auto"/>
          <w:sz w:val="28"/>
        </w:rPr>
        <w:t>4</w:t>
      </w:r>
      <w:r>
        <w:rPr>
          <w:rFonts w:eastAsia="仿宋"/>
          <w:snapToGrid w:val="0"/>
          <w:color w:val="auto"/>
          <w:sz w:val="28"/>
          <w:lang w:val="zh-CN"/>
        </w:rPr>
        <w:t>.1</w:t>
      </w:r>
      <w:bookmarkEnd w:id="639"/>
      <w:bookmarkEnd w:id="640"/>
      <w:bookmarkEnd w:id="641"/>
      <w:r>
        <w:rPr>
          <w:rFonts w:eastAsia="仿宋"/>
          <w:snapToGrid w:val="0"/>
          <w:color w:val="auto"/>
          <w:sz w:val="28"/>
          <w:lang w:val="zh-CN"/>
        </w:rPr>
        <w:t>加快推进能源基础设施建设</w:t>
      </w:r>
      <w:bookmarkEnd w:id="645"/>
      <w:bookmarkEnd w:id="646"/>
      <w:bookmarkEnd w:id="647"/>
    </w:p>
    <w:p w14:paraId="1524AD3A">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做强做优绿色能源产业，延伸能源产业链，深入推进绿色能源与绿色先进制造业深度融合。</w:t>
      </w:r>
    </w:p>
    <w:p w14:paraId="30739ED3">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加快天然气网络及基础设施建设，形成布局合理、科学储配、辐射周边的天然气输送网络体系。推进完善天然气管网设施建设。加强应急和储气调峰设施、储气库、压缩天然气（CNG）加气站和液化天然气（LNG）接卸、储运、供应等基础设施建设。不断完善城镇天然气基础设施建设，加快老旧小区、不通天然气小区管道改扩建和新建工作，推动供气设施向农村延伸。</w:t>
      </w:r>
    </w:p>
    <w:p w14:paraId="6ECC1F4F">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实施电网改造工程，加快推动城乡电网改造和工业园区电网建设，提升电网保障能力。建设灵活可靠的配电系统，构建强健有序、灵活可靠的网架结构，推广应用配电自动化、配电柔性化等先进技术，全面提升配电网装备水平，实现配电站、开关站、低压台区智能监控，实现配电网可观可控，满足社会生产和生活智慧用能需求，提高电网供电可靠性、电能质量和服务水平。</w:t>
      </w:r>
    </w:p>
    <w:p w14:paraId="5C5022E5">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lang w:val="zh-CN"/>
        </w:rPr>
      </w:pPr>
      <w:bookmarkStart w:id="648" w:name="_Toc11875"/>
      <w:bookmarkStart w:id="649" w:name="_Toc972"/>
      <w:bookmarkStart w:id="650" w:name="_Toc14777"/>
      <w:r>
        <w:rPr>
          <w:rFonts w:eastAsia="仿宋"/>
          <w:snapToGrid w:val="0"/>
          <w:color w:val="auto"/>
          <w:sz w:val="28"/>
          <w:lang w:val="zh-CN"/>
        </w:rPr>
        <w:t>8.</w:t>
      </w:r>
      <w:r>
        <w:rPr>
          <w:rFonts w:eastAsia="仿宋"/>
          <w:snapToGrid w:val="0"/>
          <w:color w:val="auto"/>
          <w:sz w:val="28"/>
        </w:rPr>
        <w:t>4</w:t>
      </w:r>
      <w:r>
        <w:rPr>
          <w:rFonts w:eastAsia="仿宋"/>
          <w:snapToGrid w:val="0"/>
          <w:color w:val="auto"/>
          <w:sz w:val="28"/>
          <w:lang w:val="zh-CN"/>
        </w:rPr>
        <w:t>.2控制能源消费总量</w:t>
      </w:r>
      <w:bookmarkEnd w:id="648"/>
      <w:bookmarkEnd w:id="649"/>
      <w:bookmarkEnd w:id="650"/>
    </w:p>
    <w:p w14:paraId="6699989A">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合理控制能源消费总量。加大产业结构调整力度，着力转变经济发展方式，按照省、市有关能源消费总量和强度“双控”要求，推动工业、建筑、交通运输、公共机构等相关领域的节能力度。严格新建项目节能审查，加强节能监察，强化节能全过程监管。强化产品生命周期管理，增强绿色产品供给能力，促进绿色产品的生产能力。规划期间，实现市级下达新平县单位GDP能耗下降的目标任务，将能源消费总量控制在省、市下达的任务指标范围内。</w:t>
      </w:r>
    </w:p>
    <w:p w14:paraId="63F38F5F">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lang w:val="zh-CN"/>
        </w:rPr>
      </w:pPr>
      <w:bookmarkStart w:id="651" w:name="_Toc517078148"/>
      <w:bookmarkStart w:id="652" w:name="_Toc502138854"/>
      <w:bookmarkStart w:id="653" w:name="_Toc20066"/>
      <w:bookmarkStart w:id="654" w:name="_Toc17048"/>
      <w:bookmarkStart w:id="655" w:name="_Toc22295"/>
      <w:bookmarkStart w:id="656" w:name="_Toc533688401"/>
      <w:r>
        <w:rPr>
          <w:rFonts w:eastAsia="仿宋"/>
          <w:snapToGrid w:val="0"/>
          <w:color w:val="auto"/>
          <w:sz w:val="28"/>
          <w:lang w:val="zh-CN"/>
        </w:rPr>
        <w:t>8.</w:t>
      </w:r>
      <w:r>
        <w:rPr>
          <w:rFonts w:eastAsia="仿宋"/>
          <w:snapToGrid w:val="0"/>
          <w:color w:val="auto"/>
          <w:sz w:val="28"/>
        </w:rPr>
        <w:t>4</w:t>
      </w:r>
      <w:r>
        <w:rPr>
          <w:rFonts w:eastAsia="仿宋"/>
          <w:snapToGrid w:val="0"/>
          <w:color w:val="auto"/>
          <w:sz w:val="28"/>
          <w:lang w:val="zh-CN"/>
        </w:rPr>
        <w:t>.3抓好重点领域节能工作</w:t>
      </w:r>
      <w:bookmarkEnd w:id="651"/>
      <w:bookmarkEnd w:id="652"/>
      <w:bookmarkEnd w:id="653"/>
      <w:bookmarkEnd w:id="654"/>
      <w:bookmarkEnd w:id="655"/>
      <w:bookmarkEnd w:id="656"/>
    </w:p>
    <w:p w14:paraId="5FE16C46">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推动建筑领域节能降碳。按照国家绿色建筑等相关标准，积极开展建筑改造工作，针对新建建筑，应严格执行建筑物节能标准，提高太阳能等新能源在新建建筑中的使用比例，形成新能源与建筑一体化应用的新模式，全面降低新建建筑的能耗；针对既有建筑，应按照国家发布的《绿色建筑评价标准》（建标〔2011〕17号）的相关要求进行节能改造，降低能耗；在新平县全面开展绿色建筑、节能建筑评级工作，试点建筑物能效标识、绿色标识公开制度，全面推进建筑节能。到2030年，新平县城镇新建绿色建筑占新建建筑面积达到100%。</w:t>
      </w:r>
    </w:p>
    <w:p w14:paraId="49F466D7">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推动交通领域节能减排降碳。加快发展新能源、小排量等环保型汽车，加快新平县加气站等配套设施建设，大力推动以天然气为动力的公交车，继续严格实行运营车辆燃料消耗量准入制度。鼓励居民使用天然气家用车或节能环保型汽车。引导公众出行选择公共交通、步行和自然车等绿色出行方式，降低小汽车通行总量。在旅游景区推广试点电动车和自行车租用模式，完善基础设施建设，架设充电桩，并建立相关的配套服务网点，鼓励游客租用新型电动车出行；发展新型公交运输模式，在大型货物集散地之间发展甩挂运输，减少运输能耗。</w:t>
      </w:r>
    </w:p>
    <w:p w14:paraId="7957CF60">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推进公共领域节能减排降碳。重点针对新平县政府机关办公场所以及饭店、医院、学校、商城等市内大型公共基础设施开展节能改造工作，建立公共机构节能管理制度，做好公共机构能源资源消耗统计工作，并尽快制定节水、节电、节煤、节气等方面的规章制度，推广节水、节电器具和设备，减少能源损失，提高能源使用效率；完善公众监督制度，确保节能减排工作顺利开展。</w:t>
      </w:r>
    </w:p>
    <w:p w14:paraId="7AD1625C">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rPr>
      </w:pPr>
      <w:bookmarkStart w:id="657" w:name="_Toc15742"/>
      <w:r>
        <w:rPr>
          <w:rFonts w:eastAsia="仿宋"/>
          <w:snapToGrid w:val="0"/>
          <w:color w:val="auto"/>
          <w:sz w:val="28"/>
        </w:rPr>
        <w:t>8.4.4推动能源清洁低碳转型</w:t>
      </w:r>
      <w:bookmarkEnd w:id="657"/>
    </w:p>
    <w:p w14:paraId="1FA19A20">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在保障能源安全的前提下，加快煤炭减量步伐，实施可再生能源替代行动。坚持“增气减煤”同步，新增天然气优先保障居民生活需求。提高电能占终端能源消费比重。强化“电能绿色化”。加快以光伏为主的新能源项目开发，深化新能源多元化开发利用，提高绿色电力供给能力，促进绿色能源与绿色先进制造业等产业深度融合发展。规划期内，稳步提高可再生能源推广使用力度，加大天然气、水电、风电、太阳能等清洁能源推广使用力度。</w:t>
      </w:r>
    </w:p>
    <w:p w14:paraId="31718EA5">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rPr>
      </w:pPr>
      <w:bookmarkStart w:id="658" w:name="_Toc4187"/>
      <w:r>
        <w:rPr>
          <w:rFonts w:eastAsia="仿宋"/>
          <w:snapToGrid w:val="0"/>
          <w:color w:val="auto"/>
          <w:sz w:val="28"/>
        </w:rPr>
        <w:t>8.4.5推动能源消费绿色低碳转型</w:t>
      </w:r>
      <w:bookmarkEnd w:id="658"/>
    </w:p>
    <w:p w14:paraId="62A61CC9">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积极有序推进“以电代煤”“以气代煤”。以大宗货物“公转铁”为核心继续推进运输结构调整。引导重点行业深入实施清洁生产改造，鼓励开展自愿性清洁生产审核，依法开展自愿性清洁生产评价认证。提高能源、水资源利用效率，实施节水行动，持续推进区域节水型社会建设。科学有序推动生活垃圾分类，统筹生活垃圾分类和处理设施建设，不断提高垃圾分类覆盖范围。加强塑料污染全链条防治，深入开展绿色生活创建行动，持续开展绿色出行行动。</w:t>
      </w:r>
    </w:p>
    <w:bookmarkEnd w:id="642"/>
    <w:p w14:paraId="1FAE2136">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lang w:val="zh-CN"/>
        </w:rPr>
      </w:pPr>
      <w:bookmarkStart w:id="659" w:name="_Toc30689"/>
      <w:bookmarkStart w:id="660" w:name="_Toc15518"/>
      <w:bookmarkStart w:id="661" w:name="_Toc20683"/>
      <w:r>
        <w:rPr>
          <w:rFonts w:eastAsia="仿宋"/>
          <w:snapToGrid w:val="0"/>
          <w:color w:val="auto"/>
          <w:sz w:val="28"/>
          <w:lang w:val="zh-CN"/>
        </w:rPr>
        <w:t>8.</w:t>
      </w:r>
      <w:r>
        <w:rPr>
          <w:rFonts w:eastAsia="仿宋"/>
          <w:snapToGrid w:val="0"/>
          <w:color w:val="auto"/>
          <w:sz w:val="28"/>
        </w:rPr>
        <w:t>4</w:t>
      </w:r>
      <w:r>
        <w:rPr>
          <w:rFonts w:eastAsia="仿宋"/>
          <w:snapToGrid w:val="0"/>
          <w:color w:val="auto"/>
          <w:sz w:val="28"/>
          <w:lang w:val="zh-CN"/>
        </w:rPr>
        <w:t>.</w:t>
      </w:r>
      <w:r>
        <w:rPr>
          <w:rFonts w:eastAsia="仿宋"/>
          <w:snapToGrid w:val="0"/>
          <w:color w:val="auto"/>
          <w:sz w:val="28"/>
        </w:rPr>
        <w:t>6持续</w:t>
      </w:r>
      <w:r>
        <w:rPr>
          <w:rFonts w:eastAsia="仿宋"/>
          <w:snapToGrid w:val="0"/>
          <w:color w:val="auto"/>
          <w:sz w:val="28"/>
          <w:lang w:val="zh-CN"/>
        </w:rPr>
        <w:t>调整农村能源结构</w:t>
      </w:r>
      <w:bookmarkEnd w:id="643"/>
      <w:bookmarkEnd w:id="644"/>
      <w:bookmarkEnd w:id="659"/>
      <w:bookmarkEnd w:id="660"/>
      <w:bookmarkEnd w:id="661"/>
    </w:p>
    <w:p w14:paraId="6BE64365">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继续实施城乡农网改造，推进农村“柴改电”“柴改气”，提升农村电气化水平；提高代柴农户的用电效率和用电频率，培养代柴农户的用电习惯和用电意识，真正改变代柴农户的生活方式，促进“以电代柴”项目长期稳定运营。</w:t>
      </w:r>
    </w:p>
    <w:p w14:paraId="445BB049">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sectPr>
          <w:headerReference r:id="rId11" w:type="default"/>
          <w:footerReference r:id="rId12" w:type="default"/>
          <w:pgSz w:w="11906" w:h="16838"/>
          <w:pgMar w:top="1440" w:right="1797" w:bottom="1440" w:left="1797" w:header="851" w:footer="992" w:gutter="0"/>
          <w:pgNumType w:fmt="decimal"/>
          <w:cols w:space="425" w:num="1"/>
          <w:docGrid w:linePitch="312" w:charSpace="0"/>
        </w:sectPr>
      </w:pPr>
      <w:r>
        <w:rPr>
          <w:rFonts w:hint="eastAsia" w:ascii="Times New Roman" w:hAnsi="Times New Roman" w:eastAsia="方正仿宋_GBK" w:cs="方正仿宋_GBK"/>
          <w:b w:val="0"/>
          <w:bCs w:val="0"/>
          <w:color w:val="auto"/>
          <w:kern w:val="2"/>
          <w:sz w:val="28"/>
          <w:szCs w:val="28"/>
          <w:lang w:val="en-US" w:eastAsia="zh-CN" w:bidi="ar-SA"/>
        </w:rPr>
        <w:t>积极鼓励多能互补。应创新形式进行农村能源替代，积极鼓励农民使用液化气、太阳能等新能源，提高农户新能源产品的使用率，实现多能互补。加快推进农村能源替代工程。</w:t>
      </w:r>
    </w:p>
    <w:p w14:paraId="7199C70F">
      <w:pPr>
        <w:pStyle w:val="3"/>
        <w:pageBreakBefore w:val="0"/>
        <w:kinsoku/>
        <w:wordWrap/>
        <w:overflowPunct/>
        <w:topLinePunct w:val="0"/>
        <w:autoSpaceDE/>
        <w:autoSpaceDN/>
        <w:bidi w:val="0"/>
        <w:spacing w:before="0" w:after="0" w:line="500" w:lineRule="exact"/>
        <w:jc w:val="center"/>
        <w:textAlignment w:val="auto"/>
        <w:rPr>
          <w:rFonts w:hint="default" w:ascii="Times New Roman" w:hAnsi="Times New Roman" w:eastAsia="仿宋" w:cs="Times New Roman"/>
          <w:color w:val="auto"/>
          <w:sz w:val="44"/>
          <w:lang w:val="en-US" w:eastAsia="zh-CN"/>
        </w:rPr>
      </w:pPr>
      <w:bookmarkStart w:id="662" w:name="_Toc6480"/>
      <w:r>
        <w:rPr>
          <w:rFonts w:hint="default" w:ascii="Times New Roman" w:hAnsi="Times New Roman" w:eastAsia="仿宋" w:cs="Times New Roman"/>
          <w:color w:val="auto"/>
          <w:sz w:val="44"/>
          <w:lang w:val="en-US" w:eastAsia="zh-CN"/>
        </w:rPr>
        <w:t>9提升人居环境，</w:t>
      </w:r>
      <w:r>
        <w:rPr>
          <w:rFonts w:hint="eastAsia" w:ascii="Times New Roman" w:hAnsi="Times New Roman" w:eastAsia="仿宋" w:cs="Times New Roman"/>
          <w:color w:val="auto"/>
          <w:sz w:val="44"/>
          <w:lang w:val="en-US" w:eastAsia="zh-CN"/>
        </w:rPr>
        <w:t>打造</w:t>
      </w:r>
      <w:r>
        <w:rPr>
          <w:rFonts w:hint="default" w:ascii="Times New Roman" w:hAnsi="Times New Roman" w:eastAsia="仿宋" w:cs="Times New Roman"/>
          <w:color w:val="auto"/>
          <w:sz w:val="44"/>
          <w:lang w:val="en-US" w:eastAsia="zh-CN"/>
        </w:rPr>
        <w:t>生态生活体系</w:t>
      </w:r>
      <w:bookmarkEnd w:id="662"/>
    </w:p>
    <w:p w14:paraId="6422D70C">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zh-CN" w:eastAsia="zh-CN"/>
        </w:rPr>
      </w:pPr>
      <w:bookmarkStart w:id="663" w:name="_Toc17262"/>
      <w:bookmarkStart w:id="664" w:name="_Toc25780"/>
      <w:bookmarkStart w:id="665" w:name="_Hlk62650777"/>
      <w:r>
        <w:rPr>
          <w:rFonts w:hint="default" w:ascii="Times New Roman" w:hAnsi="Times New Roman" w:eastAsia="仿宋" w:cs="Times New Roman"/>
          <w:color w:val="auto"/>
          <w:sz w:val="32"/>
          <w:lang w:val="zh-CN" w:eastAsia="zh-CN"/>
        </w:rPr>
        <w:t>9.1城乡环境一体化建设</w:t>
      </w:r>
      <w:bookmarkEnd w:id="663"/>
      <w:bookmarkEnd w:id="664"/>
    </w:p>
    <w:p w14:paraId="4DF0809D">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坚持城乡统筹，共建共享，高质量推进城乡融合发展，推进公共服务城乡均等，建立健全城乡融合体制机制，抓好城镇化补短板强弱项工作，增强中心城区综合承载和资源优化配置能力，支持城镇和特色小镇有序发展，推进宜居美丽乡村建设，努力争当全省城乡融合发展示范区。</w:t>
      </w:r>
    </w:p>
    <w:p w14:paraId="1791853C">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lang w:val="zh-CN"/>
        </w:rPr>
      </w:pPr>
      <w:bookmarkStart w:id="666" w:name="_Toc7448"/>
      <w:bookmarkStart w:id="667" w:name="_Toc5760"/>
      <w:r>
        <w:rPr>
          <w:rFonts w:eastAsia="仿宋"/>
          <w:snapToGrid w:val="0"/>
          <w:color w:val="auto"/>
          <w:sz w:val="28"/>
          <w:lang w:val="zh-CN"/>
        </w:rPr>
        <w:t>9.1.1</w:t>
      </w:r>
      <w:bookmarkEnd w:id="666"/>
      <w:r>
        <w:rPr>
          <w:rFonts w:hint="eastAsia" w:eastAsia="仿宋"/>
          <w:snapToGrid w:val="0"/>
          <w:color w:val="auto"/>
          <w:sz w:val="28"/>
          <w:lang w:val="zh-CN"/>
        </w:rPr>
        <w:t>加快推进两污设施建设</w:t>
      </w:r>
      <w:bookmarkEnd w:id="667"/>
    </w:p>
    <w:p w14:paraId="01B99859">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加快城乡环境基础设施建设，完善道路、供水、排水、供电、通信、网络等基础设施，到规划末城乡交通、垃圾处理、污水处理、燃气供应、数字电视、互联网宽带、科教文卫等公共基础设施基本实现一体化。加快推进城乡绿化一体化建设，统筹城乡生态环境保护。积极推进新平县行政服务中心和村（社区）行政服务站建设，将政府行政和公共服务、文化体育等设施延伸至乡村社区。</w:t>
      </w:r>
    </w:p>
    <w:p w14:paraId="63F2E424">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加强城镇污水处理设施维护。保障城镇污水处理设施持续正常运行，进一步加强配套管网建设，适时实施城镇截污管网、雨水管网提升改造工程。确保2025年，新平县城镇污水处理率达到95％以上。以建设美丽宜居村庄为导向，持续推动乡镇污水处理厂建设和配套管网向农村延伸，因地制宜推进农村生活污水治理。</w:t>
      </w:r>
    </w:p>
    <w:p w14:paraId="6BC5AAA3">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开展县域农村生活污水治理工程。新平县辖2街道4镇6乡、124个村（居）委会、1483个村（居）民小组。按照《新平县农村人居环境整治提升五年行动方案（2021—2025年）》的要求，加快实施《玉溪市新平县农村生活污水治理专项规划（2019-2035）》，梯次开展全县自然村的农村生活污水进行治理建设及改造工程。目标是到2035年，新平县县域内饮用水水源地二级保护区内、县城（集镇）周边、行政村中心村、坝区、山区人口集中村庄，农村生活污水得到收集、治理；坝区、山区分散村庄生活污水全面得到有效管控，基本实现县域农村生活污水治理工作全面提升。</w:t>
      </w:r>
    </w:p>
    <w:p w14:paraId="2E68BC1A">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近期（2020年）完成人居环境提升三年行动计划（旅游特色型、生态宜居型、提升改善型）6个自然村、新平县农村人居环境村庄治理PPP项目73个自然村、“千吨万人”饮用水源地二级保护区范围内2个自然村生活污水收集、治理设施建设；县城（集镇）周边分散村庄28个自然村农村生活污水得到有效管控。</w:t>
      </w:r>
    </w:p>
    <w:p w14:paraId="678DF874">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中期（2021—2025年）：2021年治理集中式饮用水源地二级保护区内（除“千吨万人”饮用水源地）村庄15个、距离国控断面距离较近且村庄人口集中的村庄52个；2022年治理距离国控断面相对较远且人口分散的村庄66个；2023年治理县城及乡镇周边纳管村庄15个、已建污水处理设施改扩建村庄8个、美丽乡村、特色村等重点建设的村庄33个；2024年治理水功能区划敏感区沿线现状直排村庄8个，行政村中心村29个；2025年治理交通便利、户数在50户以下的居住分散型村庄33个。</w:t>
      </w:r>
    </w:p>
    <w:p w14:paraId="0AEBCBAB">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远期（2026—2035年）以优先治理分布集中村庄275个，较集中村庄151个，580个分布分散自然村生活污水得到有效管控。</w:t>
      </w:r>
    </w:p>
    <w:p w14:paraId="20F0236B">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完善生活垃圾处置体系。根据玉溪市人民政府办公室关于印发《玉溪市加快推进城市生活垃圾分类工作实施方案》的通知（玉政办通〔2020〕21号）和新平彝族傣族自治县人民政府办公室关于印发《新平县城市生活垃圾分类实施方案》的通知（新政办发〔2020〕28号）的文件要求，在县城建成区推行新平县生活垃圾分类管理，实现垃圾减量化、资源化、无害化。在2021年启动新平县城市生活垃圾分类收运体系建设，依照城市生活垃圾分类分区域集中推进机制，结合《新平县城市生活垃圾分类及环卫园林绿化管理一体化项目》，持续开展生活垃圾分区域集中收集工作，规范生活垃圾投放行为。对县城建成区内的390个区域配套生活垃圾分类收运设施，引导居民在各自生活办公区域内投放垃圾，打造“定时定点投放、全天巡回收集、城区全域垃圾不落地”的收运新模式，确保生活垃圾清运率达到100%，实现生活垃圾前端分类收集、中端分类运输、后端分类处理的全过程分类体系，将生活垃圾分类工作落实落地。到2025年底，基本建成法制保障、政策完善、技术成熟、社会协同的生活垃圾全过程分类体系。建成区全面实现党政机关、企事业单位、公共场所、商业中心、经营场所、社会团体等生活垃圾分类全覆盖，居住区普遍推行生活垃圾分类制度，生活垃圾分类治理和资源化率明显提升。严格执行生活垃圾无害化处置长效保障机制，2025年城镇生活垃圾无害化处理量占垃圾产生量的比例≥95%。</w:t>
      </w:r>
      <w:bookmarkStart w:id="668" w:name="bookmark49"/>
      <w:bookmarkEnd w:id="668"/>
      <w:r>
        <w:rPr>
          <w:rFonts w:hint="eastAsia" w:ascii="Times New Roman" w:hAnsi="Times New Roman" w:eastAsia="方正仿宋_GBK" w:cs="方正仿宋_GBK"/>
          <w:b w:val="0"/>
          <w:bCs w:val="0"/>
          <w:color w:val="auto"/>
          <w:kern w:val="2"/>
          <w:sz w:val="28"/>
          <w:szCs w:val="28"/>
          <w:lang w:val="en-US" w:eastAsia="zh-CN" w:bidi="ar-SA"/>
        </w:rPr>
        <w:t>加大对农村生活垃圾无害化处理工作力度，确保农村生活垃圾无害化处理量占比≥90%。</w:t>
      </w:r>
    </w:p>
    <w:p w14:paraId="46424672">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lang w:val="zh-CN"/>
        </w:rPr>
      </w:pPr>
      <w:bookmarkStart w:id="669" w:name="_Toc25652"/>
      <w:bookmarkStart w:id="670" w:name="_Toc21433"/>
      <w:r>
        <w:rPr>
          <w:rFonts w:eastAsia="仿宋"/>
          <w:snapToGrid w:val="0"/>
          <w:color w:val="auto"/>
          <w:sz w:val="28"/>
          <w:lang w:val="zh-CN"/>
        </w:rPr>
        <w:t>9.1.2</w:t>
      </w:r>
      <w:bookmarkEnd w:id="669"/>
      <w:r>
        <w:rPr>
          <w:rFonts w:hint="eastAsia" w:eastAsia="仿宋"/>
          <w:snapToGrid w:val="0"/>
          <w:color w:val="auto"/>
          <w:sz w:val="28"/>
          <w:lang w:val="zh-CN"/>
        </w:rPr>
        <w:t>保障饮用水安全</w:t>
      </w:r>
      <w:bookmarkEnd w:id="670"/>
    </w:p>
    <w:p w14:paraId="5E7B12F6">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加强城市集中式饮用水源地保护。一是加强县级集中式饮用水源地的保护，在清水河水库、他拉河水库2个县级集中式饮用水水源地一级保护区边界加强隔离围护工程，完善隔离围栏。对穿越水源保护区的公路实施水源地保护设置警示标识。针对水源地的一级保护区，按照污染源调查的点源清单，抓好监管工作，禁止建设项目进入饮用水源保护区。做好从取水口至水厂输水渠周边的环境保护，加强监督。二是加强农村农业面源污染控制。重点搞好水源保护区内农村改厕和粪便管理、生活污水收集处理、垃圾收集处理、农村地区规模化畜禽养殖污染防治工作；积极引导和鼓励农民科学施肥，使用生物农药或高效、低毒、低残留农药。三是加强集中式饮用水源地保护管理。加强饮用水水源地预警监控能力建设，完善饮用水水源应急预案，严格按照应急预案相关要求，组织开展突发环境事件应急演练，提高水源地抗风险能力。做好饮用水水源地周边环境风险排查和防控，切实加强水质预警监测，落实从水源到水龙头全过程监管，确保水质安全。探索建立水源地保护区生态补偿机制。加强水源地水质监测，提高监测频率、扩大监测范围。四是加强水源地环境监管与执法，持续保持清水河水库、他拉河水库2个县级集中式饮用水水源地环境监管力度，建立水源地管理多部门协调机制，强化部门联合执法监管和管理的长效机制，确保水源地环境安全。积极开展水源地保护宣传教育。</w:t>
      </w:r>
    </w:p>
    <w:p w14:paraId="295B6683">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完善农村饮水安全。重点保护乡村生活饮用水源。着力解决突出的农村饮用水水源地环境保护和水质改善，积极开展乡镇饮用水水源保护区的划定，重点做好乡镇饮用水源保护工作，加强对乡村饮用水水源地进行监测与管理，以改善农民生产生活条件，提高生活水平。</w:t>
      </w:r>
    </w:p>
    <w:p w14:paraId="45B862FD">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加强饮水安全工程技术指导和质量监管，建立健全长效运行管理保障机制，保证各类饮水工程充分发挥应有效益。加大农村饮水安全经费投入。各级政府将农村饮水安全经费列入年初财政预算，每年增长幅度不得低于国民经济增长幅度。充分调动农村群众投资、投劳，增加投入。严格资金管理，对农村饮水安全经费实行专户管理，确保专款专用。开展农村饮用水水源保护区环境风险排查整治。加强农村水源水质监测，建立健全部门之间监测数据共享机制。加强水源水、出厂水、管网水、末梢水的全过程管理，加大饮用水安全状况信息公开力度，引导公众监督。</w:t>
      </w:r>
    </w:p>
    <w:p w14:paraId="2210C501">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根据云南省生态环境厅《关于批复玉溪市红塔区北城街道红旗水库等18个集中式饮用水水源地保护区划定方案的函》（云环函〔2020〕575号）和《关于批复玉溪市易门县浦贝彝族乡石莲寺等50个集中式饮用水水源地保护区划定方案的函》（云环函〔2020〕637号）的文件内容显示，新平县分别有嘎洒镇的达哈河（河流型）和南恩河（河流型）、建兴乡的光山河水库（水库型）、漠沙镇的洋发城水库（水库型）、水塘镇的南达河（河流型）、扬武镇的他克冲水库（水库型）、新化乡的瓦白果水库（水库型）、老厂乡的维白拉水库（水库型）和老厂河水库（水库型）、平掌乡的猴进水库（水库型）、者竜乡的竹箐河（河流型）和冬瓜箐（河流型）等12个乡镇集中式饮用水水源地获得了批复。下一步针对该12个乡镇集中式饮用水水源地要依据《中华人民共和国水法》《中华人民共和国水污染防治法》等有关法律法规，严格落实饮用水水源保护区管理制度。按照《生态环境部水利部关于推进乡镇及以下集中式饮用水水源地生态环境保护工作的指导意见》（环水体函〔2019〕92号）要求，开展饮用水水源地规范化建设，在保护区边界设立明确的地理界标和明显的警示标志，建立隔离防护设施，全面清理保护区内违法违规项目和排污设施，强化饮用水水源保护、风险防控和应急措施，确保集中式饮用水水源水质不低于《地表水环境质量标准》（GB3838-2002）和《地下水质量标准》（GB/T14848-2017）III类标准。重点加强对新平县乡镇集中式饮用水水源地监测与管理，强化乡镇规范化建设，做好水质消毒措施，确保农村饮用水安全。到2035年，新平县2个县级、12个乡镇级集中式饮用水水源水质达标率持续保存100%。</w:t>
      </w:r>
    </w:p>
    <w:p w14:paraId="2A9AC68F">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lang w:val="zh-CN"/>
        </w:rPr>
      </w:pPr>
      <w:bookmarkStart w:id="671" w:name="_Toc736"/>
      <w:bookmarkStart w:id="672" w:name="_Toc30640"/>
      <w:bookmarkStart w:id="673" w:name="_Toc9268"/>
      <w:bookmarkStart w:id="674" w:name="_Toc5349"/>
      <w:bookmarkStart w:id="675" w:name="_Toc14512"/>
      <w:bookmarkStart w:id="676" w:name="_Toc123145821"/>
      <w:r>
        <w:rPr>
          <w:rFonts w:eastAsia="仿宋"/>
          <w:snapToGrid w:val="0"/>
          <w:color w:val="auto"/>
          <w:sz w:val="28"/>
          <w:lang w:val="zh-CN"/>
        </w:rPr>
        <w:t>9.1.3加快</w:t>
      </w:r>
      <w:bookmarkEnd w:id="671"/>
      <w:bookmarkEnd w:id="672"/>
      <w:bookmarkEnd w:id="673"/>
      <w:bookmarkEnd w:id="674"/>
      <w:r>
        <w:rPr>
          <w:rFonts w:eastAsia="仿宋"/>
          <w:snapToGrid w:val="0"/>
          <w:color w:val="auto"/>
          <w:sz w:val="28"/>
          <w:lang w:val="zh-CN"/>
        </w:rPr>
        <w:t>绿美城市建设</w:t>
      </w:r>
      <w:bookmarkEnd w:id="675"/>
      <w:bookmarkEnd w:id="676"/>
    </w:p>
    <w:p w14:paraId="4498DBEC">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新平县围绕打造“滇中绿谷”“国家生态园林县城”目标，依托生态景观格局，以乡镇集镇和县城城市景观提升为基础，以哀牢山、红河谷、磨盘山为区域生态屏障，以主干道、重要水系、重要野生动物廊道、重要森林生态休憩带和环城防护林带为骨架，积极开展城乡绿化美化三年行动，提出到2024年底，完成植树200万株，新建苗圃1000亩，生态绿色产业产值达到25亿元，建成50个以上园林单位，省级森林乡村、美丽乡村、绿美乡村，城市建成区绿地率达40%，建成区绿化覆盖率达42%，城市人均公园绿地面积不低于13.1平方米/人，村庄绿化覆盖率由51.36%提升到52%以上，基本达成生物多样性丰富、生态承载力强的“玉溪西部生态安全屏障”的行动目标。</w:t>
      </w:r>
    </w:p>
    <w:p w14:paraId="52C722B7">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（1）积极开展城市绿地系统规划编制工作</w:t>
      </w:r>
    </w:p>
    <w:p w14:paraId="23F90E6D">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严格落实《云南省绿美城市建设三年行动实施方案（2022—2024年）》《玉溪市城乡绿化美化三年行动方案（2022—2024年）》《新平县绿美城镇三年行动实施方案（2022—2024年）》和《新平县绿美社区三年行动实施方案（2022—2024年）》，围绕“绿美、宜居、特色、韧性”的要求，科学编制绿地系统规划，加快构建“点—线—面”结合的绿地生态网络，点为城市中的口袋公园、节点景观、绿美社区、绿美街区；线为城市中的绿美街道、绿道、生态廊道景观；面为城市中的公园绿地、防护绿地。统筹生产、生活、生态“三生”空间，做好国土空间规划、“三区三线”划定，构筑层次分明、布局合理、功能协调、城乡一体的新型城镇体系。在《新平县城市更新片区控制性详细规划》中对绿地系统进行了专章规划，科学划定城市园林绿化用地，保障城市绿化用地供应。</w:t>
      </w:r>
    </w:p>
    <w:p w14:paraId="79188BA7">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（2）高要求保障绿化用地增加城市绿量</w:t>
      </w:r>
    </w:p>
    <w:p w14:paraId="7DC99AC9">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坚持“绿美惠民”理念，根据第三次全国国土调查数据和国土空间规划为建设基础，以打造推窗见绿、出门入园、自然融合的城市环境为目标，科学划定绿化用地，加大城市绿化美化土地供应，城市腾退土地优先用于绿美建设。</w:t>
      </w:r>
    </w:p>
    <w:p w14:paraId="2971616D">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结合城市更新、老旧小区改造、棚户区改造等项目建设，以“增加绿量、提升品质”为主线，实施“扩绿补绿，见缝插绿”工程。推进林荫道路、绿化带建设，持续打造和沉淀城市绿美记忆。充分利用城市内各种空闲地、废弃地、边角地、立体空间、面山空间及城乡接合部等区域，采取拆违建绿、留白增绿等方式，建设一批点线面结合、类型丰富、规模合理、功能健全、覆盖均衡的小、多、匀、精的“口袋公园”，打造纵横交织、均衡覆盖的城区绿化网络，营造绿绕花簇的优美环境，实现城市“300米见绿，500米见园”，让居民推窗见绿、出门进园。</w:t>
      </w:r>
    </w:p>
    <w:p w14:paraId="52EABDE5">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（3）营建人文绿美城市</w:t>
      </w:r>
    </w:p>
    <w:p w14:paraId="6BBF2849">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新平县依托已有的自然生态、地域特色、历史文化、民族风情等，坚持文化引领，倾力打造以“中国花腰傣之乡”为美誉的民族文化、以“滇中绿宝石”为亮点的绚丽多彩自然风光。在保护新平县城现有的山水脉络及风貌格局的基础上，进一步统筹建设山、水、林、田、城共融的“公园中的城市”，锚固自然生态本底，实现城市格局更加优化、绿色空间和公共空间更加丰富，城市形态更加优美。持续沉淀新平县的城市绿美记忆，让人“进得去、有得看、留得住”，实现“让居民望得见山、看得见水、记得住乡愁”的城市美好愿景。</w:t>
      </w:r>
    </w:p>
    <w:p w14:paraId="64A0EE82">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（4）优化推进城市公园体系建设</w:t>
      </w:r>
    </w:p>
    <w:p w14:paraId="62F42B74">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逐步完善城市公园体系建设，合理配建类型丰富、规模合理、功能完善、覆盖均衡的城市公园。结合城市更新城市腾退土地，大力推进“社区公园”“口袋公园”“街头游园”等项目建设，以“一园一景”为目标，建立了《新平县城乡绿化美化推荐乡土树种名录》，充分尊重自然规律，选择适应县域内生长环境的乡土植物，如大叶香樟、小叶香樟、蓝花楹、清香木、牛筋木等80余种持续打造和沉淀新平县的城市绿美记忆。</w:t>
      </w:r>
    </w:p>
    <w:p w14:paraId="32A8BDD4">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（5）创建创优高质量绿美社区。</w:t>
      </w:r>
    </w:p>
    <w:p w14:paraId="132EAEB2">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在城市主街道小区和单位、新建小区、改造提升的老旧小区范围内，以社区为主体，积极开展“绿美社区”和“绿色生态小区”创建活动。充分发挥社区党组织引领作用，严格落实小区、单位的绿化美化责任，建立健全管理长效机制。充分利用城区各种空闲地、废弃地、边角地等，拆违建绿、留白增绿、破墙透绿，推进社区公园等贴近居民的绿地建设；鼓励开展墙体、屋顶、阳台等立体绿化美化，实现多元增绿，按照“后院前置、后绿前移”的思路，推进居民小区、单位开展生态空间共享，将围院通透式绿化与道路绿地充分融合。</w:t>
      </w:r>
    </w:p>
    <w:p w14:paraId="29576E0C">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（6）高品质打造绿美街区街道。</w:t>
      </w:r>
    </w:p>
    <w:p w14:paraId="6BFA2613">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弘扬生态文明理念，积极打造绿色街区，将绿化美化工作作为街道改造提升工程中的重点，根据道路实际情况设计绿化方案，对闲置土地开展景观提升，将传统绿化和园林造景结合，提升绿地品质，绿植选择体现四季变化。结合城市更新“三旧一改”中的老旧街区街道，充分考虑群众需求，挖掘拓展街区街道绿色空间，对城市道路、绿化景观、市政设施、临街建筑物外墙和公共服务设施等进行完善修复，满足群众出行和生活需求，打造建筑韵美、环境优美、生活恬美的绿美街区街道。</w:t>
      </w:r>
    </w:p>
    <w:p w14:paraId="22590FFA">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（7）高覆盖建设城市“绿道网”</w:t>
      </w:r>
    </w:p>
    <w:p w14:paraId="7C129D68">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积极推进城市空间中“绿道网”建设，推动公共空间中绿色植被与城市环境相融合、休闲体验与审美感知相统一。结合城市新区建设、城市道路改造、公园改扩建等项目建设，推进城市绿道建设向城市面山延伸，在“成线”的基础上逐步“成网”，同时配备完善标识、休憩、环卫、智慧停车等配套便民服务设施，搭建纵横贯通、四通八达、均衡覆盖的城区生态绿道网络，推进经济适用、便于管养的节约型“绿道网”建设。</w:t>
      </w:r>
    </w:p>
    <w:p w14:paraId="6E5640FF">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（8）积极开展绿美乡村建设</w:t>
      </w:r>
    </w:p>
    <w:p w14:paraId="3C0686AC">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深入实施农村人居环境整治提升五年行动，积极打造具有新平县特色的生态宜居美丽乡村。有效保护古树名木、护村林、风景林等自然植被，保护传承乡村历史文化，促进人文景观与自然景观相得益彰、协调发展。与森林乡村建设有结合，充分利用“村旁、水旁、路旁、宅旁”闲置空间，宜树则树、宜花则花、宜果则果、宜菜则菜，因地制宜建设“小花园、小果园、小菜园”，千方百计增加村庄绿地绿量。组织发动农户建设美丽庭院。将乡村绿化美化行动与生态产业发展相结合，大力发展庭院经济、林下经济、生态农业和乡村休闲康养旅游产业。</w:t>
      </w:r>
    </w:p>
    <w:p w14:paraId="200AF81D">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（9）有力推动绿美校园建设</w:t>
      </w:r>
    </w:p>
    <w:p w14:paraId="34ACCDEC">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结合新平县域特色，做好辖区内各类学校绿化美化规划设计。充分挖掘立体空间资源，鼓励在校园内开展垂直绿化、屋顶绿化，营造多层次、多物种的校园绿色体系，最大限度提升校园绿地率和绿化覆盖率。组织学校教职工开展义务植树、义务养护、义务认养等活动。完善学校绿化带、林荫道路建设，推进校园绿地公共服务设施建设。完善校园自然标识系统，满足科普教育功能。</w:t>
      </w:r>
    </w:p>
    <w:p w14:paraId="77383E81">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（10）高水平实施绿化管理维护</w:t>
      </w:r>
    </w:p>
    <w:p w14:paraId="75995EDF">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进一步完善城市园林绿化管理体制、机制，保障城市园林绿化规划、设计、建设、管护得到有效执行。制定切合实际的地方养护标准，保障园林绿化养护资金投入，保证养护质量和景观效果。严格落实城市公共绿地、小区绿地和单位绿地“门前三包”责任制。加强绿化主管部门的监督管理职责，杜绝重建轻管现象，禁止破坏城市绿地、毁损古树名木、擅自砍伐树木等违法违规行为。</w:t>
      </w:r>
    </w:p>
    <w:p w14:paraId="3681E53A">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zh-CN" w:eastAsia="zh-CN"/>
        </w:rPr>
      </w:pPr>
      <w:bookmarkStart w:id="677" w:name="_Toc13334"/>
      <w:bookmarkStart w:id="678" w:name="_Toc12269"/>
      <w:r>
        <w:rPr>
          <w:rFonts w:hint="default" w:ascii="Times New Roman" w:hAnsi="Times New Roman" w:eastAsia="仿宋" w:cs="Times New Roman"/>
          <w:color w:val="auto"/>
          <w:sz w:val="32"/>
          <w:lang w:val="zh-CN" w:eastAsia="zh-CN"/>
        </w:rPr>
        <w:t>9.2绿色城镇化及生态城区</w:t>
      </w:r>
      <w:bookmarkEnd w:id="677"/>
      <w:bookmarkEnd w:id="678"/>
    </w:p>
    <w:p w14:paraId="63743664">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lang w:val="zh-CN"/>
        </w:rPr>
      </w:pPr>
      <w:bookmarkStart w:id="679" w:name="_Toc21470"/>
      <w:bookmarkStart w:id="680" w:name="_Toc633"/>
      <w:r>
        <w:rPr>
          <w:rFonts w:eastAsia="仿宋"/>
          <w:snapToGrid w:val="0"/>
          <w:color w:val="auto"/>
          <w:sz w:val="28"/>
          <w:lang w:val="zh-CN"/>
        </w:rPr>
        <w:t>9.2.1</w:t>
      </w:r>
      <w:bookmarkEnd w:id="679"/>
      <w:r>
        <w:rPr>
          <w:rFonts w:hint="eastAsia" w:eastAsia="仿宋"/>
          <w:snapToGrid w:val="0"/>
          <w:color w:val="auto"/>
          <w:sz w:val="28"/>
          <w:lang w:val="zh-CN"/>
        </w:rPr>
        <w:t>加快建设美丽县城</w:t>
      </w:r>
      <w:bookmarkEnd w:id="680"/>
    </w:p>
    <w:p w14:paraId="10A51164">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以提升城市产业竞争力和人口吸引力、推动优势要素资源集聚为导向，统筹推进城市更新改造，进一步完善城市功能，改善人居环境，提升城市品质，传承历史文化，增强城市综合承载力和可持续发展能力，建设特色鲜明、功能完善、生态优美、宜居宜业的“美丽县城”。</w:t>
      </w:r>
    </w:p>
    <w:p w14:paraId="5E71592F">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（1）推进县城提质扩容</w:t>
      </w:r>
    </w:p>
    <w:p w14:paraId="3E62065E">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围绕“干净、宜居、特色、智慧”四大要素，大力实施城市更新改造，加快县城城镇化补短板强弱项建设，聚焦功能优化完善、环境美化亮化、管理服务提升、民族文化保护等，搭建智慧化管理平台，高标准建设美丽县城。抓好县城东片区、西片区开发以及南片区配套服务设施建设，推进环城北路等重点项目建设，实现“东拓、西扩、南延、北接”的发展格局。实施市政道路改扩建工程，打通断头路；建设新老城区连接线和新区内道路网，提高次干路和支路的密度。合理布局建设城市停车场和立体车库，推进智慧停车场建设。加强城市公园、风情主题街区建设。完善市政管网设施，加快地下综合管廊建设，推进供水管网和排水设施改造与建设，实施排水系统雨污分流改造，加快推进海绵城市建设。加大垃圾分类、污水治理、非正规垃圾堆放点整治力度，持续推进公厕建设。加快新东进市场改造提升和桂山街道凤凰社区标准化农贸市场建设。统筹推进城镇老旧小区更新改造，对有需求有条件的小区开展电梯安装，加快传统商圈提档升级及推进存量住房改造提升等。推进新平县人防机动指挥所建设，推动人防建设高质量发展。完善防灾减灾基础设施配套，加强救灾物资储备设施布局和建设，提高建筑物和基础设施抗灾害能力，合理布局和建设城乡应急避难场所，提升城市空间韧性。到2025年，力争县城建成区面积达10平方公里，常住人口达10万人。</w:t>
      </w:r>
    </w:p>
    <w:p w14:paraId="495E8ADF">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（2）着力提升城市风貌</w:t>
      </w:r>
    </w:p>
    <w:p w14:paraId="7D349DAE">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统筹协调城市形态格局、建筑风貌、街道立面、天际线、楼际线及色彩、标志系统，加强公共空间界面管控，塑造层次丰富、疏密有致、高低错落、鳞次栉比的城市空间形态。加强城市设计，鼓励推行城市总建筑师、驻点社区（乡镇）设计师制度。改造提升民族文化广场商业街、溪湖小镇特色街区等，完善综合配套服务设施；引进知名地方特色、老字号店铺和特色产品等，增强特色商业街的独特性和差异性，发展新型文旅商业消费集聚区。实施龙泉公园、桂山公园、花山公园提升改造工程，推进斗戛迎晖园、团结凤仪园、纳溪湿地公园等项目建设，提升城市宜居水平。加强平甸河等城市河湖监管，全面清理整治河湖管理范围内乱占、乱采、乱堆、乱建等“四乱”突出问题，消除城市黑臭水体。做好城区内重要历史建筑的保护和修缮工作，提升城市内涵。</w:t>
      </w:r>
    </w:p>
    <w:p w14:paraId="0A2F4987">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（3）提升城市治理水平</w:t>
      </w:r>
    </w:p>
    <w:p w14:paraId="5237E9E0">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增强经营城市理念，强化城市精细化管理。加快建设县城智慧化管理大数据中心平台，有效整合城市管理领域信息系统和数据资源，加大城市数据共享开发力度，深化政务服务“一网通办”、城市运行“一网统管”，提高城市运行效率。加强公共服务与“一部手机”系列应用、各行业重点服务应用的数据、业务对接，建设智慧城市。推进城管岗亭、社区工作站、便民窗口等便民服务平台建设，增强城市服务功能。发挥城市管理服务热线、微信公众服务号功能，引导社会公众自觉维护和监督城市环境秩序。深化城市管理体制改革，形成齐抓共管的“大城管”格局。加强城市管理专业化队伍建设，提升城市管理执法队伍专业素养。</w:t>
      </w:r>
    </w:p>
    <w:p w14:paraId="40E0A55E">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lang w:val="zh-CN"/>
        </w:rPr>
      </w:pPr>
      <w:bookmarkStart w:id="681" w:name="_Toc21486"/>
      <w:bookmarkStart w:id="682" w:name="_Toc22338"/>
      <w:r>
        <w:rPr>
          <w:rFonts w:eastAsia="仿宋"/>
          <w:snapToGrid w:val="0"/>
          <w:color w:val="auto"/>
          <w:sz w:val="28"/>
          <w:lang w:val="zh-CN"/>
        </w:rPr>
        <w:t>9.2.2</w:t>
      </w:r>
      <w:bookmarkEnd w:id="681"/>
      <w:r>
        <w:rPr>
          <w:rFonts w:hint="eastAsia" w:eastAsia="仿宋"/>
          <w:snapToGrid w:val="0"/>
          <w:color w:val="auto"/>
          <w:sz w:val="28"/>
          <w:lang w:val="zh-CN"/>
        </w:rPr>
        <w:t>积极支持小城镇发展</w:t>
      </w:r>
      <w:bookmarkEnd w:id="682"/>
    </w:p>
    <w:p w14:paraId="289F16CB">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坚持城镇高质量发展为导向，强化对集镇、特色小镇顶层设计、激励约束和规范管理，完善城镇功能，推进城镇化健康发展。</w:t>
      </w:r>
    </w:p>
    <w:p w14:paraId="64744174">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（1）提升集镇建设水平</w:t>
      </w:r>
    </w:p>
    <w:p w14:paraId="593A2638">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发挥集镇在连接城乡发展中的纽带作用，按集镇规模等级和区位优势，引导集镇错位发展、分类发展，推动资源丰富、产业基础好的重点镇和特色镇聚焦主导产业，突出特色服务，提升集镇综合功能。加强戛洒核心城镇、扬武和漠沙重点城镇建设，强化腰街片区在戛洒镇域内的次集镇功能，分类推进其他集镇基础设施完善和人居环境整治，加强以乡镇政府驻地为中心的居民生活圈建设，增强集镇的综合服务功能和人口聚集能力。推进戛洒镇经济发达镇行政管理体制改革，打造发展速度快、带动作用强的县域经济社会次中心，以镇域经济增长更好地激发县域经济发展活力。加强集镇道路交通、污水垃圾设施、电力电信、物流配套设施、综合防灾等基础设施建设，加快补齐集镇基础设施短板。推进环境综合整治，提升宜居水平。因地制宜布局和建设面向社区、功能复合、便民惠民的商贸中心、邻里中心，引进品牌连锁超市。加大农贸市场改造提升力度，规范集镇农贸市场管理，因地制宜发展专业市场。加强文化站、特色文化广场、体育场馆等文体场所建设。完善教育、医疗、养老等公共服务设施，引导公共服务设施向农村延伸，提升集镇综合服务水平。</w:t>
      </w:r>
    </w:p>
    <w:p w14:paraId="0ADC3EE7">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（2）提升特色小镇创建质量</w:t>
      </w:r>
    </w:p>
    <w:p w14:paraId="677B0B93">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按照“彰显特色、打造产业、创新智慧、追求卓越”要求，聚焦“特色、产业、生态、易达、宜居、智慧、成网”七大要素，巩固提升新平戛洒花腰傣风情小镇创建成果，持续推进漠沙农旅田园小镇、大开门产城融合示范小镇、滇中国际商旅驿站小镇、新平县橙韵商旅小镇、磨盘山森林康养小镇等一批产业特色鲜明、人文底蕴浓厚、服务设施完善、生态环境优美的特色小镇建设。聚焦主导产业，叠加现代社区、文化、旅游等功能，丰富特色小镇产品供给，提高特色小镇的吸引力。推进特色小镇市场化运作，探索可持续的投融资模式和盈利模式，带动中小微企业联动发展。推进特色小镇接入“一部手机游云南”“一部手机云品荟”“一部手机办事通”平台，打造“云上特色小镇”。</w:t>
      </w:r>
    </w:p>
    <w:p w14:paraId="5E1F9F7C">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lang w:val="zh-CN"/>
        </w:rPr>
      </w:pPr>
      <w:bookmarkStart w:id="683" w:name="_Toc813"/>
      <w:bookmarkStart w:id="684" w:name="_Toc21505"/>
      <w:r>
        <w:rPr>
          <w:rFonts w:eastAsia="仿宋"/>
          <w:snapToGrid w:val="0"/>
          <w:color w:val="auto"/>
          <w:sz w:val="28"/>
          <w:lang w:val="zh-CN"/>
        </w:rPr>
        <w:t>9.2.3发展绿色生态旅游服务业</w:t>
      </w:r>
      <w:bookmarkEnd w:id="683"/>
      <w:bookmarkEnd w:id="684"/>
    </w:p>
    <w:p w14:paraId="52D22090">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根据《玉溪市新平彝族傣族自治县国民经济和社会发展第十四个五年规划和二〇三五年远景目标纲要》，新平县将紧扣“中国花腰傣文化旅游目的地”的发展定位。主打中国“花腰傣之乡”品牌，立足哀牢山、磨盘山、红河谷、戛洒花腰傣风情小镇、特色农产品等资源，以打造“健康生活目的地牌”为抓手，积极融入滇中核心旅游圈，着力推进服务业专业化，强化龙头带动，加强花腰傣等文化资源进行合理开发利用，加快乡村精品旅游、康体养生、现代物流、电子商务、数字经济等服务业融合发展，擦亮“花腰傣之乡”“中国天然氧吧”等名片，努力把新平打造为中国花腰傣文化旅游目的地。具体可从以下六大方面进行绿色生态旅游服务业建设：</w:t>
      </w:r>
    </w:p>
    <w:p w14:paraId="0E23561C">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绿色餐饮服务：“吃”作为旅游六要素的首项，建设绿色餐饮服务是获得旅游体验感的重要一环，应严格执行云南省地方标准《绿色餐饮企业建设及运营指南》（DB53/T1002-2020），有力支撑爱国卫生“净餐馆”专项行动，各餐饮企业积极参与玉溪市餐饮与美食行业协会组织开展的“光盘行动、公筷公勺、绿色餐饮、文明餐厅”系列活动。通过在餐厅醒目位置张贴节约标识和条幅、设置公益告示牌、举办绿色消费活动等方式，引导顾客文明用餐、节俭消费；根据消费者数量和餐品分量主动提醒用餐者适量点餐、对餐品种类提出合理建议，按照用餐者要求提供大、中、小分量的餐品，提供分餐服务和打包餐盒，适时提醒用餐者打包；制作规范菜单，明确每种菜品和服务价格，标明菜品主要食材分量，不设最低消费，无虚假宣传；餐饮企业（单位）应积极参与绿色餐饮宣传活动，用餐者对餐厅环境、诚信水平、服务满意度的优秀评价率应达到80%以上（开展随机抽样调查）；将厉行节约作为职工培训的重要内容，加强餐饮服务人员职业道德培训，并纳入员工考核范畴，提升服务人员的职业道德水平。</w:t>
      </w:r>
    </w:p>
    <w:p w14:paraId="5F2C9A4D">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绿色住宿服务：着力抓实做好新平县“住”的要素提升，促进全县旅游接待设施的提档升级，积极响应“双碳”号召，由政府及监管部门充分发挥引导作用，出台酒店绿色低碳转型的各类激励机制，鼓励更多酒店实现向绿色酒店的转变，鼓励申报绿色旅游饭店。搭建酒店行业绿色发展指标体系，制定全面统一的行业碳排放测算标准和ESG信息披露标准。推行“绿色住”服务，根据旅客个人需求免除不需要的服务项目——如提供一次性塑料用品、毛巾浴巾、续住清扫等，即可在房费基础上获得相应金额减免，如到店后临时需要相应服务，只需补相应差价即可恢复服务。</w:t>
      </w:r>
    </w:p>
    <w:p w14:paraId="400F2D90">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绿色出行服务：鼓励当地汽车出租有限公司计划在后续的车辆报废更新中，优先选用新能源出租车。增加共享单车投放量，倡导文明使用，发展共享经济推动绿色出行。增加电动旅游观光车数量及科学安排游览线路，增加资源利用率，减少碳排放。鼓励使用滴滴出行、云滴出行、万顺叫车、首汽约车、神州行等网约车合法平台环保拼车。</w:t>
      </w:r>
    </w:p>
    <w:p w14:paraId="34C1063B">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绿色景区服务：打造绿色景区，提供绿色服务。在景区的全景图及宣传手册上增加介绍景区生态特征及环保要求的相关提示。在景区内外的醒目位置设立文明旅游、文明告知、文明提醒、文明规劝等温馨提示。鼓励景区采用节能制冷设施设备，设置雨水收集利用系统。加强植被保护，大力培育和扩大绿色植物覆盖面积，采用有机肥料和天然杀虫方法。</w:t>
      </w:r>
    </w:p>
    <w:p w14:paraId="37B2997F">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绿色购物服务：积极推进创建绿色商场、绿色商店，推进过度包装治理，推动生产经营者遵守限制商品过度包装的强制性标准，实施减色印刷，逐步实现商品包装绿色化、减量化和循环化。建立健全一次性塑料制品使用、回收情况报告制度，督促指导商品零售场所开办单位、电子商务平台企业、快递企业和外卖企业等落实主体责任。</w:t>
      </w:r>
    </w:p>
    <w:p w14:paraId="2FA5B01E">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zh-CN" w:eastAsia="zh-CN"/>
        </w:rPr>
      </w:pPr>
      <w:bookmarkStart w:id="685" w:name="_Toc7654"/>
      <w:bookmarkStart w:id="686" w:name="_Toc31654"/>
      <w:r>
        <w:rPr>
          <w:rFonts w:hint="default" w:ascii="Times New Roman" w:hAnsi="Times New Roman" w:eastAsia="仿宋" w:cs="Times New Roman"/>
          <w:color w:val="auto"/>
          <w:sz w:val="32"/>
          <w:lang w:val="zh-CN" w:eastAsia="zh-CN"/>
        </w:rPr>
        <w:t>9.3乡村振兴和美丽乡村</w:t>
      </w:r>
      <w:bookmarkEnd w:id="685"/>
      <w:r>
        <w:rPr>
          <w:rFonts w:hint="default" w:ascii="Times New Roman" w:hAnsi="Times New Roman" w:eastAsia="仿宋" w:cs="Times New Roman"/>
          <w:color w:val="auto"/>
          <w:sz w:val="32"/>
          <w:lang w:val="zh-CN" w:eastAsia="zh-CN"/>
        </w:rPr>
        <w:t>建设</w:t>
      </w:r>
      <w:bookmarkEnd w:id="686"/>
    </w:p>
    <w:p w14:paraId="396A8266">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lang w:val="zh-CN"/>
        </w:rPr>
      </w:pPr>
      <w:bookmarkStart w:id="687" w:name="_Toc15745"/>
      <w:bookmarkStart w:id="688" w:name="_Toc29115"/>
      <w:r>
        <w:rPr>
          <w:rFonts w:eastAsia="仿宋"/>
          <w:snapToGrid w:val="0"/>
          <w:color w:val="auto"/>
          <w:sz w:val="28"/>
          <w:lang w:val="zh-CN"/>
        </w:rPr>
        <w:t>9.3.1全面实施乡村振兴战略</w:t>
      </w:r>
      <w:bookmarkEnd w:id="687"/>
      <w:bookmarkEnd w:id="688"/>
    </w:p>
    <w:p w14:paraId="552716C0">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巩固拓展脱贫攻坚成果同乡村振兴有效衔接。加快实施“十四五”巩固拓展脱贫攻坚成果专项规划，接续推动脱贫乡村全面振兴，让脱贫群众逐步走上共同富裕的道路。</w:t>
      </w:r>
    </w:p>
    <w:p w14:paraId="577A4AFA">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一是保持政策措施总体稳定。严格落实“摘帽不摘政策、摘帽不摘责任、摘帽不摘帮扶、摘帽不摘监管”要求，保持现有帮扶政策、资金支持、帮扶力量总体稳定。确保“十四五”期间，稳固全县脱贫人口不返贫的脱贫攻坚成果，有效衔接脱贫攻坚与乡村振兴，全力让脱贫群众迈向富裕。在全面完成脱贫任务的基础上，把扶贫工作重心从主要消除绝对贫困向缓解相对贫困转变，从主要解决收入贫困向解决多维贫困转变，从重点解决农村贫困问题向统筹城乡相对贫困转变，扶贫工作方式由集中作战调整为常态推进。</w:t>
      </w:r>
    </w:p>
    <w:p w14:paraId="28F67BF1">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二是加大产业就业支持力度。加快建立产业帮扶全覆盖机制，统筹一、二、三产业，加大扶贫产业基地建设，补齐技术、设施、营销等短板，继续开展好农产品产销对接活动，提升产业扶贫质量。加快建立壮大村级集体经济帮扶机制，对现有帮扶政策逐项分类优化调整，积极争取列入省级乡村振兴重点帮扶县。聚焦确保粮食安全、农业转型升级和农村全面发展、数字农业农村建设等重点领域，推动相对贫困乡镇，自然村因地制宜发展优势产业，增强可持续发展内生动力，加大资金投入和项目扶持，实施一批重大工程项目，促进农业农村高质量发展，努力壮大村级集体经济实力。加强网上培训和就业服务，完善劳务输出精准服务机制，为群众提供更多就业机会和岗位。</w:t>
      </w:r>
    </w:p>
    <w:p w14:paraId="6211BC34">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三是持续推进乡村产业高质量发展。坚持品质提升，推动农业由增产导向转向提质导向。强化良种选育与引进，加快选育和引进适宜新平发展的高产、高效、抗病力强的优良涉农新品种，扶持建设一批优质特色良种扩繁基地，保障种养业优质、绿色发展。实施农产品加工业提升行动，建设一批高标准、高质量的农产品加工园区，打造绿色农产品品牌。充分发挥立体气候优势，以漠沙现代农业示范区建设带动建兴、平掌，大力发展蔬菜、水果、甘蔗、茶叶、中药材等高原特色农业和生态旅游，把漠沙打造成为带动全县发展高原特色现代农业的重要增长极和南部次中心。建立新平农产品质量追溯系统，加强种植、加工、销售等全过程监管，提升新平特色农业的知名度和美誉度。强化农产品质量安全和监管，加快农资、农产品质量安全追溯两个监管信息平台的建设与应用，推进食用农产品“一品一码”销售，加强质量安全监管。同时要严格按照有关规定加强对转基因食品的管控，保障食品安全。</w:t>
      </w:r>
    </w:p>
    <w:p w14:paraId="7C9CD4DA">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lang w:val="zh-CN"/>
        </w:rPr>
      </w:pPr>
      <w:bookmarkStart w:id="689" w:name="_Toc10666"/>
      <w:bookmarkStart w:id="690" w:name="_Toc5890"/>
      <w:r>
        <w:rPr>
          <w:rFonts w:eastAsia="仿宋"/>
          <w:snapToGrid w:val="0"/>
          <w:color w:val="auto"/>
          <w:sz w:val="28"/>
          <w:lang w:val="zh-CN"/>
        </w:rPr>
        <w:t>9.3.2农业农村环境综合整治</w:t>
      </w:r>
      <w:bookmarkEnd w:id="689"/>
      <w:bookmarkEnd w:id="690"/>
    </w:p>
    <w:p w14:paraId="6B179253">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深入推进《新平县农村人居环境整治提升五年行动实施方案（2021—2025年）》，加快推进农村人居环境整治PPP项目建设，研究制定运营方案，确保项目高效运转。</w:t>
      </w:r>
    </w:p>
    <w:p w14:paraId="59325670">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梯次推进农村生活污水治理。积极实施《玉溪市新平县农村生活污水治理专项规划（2019-2035）》，确保新平县县域内饮用水水源地二级保护区内、县城（集镇）周边、行政村中心村、坝区、山区人口集中村庄，农村生活污水得到收集、治理；坝区、山区分散村庄生活污水全面得到有效管控，基本实现县域农村生活污水治理工作全面提升。加强农村地区再生水回用，处理后再生水可用于道路浇洒、绿化、河道补水；化粪池出水可用于农田回用。完善落实河（湖）长制，大力开展美丽河湖建设，加快推进农村水利工程提档升级改造，完善农村生活污水治理长效管理机制，推动城镇污水管网向周边村庄延伸覆盖。积极推广低成本、低能耗、易维护、高效率的污水处理技术，鼓励采用生态处理工艺。加强生活污水源头减量。</w:t>
      </w:r>
    </w:p>
    <w:p w14:paraId="0B147E09">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全面推进农村生活垃圾治理。贯彻落实《新平县城市生活垃圾分类实施方案》，加快推进城镇和农村生活垃圾分类工作，进一步完善生活垃圾分类投放、分类收集、分类转运和分类处置体系建设。采取“村收集镇转运区处理”“源头减量、就近就地处理”等多种模式，加大农村垃圾治理力度。实施整治全流程监管，严厉查处在农村地区随意倾倒、堆放垃圾行为。有条件的地区，开展农村生活垃圾分类减量化试点，推行垃圾就地分类和资源化利用。在建立村庄保洁和垃圾清运收费制度的基础上，设立村庄保洁公益岗位，稳定保洁队伍，并优先安排建档立卡贫困户担任村庄保洁员。</w:t>
      </w:r>
    </w:p>
    <w:p w14:paraId="26126A20">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推进厕所革命向纵深发展。进一步优化提升行政村内公厕布局，进一步加快全县农村户厕卫生化改建全覆盖，逐步推动重点任务由建设转向管护。构建农村厕所维修服务、清运服务、利用处理三项制度。探索建立财政补贴与农户缴费合理分摊的机制，引导鼓励企业和社会化服务组织成立农村厕所管护协会，开展清运服务。结合旅游厕所建设，引导特色旅游村镇的厕所升级，推动无性别厕位、第三卫生间的建设，鼓励厕所融入旅游功能。到2025年，农村卫生厕所普及率完成上级规定的目标任务。</w:t>
      </w:r>
    </w:p>
    <w:p w14:paraId="443A1C64">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着力提升村容村貌。推进村庄“七改三清”人居环境提升行动。建好、管好、护好、运营好“四好农村路”，推广建设“两站两员”机制，加强农村道路交通安全管理，加大农村公路两侧绿化、美化和垃圾治理力度。实施农村饮水安全巩固提升工程，推进“以电代柴”“以气代柴”。加快农村电网改造升级，完善村庄公共照明、通信等设施。整治村庄公共空间、庭院环境和各类架空管线，消除私搭乱建、乱堆乱放。加大传统村落民居和历史文化名镇名村保护力度，加强历史建（构）筑物及古树名木保护并进行挂牌管理。根据规划风貌管控要求，重点对村庄原有房屋屋顶、外立面等整体外观和门、窗、梁柱外部节点等进行风貌整治。新建农房严格管控宅基地面积、高度和外观风貌。推进村庄绿化，充分利用闲置土地组织开展植树造林，因地制宜利用村内闲置地、房前屋后建设小果园、小菜园、小花园，积极创建园林乡镇和绿色村庄。加强自然生态环境修复保护森林，加强乡村湿地保护与恢复。在有条件的乡村和社区，积极推进乡村湿地建设。推动卫生村庄创建工作。</w:t>
      </w:r>
    </w:p>
    <w:p w14:paraId="3BC1099B">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持续推进化肥农药减量化行动。逐年实施受污染耕地安全利用技术工程，推进农业生产投入品减量化、生产清洁化、废弃物资源化、产业模式生态化。实施农业投入品减量增效计划。深入实施化肥、农药施用量零增长行动，大力推广水肥一体化、测土配方施肥、农作物病虫害专业化统防统治、果菜病虫全程绿色防控、深松整地等技术，加快有机肥、高效缓释肥料、水溶肥料、高效低毒低残留农药等推广应用，建设一批化肥减量增效示范区。</w:t>
      </w:r>
    </w:p>
    <w:p w14:paraId="4C860DB8">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加强秸秆、农膜废弃物资源化利用。成立秸秆综合利用技术专家组，指导开展技术示范、模式集成，提升农作物秸秆科学利用水平；建立全县秸秆资源台账和市级秸秆资源数据共享平台；进一步推广秸秆还田技术，提高秸秆还田量；积极开展秸秆饲料化综合利用，减少秸秆资源浪费。开展农膜污染防治，大力推广可降解生态农膜栽培技术，开展农药包装废弃物回收，强化重金属治理；积极引进先进的废旧农膜回收加工工艺，扶持建立废旧农膜回收加工企业；以乡镇为单元建立废旧农膜回收点，形成回收网络，抓好农废回收利用，助推美丽乡村建设。到2025年，农膜回收利用率达到86%以上，农作物秸秆综合利用率达到95%以上。</w:t>
      </w:r>
    </w:p>
    <w:p w14:paraId="27261752">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加强畜禽养殖污染防治。强化畜禽粪污处置，特别是规模化养殖场（小区）结合自身养殖规模、能源需求、周边消纳粪尿土地面积等选择不同的粪污处理模式，禁止畜禽粪污未经处理直接外排。新建、改建、扩建畜禽养殖场应实施雨污分流、干湿分离，并推行干法清粪工艺，减少污水产生量。畜禽养殖粪便必须经过无害化处理后才能用作肥料或土壤调节剂，防止土壤污染。创建畜牧业绿色发展示范区、生态循环农业示范区，推广健康生态种养模式，培育一批生态循环农业示范区和示范点，重点建设畜禽粪污与果林种植循环利用示范样板，打造现代生态农业“多级循环体系”。到2025年，畜禽粪污综合利用率达到93%以上。</w:t>
      </w:r>
    </w:p>
    <w:p w14:paraId="05315D17">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0070C0"/>
          <w:sz w:val="28"/>
          <w:lang w:val="zh-CN"/>
        </w:rPr>
      </w:pPr>
      <w:bookmarkStart w:id="691" w:name="_Toc18760"/>
      <w:bookmarkStart w:id="692" w:name="_Toc495"/>
      <w:r>
        <w:rPr>
          <w:rFonts w:eastAsia="仿宋"/>
          <w:snapToGrid w:val="0"/>
          <w:color w:val="auto"/>
          <w:sz w:val="28"/>
          <w:lang w:val="zh-CN"/>
        </w:rPr>
        <w:t>9</w:t>
      </w:r>
      <w:r>
        <w:rPr>
          <w:rFonts w:eastAsia="仿宋"/>
          <w:snapToGrid w:val="0"/>
          <w:color w:val="0070C0"/>
          <w:sz w:val="28"/>
          <w:lang w:val="zh-CN"/>
        </w:rPr>
        <w:t>.3.3推进生态宜居美丽乡村建设</w:t>
      </w:r>
      <w:bookmarkEnd w:id="691"/>
      <w:bookmarkEnd w:id="692"/>
    </w:p>
    <w:p w14:paraId="3827060D">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着力打造美丽乡村。推动乡村产业发展壮大，建设一批农业产业强镇和“一村一品”专业村。实施乡村振兴“百千万”示范工程，扎实推进新一轮农村人居环境整治，全面完成村庄建设规划编制，强化农村建房规划建设管理，坚决遏制乡村违法违规无序建房行为，打造一批示范乡镇、精品示范村和美丽村庄。加强乡风文明建设，推进移风易俗，完善村规民约，不断提升乡村文明水平。加强和改进乡村治理，探索建立村（社区）两委乡贤治理机制，健全乡村治理体系。拓展农民增收渠道，多措并举增加经营性、工资性、财产性、转移性收入，促进农民收入稳定增长。</w:t>
      </w:r>
    </w:p>
    <w:p w14:paraId="4994AD14">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全面实施乡村振兴“百千万”工程，统筹城镇和村庄规划建设，保护传统村落和乡村风貌，实现乡村规划全覆盖。积极发展农林牧渔绿色生态循环农业模式。</w:t>
      </w:r>
    </w:p>
    <w:p w14:paraId="12971B7B">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推进示范创建。围绕打造“滇中绿谷、宜居新平”目标，按照“宜居、宜业、宜游”的原则，深入实施乡村人居环境整治行动和乡村生态保护与修复工程，推动实施“美丽乡村建设示范行动”，全面建设生态宜居美丽乡村。到2025年，力争建设1个以上乡村振兴示范乡镇、10个精品示范村、100个乡村振兴规划示范点，打造腰街片区乡村振兴示范区。</w:t>
      </w:r>
    </w:p>
    <w:p w14:paraId="61043DD6">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zh-CN" w:eastAsia="zh-CN"/>
        </w:rPr>
      </w:pPr>
      <w:bookmarkStart w:id="693" w:name="_Toc12063"/>
      <w:bookmarkStart w:id="694" w:name="_Toc3829"/>
      <w:r>
        <w:rPr>
          <w:rFonts w:hint="default" w:ascii="Times New Roman" w:hAnsi="Times New Roman" w:eastAsia="仿宋" w:cs="Times New Roman"/>
          <w:color w:val="auto"/>
          <w:sz w:val="32"/>
          <w:lang w:val="zh-CN" w:eastAsia="zh-CN"/>
        </w:rPr>
        <w:t>9.4</w:t>
      </w:r>
      <w:bookmarkEnd w:id="693"/>
      <w:r>
        <w:rPr>
          <w:rFonts w:hint="eastAsia" w:ascii="Times New Roman" w:hAnsi="Times New Roman" w:eastAsia="仿宋" w:cs="Times New Roman"/>
          <w:color w:val="auto"/>
          <w:sz w:val="32"/>
          <w:lang w:val="zh-CN" w:eastAsia="zh-CN"/>
        </w:rPr>
        <w:t>践行简约绿色低碳生活</w:t>
      </w:r>
      <w:bookmarkEnd w:id="694"/>
      <w:r>
        <w:rPr>
          <w:rFonts w:hint="eastAsia" w:ascii="Times New Roman" w:hAnsi="Times New Roman" w:eastAsia="仿宋" w:cs="Times New Roman"/>
          <w:color w:val="auto"/>
          <w:sz w:val="32"/>
          <w:lang w:val="zh-CN" w:eastAsia="zh-CN"/>
        </w:rPr>
        <w:tab/>
      </w:r>
      <w:r>
        <w:rPr>
          <w:rFonts w:hint="default" w:ascii="Times New Roman" w:hAnsi="Times New Roman" w:eastAsia="仿宋" w:cs="Times New Roman"/>
          <w:color w:val="auto"/>
          <w:sz w:val="32"/>
          <w:lang w:val="zh-CN" w:eastAsia="zh-CN"/>
        </w:rPr>
        <w:tab/>
      </w:r>
    </w:p>
    <w:p w14:paraId="040C2F89">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lang w:val="zh-CN"/>
        </w:rPr>
      </w:pPr>
      <w:bookmarkStart w:id="695" w:name="_Toc15919"/>
      <w:bookmarkStart w:id="696" w:name="_Toc7861"/>
      <w:r>
        <w:rPr>
          <w:rFonts w:eastAsia="仿宋"/>
          <w:snapToGrid w:val="0"/>
          <w:color w:val="auto"/>
          <w:sz w:val="28"/>
          <w:lang w:val="zh-CN"/>
        </w:rPr>
        <w:t>9.4.1提升绿色建筑水平</w:t>
      </w:r>
      <w:bookmarkEnd w:id="695"/>
      <w:bookmarkEnd w:id="696"/>
    </w:p>
    <w:p w14:paraId="44797E7D">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推广绿色建筑。开展建筑及社区节能改造，鼓励低碳居住消费模式。到2025年，城镇新建绿色建筑比例达到100%以上。</w:t>
      </w:r>
    </w:p>
    <w:p w14:paraId="220EF549">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加快建筑能耗改造。继续严格监管新建和改造建筑，加快建筑碳排放评级，推进碳标签，确保新建建筑全部符合绿色建筑标准，同时鼓励新建建筑申请高星级绿色建筑标准；完善绿色建筑政策法规和技术规范体系，建立绿色建筑建设全过程管理制度；继续推进国家机关办公建筑和大型公共建筑节能监管体系，建立基于能耗监测平台的能耗分析机制，充分发挥能耗监测系统的作用。筛选不同使用性质的高能耗办公建筑或大型公共建筑，实施公共建筑综合节能改造与单项技术节能改造，优化运行管理、改善空调系统、改善照明系统及非节能门窗、加装遮阳设施等；鼓励住宅建筑进行非节能门窗和加装遮阳设施改造，提高家电设备效率。重点培育2—3座绿色建筑典范，带动全社会大力发展高星级绿色建筑；重点开发政府投资绿色建筑示范项目建设，新建、改建、扩建的保障性住房、学校、医院、文化体育旅游项目必须严格按绿色建筑的标准进行规划、建设和运营管理，确保政府新建公共建筑100%执行绿色建筑标准。</w:t>
      </w:r>
    </w:p>
    <w:p w14:paraId="6BF8326D">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lang w:val="zh-CN"/>
        </w:rPr>
      </w:pPr>
      <w:bookmarkStart w:id="697" w:name="_Toc11918"/>
      <w:bookmarkStart w:id="698" w:name="_Toc24340"/>
      <w:r>
        <w:rPr>
          <w:rFonts w:eastAsia="仿宋"/>
          <w:snapToGrid w:val="0"/>
          <w:color w:val="auto"/>
          <w:sz w:val="28"/>
          <w:lang w:val="zh-CN"/>
        </w:rPr>
        <w:t>9.4.2倡导绿色出行</w:t>
      </w:r>
      <w:bookmarkEnd w:id="697"/>
      <w:bookmarkEnd w:id="698"/>
    </w:p>
    <w:p w14:paraId="21024576">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大力发展绿色交通，加强快速路网系统建设，优化城市路网结构，有机连接高速公路、汽车站和相邻县区，逐步提升公共交通线路网络化水平。推广电动汽车，建设新能源汽车充电站。加快配套充电站、充气站的建设。以人为本，新建城市道路优先设计步行、自行车与公交出行系统，提高公共交通服务水平。以中心城区为试点，在全县范围推行绿色出行，建立城市“公交+慢行”出行系统，加快绿色自行车站点及其配套设施建设，鼓励绿色出行。倡导“135”绿色低碳出行方式（1公里以内步行，3公里以内骑自行车，5公里左右乘坐公共交通工具），引导购买小排量汽车、节能与新能源汽车。</w:t>
      </w:r>
    </w:p>
    <w:p w14:paraId="53AA633A">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优先发展城市公共交通，实现全县新能源公交车全覆盖并努力实现交通网无缝对接。提升公共交通智能化水平，利用公交网站、电子站牌、掌上公交等多样化服务手段，为乘客提供服务咨询、公交信息、线路查询、换乘导航等全方位服务。</w:t>
      </w:r>
    </w:p>
    <w:p w14:paraId="3A3B6589">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lang w:val="zh-CN"/>
        </w:rPr>
      </w:pPr>
      <w:bookmarkStart w:id="699" w:name="_Toc14432"/>
      <w:bookmarkStart w:id="700" w:name="_Toc8313"/>
      <w:bookmarkStart w:id="701" w:name="_Toc23524"/>
      <w:r>
        <w:rPr>
          <w:rFonts w:eastAsia="仿宋"/>
          <w:snapToGrid w:val="0"/>
          <w:color w:val="auto"/>
          <w:sz w:val="28"/>
          <w:lang w:val="zh-CN"/>
        </w:rPr>
        <w:t>9.4.3持续巩固政府绿色采购</w:t>
      </w:r>
      <w:bookmarkEnd w:id="699"/>
      <w:bookmarkEnd w:id="700"/>
      <w:bookmarkEnd w:id="701"/>
    </w:p>
    <w:p w14:paraId="212C873F">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保证节能环保采购落到实处。严格执行政府采购推动节能减排、促进环境保护的强制采购、优先采购政策。按照“节能产品政府采购清单”标明的节能（节水）产品类别，执行强制采购和优先采购规定；对“环境标志产品政府采购清单”中的产品实行优先采购，杜绝采购国家明令禁止使用的高耗能设备或产品。</w:t>
      </w:r>
    </w:p>
    <w:p w14:paraId="4906034E">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持续完善政府绿色采购政策体系，全面推进绿色采购标准体系建设，完善配套政策措施，加大绿色采购宣传力度。政府绿色采购制度是推动减污降碳，促进绿色低碳循环发展。继续健全绿色低碳的政府采购政策，加大对环保、节能、节水、循环、低碳、再生等绿色低碳产品的采购力度。探索完善采购需求标准，根据采购产品和服务的不同特点，分类建立绿色低碳政府采购需求标准，逐步扩大政府采购绿色低碳产品范围，要求采购人采购符合绿色低碳需求标准的产品，定期组织开展绿色采购制度培训。</w:t>
      </w:r>
    </w:p>
    <w:p w14:paraId="6235ADAD">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lang w:val="zh-CN"/>
        </w:rPr>
      </w:pPr>
      <w:bookmarkStart w:id="702" w:name="_Toc18749"/>
      <w:bookmarkStart w:id="703" w:name="_Toc4845"/>
      <w:bookmarkStart w:id="704" w:name="_Toc2580"/>
      <w:r>
        <w:rPr>
          <w:rFonts w:eastAsia="仿宋"/>
          <w:snapToGrid w:val="0"/>
          <w:color w:val="auto"/>
          <w:sz w:val="28"/>
          <w:lang w:val="zh-CN"/>
        </w:rPr>
        <w:t>9.4.4不断推进生活垃圾分类</w:t>
      </w:r>
      <w:bookmarkEnd w:id="702"/>
      <w:bookmarkEnd w:id="703"/>
      <w:r>
        <w:rPr>
          <w:rFonts w:eastAsia="仿宋"/>
          <w:snapToGrid w:val="0"/>
          <w:color w:val="auto"/>
          <w:sz w:val="28"/>
          <w:lang w:val="zh-CN"/>
        </w:rPr>
        <w:t>减量化行动</w:t>
      </w:r>
      <w:bookmarkEnd w:id="704"/>
    </w:p>
    <w:p w14:paraId="36FC288F">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切实落实《新平县城市生活垃圾分类实施方案》，建立完善生活垃圾分类投放体系。在县城建成区组织发动各社区、物业服务机构、辖区居民、机关团体等，将可回收物、有害垃圾、厨余垃圾（湿垃圾）、其他垃圾（干垃圾）分别规范就近投放至相应标识的收集容器内，做好监督检查工作；按照要求配备生活垃圾分类投放设施，各类投放设施标识明显，投放指示明确，分布合理、数量满足，具备条件的社区应设置生活垃圾细分投放设施（如单设纸张、金属、玻璃等分类投放设施，做到精准分类）；根据工作实际配备分类督导员，指导监督生活垃圾分类投放工作，做好分类垃圾投放量统计、台账收集等工作，提升生活垃圾分类准确率。厨余、餐厨垃圾（湿垃圾）投放应根据垃圾易腐特点定时定点投放，做到“干湿分离”、密闭管理，避免泼洒和异味。有毒有害垃圾投放应在醒目位置设置有害垃圾标识，做到设施密闭，防止污染。大件垃圾（含绿化垃圾）由社区或小区指定专门收集点集中收集，做到统一规范管理。</w:t>
      </w:r>
    </w:p>
    <w:p w14:paraId="7CD0CFA9">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结合文明城市创建、巩固卫生城市创建成果工作，因地制宜在党政机关、事业单位、企业、社团组织，宾馆、饭店等人员密集场所和居民社区、城乡接合部农村社区等区域开展生活垃圾分类工作。到2025年底，县城主城区生活垃圾分类处理系统得到进一步加强。</w:t>
      </w:r>
    </w:p>
    <w:p w14:paraId="39CA2181">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lang w:val="zh-CN"/>
        </w:rPr>
      </w:pPr>
      <w:bookmarkStart w:id="705" w:name="_Toc23882"/>
      <w:bookmarkStart w:id="706" w:name="_Toc13797"/>
      <w:r>
        <w:rPr>
          <w:rFonts w:eastAsia="仿宋"/>
          <w:snapToGrid w:val="0"/>
          <w:color w:val="auto"/>
          <w:sz w:val="28"/>
          <w:lang w:val="zh-CN"/>
        </w:rPr>
        <w:t>9.4.5</w:t>
      </w:r>
      <w:bookmarkEnd w:id="705"/>
      <w:r>
        <w:rPr>
          <w:rFonts w:hint="eastAsia" w:eastAsia="仿宋"/>
          <w:snapToGrid w:val="0"/>
          <w:color w:val="auto"/>
          <w:sz w:val="28"/>
          <w:lang w:val="zh-CN"/>
        </w:rPr>
        <w:t>积极开展“限塑”活动</w:t>
      </w:r>
      <w:bookmarkEnd w:id="706"/>
    </w:p>
    <w:p w14:paraId="372DD5AC">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积极推广替代塑料产品，增加可循环、易回收、可降解绿色产品供给。有序限制、禁止部分塑料制品生产、销售和使用。持续减少不可降解塑料袋、塑料餐具、宾馆酒店一次性塑料用品、快递塑料包装等使用。持续开展塑料污染治理部门联合专项行动，依法查处生产、销售厚度小于要求的超薄塑料购物袋、聚乙烯农用地膜和纳入淘汰类产品目录的一次性发泡塑料餐具、塑料棉签、含塑料微珠日化产品等违法行为。</w:t>
      </w:r>
    </w:p>
    <w:p w14:paraId="3B20F439">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sectPr>
          <w:pgSz w:w="11906" w:h="16838"/>
          <w:pgMar w:top="1440" w:right="1797" w:bottom="1440" w:left="1797" w:header="851" w:footer="992" w:gutter="0"/>
          <w:pgNumType w:fmt="decimal"/>
          <w:cols w:space="425" w:num="1"/>
          <w:docGrid w:linePitch="312" w:charSpace="0"/>
        </w:sectPr>
      </w:pPr>
    </w:p>
    <w:bookmarkEnd w:id="665"/>
    <w:p w14:paraId="7881200C">
      <w:pPr>
        <w:pStyle w:val="3"/>
        <w:pageBreakBefore w:val="0"/>
        <w:kinsoku/>
        <w:wordWrap/>
        <w:overflowPunct/>
        <w:topLinePunct w:val="0"/>
        <w:autoSpaceDE/>
        <w:autoSpaceDN/>
        <w:bidi w:val="0"/>
        <w:spacing w:before="0" w:after="0" w:line="500" w:lineRule="exact"/>
        <w:jc w:val="center"/>
        <w:textAlignment w:val="auto"/>
        <w:rPr>
          <w:rFonts w:hint="default" w:ascii="Times New Roman" w:hAnsi="Times New Roman" w:eastAsia="仿宋" w:cs="Times New Roman"/>
          <w:color w:val="auto"/>
          <w:sz w:val="44"/>
          <w:lang w:val="en-US" w:eastAsia="zh-CN"/>
        </w:rPr>
      </w:pPr>
      <w:bookmarkStart w:id="707" w:name="_Toc17530"/>
      <w:r>
        <w:rPr>
          <w:rFonts w:hint="default" w:ascii="Times New Roman" w:hAnsi="Times New Roman" w:eastAsia="仿宋" w:cs="Times New Roman"/>
          <w:color w:val="auto"/>
          <w:sz w:val="44"/>
          <w:lang w:val="en-US" w:eastAsia="zh-CN"/>
        </w:rPr>
        <w:t>10</w:t>
      </w:r>
      <w:r>
        <w:rPr>
          <w:rFonts w:hint="eastAsia" w:ascii="Times New Roman" w:hAnsi="Times New Roman" w:eastAsia="仿宋" w:cs="Times New Roman"/>
          <w:color w:val="auto"/>
          <w:sz w:val="44"/>
          <w:lang w:val="en-US" w:eastAsia="zh-CN"/>
        </w:rPr>
        <w:t>弘扬生态理念</w:t>
      </w:r>
      <w:r>
        <w:rPr>
          <w:rFonts w:hint="default" w:ascii="Times New Roman" w:hAnsi="Times New Roman" w:eastAsia="仿宋" w:cs="Times New Roman"/>
          <w:color w:val="auto"/>
          <w:sz w:val="44"/>
          <w:lang w:val="en-US" w:eastAsia="zh-CN"/>
        </w:rPr>
        <w:t>，</w:t>
      </w:r>
      <w:r>
        <w:rPr>
          <w:rFonts w:hint="eastAsia" w:ascii="Times New Roman" w:hAnsi="Times New Roman" w:eastAsia="仿宋" w:cs="Times New Roman"/>
          <w:color w:val="auto"/>
          <w:sz w:val="44"/>
          <w:lang w:val="en-US" w:eastAsia="zh-CN"/>
        </w:rPr>
        <w:t>构建</w:t>
      </w:r>
      <w:r>
        <w:rPr>
          <w:rFonts w:hint="default" w:ascii="Times New Roman" w:hAnsi="Times New Roman" w:eastAsia="仿宋" w:cs="Times New Roman"/>
          <w:color w:val="auto"/>
          <w:sz w:val="44"/>
          <w:lang w:val="en-US" w:eastAsia="zh-CN"/>
        </w:rPr>
        <w:t>生态文化体系</w:t>
      </w:r>
      <w:bookmarkEnd w:id="707"/>
    </w:p>
    <w:p w14:paraId="72C9457C">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zh-CN" w:eastAsia="zh-CN"/>
        </w:rPr>
      </w:pPr>
      <w:bookmarkStart w:id="708" w:name="_Toc16079"/>
      <w:r>
        <w:rPr>
          <w:rFonts w:hint="default" w:ascii="Times New Roman" w:hAnsi="Times New Roman" w:eastAsia="仿宋" w:cs="Times New Roman"/>
          <w:color w:val="auto"/>
          <w:sz w:val="32"/>
          <w:lang w:val="zh-CN" w:eastAsia="zh-CN"/>
        </w:rPr>
        <w:t>10.1加强生态文化载体建设</w:t>
      </w:r>
      <w:bookmarkEnd w:id="708"/>
    </w:p>
    <w:p w14:paraId="05A5701F">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rPr>
      </w:pPr>
      <w:bookmarkStart w:id="709" w:name="_Toc2307"/>
      <w:r>
        <w:rPr>
          <w:rFonts w:eastAsia="仿宋"/>
          <w:snapToGrid w:val="0"/>
          <w:color w:val="auto"/>
          <w:sz w:val="28"/>
        </w:rPr>
        <w:t>10.1.1深挖特色文化生态理念</w:t>
      </w:r>
      <w:bookmarkEnd w:id="709"/>
    </w:p>
    <w:p w14:paraId="40ACC9A7">
      <w:pPr>
        <w:pageBreakBefore w:val="0"/>
        <w:kinsoku/>
        <w:wordWrap/>
        <w:overflowPunct/>
        <w:topLinePunct w:val="0"/>
        <w:autoSpaceDE/>
        <w:autoSpaceDN/>
        <w:bidi w:val="0"/>
        <w:spacing w:line="500" w:lineRule="exact"/>
        <w:ind w:firstLine="568"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挖掘和弘扬传统文化生态理念。建立少数民族文化资源数据库和少数民族语言文字资源数据库，加强以花腰傣为主的少数民族古籍、民族手工、民族歌舞等优秀民族传统文化的抢救、挖掘，助力新平花腰傣之乡美誉。加快培养生态文化品牌，强化区域特色民族民间文化和优秀传统文化的研究、传承与创新，深入挖掘新平特色文化生态理念，挖掘生态文化价值，实施文艺精品工程，支持骨干企业和文艺单位开展《猫猫舞》舞台剧、《喊月亮》情景歌舞剧创作，打造特色文化演艺品牌，提高全县生态文化品位。建立非物质文化遗产保护名录体系，实施非物质文化遗产传承发展工程。加强对各级文物的保护修缮，培育一批高素质文物工作专业队伍。以扬武和帽盒山为主，保护滇中滇南思普三地军事代表联席会议旧址，全面展示革命历史红色印迹。加快推进戛洒镇大平掌、平甸乡磨皮大寨等特色民族村寨建设，打造一批特色鲜明的农耕文化产业展示区、示范区。</w:t>
      </w:r>
    </w:p>
    <w:p w14:paraId="79C4A81F">
      <w:pPr>
        <w:pageBreakBefore w:val="0"/>
        <w:kinsoku/>
        <w:wordWrap/>
        <w:overflowPunct/>
        <w:topLinePunct w:val="0"/>
        <w:autoSpaceDE/>
        <w:autoSpaceDN/>
        <w:bidi w:val="0"/>
        <w:spacing w:line="500" w:lineRule="exact"/>
        <w:ind w:firstLine="568"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加强文化遗产保护利用。加强历史文物古迹保护、研究、利用，强化重要文化和自然遗产、非物质文化遗产系统性保护，加强各民族优秀传统手工艺保护和传承。探索“非遗+旅游”“非遗+研学”开发模式，开发非遗旅游产品，积极开展非物质文化遗产展示。吸引社会力量保护开发村落古建筑，盘活古村落、古民居资源。积极开拓扬武烟盒舞、磨皮花鼓舞、傣族猫猫舞等民俗表演文化市场。加强竹编、土陶、花腰傣刺绣等民族工艺、保护与开发利用。积极参与“云南省民族艺术之乡”评比。以市场为导向，创新举办火把节、花街节、沐浴节、服饰节等传统民族节庆活动，打造少数民族特色节庆品牌。建设平寨、旋涡、大沐浴、磨皮、南薅等少数民族特色村寨，促进民族民间文化与旅游深度融合发展。创新投融资模式，扶持一批创新力竞争力强的文旅和文创企业，加快发展文化创意设计等新型文化业态，鼓励创作具有新平少数民族文化特色的艺术作品，壮大民族文化产业。加强新平传统历史文化认知、保护、挖掘和利用，提高文化遗产保护开发水平，挖掘整理全市非物质文化遗产和古籍，开展文化传承人调查和认定，加强宣传和普及文化遗产知识，引导培养传承人。</w:t>
      </w:r>
    </w:p>
    <w:p w14:paraId="63E8DBDF">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rPr>
      </w:pPr>
      <w:bookmarkStart w:id="710" w:name="_Toc15486"/>
      <w:r>
        <w:rPr>
          <w:rFonts w:eastAsia="仿宋"/>
          <w:snapToGrid w:val="0"/>
          <w:color w:val="auto"/>
          <w:sz w:val="28"/>
        </w:rPr>
        <w:t>10.1.2夯实公共文化服务供给</w:t>
      </w:r>
      <w:bookmarkEnd w:id="710"/>
    </w:p>
    <w:p w14:paraId="60295FCA">
      <w:pPr>
        <w:pageBreakBefore w:val="0"/>
        <w:kinsoku/>
        <w:wordWrap/>
        <w:overflowPunct/>
        <w:topLinePunct w:val="0"/>
        <w:autoSpaceDE/>
        <w:autoSpaceDN/>
        <w:bidi w:val="0"/>
        <w:spacing w:line="500" w:lineRule="exact"/>
        <w:ind w:firstLine="568"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加强公共文化基础设施建设。推动新平民俗工艺博物馆建设。作为文化和旅游产业相融合的产物，博物馆具有艺术观赏、历史溯源、科学研究、教育推广等方面的价值与功能，已经成为公共文化服务和旅游发展的前沿阵地与有效载体。因此要通过科技支撑、创意融入、以展带会、夜间产品开发等形式形成深度体验；推进公共文化服务设施建设。把公共文化服务体系建设的重心放在基层和农村，进一步完善一批综合性、多功能乡镇（街道）综合文化站、文化活动室、文化广场等基本文化阵地建设。继续实施县乡“两馆一站”达标建设任务，建立以图书馆、文化馆为总馆，乡镇（街道）综合文化站为分馆的总分馆制建设。构建覆盖城乡、惠及全民的公共文化服务体系。强化农村公共资源整合利用。依托乡镇综合文化站、村社区文化室、农家书屋，建成集“宣传文化、党员教育、科学普及、普法教育、体育健身等设备资源”于一体的基层综合文化服务中心。2025年实现乡村两级公共文化服务全覆盖，提升服务效能。</w:t>
      </w:r>
    </w:p>
    <w:p w14:paraId="0C1CB8F2">
      <w:pPr>
        <w:pageBreakBefore w:val="0"/>
        <w:kinsoku/>
        <w:wordWrap/>
        <w:overflowPunct/>
        <w:topLinePunct w:val="0"/>
        <w:autoSpaceDE/>
        <w:autoSpaceDN/>
        <w:bidi w:val="0"/>
        <w:spacing w:line="500" w:lineRule="exact"/>
        <w:ind w:firstLine="568"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提升公共文化服务质量。结合“深入生活、扎根人民”主题实践活动，充分运用“红色文化轻骑兵中国梦·玉溪情”文化惠民演出、文化进万家、送欢乐下基层、文艺志愿服务把更多优秀的电影、戏曲、书刊、文艺演出等活动送到基层。创新公共文化服务供给方式，制定公共文化服务提供目录，提供“菜单式”“订单式”服务，探索建设公共文化服务云平台，推动公共文化服务实现精准化。推广政府购买公共文化服务，在充分发挥文化企业供给作用的基础上，探索运用市场机制、社会捐助等多种形式，引导社会力量参与，增加基层文化资源总量，提高服务水平和效率。支持“三农”题材文艺创作生产，不断推出反映农民生产生活尤其是移风易俗方面的优秀文艺作品。鼓励各级文艺组织深入农村地区开展惠民演出活动。充分调动农村业余文艺队伍，推动“一村一年一场戏”免费送戏活动等平台载体，推动全民阅读进家庭、进农村，提高群众科学文化素养。</w:t>
      </w:r>
    </w:p>
    <w:p w14:paraId="747E26D5">
      <w:pPr>
        <w:pageBreakBefore w:val="0"/>
        <w:kinsoku/>
        <w:wordWrap/>
        <w:overflowPunct/>
        <w:topLinePunct w:val="0"/>
        <w:autoSpaceDE/>
        <w:autoSpaceDN/>
        <w:bidi w:val="0"/>
        <w:spacing w:line="500" w:lineRule="exact"/>
        <w:ind w:firstLine="568"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培育壮大文化队伍。引进文化专业人才，同时提升乡镇文化站组织管理人员能力，扶持发展农村广场舞队、民间文艺社团和业余文化队伍，培育挖掘乡土文化人才，增强农村基层文化的自我发展能力。组织文化专业人才、文化能人、民间艺人、非物质文化遗产传承人等开展培训辅导，提高农村文化骨干专业技能，培养一支懂文艺爱农村爱农民、专兼职相结合的农村文化工作队伍。扶持壮大文化志愿者和群众文化活动积极分子队伍，组织广大文艺工作者下乡，吸引优秀高校毕业生从事基层公共文化服务。做到村、社区有文化活动骨干，农村居民聚集点有文化活动组织者。建立一支既有专业知识、理论水平，又能吃苦耐劳、团结协作的高素质专业队伍，切实做好文物保护和利用工作。</w:t>
      </w:r>
    </w:p>
    <w:p w14:paraId="1517A834">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000000" w:themeColor="text1"/>
          <w:sz w:val="28"/>
          <w14:textFill>
            <w14:solidFill>
              <w14:schemeClr w14:val="tx1"/>
            </w14:solidFill>
          </w14:textFill>
        </w:rPr>
      </w:pPr>
      <w:bookmarkStart w:id="711" w:name="_Toc29373"/>
      <w:r>
        <w:rPr>
          <w:rFonts w:eastAsia="仿宋"/>
          <w:snapToGrid w:val="0"/>
          <w:color w:val="000000" w:themeColor="text1"/>
          <w:sz w:val="28"/>
          <w14:textFill>
            <w14:solidFill>
              <w14:schemeClr w14:val="tx1"/>
            </w14:solidFill>
          </w14:textFill>
        </w:rPr>
        <w:t>10.1.3创建现代生态文化体系</w:t>
      </w:r>
      <w:bookmarkEnd w:id="711"/>
    </w:p>
    <w:p w14:paraId="6A2FB476">
      <w:pPr>
        <w:pageBreakBefore w:val="0"/>
        <w:kinsoku/>
        <w:wordWrap/>
        <w:overflowPunct/>
        <w:topLinePunct w:val="0"/>
        <w:autoSpaceDE/>
        <w:autoSpaceDN/>
        <w:bidi w:val="0"/>
        <w:spacing w:line="500" w:lineRule="exact"/>
        <w:ind w:firstLine="568"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深化文化市场综合执法改革。全面落实文化市场综合执法改革任务，完善权责明确、监督有效、保障有力的综合执法管理体制。全面推进文化市场综合执法队伍建设，加强执法保障，推进严格规范公正文明执法。利用文化市场技术监管服务平台功能，提升执法信息化水平。进一步理顺与县级有关部门的工作关系，建立文化和旅游、文物、新闻出版、版权、广播电视、电影等职能部门参与的行政执法协同会商机制。</w:t>
      </w:r>
    </w:p>
    <w:p w14:paraId="7FE0B146">
      <w:pPr>
        <w:pageBreakBefore w:val="0"/>
        <w:kinsoku/>
        <w:wordWrap/>
        <w:overflowPunct/>
        <w:topLinePunct w:val="0"/>
        <w:autoSpaceDE/>
        <w:autoSpaceDN/>
        <w:bidi w:val="0"/>
        <w:spacing w:line="500" w:lineRule="exact"/>
        <w:ind w:firstLine="568"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赋予传统文艺创作新活力和新动能。依托新平的人文风情，以文化引领产业，以数字创新助力发展，促进“文化+”“数创+”发展，汇集数字出版、网络文学、文化电商、文创产品研发、数字创意、网络视听、多媒体制作、数字娱乐、智慧教育、大数据、云计算等行业内企业，实现文艺跨业态、跨门类、跨地区的深度融合，赋予传统文艺创作新活力和新动能。</w:t>
      </w:r>
    </w:p>
    <w:p w14:paraId="43A1C395">
      <w:pPr>
        <w:pageBreakBefore w:val="0"/>
        <w:kinsoku/>
        <w:wordWrap/>
        <w:overflowPunct/>
        <w:topLinePunct w:val="0"/>
        <w:autoSpaceDE/>
        <w:autoSpaceDN/>
        <w:bidi w:val="0"/>
        <w:spacing w:line="500" w:lineRule="exact"/>
        <w:ind w:firstLine="568"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不断优化提升文化产业经营环境。认真落实国家、省、市有关文化企业信贷融资、专项资金扶持等政策，充分利用各类文化产业博览会、交易会，为企业提供展示和推广平台，做大做强文化市场。坚持“一手抓繁荣、一手抓管理”，不断健全文化市场管理服务体制机制，始终保持文化市场综合行政执法监管工作高压态势。推进文化市场“放管服”，努力做到审批更简、监管更强、服务更优，激发文化市场活力和社会创造力。</w:t>
      </w:r>
    </w:p>
    <w:p w14:paraId="6A947040">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zh-CN" w:eastAsia="zh-CN"/>
        </w:rPr>
      </w:pPr>
      <w:bookmarkStart w:id="712" w:name="_Toc2334"/>
      <w:r>
        <w:rPr>
          <w:rFonts w:hint="default" w:ascii="Times New Roman" w:hAnsi="Times New Roman" w:eastAsia="仿宋" w:cs="Times New Roman"/>
          <w:color w:val="auto"/>
          <w:sz w:val="32"/>
          <w:lang w:val="zh-CN" w:eastAsia="zh-CN"/>
        </w:rPr>
        <w:t>10.2强化生态文明宣传教育</w:t>
      </w:r>
      <w:bookmarkEnd w:id="712"/>
    </w:p>
    <w:p w14:paraId="497D4BA1">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rPr>
      </w:pPr>
      <w:bookmarkStart w:id="713" w:name="_Toc22803"/>
      <w:r>
        <w:rPr>
          <w:rFonts w:eastAsia="仿宋"/>
          <w:snapToGrid w:val="0"/>
          <w:color w:val="auto"/>
          <w:sz w:val="28"/>
        </w:rPr>
        <w:t>10.2.1丰富生态文明宣传教育渠道</w:t>
      </w:r>
      <w:bookmarkEnd w:id="713"/>
    </w:p>
    <w:p w14:paraId="7166FA7E">
      <w:pPr>
        <w:pageBreakBefore w:val="0"/>
        <w:kinsoku/>
        <w:wordWrap/>
        <w:overflowPunct/>
        <w:topLinePunct w:val="0"/>
        <w:autoSpaceDE/>
        <w:autoSpaceDN/>
        <w:bidi w:val="0"/>
        <w:spacing w:line="500" w:lineRule="exact"/>
        <w:ind w:firstLine="568"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强化公共媒体生态文明宣传。充分发挥广播、电视、报刊、网络、板报、标语、橱窗专栏、宣传图册等宣传工具开展生态文明宣传。扩大网络新媒体作用，建立新平县生态文明建设专题网站，建立、推广微博、微信生态文明建设公众号，在政府门户网站和主要报纸杂志上开辟生态文明专栏，定期发布生态文明建设的政策解读、主要成果、重要计划等信息。强化广告宣传，拓宽户外广告覆盖区域，增加生态文明建设类公益广告比例，在新平县主要街道、标志性建筑、公共交通工具、工地围挡等地点，新设或利用已有广告牌、LED屏及展板等设施，播放生态文明建设公益广告，制作宣传展板，悬挂环境保护宣传挂图，向本地居民及游客宣传生态文化。各单位各行业要结合实际工作实际，把生态文明建设宣传工作放在重要位置，摆上重要议事日程，强化工作指导，努力在生态文明建设宣传体制、运行机制、投入机制、机构队伍建设等方面狠下功夫，制定行之有效的生态文化宣传教育计划，明确生态文化建设宣传的目标、任务和内容，开展多形式、多层次的以普及生态环境知识、弘扬优秀传统文化、增强全民生态文化保护意识为目标的生态文化宣传教育。</w:t>
      </w:r>
    </w:p>
    <w:p w14:paraId="5DF67CB8">
      <w:pPr>
        <w:pageBreakBefore w:val="0"/>
        <w:kinsoku/>
        <w:wordWrap/>
        <w:overflowPunct/>
        <w:topLinePunct w:val="0"/>
        <w:autoSpaceDE/>
        <w:autoSpaceDN/>
        <w:bidi w:val="0"/>
        <w:spacing w:line="500" w:lineRule="exact"/>
        <w:ind w:firstLine="568"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丰富生态文明宣传教育形式。开展生态文化进机关、进农村、进社区、进学校、进家庭、进企业等“六进”活动，引导全社会积极参与生态文明建设，提高公众对生态文明建设的满意度和参与度。加大生态环境宣传产品制作和传播力度，结合新平县实际和特色打造生态文化品牌，研发推广生态环境文化产品。充分利用世界环境日、国际生物多样性日、世界地球日、世界水日等重要主题节日集中开展生态文明建设相关宣传教育活动，普及资源生态环境保护相关的法律法规、科学知识，提升公民生态文明意识，倡导绿色、低碳、循环发展理念的绿色生活方式和消费方式，推进全社会生态文化建设和实践。</w:t>
      </w:r>
    </w:p>
    <w:p w14:paraId="7E1B2994">
      <w:pPr>
        <w:pageBreakBefore w:val="0"/>
        <w:kinsoku/>
        <w:wordWrap/>
        <w:overflowPunct/>
        <w:topLinePunct w:val="0"/>
        <w:autoSpaceDE/>
        <w:autoSpaceDN/>
        <w:bidi w:val="0"/>
        <w:spacing w:line="500" w:lineRule="exact"/>
        <w:ind w:firstLine="568"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建立生态文明义务宣传队伍。整合社会资源，引导环保社会公益和志愿服务健康发展，建立党员干部、公职人员以及社会公众、学生群体等不同层次的志愿者队伍，鼓励环保社会组织积极参与到生态文明建设中，积极宣传生态文明建设，充分发挥环保志愿者作用。加强生态环境部门与环保社会组织之间的沟通与合作，构建经常性的沟通交流平台，形成积极互动、相互支持、密切配合的局面。支持具备资格的环保组织依法开展生态环境公益诉讼等活动。制定生态文明志愿宣传激励制度，提高志愿者参与生态文明宣传的积极性。建立生态文明宣传人员环保知识培训制度，提升宣传人员生态文明宣传水平。</w:t>
      </w:r>
    </w:p>
    <w:p w14:paraId="58115F01">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rPr>
      </w:pPr>
      <w:bookmarkStart w:id="714" w:name="_Toc13462"/>
      <w:r>
        <w:rPr>
          <w:rFonts w:eastAsia="仿宋"/>
          <w:snapToGrid w:val="0"/>
          <w:color w:val="auto"/>
          <w:sz w:val="28"/>
        </w:rPr>
        <w:t>10.2.2全面开展生态文明教育培训</w:t>
      </w:r>
      <w:bookmarkEnd w:id="714"/>
    </w:p>
    <w:p w14:paraId="74FFEF47">
      <w:pPr>
        <w:pageBreakBefore w:val="0"/>
        <w:kinsoku/>
        <w:wordWrap/>
        <w:overflowPunct/>
        <w:topLinePunct w:val="0"/>
        <w:autoSpaceDE/>
        <w:autoSpaceDN/>
        <w:bidi w:val="0"/>
        <w:spacing w:line="500" w:lineRule="exact"/>
        <w:ind w:firstLine="568"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持续加强党政机关生态文明教育。强化各级政府在生态文明教育中良好的引导作用，不断提高新平县领导干部的生态文明意识和生态文明建设理论知识水平。将生态文化建设纳入党群宣教体系，将生态文明教育纳入党政干部培训体系中，把生态文明知识纳入党政干部的理论学习内容，利用党校等机构不定期举办生态文明专题培训班，开展学习月、学习周等活动，采取专题集中学习和网络在线学习有机结合的方式，推进党政领导干部生态环境教育常态化，培育“人与自然和谐”的生态意识，引导各级干部建立“绿色GDP”观念，树立生态文明政绩观，并逐步扩大生态文化教育培训的覆盖范围。在县委党校组织的各类干部培训工作中进一步增加生态文明建设相关的内容课程比例，对各级领导干部进行系统性的生态文明教育，特别要加强对基层村镇干部的生态文明教育培训。严格培训考核制度，把干部培训工作纳入各乡镇街道、各单位目标管理体系中。建立良好的生态文明交流机制，定期组织党政人员到区外生态文明建设先进地区进行参观学习和经验交流。规划期间，党政领导干部参加生态文明培训的人数比例保持在100%。</w:t>
      </w:r>
    </w:p>
    <w:p w14:paraId="73A739C9">
      <w:pPr>
        <w:pageBreakBefore w:val="0"/>
        <w:kinsoku/>
        <w:wordWrap/>
        <w:overflowPunct/>
        <w:topLinePunct w:val="0"/>
        <w:autoSpaceDE/>
        <w:autoSpaceDN/>
        <w:bidi w:val="0"/>
        <w:spacing w:line="500" w:lineRule="exact"/>
        <w:ind w:firstLine="568"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强化工业企业生态文明宣传教育。开展企业生态文化宣教和创建活动，组织开展生态文明知识讲座、企业环境责任培训、生态环境法律法规宣传等系列活动，促进企业规范环境行为，完善企业环境管理体系，提高企业遵守生态环境法律法规的自觉性，促进企业形成生态文明责任观，积极培育企业生态文化。将生态价值观、生态技术作为培训的重要内容，重点宣传节能减排、清洁生产、循环经济等方面的先进技术及管理方法，鼓励企业进行技术改造和创新，积极创建环境友好型企业，将企业特色和生态文明理念有机结合，引导和鼓励企业建立符合企业实际的特色企业生态文化体系。对纳入国家、省、市排放污染物重点监管企业的负责人、环境保护管理人员、环境保护设施操作人员开展生态环境教育培训，加强警示教育，强化企业环保责任和绿色发展意识，让绿色生产成为企业员工的主流思想导向和日常行为准则，将生态文化融入企业文化。鼓励企业制定生态文明教育培训计划，定期开展企业内部生态文明教育培训，提高企业员工生态环境保护和生态文明意识。</w:t>
      </w:r>
    </w:p>
    <w:p w14:paraId="0AF8BF04">
      <w:pPr>
        <w:pageBreakBefore w:val="0"/>
        <w:kinsoku/>
        <w:wordWrap/>
        <w:overflowPunct/>
        <w:topLinePunct w:val="0"/>
        <w:autoSpaceDE/>
        <w:autoSpaceDN/>
        <w:bidi w:val="0"/>
        <w:spacing w:line="500" w:lineRule="exact"/>
        <w:ind w:firstLine="568"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推行校园生态文明教育。加强构建学校生态文明教育体系，推动各级各类学校生态文明教育活动，深入推进生态文明进学校，把生态文明教育摆上学生素质教育的突出位置，建立学校生态文明教育工作机制。研究制定教师生态文明培训方案，加强对全县教师的生态文明培训，把生态文明教育纳入教师的业务培训和继续教育课程，开展教师生态文明渗入式教育研究。将生态文明建设内容纳入教学计划，鼓励开展生态环境保护相关专题讲座，深入开展生态文明实践与主题教育活动，支持学校组织学生参观环保设施、环保知识竞赛等环保实践活动，推广“生态文明生活方式”养成教育，组织开展以节能低碳、绿色文明、节水节电等为重点内容的教育和社会实践活动，营造节约型绿色校园的良好氛围。</w:t>
      </w:r>
    </w:p>
    <w:p w14:paraId="2B2756F3">
      <w:pPr>
        <w:pageBreakBefore w:val="0"/>
        <w:kinsoku/>
        <w:wordWrap/>
        <w:overflowPunct/>
        <w:topLinePunct w:val="0"/>
        <w:autoSpaceDE/>
        <w:autoSpaceDN/>
        <w:bidi w:val="0"/>
        <w:spacing w:line="500" w:lineRule="exact"/>
        <w:ind w:firstLine="568"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推进城市社区生态文明教育。以生态文明教育为先导，将生态文明理念渗透到每个社区单位、每个家庭，引导居民履行环境保护责任和义务，培育文明向上的社区生态文化。完善社区宣传栏设置，提高宣传栏中生态文明建设相关内容比例，强化宣传内容的可接受性，编印居民生态文明行为规范、生态环境教育读本等。探索开展形式多样、寓教于乐的社区生态文明教育，充分调动社区居民学习热情，采取发放环保宣传手册、举办社区生态文化展览和主题宣传活动等多种形式，广泛开展绿色生活主题宣传教育，倡导居民选择绿色生活方式，节约资源、开展绿色消费和绿色出行，使生态文明理念扎根社区。鼓励生态文明建设宣传上街入户，定期或不定期开展面对面宣传活动。</w:t>
      </w:r>
    </w:p>
    <w:p w14:paraId="512F0933">
      <w:pPr>
        <w:pageBreakBefore w:val="0"/>
        <w:kinsoku/>
        <w:wordWrap/>
        <w:overflowPunct/>
        <w:topLinePunct w:val="0"/>
        <w:autoSpaceDE/>
        <w:autoSpaceDN/>
        <w:bidi w:val="0"/>
        <w:spacing w:line="500" w:lineRule="exact"/>
        <w:ind w:firstLine="568"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加强农村生态文明教育。以社会主义核心价值观为引领，加强农村思想文化阵地建设，完善农村公共文化设施，加强乡村文化活动站、图书馆建设，传承提升农村优秀传统文化。依托美丽乡村建设，整合各种生态文化资源，充分利用和整合农村现有的宣传设施，包括村广播站、墙体文化、民俗活动等，开展生态文明教育，引导公众关注和参与村内生态文明建设，结合生态文明知识制定通俗易懂的村规民约，鼓励村民关心生态环境，鼓励选择保水、节能、循环利用等绿色生活方式，学习了解现代农业、生态农业技术，鼓励村民自发设立民俗文化宣传员、生态环保监督员等，形成推动农村生态文化建设的骨干力量，提高村民生态文明建设参与意识。</w:t>
      </w:r>
    </w:p>
    <w:p w14:paraId="7F728A4E">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zh-CN" w:eastAsia="zh-CN"/>
        </w:rPr>
      </w:pPr>
      <w:bookmarkStart w:id="715" w:name="_Toc29950"/>
      <w:r>
        <w:rPr>
          <w:rFonts w:hint="default" w:ascii="Times New Roman" w:hAnsi="Times New Roman" w:eastAsia="仿宋" w:cs="Times New Roman"/>
          <w:color w:val="auto"/>
          <w:sz w:val="32"/>
          <w:lang w:val="zh-CN" w:eastAsia="zh-CN"/>
        </w:rPr>
        <w:t>10.3推动生态文明共建共享</w:t>
      </w:r>
      <w:bookmarkEnd w:id="715"/>
    </w:p>
    <w:p w14:paraId="04E1ECCD">
      <w:pPr>
        <w:pageBreakBefore w:val="0"/>
        <w:kinsoku/>
        <w:wordWrap/>
        <w:overflowPunct/>
        <w:topLinePunct w:val="0"/>
        <w:autoSpaceDE/>
        <w:autoSpaceDN/>
        <w:bidi w:val="0"/>
        <w:spacing w:line="500" w:lineRule="exact"/>
        <w:ind w:firstLine="568"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创新社会公众参与机制。积极组织各类接地气的生态文明建设活动，提高群众参与度。广泛发动、组织动员全县各界积极行动起来，投身建设实践。不断完善生态建设和环境信息公开，充分发挥网络、报纸、广播、电视等新闻媒体的作用，建立系统化信息公开机制。完善公众监督和举报反馈机制，健全环境有奖举报，鼓励社会各界依法有序监督生态环保工作，充分发挥“12369”环保举报热线作用，畅通环保监督渠道。建立健全公众参与机制，搭建公众参与生态环境公共事务的线上互动平台，积极引导公众参与生态文明建设工作，鼓励公众参与环境政策制定、环境决策、环境监督等。</w:t>
      </w:r>
    </w:p>
    <w:p w14:paraId="150AF698">
      <w:pPr>
        <w:pageBreakBefore w:val="0"/>
        <w:kinsoku/>
        <w:wordWrap/>
        <w:overflowPunct/>
        <w:topLinePunct w:val="0"/>
        <w:autoSpaceDE/>
        <w:autoSpaceDN/>
        <w:bidi w:val="0"/>
        <w:spacing w:line="500" w:lineRule="exact"/>
        <w:ind w:firstLine="568"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完善公共文化服务体系。加快建设以城区为中心、乡镇为支中心、行政村为节点的城乡一体、布局合理、设施完善、功能齐备的公共文化服务网络。持续推进新时代文明实践中心（所、站）、综合文化站协同建设与提档升级，有效整合公共文化资源，逐步实现“资源共享、阵地共建、设施共管、活动共办”。挖掘、培育特色文化资源村，逐步实现新时代文明实践项目的“一乡一品”特色。</w:t>
      </w:r>
    </w:p>
    <w:p w14:paraId="196F2AB9">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zh-CN" w:eastAsia="zh-CN"/>
        </w:rPr>
      </w:pPr>
      <w:bookmarkStart w:id="716" w:name="_Toc31815"/>
      <w:r>
        <w:rPr>
          <w:rFonts w:hint="default" w:ascii="Times New Roman" w:hAnsi="Times New Roman" w:eastAsia="仿宋" w:cs="Times New Roman"/>
          <w:color w:val="auto"/>
          <w:sz w:val="32"/>
          <w:lang w:val="zh-CN" w:eastAsia="zh-CN"/>
        </w:rPr>
        <w:t>10.4绿色细胞工程建设</w:t>
      </w:r>
      <w:bookmarkEnd w:id="716"/>
    </w:p>
    <w:p w14:paraId="50998BC6">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rPr>
      </w:pPr>
      <w:bookmarkStart w:id="717" w:name="_Toc12220"/>
      <w:r>
        <w:rPr>
          <w:rFonts w:eastAsia="仿宋"/>
          <w:snapToGrid w:val="0"/>
          <w:color w:val="auto"/>
          <w:sz w:val="28"/>
        </w:rPr>
        <w:t>10.4.1巩固现有生态创建成果</w:t>
      </w:r>
      <w:bookmarkEnd w:id="717"/>
    </w:p>
    <w:p w14:paraId="4E4F63F7">
      <w:pPr>
        <w:pageBreakBefore w:val="0"/>
        <w:kinsoku/>
        <w:wordWrap/>
        <w:overflowPunct/>
        <w:topLinePunct w:val="0"/>
        <w:autoSpaceDE/>
        <w:autoSpaceDN/>
        <w:bidi w:val="0"/>
        <w:spacing w:line="500" w:lineRule="exact"/>
        <w:ind w:firstLine="568"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进一步巩固提升绿色细胞工程创建成果。不断巩固提升云南省生态文明县、省级生态文明乡（镇、街道）、市级生态村创建成果，进一步夯实绿色学校、绿色机关、绿色小区、节水型机关、节水型社区等群众性生态文明示范创建成果，全面建设美丽新平。</w:t>
      </w:r>
    </w:p>
    <w:p w14:paraId="11F9EB90">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rPr>
      </w:pPr>
      <w:bookmarkStart w:id="718" w:name="_Toc1635"/>
      <w:r>
        <w:rPr>
          <w:rFonts w:eastAsia="仿宋"/>
          <w:snapToGrid w:val="0"/>
          <w:color w:val="auto"/>
          <w:sz w:val="28"/>
        </w:rPr>
        <w:t>10.4.2持续推进生态创建活动</w:t>
      </w:r>
      <w:bookmarkEnd w:id="718"/>
    </w:p>
    <w:p w14:paraId="781BB49B">
      <w:pPr>
        <w:pageBreakBefore w:val="0"/>
        <w:widowControl/>
        <w:kinsoku/>
        <w:wordWrap/>
        <w:overflowPunct/>
        <w:topLinePunct w:val="0"/>
        <w:autoSpaceDE/>
        <w:autoSpaceDN/>
        <w:bidi w:val="0"/>
        <w:spacing w:line="500" w:lineRule="exact"/>
        <w:ind w:firstLine="568" w:firstLineChars="200"/>
        <w:textAlignment w:val="auto"/>
        <w:rPr>
          <w:rFonts w:ascii="Times New Roman" w:hAnsi="Times New Roman" w:eastAsia="仿宋" w:cs="Times New Roman"/>
          <w:color w:val="FF0000"/>
          <w:sz w:val="44"/>
        </w:rPr>
      </w:pPr>
      <w:r>
        <w:rPr>
          <w:rFonts w:hint="eastAsia" w:ascii="Times New Roman" w:hAnsi="Times New Roman" w:eastAsia="方正仿宋_GBK" w:cs="方正仿宋_GBK"/>
          <w:b w:val="0"/>
          <w:bCs w:val="0"/>
          <w:color w:val="auto"/>
          <w:kern w:val="2"/>
          <w:sz w:val="28"/>
          <w:szCs w:val="28"/>
          <w:lang w:val="en-US" w:eastAsia="zh-CN" w:bidi="ar-SA"/>
        </w:rPr>
        <w:t>持续开展绿色细胞工程建设。大力推进生态村、节约型机关、绿色社区、绿色学校、绿色医院、绿色企业、生态文明教育基地等创建活动，提高生态创建覆盖率，推动绿色发展，提升全县生态创建水平。以创建为载体，深入全民生态文明理念，广泛宣传推广简约适度、绿色低碳、文明健康的生活理念和生活方式，建立完善绿色生活的相关政策和管理制度，引导全社会践行绿色生产、生活和消费方式，形成崇尚绿色生活的社会氛围。</w:t>
      </w:r>
      <w:bookmarkStart w:id="719" w:name="_Toc32355"/>
      <w:r>
        <w:rPr>
          <w:rFonts w:ascii="Times New Roman" w:hAnsi="Times New Roman" w:eastAsia="仿宋" w:cs="Times New Roman"/>
          <w:color w:val="FF0000"/>
          <w:sz w:val="44"/>
        </w:rPr>
        <w:br w:type="page"/>
      </w:r>
    </w:p>
    <w:p w14:paraId="23C329FC">
      <w:pPr>
        <w:pStyle w:val="3"/>
        <w:pageBreakBefore w:val="0"/>
        <w:kinsoku/>
        <w:wordWrap/>
        <w:overflowPunct/>
        <w:topLinePunct w:val="0"/>
        <w:autoSpaceDE/>
        <w:autoSpaceDN/>
        <w:bidi w:val="0"/>
        <w:adjustRightInd/>
        <w:snapToGrid/>
        <w:spacing w:before="0" w:after="0" w:line="500" w:lineRule="exact"/>
        <w:jc w:val="center"/>
        <w:textAlignment w:val="auto"/>
        <w:rPr>
          <w:rFonts w:hint="default" w:ascii="Times New Roman" w:hAnsi="Times New Roman" w:eastAsia="仿宋" w:cs="Times New Roman"/>
          <w:color w:val="auto"/>
          <w:sz w:val="44"/>
          <w:lang w:val="en-US" w:eastAsia="zh-CN"/>
        </w:rPr>
      </w:pPr>
      <w:bookmarkStart w:id="720" w:name="_Toc2192"/>
      <w:r>
        <w:rPr>
          <w:rFonts w:hint="default" w:ascii="Times New Roman" w:hAnsi="Times New Roman" w:eastAsia="仿宋" w:cs="Times New Roman"/>
          <w:color w:val="auto"/>
          <w:sz w:val="44"/>
          <w:lang w:val="en-US" w:eastAsia="zh-CN"/>
        </w:rPr>
        <w:t>11重点工程</w:t>
      </w:r>
      <w:bookmarkEnd w:id="719"/>
      <w:bookmarkEnd w:id="720"/>
    </w:p>
    <w:p w14:paraId="32ADAD9E">
      <w:pPr>
        <w:pStyle w:val="4"/>
        <w:pageBreakBefore w:val="0"/>
        <w:kinsoku/>
        <w:wordWrap/>
        <w:overflowPunct/>
        <w:topLinePunct w:val="0"/>
        <w:autoSpaceDE/>
        <w:autoSpaceDN/>
        <w:bidi w:val="0"/>
        <w:adjustRightInd/>
        <w:snapToGrid/>
        <w:spacing w:before="260" w:after="260" w:line="500" w:lineRule="exact"/>
        <w:ind w:firstLine="0"/>
        <w:textAlignment w:val="auto"/>
        <w:rPr>
          <w:rFonts w:hint="default" w:ascii="Times New Roman" w:hAnsi="Times New Roman" w:eastAsia="仿宋" w:cs="Times New Roman"/>
          <w:color w:val="auto"/>
          <w:sz w:val="32"/>
          <w:lang w:val="zh-CN" w:eastAsia="zh-CN"/>
        </w:rPr>
      </w:pPr>
      <w:bookmarkStart w:id="721" w:name="_Toc112155940"/>
      <w:bookmarkStart w:id="722" w:name="_Toc9233"/>
      <w:r>
        <w:rPr>
          <w:rFonts w:hint="default" w:ascii="Times New Roman" w:hAnsi="Times New Roman" w:eastAsia="仿宋" w:cs="Times New Roman"/>
          <w:color w:val="auto"/>
          <w:sz w:val="32"/>
          <w:lang w:val="zh-CN" w:eastAsia="zh-CN"/>
        </w:rPr>
        <w:t>11.1重点工程</w:t>
      </w:r>
      <w:bookmarkEnd w:id="721"/>
      <w:bookmarkEnd w:id="722"/>
    </w:p>
    <w:p w14:paraId="6006C312">
      <w:pPr>
        <w:pageBreakBefore w:val="0"/>
        <w:widowControl/>
        <w:kinsoku/>
        <w:wordWrap/>
        <w:overflowPunct/>
        <w:topLinePunct w:val="0"/>
        <w:autoSpaceDE/>
        <w:autoSpaceDN/>
        <w:bidi w:val="0"/>
        <w:adjustRightInd/>
        <w:snapToGrid/>
        <w:spacing w:line="500" w:lineRule="exact"/>
        <w:ind w:firstLine="568"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为落实规划和生态文明建设任务，必须调动各方面的积极性，集中力量，围绕生态制度、生态安全、生态空间、生态经济、生态生活、生态文化六大体系建设，设立六大工程建设项目，共计43项，总投资1119993万元，建设期为2022年至2030年，详见表11.1-1至11.1-2。</w:t>
      </w:r>
    </w:p>
    <w:p w14:paraId="114CF6A0">
      <w:pPr>
        <w:adjustRightInd w:val="0"/>
        <w:snapToGrid w:val="0"/>
        <w:ind w:firstLine="488" w:firstLineChars="200"/>
        <w:jc w:val="center"/>
        <w:rPr>
          <w:rFonts w:ascii="Times New Roman" w:hAnsi="Times New Roman" w:eastAsia="仿宋" w:cs="Times New Roman"/>
          <w:b/>
          <w:color w:val="auto"/>
          <w:sz w:val="24"/>
        </w:rPr>
      </w:pPr>
      <w:bookmarkStart w:id="723" w:name="_Toc28463_WPSOffice_Level2"/>
      <w:bookmarkStart w:id="724" w:name="_Toc5159_WPSOffice_Level2"/>
      <w:bookmarkStart w:id="725" w:name="_Toc14930_WPSOffice_Level2"/>
      <w:r>
        <w:rPr>
          <w:rFonts w:ascii="Times New Roman" w:hAnsi="Times New Roman" w:eastAsia="仿宋" w:cs="Times New Roman"/>
          <w:b/>
          <w:color w:val="auto"/>
          <w:sz w:val="24"/>
        </w:rPr>
        <w:t>表11.1-1各建设体系投资分配</w:t>
      </w:r>
      <w:bookmarkEnd w:id="723"/>
      <w:bookmarkEnd w:id="724"/>
      <w:bookmarkEnd w:id="725"/>
    </w:p>
    <w:tbl>
      <w:tblPr>
        <w:tblStyle w:val="25"/>
        <w:tblW w:w="4997"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814"/>
        <w:gridCol w:w="2017"/>
        <w:gridCol w:w="1423"/>
        <w:gridCol w:w="2212"/>
        <w:gridCol w:w="2770"/>
      </w:tblGrid>
      <w:tr w14:paraId="20C0F16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7" w:hRule="atLeast"/>
        </w:trPr>
        <w:tc>
          <w:tcPr>
            <w:tcW w:w="441" w:type="pct"/>
            <w:shd w:val="clear" w:color="auto" w:fill="BEBEBE"/>
            <w:vAlign w:val="center"/>
          </w:tcPr>
          <w:p w14:paraId="79C85D6D">
            <w:pPr>
              <w:adjustRightInd w:val="0"/>
              <w:snapToGrid w:val="0"/>
              <w:spacing w:line="240" w:lineRule="auto"/>
              <w:jc w:val="center"/>
              <w:rPr>
                <w:rFonts w:ascii="Times New Roman" w:hAnsi="Times New Roman" w:eastAsia="仿宋" w:cs="Times New Roman"/>
                <w:bCs/>
                <w:color w:val="auto"/>
                <w:sz w:val="21"/>
                <w:szCs w:val="21"/>
              </w:rPr>
            </w:pPr>
            <w:r>
              <w:rPr>
                <w:rFonts w:ascii="Times New Roman" w:hAnsi="Times New Roman" w:eastAsia="仿宋" w:cs="Times New Roman"/>
                <w:bCs/>
                <w:color w:val="auto"/>
                <w:sz w:val="21"/>
                <w:szCs w:val="21"/>
              </w:rPr>
              <w:t>序号</w:t>
            </w:r>
          </w:p>
        </w:tc>
        <w:tc>
          <w:tcPr>
            <w:tcW w:w="1092" w:type="pct"/>
            <w:shd w:val="clear" w:color="auto" w:fill="BEBEBE"/>
            <w:vAlign w:val="center"/>
          </w:tcPr>
          <w:p w14:paraId="0CAA7756">
            <w:pPr>
              <w:adjustRightInd w:val="0"/>
              <w:snapToGrid w:val="0"/>
              <w:spacing w:line="240" w:lineRule="auto"/>
              <w:jc w:val="center"/>
              <w:rPr>
                <w:rFonts w:ascii="Times New Roman" w:hAnsi="Times New Roman" w:eastAsia="仿宋" w:cs="Times New Roman"/>
                <w:bCs/>
                <w:color w:val="auto"/>
                <w:sz w:val="21"/>
                <w:szCs w:val="21"/>
              </w:rPr>
            </w:pPr>
            <w:r>
              <w:rPr>
                <w:rFonts w:ascii="Times New Roman" w:hAnsi="Times New Roman" w:eastAsia="仿宋" w:cs="Times New Roman"/>
                <w:bCs/>
                <w:color w:val="auto"/>
                <w:sz w:val="21"/>
                <w:szCs w:val="21"/>
              </w:rPr>
              <w:t>建设体系</w:t>
            </w:r>
          </w:p>
        </w:tc>
        <w:tc>
          <w:tcPr>
            <w:tcW w:w="770" w:type="pct"/>
            <w:shd w:val="clear" w:color="auto" w:fill="BEBEBE"/>
            <w:vAlign w:val="center"/>
          </w:tcPr>
          <w:p w14:paraId="2A833CA9">
            <w:pPr>
              <w:adjustRightInd w:val="0"/>
              <w:snapToGrid w:val="0"/>
              <w:spacing w:line="240" w:lineRule="auto"/>
              <w:jc w:val="center"/>
              <w:rPr>
                <w:rFonts w:ascii="Times New Roman" w:hAnsi="Times New Roman" w:eastAsia="仿宋" w:cs="Times New Roman"/>
                <w:bCs/>
                <w:color w:val="auto"/>
                <w:sz w:val="21"/>
                <w:szCs w:val="21"/>
              </w:rPr>
            </w:pPr>
            <w:r>
              <w:rPr>
                <w:rFonts w:ascii="Times New Roman" w:hAnsi="Times New Roman" w:eastAsia="仿宋" w:cs="Times New Roman"/>
                <w:bCs/>
                <w:color w:val="auto"/>
                <w:sz w:val="21"/>
                <w:szCs w:val="21"/>
              </w:rPr>
              <w:t>项目数</w:t>
            </w:r>
          </w:p>
        </w:tc>
        <w:tc>
          <w:tcPr>
            <w:tcW w:w="1197" w:type="pct"/>
            <w:shd w:val="clear" w:color="auto" w:fill="BEBEBE"/>
            <w:vAlign w:val="center"/>
          </w:tcPr>
          <w:p w14:paraId="1803C67C">
            <w:pPr>
              <w:adjustRightInd w:val="0"/>
              <w:snapToGrid w:val="0"/>
              <w:spacing w:line="240" w:lineRule="auto"/>
              <w:jc w:val="center"/>
              <w:rPr>
                <w:rFonts w:ascii="Times New Roman" w:hAnsi="Times New Roman" w:eastAsia="仿宋" w:cs="Times New Roman"/>
                <w:bCs/>
                <w:color w:val="auto"/>
                <w:sz w:val="21"/>
                <w:szCs w:val="21"/>
              </w:rPr>
            </w:pPr>
            <w:r>
              <w:rPr>
                <w:rFonts w:ascii="Times New Roman" w:hAnsi="Times New Roman" w:eastAsia="仿宋" w:cs="Times New Roman"/>
                <w:bCs/>
                <w:color w:val="auto"/>
                <w:sz w:val="21"/>
                <w:szCs w:val="21"/>
              </w:rPr>
              <w:t>总投资（万元）</w:t>
            </w:r>
          </w:p>
        </w:tc>
        <w:tc>
          <w:tcPr>
            <w:tcW w:w="1499" w:type="pct"/>
            <w:shd w:val="clear" w:color="auto" w:fill="BEBEBE"/>
            <w:vAlign w:val="center"/>
          </w:tcPr>
          <w:p w14:paraId="7E85F3F6">
            <w:pPr>
              <w:adjustRightInd w:val="0"/>
              <w:snapToGrid w:val="0"/>
              <w:spacing w:line="240" w:lineRule="auto"/>
              <w:jc w:val="center"/>
              <w:rPr>
                <w:rFonts w:ascii="Times New Roman" w:hAnsi="Times New Roman" w:eastAsia="仿宋" w:cs="Times New Roman"/>
                <w:bCs/>
                <w:color w:val="auto"/>
                <w:sz w:val="21"/>
                <w:szCs w:val="21"/>
              </w:rPr>
            </w:pPr>
            <w:r>
              <w:rPr>
                <w:rFonts w:ascii="Times New Roman" w:hAnsi="Times New Roman" w:eastAsia="仿宋" w:cs="Times New Roman"/>
                <w:bCs/>
                <w:color w:val="auto"/>
                <w:sz w:val="21"/>
                <w:szCs w:val="21"/>
              </w:rPr>
              <w:t>占投资比例（%）</w:t>
            </w:r>
          </w:p>
        </w:tc>
      </w:tr>
      <w:tr w14:paraId="6DF93C9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1" w:type="pct"/>
            <w:vAlign w:val="center"/>
          </w:tcPr>
          <w:p w14:paraId="57025654">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ascii="Times New Roman" w:hAnsi="Times New Roman" w:eastAsia="仿宋" w:cs="Times New Roman"/>
                <w:color w:val="auto"/>
                <w:kern w:val="0"/>
                <w:sz w:val="22"/>
                <w:lang w:bidi="ar"/>
              </w:rPr>
              <w:t>1</w:t>
            </w:r>
          </w:p>
        </w:tc>
        <w:tc>
          <w:tcPr>
            <w:tcW w:w="1092" w:type="pct"/>
            <w:vAlign w:val="center"/>
          </w:tcPr>
          <w:p w14:paraId="183E3AF7">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ascii="Times New Roman" w:hAnsi="Times New Roman" w:eastAsia="仿宋" w:cs="Times New Roman"/>
                <w:color w:val="auto"/>
                <w:kern w:val="0"/>
                <w:sz w:val="22"/>
                <w:lang w:bidi="ar"/>
              </w:rPr>
              <w:t>生态制度</w:t>
            </w:r>
          </w:p>
        </w:tc>
        <w:tc>
          <w:tcPr>
            <w:tcW w:w="1423" w:type="dxa"/>
            <w:vAlign w:val="center"/>
          </w:tcPr>
          <w:p w14:paraId="4F173198">
            <w:pPr>
              <w:widowControl/>
              <w:snapToGrid w:val="0"/>
              <w:spacing w:line="240" w:lineRule="auto"/>
              <w:jc w:val="center"/>
              <w:textAlignment w:val="center"/>
              <w:rPr>
                <w:rFonts w:hint="eastAsia" w:ascii="Times New Roman" w:hAnsi="Times New Roman" w:eastAsia="仿宋" w:cs="Times New Roman"/>
                <w:color w:val="auto"/>
                <w:kern w:val="0"/>
                <w:sz w:val="22"/>
                <w:lang w:val="en-US" w:eastAsia="zh-CN" w:bidi="ar"/>
              </w:rPr>
            </w:pPr>
            <w:r>
              <w:rPr>
                <w:rFonts w:hint="default" w:ascii="Times New Roman" w:hAnsi="Times New Roman" w:eastAsia="仿宋" w:cs="Times New Roman"/>
                <w:color w:val="auto"/>
                <w:kern w:val="0"/>
                <w:sz w:val="22"/>
                <w:lang w:val="en-US" w:eastAsia="zh-CN" w:bidi="ar"/>
              </w:rPr>
              <w:t>2</w:t>
            </w:r>
          </w:p>
        </w:tc>
        <w:tc>
          <w:tcPr>
            <w:tcW w:w="2212" w:type="dxa"/>
            <w:vAlign w:val="center"/>
          </w:tcPr>
          <w:p w14:paraId="151494A6">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hint="default" w:ascii="Times New Roman" w:hAnsi="Times New Roman" w:eastAsia="仿宋" w:cs="Times New Roman"/>
                <w:color w:val="auto"/>
                <w:kern w:val="0"/>
                <w:sz w:val="22"/>
                <w:lang w:val="en-US" w:eastAsia="zh-CN" w:bidi="ar"/>
              </w:rPr>
              <w:t>130</w:t>
            </w:r>
          </w:p>
        </w:tc>
        <w:tc>
          <w:tcPr>
            <w:tcW w:w="2770" w:type="dxa"/>
            <w:vAlign w:val="center"/>
          </w:tcPr>
          <w:p w14:paraId="2F773402">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hint="default" w:ascii="Times New Roman" w:hAnsi="Times New Roman" w:eastAsia="仿宋" w:cs="Times New Roman"/>
                <w:color w:val="auto"/>
                <w:kern w:val="0"/>
                <w:sz w:val="22"/>
                <w:lang w:val="en-US" w:eastAsia="zh-CN" w:bidi="ar"/>
              </w:rPr>
              <w:t>0.01%</w:t>
            </w:r>
          </w:p>
        </w:tc>
      </w:tr>
      <w:tr w14:paraId="0710BA5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1" w:type="pct"/>
            <w:vAlign w:val="center"/>
          </w:tcPr>
          <w:p w14:paraId="774F87E8">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ascii="Times New Roman" w:hAnsi="Times New Roman" w:eastAsia="仿宋" w:cs="Times New Roman"/>
                <w:color w:val="auto"/>
                <w:kern w:val="0"/>
                <w:sz w:val="22"/>
                <w:lang w:bidi="ar"/>
              </w:rPr>
              <w:t>2</w:t>
            </w:r>
          </w:p>
        </w:tc>
        <w:tc>
          <w:tcPr>
            <w:tcW w:w="1092" w:type="pct"/>
            <w:vAlign w:val="center"/>
          </w:tcPr>
          <w:p w14:paraId="217B5C59">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ascii="Times New Roman" w:hAnsi="Times New Roman" w:eastAsia="仿宋" w:cs="Times New Roman"/>
                <w:color w:val="auto"/>
                <w:kern w:val="0"/>
                <w:sz w:val="22"/>
                <w:lang w:bidi="ar"/>
              </w:rPr>
              <w:t>生态安全</w:t>
            </w:r>
          </w:p>
        </w:tc>
        <w:tc>
          <w:tcPr>
            <w:tcW w:w="1423" w:type="dxa"/>
            <w:vAlign w:val="center"/>
          </w:tcPr>
          <w:p w14:paraId="4ACE32FE">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hint="default" w:ascii="Times New Roman" w:hAnsi="Times New Roman" w:eastAsia="仿宋" w:cs="Times New Roman"/>
                <w:color w:val="auto"/>
                <w:kern w:val="0"/>
                <w:sz w:val="22"/>
                <w:lang w:val="en-US" w:eastAsia="zh-CN" w:bidi="ar"/>
              </w:rPr>
              <w:t>7</w:t>
            </w:r>
          </w:p>
        </w:tc>
        <w:tc>
          <w:tcPr>
            <w:tcW w:w="2212" w:type="dxa"/>
            <w:vAlign w:val="center"/>
          </w:tcPr>
          <w:p w14:paraId="32E8D2BF">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hint="default" w:ascii="Times New Roman" w:hAnsi="Times New Roman" w:eastAsia="仿宋" w:cs="Times New Roman"/>
                <w:color w:val="auto"/>
                <w:kern w:val="0"/>
                <w:sz w:val="22"/>
                <w:lang w:val="en-US" w:eastAsia="zh-CN" w:bidi="ar"/>
              </w:rPr>
              <w:t>48082</w:t>
            </w:r>
          </w:p>
        </w:tc>
        <w:tc>
          <w:tcPr>
            <w:tcW w:w="2770" w:type="dxa"/>
            <w:vAlign w:val="center"/>
          </w:tcPr>
          <w:p w14:paraId="5A920858">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hint="default" w:ascii="Times New Roman" w:hAnsi="Times New Roman" w:eastAsia="仿宋" w:cs="Times New Roman"/>
                <w:color w:val="auto"/>
                <w:kern w:val="0"/>
                <w:sz w:val="22"/>
                <w:lang w:val="en-US" w:eastAsia="zh-CN" w:bidi="ar"/>
              </w:rPr>
              <w:t>14.68%</w:t>
            </w:r>
          </w:p>
        </w:tc>
      </w:tr>
      <w:tr w14:paraId="1B6A0D7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441" w:type="pct"/>
            <w:vAlign w:val="center"/>
          </w:tcPr>
          <w:p w14:paraId="5BCCAC0C">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ascii="Times New Roman" w:hAnsi="Times New Roman" w:eastAsia="仿宋" w:cs="Times New Roman"/>
                <w:color w:val="auto"/>
                <w:kern w:val="0"/>
                <w:sz w:val="22"/>
                <w:lang w:bidi="ar"/>
              </w:rPr>
              <w:t>3</w:t>
            </w:r>
          </w:p>
        </w:tc>
        <w:tc>
          <w:tcPr>
            <w:tcW w:w="1092" w:type="pct"/>
            <w:vAlign w:val="center"/>
          </w:tcPr>
          <w:p w14:paraId="05BBB73A">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ascii="Times New Roman" w:hAnsi="Times New Roman" w:eastAsia="仿宋" w:cs="Times New Roman"/>
                <w:color w:val="auto"/>
                <w:kern w:val="0"/>
                <w:sz w:val="22"/>
                <w:lang w:bidi="ar"/>
              </w:rPr>
              <w:t>生态空间</w:t>
            </w:r>
          </w:p>
        </w:tc>
        <w:tc>
          <w:tcPr>
            <w:tcW w:w="1423" w:type="dxa"/>
            <w:vAlign w:val="center"/>
          </w:tcPr>
          <w:p w14:paraId="4FF93010">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hint="default" w:ascii="Times New Roman" w:hAnsi="Times New Roman" w:eastAsia="仿宋" w:cs="Times New Roman"/>
                <w:color w:val="auto"/>
                <w:kern w:val="0"/>
                <w:sz w:val="22"/>
                <w:lang w:val="en-US" w:eastAsia="zh-CN" w:bidi="ar"/>
              </w:rPr>
              <w:t>5</w:t>
            </w:r>
          </w:p>
        </w:tc>
        <w:tc>
          <w:tcPr>
            <w:tcW w:w="2212" w:type="dxa"/>
            <w:vAlign w:val="center"/>
          </w:tcPr>
          <w:p w14:paraId="3B4F051A">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hint="default" w:ascii="Times New Roman" w:hAnsi="Times New Roman" w:eastAsia="仿宋" w:cs="Times New Roman"/>
                <w:color w:val="auto"/>
                <w:kern w:val="0"/>
                <w:sz w:val="22"/>
                <w:lang w:val="en-US" w:eastAsia="zh-CN" w:bidi="ar"/>
              </w:rPr>
              <w:t>15960</w:t>
            </w:r>
          </w:p>
        </w:tc>
        <w:tc>
          <w:tcPr>
            <w:tcW w:w="2770" w:type="dxa"/>
            <w:vAlign w:val="center"/>
          </w:tcPr>
          <w:p w14:paraId="141C5CD5">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hint="default" w:ascii="Times New Roman" w:hAnsi="Times New Roman" w:eastAsia="仿宋" w:cs="Times New Roman"/>
                <w:color w:val="auto"/>
                <w:kern w:val="0"/>
                <w:sz w:val="22"/>
                <w:lang w:val="en-US" w:eastAsia="zh-CN" w:bidi="ar"/>
              </w:rPr>
              <w:t>4.87%</w:t>
            </w:r>
          </w:p>
        </w:tc>
      </w:tr>
      <w:tr w14:paraId="3437BEA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441" w:type="pct"/>
            <w:vAlign w:val="center"/>
          </w:tcPr>
          <w:p w14:paraId="53FB083A">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ascii="Times New Roman" w:hAnsi="Times New Roman" w:eastAsia="仿宋" w:cs="Times New Roman"/>
                <w:color w:val="auto"/>
                <w:kern w:val="0"/>
                <w:sz w:val="22"/>
                <w:lang w:bidi="ar"/>
              </w:rPr>
              <w:t>4</w:t>
            </w:r>
          </w:p>
        </w:tc>
        <w:tc>
          <w:tcPr>
            <w:tcW w:w="1092" w:type="pct"/>
            <w:vAlign w:val="center"/>
          </w:tcPr>
          <w:p w14:paraId="78661EDE">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ascii="Times New Roman" w:hAnsi="Times New Roman" w:eastAsia="仿宋" w:cs="Times New Roman"/>
                <w:color w:val="auto"/>
                <w:kern w:val="0"/>
                <w:sz w:val="22"/>
                <w:lang w:bidi="ar"/>
              </w:rPr>
              <w:t>生态经济</w:t>
            </w:r>
          </w:p>
        </w:tc>
        <w:tc>
          <w:tcPr>
            <w:tcW w:w="1423" w:type="dxa"/>
            <w:vAlign w:val="center"/>
          </w:tcPr>
          <w:p w14:paraId="26EF6911">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hint="default" w:ascii="Times New Roman" w:hAnsi="Times New Roman" w:eastAsia="仿宋" w:cs="Times New Roman"/>
                <w:color w:val="auto"/>
                <w:kern w:val="0"/>
                <w:sz w:val="22"/>
                <w:lang w:val="en-US" w:eastAsia="zh-CN" w:bidi="ar"/>
              </w:rPr>
              <w:t>14</w:t>
            </w:r>
          </w:p>
        </w:tc>
        <w:tc>
          <w:tcPr>
            <w:tcW w:w="2212" w:type="dxa"/>
            <w:vAlign w:val="center"/>
          </w:tcPr>
          <w:p w14:paraId="27DB6B07">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hint="default" w:ascii="Times New Roman" w:hAnsi="Times New Roman" w:eastAsia="仿宋" w:cs="Times New Roman"/>
                <w:color w:val="auto"/>
                <w:kern w:val="0"/>
                <w:sz w:val="22"/>
                <w:lang w:val="en-US" w:eastAsia="zh-CN" w:bidi="ar"/>
              </w:rPr>
              <w:t>758594</w:t>
            </w:r>
          </w:p>
        </w:tc>
        <w:tc>
          <w:tcPr>
            <w:tcW w:w="2770" w:type="dxa"/>
            <w:vAlign w:val="center"/>
          </w:tcPr>
          <w:p w14:paraId="0C862151">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hint="default" w:ascii="Times New Roman" w:hAnsi="Times New Roman" w:eastAsia="仿宋" w:cs="Times New Roman"/>
                <w:color w:val="auto"/>
                <w:kern w:val="0"/>
                <w:sz w:val="22"/>
                <w:lang w:val="en-US" w:eastAsia="zh-CN" w:bidi="ar"/>
              </w:rPr>
              <w:t>231.67%</w:t>
            </w:r>
          </w:p>
        </w:tc>
      </w:tr>
      <w:tr w14:paraId="1CCCF5D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1" w:type="pct"/>
            <w:vAlign w:val="center"/>
          </w:tcPr>
          <w:p w14:paraId="57CC908C">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ascii="Times New Roman" w:hAnsi="Times New Roman" w:eastAsia="仿宋" w:cs="Times New Roman"/>
                <w:color w:val="auto"/>
                <w:kern w:val="0"/>
                <w:sz w:val="22"/>
                <w:lang w:bidi="ar"/>
              </w:rPr>
              <w:t>5</w:t>
            </w:r>
          </w:p>
        </w:tc>
        <w:tc>
          <w:tcPr>
            <w:tcW w:w="1092" w:type="pct"/>
            <w:vAlign w:val="center"/>
          </w:tcPr>
          <w:p w14:paraId="7FFB1004">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ascii="Times New Roman" w:hAnsi="Times New Roman" w:eastAsia="仿宋" w:cs="Times New Roman"/>
                <w:color w:val="auto"/>
                <w:kern w:val="0"/>
                <w:sz w:val="22"/>
                <w:lang w:bidi="ar"/>
              </w:rPr>
              <w:t>生态生活</w:t>
            </w:r>
          </w:p>
        </w:tc>
        <w:tc>
          <w:tcPr>
            <w:tcW w:w="1423" w:type="dxa"/>
            <w:vAlign w:val="center"/>
          </w:tcPr>
          <w:p w14:paraId="1287527E">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hint="default" w:ascii="Times New Roman" w:hAnsi="Times New Roman" w:eastAsia="仿宋" w:cs="Times New Roman"/>
                <w:color w:val="auto"/>
                <w:kern w:val="0"/>
                <w:sz w:val="22"/>
                <w:lang w:val="en-US" w:eastAsia="zh-CN" w:bidi="ar"/>
              </w:rPr>
              <w:t>11</w:t>
            </w:r>
          </w:p>
        </w:tc>
        <w:tc>
          <w:tcPr>
            <w:tcW w:w="2212" w:type="dxa"/>
            <w:vAlign w:val="center"/>
          </w:tcPr>
          <w:p w14:paraId="050F661D">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hint="default" w:ascii="Times New Roman" w:hAnsi="Times New Roman" w:eastAsia="仿宋" w:cs="Times New Roman"/>
                <w:color w:val="auto"/>
                <w:kern w:val="0"/>
                <w:sz w:val="22"/>
                <w:lang w:val="en-US" w:eastAsia="zh-CN" w:bidi="ar"/>
              </w:rPr>
              <w:t>296107</w:t>
            </w:r>
          </w:p>
        </w:tc>
        <w:tc>
          <w:tcPr>
            <w:tcW w:w="2770" w:type="dxa"/>
            <w:vAlign w:val="center"/>
          </w:tcPr>
          <w:p w14:paraId="7E42C03A">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hint="default" w:ascii="Times New Roman" w:hAnsi="Times New Roman" w:eastAsia="仿宋" w:cs="Times New Roman"/>
                <w:color w:val="auto"/>
                <w:kern w:val="0"/>
                <w:sz w:val="22"/>
                <w:lang w:val="en-US" w:eastAsia="zh-CN" w:bidi="ar"/>
              </w:rPr>
              <w:t>90.43%</w:t>
            </w:r>
          </w:p>
        </w:tc>
      </w:tr>
      <w:tr w14:paraId="6B9A609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trPr>
        <w:tc>
          <w:tcPr>
            <w:tcW w:w="441" w:type="pct"/>
            <w:vAlign w:val="center"/>
          </w:tcPr>
          <w:p w14:paraId="229887C2">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ascii="Times New Roman" w:hAnsi="Times New Roman" w:eastAsia="仿宋" w:cs="Times New Roman"/>
                <w:color w:val="auto"/>
                <w:kern w:val="0"/>
                <w:sz w:val="22"/>
                <w:lang w:bidi="ar"/>
              </w:rPr>
              <w:t>6</w:t>
            </w:r>
          </w:p>
        </w:tc>
        <w:tc>
          <w:tcPr>
            <w:tcW w:w="1092" w:type="pct"/>
            <w:vAlign w:val="center"/>
          </w:tcPr>
          <w:p w14:paraId="5691CFC9">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ascii="Times New Roman" w:hAnsi="Times New Roman" w:eastAsia="仿宋" w:cs="Times New Roman"/>
                <w:color w:val="auto"/>
                <w:kern w:val="0"/>
                <w:sz w:val="22"/>
                <w:lang w:bidi="ar"/>
              </w:rPr>
              <w:t>生态文化</w:t>
            </w:r>
          </w:p>
        </w:tc>
        <w:tc>
          <w:tcPr>
            <w:tcW w:w="1423" w:type="dxa"/>
            <w:vAlign w:val="center"/>
          </w:tcPr>
          <w:p w14:paraId="4834FEA7">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hint="default" w:ascii="Times New Roman" w:hAnsi="Times New Roman" w:eastAsia="仿宋" w:cs="Times New Roman"/>
                <w:color w:val="auto"/>
                <w:kern w:val="0"/>
                <w:sz w:val="22"/>
                <w:lang w:val="en-US" w:eastAsia="zh-CN" w:bidi="ar"/>
              </w:rPr>
              <w:t>4</w:t>
            </w:r>
          </w:p>
        </w:tc>
        <w:tc>
          <w:tcPr>
            <w:tcW w:w="2212" w:type="dxa"/>
            <w:vAlign w:val="center"/>
          </w:tcPr>
          <w:p w14:paraId="20EA2EB1">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hint="default" w:ascii="Times New Roman" w:hAnsi="Times New Roman" w:eastAsia="仿宋" w:cs="Times New Roman"/>
                <w:color w:val="auto"/>
                <w:kern w:val="0"/>
                <w:sz w:val="22"/>
                <w:lang w:val="en-US" w:eastAsia="zh-CN" w:bidi="ar"/>
              </w:rPr>
              <w:t>1120</w:t>
            </w:r>
          </w:p>
        </w:tc>
        <w:tc>
          <w:tcPr>
            <w:tcW w:w="2770" w:type="dxa"/>
            <w:vAlign w:val="center"/>
          </w:tcPr>
          <w:p w14:paraId="53982AF0">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hint="default" w:ascii="Times New Roman" w:hAnsi="Times New Roman" w:eastAsia="仿宋" w:cs="Times New Roman"/>
                <w:color w:val="auto"/>
                <w:kern w:val="0"/>
                <w:sz w:val="22"/>
                <w:lang w:val="en-US" w:eastAsia="zh-CN" w:bidi="ar"/>
              </w:rPr>
              <w:t>0.34%</w:t>
            </w:r>
          </w:p>
        </w:tc>
      </w:tr>
      <w:tr w14:paraId="77556AB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1" w:type="pct"/>
            <w:vAlign w:val="center"/>
          </w:tcPr>
          <w:p w14:paraId="6FFAD7DB">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ascii="Times New Roman" w:hAnsi="Times New Roman" w:eastAsia="仿宋" w:cs="Times New Roman"/>
                <w:color w:val="auto"/>
                <w:kern w:val="0"/>
                <w:sz w:val="22"/>
                <w:lang w:bidi="ar"/>
              </w:rPr>
              <w:t>合计</w:t>
            </w:r>
          </w:p>
        </w:tc>
        <w:tc>
          <w:tcPr>
            <w:tcW w:w="1092" w:type="pct"/>
            <w:vAlign w:val="center"/>
          </w:tcPr>
          <w:p w14:paraId="6EB3A3BC">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ascii="Times New Roman" w:hAnsi="Times New Roman" w:eastAsia="仿宋" w:cs="Times New Roman"/>
                <w:color w:val="auto"/>
                <w:kern w:val="0"/>
                <w:sz w:val="22"/>
                <w:lang w:bidi="ar"/>
              </w:rPr>
              <w:t>——</w:t>
            </w:r>
          </w:p>
        </w:tc>
        <w:tc>
          <w:tcPr>
            <w:tcW w:w="1423" w:type="dxa"/>
            <w:vAlign w:val="center"/>
          </w:tcPr>
          <w:p w14:paraId="14869E3D">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hint="default" w:ascii="Times New Roman" w:hAnsi="Times New Roman" w:eastAsia="仿宋" w:cs="Times New Roman"/>
                <w:color w:val="auto"/>
                <w:kern w:val="0"/>
                <w:sz w:val="22"/>
                <w:lang w:val="en-US" w:eastAsia="zh-CN" w:bidi="ar"/>
              </w:rPr>
              <w:t>43</w:t>
            </w:r>
          </w:p>
        </w:tc>
        <w:tc>
          <w:tcPr>
            <w:tcW w:w="2212" w:type="dxa"/>
            <w:vAlign w:val="center"/>
          </w:tcPr>
          <w:p w14:paraId="32CFA202">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hint="default" w:ascii="Times New Roman" w:hAnsi="Times New Roman" w:eastAsia="仿宋" w:cs="Times New Roman"/>
                <w:color w:val="auto"/>
                <w:kern w:val="0"/>
                <w:sz w:val="22"/>
                <w:lang w:val="en-US" w:eastAsia="zh-CN" w:bidi="ar"/>
              </w:rPr>
              <w:t>1119993</w:t>
            </w:r>
          </w:p>
        </w:tc>
        <w:tc>
          <w:tcPr>
            <w:tcW w:w="2770" w:type="dxa"/>
            <w:vAlign w:val="center"/>
          </w:tcPr>
          <w:p w14:paraId="5B3A67F9">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hint="default" w:ascii="Times New Roman" w:hAnsi="Times New Roman" w:eastAsia="仿宋" w:cs="Times New Roman"/>
                <w:color w:val="auto"/>
                <w:kern w:val="0"/>
                <w:sz w:val="22"/>
                <w:lang w:val="en-US" w:eastAsia="zh-CN" w:bidi="ar"/>
              </w:rPr>
              <w:t>100.00%</w:t>
            </w:r>
          </w:p>
        </w:tc>
      </w:tr>
    </w:tbl>
    <w:p w14:paraId="41EE51D5">
      <w:pPr>
        <w:widowControl/>
        <w:adjustRightInd w:val="0"/>
        <w:snapToGrid w:val="0"/>
        <w:ind w:firstLine="488" w:firstLineChars="200"/>
        <w:rPr>
          <w:rFonts w:ascii="Times New Roman" w:hAnsi="Times New Roman" w:eastAsia="仿宋" w:cs="Times New Roman"/>
          <w:color w:val="auto"/>
          <w:sz w:val="24"/>
        </w:rPr>
      </w:pPr>
    </w:p>
    <w:p w14:paraId="3DC5AA59">
      <w:pPr>
        <w:keepNext w:val="0"/>
        <w:keepLines w:val="0"/>
        <w:pageBreakBefore w:val="0"/>
        <w:widowControl/>
        <w:kinsoku/>
        <w:wordWrap/>
        <w:overflowPunct/>
        <w:topLinePunct w:val="0"/>
        <w:autoSpaceDE/>
        <w:autoSpaceDN/>
        <w:bidi w:val="0"/>
        <w:adjustRightInd/>
        <w:snapToGrid/>
        <w:spacing w:line="500" w:lineRule="exact"/>
        <w:ind w:firstLine="568" w:firstLineChars="200"/>
        <w:textAlignment w:val="auto"/>
        <w:rPr>
          <w:rFonts w:hint="eastAsia" w:ascii="Times New Roman" w:hAnsi="Times New Roman" w:eastAsia="方正仿宋_GBK" w:cs="方正仿宋_GBK"/>
          <w:b w:val="0"/>
          <w:bCs w:val="0"/>
          <w:color w:val="auto"/>
          <w:kern w:val="2"/>
          <w:sz w:val="28"/>
          <w:szCs w:val="28"/>
          <w:lang w:val="en-US" w:eastAsia="zh-CN" w:bidi="ar-SA"/>
        </w:rPr>
        <w:sectPr>
          <w:headerReference r:id="rId13" w:type="default"/>
          <w:footerReference r:id="rId14" w:type="default"/>
          <w:pgSz w:w="11906" w:h="16838"/>
          <w:pgMar w:top="1797" w:right="1440" w:bottom="1797" w:left="1440" w:header="851" w:footer="992" w:gutter="0"/>
          <w:pgBorders>
            <w:top w:val="none" w:sz="0" w:space="0"/>
            <w:left w:val="none" w:sz="0" w:space="0"/>
            <w:bottom w:val="none" w:sz="0" w:space="0"/>
            <w:right w:val="none" w:sz="0" w:space="0"/>
          </w:pgBorders>
          <w:pgNumType w:fmt="decimal"/>
          <w:cols w:space="720" w:num="1"/>
          <w:docGrid w:type="linesAndChars" w:linePitch="322" w:charSpace="1004"/>
        </w:sectPr>
      </w:pPr>
      <w:r>
        <w:rPr>
          <w:rFonts w:hint="eastAsia" w:ascii="Times New Roman" w:hAnsi="Times New Roman" w:eastAsia="方正仿宋_GBK" w:cs="方正仿宋_GBK"/>
          <w:b w:val="0"/>
          <w:bCs w:val="0"/>
          <w:color w:val="auto"/>
          <w:kern w:val="2"/>
          <w:sz w:val="28"/>
          <w:szCs w:val="28"/>
          <w:lang w:val="en-US" w:eastAsia="zh-CN" w:bidi="ar-SA"/>
        </w:rPr>
        <w:t>项目建设必须按照“不断筹备、不断启动、不断建设、不断更新”的原则逐步实施，政府应重点支持生态文明公共环境基础设施、生态示范与推广、能力建设等类别的建设项目，重点鼓励有利于资源综合利用、节能降耗、提高资源利用效益的项目，重点引导采用高新技术和有利于产业结构调整的项目。</w:t>
      </w:r>
    </w:p>
    <w:p w14:paraId="019252D3">
      <w:pPr>
        <w:widowControl/>
        <w:jc w:val="center"/>
        <w:rPr>
          <w:rFonts w:ascii="Times New Roman" w:hAnsi="Times New Roman" w:eastAsia="方正仿宋_GBK"/>
          <w:color w:val="FF0000"/>
        </w:rPr>
      </w:pPr>
      <w:r>
        <w:rPr>
          <w:rFonts w:ascii="Times New Roman" w:hAnsi="Times New Roman" w:eastAsia="仿宋" w:cs="Times New Roman"/>
          <w:b/>
          <w:bCs/>
          <w:color w:val="auto"/>
          <w:sz w:val="24"/>
        </w:rPr>
        <w:t>表11.1-2新平县生态文明建设示范区建设重点项目及投资估算</w:t>
      </w:r>
    </w:p>
    <w:tbl>
      <w:tblPr>
        <w:tblStyle w:val="25"/>
        <w:tblW w:w="508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1"/>
        <w:gridCol w:w="738"/>
        <w:gridCol w:w="1821"/>
        <w:gridCol w:w="5240"/>
        <w:gridCol w:w="1177"/>
        <w:gridCol w:w="1194"/>
        <w:gridCol w:w="1194"/>
        <w:gridCol w:w="923"/>
        <w:gridCol w:w="1643"/>
      </w:tblGrid>
      <w:tr w14:paraId="79CBE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blHeader/>
          <w:jc w:val="center"/>
        </w:trPr>
        <w:tc>
          <w:tcPr>
            <w:tcW w:w="170" w:type="pct"/>
            <w:shd w:val="clear" w:color="auto" w:fill="BEBEBE"/>
            <w:vAlign w:val="center"/>
          </w:tcPr>
          <w:p w14:paraId="75D5CBCF">
            <w:pPr>
              <w:widowControl/>
              <w:spacing w:line="240" w:lineRule="auto"/>
              <w:jc w:val="center"/>
              <w:textAlignment w:val="center"/>
              <w:rPr>
                <w:rFonts w:ascii="Times New Roman" w:hAnsi="Times New Roman" w:eastAsia="仿宋" w:cs="Times New Roman"/>
                <w:b/>
                <w:bCs/>
                <w:color w:val="auto"/>
                <w:sz w:val="21"/>
                <w:szCs w:val="21"/>
              </w:rPr>
            </w:pPr>
            <w:r>
              <w:rPr>
                <w:rFonts w:ascii="Times New Roman" w:hAnsi="Times New Roman" w:eastAsia="仿宋" w:cs="Times New Roman"/>
                <w:b/>
                <w:bCs/>
                <w:color w:val="auto"/>
                <w:kern w:val="0"/>
                <w:sz w:val="21"/>
                <w:szCs w:val="21"/>
                <w:lang w:bidi="ar"/>
              </w:rPr>
              <w:t>体系</w:t>
            </w:r>
          </w:p>
        </w:tc>
        <w:tc>
          <w:tcPr>
            <w:tcW w:w="255" w:type="pct"/>
            <w:shd w:val="clear" w:color="auto" w:fill="BEBEBE"/>
            <w:vAlign w:val="center"/>
          </w:tcPr>
          <w:p w14:paraId="47B23034">
            <w:pPr>
              <w:widowControl/>
              <w:spacing w:line="240" w:lineRule="auto"/>
              <w:jc w:val="center"/>
              <w:textAlignment w:val="center"/>
              <w:rPr>
                <w:rFonts w:ascii="Times New Roman" w:hAnsi="Times New Roman" w:eastAsia="仿宋" w:cs="Times New Roman"/>
                <w:b/>
                <w:bCs/>
                <w:color w:val="auto"/>
                <w:sz w:val="21"/>
                <w:szCs w:val="21"/>
              </w:rPr>
            </w:pPr>
            <w:r>
              <w:rPr>
                <w:rFonts w:ascii="Times New Roman" w:hAnsi="Times New Roman" w:eastAsia="仿宋" w:cs="Times New Roman"/>
                <w:b/>
                <w:bCs/>
                <w:color w:val="auto"/>
                <w:kern w:val="0"/>
                <w:sz w:val="21"/>
                <w:szCs w:val="21"/>
                <w:lang w:bidi="ar"/>
              </w:rPr>
              <w:t>序号</w:t>
            </w:r>
          </w:p>
        </w:tc>
        <w:tc>
          <w:tcPr>
            <w:tcW w:w="631" w:type="pct"/>
            <w:shd w:val="clear" w:color="auto" w:fill="BEBEBE"/>
            <w:vAlign w:val="center"/>
          </w:tcPr>
          <w:p w14:paraId="2DE5A1E2">
            <w:pPr>
              <w:widowControl/>
              <w:spacing w:line="240" w:lineRule="auto"/>
              <w:jc w:val="center"/>
              <w:textAlignment w:val="center"/>
              <w:rPr>
                <w:rFonts w:ascii="Times New Roman" w:hAnsi="Times New Roman" w:eastAsia="仿宋" w:cs="Times New Roman"/>
                <w:b/>
                <w:bCs/>
                <w:color w:val="auto"/>
                <w:sz w:val="21"/>
                <w:szCs w:val="21"/>
              </w:rPr>
            </w:pPr>
            <w:r>
              <w:rPr>
                <w:rFonts w:ascii="Times New Roman" w:hAnsi="Times New Roman" w:eastAsia="仿宋" w:cs="Times New Roman"/>
                <w:b/>
                <w:bCs/>
                <w:color w:val="auto"/>
                <w:kern w:val="0"/>
                <w:sz w:val="21"/>
                <w:szCs w:val="21"/>
                <w:lang w:bidi="ar"/>
              </w:rPr>
              <w:t>项目名称</w:t>
            </w:r>
          </w:p>
        </w:tc>
        <w:tc>
          <w:tcPr>
            <w:tcW w:w="1816" w:type="pct"/>
            <w:shd w:val="clear" w:color="auto" w:fill="BEBEBE"/>
            <w:vAlign w:val="center"/>
          </w:tcPr>
          <w:p w14:paraId="43D34CE2">
            <w:pPr>
              <w:widowControl/>
              <w:spacing w:line="240" w:lineRule="auto"/>
              <w:jc w:val="left"/>
              <w:textAlignment w:val="center"/>
              <w:rPr>
                <w:rFonts w:ascii="Times New Roman" w:hAnsi="Times New Roman" w:eastAsia="仿宋" w:cs="Times New Roman"/>
                <w:b/>
                <w:bCs/>
                <w:color w:val="auto"/>
                <w:sz w:val="21"/>
                <w:szCs w:val="21"/>
              </w:rPr>
            </w:pPr>
            <w:r>
              <w:rPr>
                <w:rFonts w:ascii="Times New Roman" w:hAnsi="Times New Roman" w:eastAsia="仿宋" w:cs="Times New Roman"/>
                <w:b/>
                <w:bCs/>
                <w:color w:val="auto"/>
                <w:kern w:val="0"/>
                <w:sz w:val="21"/>
                <w:szCs w:val="21"/>
                <w:lang w:bidi="ar"/>
              </w:rPr>
              <w:t>主要内容</w:t>
            </w:r>
          </w:p>
        </w:tc>
        <w:tc>
          <w:tcPr>
            <w:tcW w:w="408" w:type="pct"/>
            <w:shd w:val="clear" w:color="auto" w:fill="BEBEBE"/>
            <w:vAlign w:val="center"/>
          </w:tcPr>
          <w:p w14:paraId="3DF9E727">
            <w:pPr>
              <w:widowControl/>
              <w:spacing w:line="240" w:lineRule="auto"/>
              <w:jc w:val="center"/>
              <w:textAlignment w:val="center"/>
              <w:rPr>
                <w:rFonts w:ascii="Times New Roman" w:hAnsi="Times New Roman" w:eastAsia="仿宋" w:cs="Times New Roman"/>
                <w:b/>
                <w:bCs/>
                <w:color w:val="auto"/>
                <w:sz w:val="21"/>
                <w:szCs w:val="21"/>
              </w:rPr>
            </w:pPr>
            <w:r>
              <w:rPr>
                <w:rFonts w:ascii="Times New Roman" w:hAnsi="Times New Roman" w:eastAsia="仿宋" w:cs="Times New Roman"/>
                <w:b/>
                <w:bCs/>
                <w:color w:val="auto"/>
                <w:kern w:val="0"/>
                <w:sz w:val="21"/>
                <w:szCs w:val="21"/>
                <w:lang w:bidi="ar"/>
              </w:rPr>
              <w:t>实施时限（年）</w:t>
            </w:r>
          </w:p>
        </w:tc>
        <w:tc>
          <w:tcPr>
            <w:tcW w:w="413" w:type="pct"/>
            <w:shd w:val="clear" w:color="auto" w:fill="BEBEBE"/>
            <w:vAlign w:val="center"/>
          </w:tcPr>
          <w:p w14:paraId="30019ACF">
            <w:pPr>
              <w:widowControl/>
              <w:spacing w:line="240" w:lineRule="auto"/>
              <w:jc w:val="center"/>
              <w:textAlignment w:val="center"/>
              <w:rPr>
                <w:rFonts w:ascii="Times New Roman" w:hAnsi="Times New Roman" w:eastAsia="仿宋" w:cs="Times New Roman"/>
                <w:b/>
                <w:bCs/>
                <w:color w:val="auto"/>
                <w:sz w:val="21"/>
                <w:szCs w:val="21"/>
              </w:rPr>
            </w:pPr>
            <w:r>
              <w:rPr>
                <w:rFonts w:ascii="Times New Roman" w:hAnsi="Times New Roman" w:eastAsia="仿宋" w:cs="Times New Roman"/>
                <w:b/>
                <w:bCs/>
                <w:color w:val="auto"/>
                <w:kern w:val="0"/>
                <w:sz w:val="21"/>
                <w:szCs w:val="21"/>
                <w:lang w:bidi="ar"/>
              </w:rPr>
              <w:t>资金概算（万元）</w:t>
            </w:r>
          </w:p>
        </w:tc>
        <w:tc>
          <w:tcPr>
            <w:tcW w:w="413" w:type="pct"/>
            <w:shd w:val="clear" w:color="auto" w:fill="BEBEBE"/>
            <w:vAlign w:val="center"/>
          </w:tcPr>
          <w:p w14:paraId="4E2AAE85">
            <w:pPr>
              <w:widowControl/>
              <w:spacing w:line="240" w:lineRule="auto"/>
              <w:jc w:val="center"/>
              <w:textAlignment w:val="center"/>
              <w:rPr>
                <w:rFonts w:ascii="Times New Roman" w:hAnsi="Times New Roman" w:eastAsia="仿宋" w:cs="Times New Roman"/>
                <w:b/>
                <w:bCs/>
                <w:color w:val="auto"/>
                <w:sz w:val="21"/>
                <w:szCs w:val="21"/>
              </w:rPr>
            </w:pPr>
            <w:r>
              <w:rPr>
                <w:rFonts w:ascii="Times New Roman" w:hAnsi="Times New Roman" w:eastAsia="仿宋" w:cs="Times New Roman"/>
                <w:b/>
                <w:bCs/>
                <w:color w:val="auto"/>
                <w:kern w:val="0"/>
                <w:sz w:val="21"/>
                <w:szCs w:val="21"/>
                <w:lang w:bidi="ar"/>
              </w:rPr>
              <w:t>牵头实施单位</w:t>
            </w:r>
          </w:p>
        </w:tc>
        <w:tc>
          <w:tcPr>
            <w:tcW w:w="320" w:type="pct"/>
            <w:shd w:val="clear" w:color="auto" w:fill="BEBEBE"/>
            <w:vAlign w:val="center"/>
          </w:tcPr>
          <w:p w14:paraId="4E40C709">
            <w:pPr>
              <w:widowControl/>
              <w:spacing w:line="240" w:lineRule="auto"/>
              <w:jc w:val="center"/>
              <w:textAlignment w:val="center"/>
              <w:rPr>
                <w:rFonts w:ascii="Times New Roman" w:hAnsi="Times New Roman" w:eastAsia="仿宋" w:cs="Times New Roman"/>
                <w:b/>
                <w:bCs/>
                <w:color w:val="auto"/>
                <w:sz w:val="21"/>
                <w:szCs w:val="21"/>
              </w:rPr>
            </w:pPr>
            <w:r>
              <w:rPr>
                <w:rFonts w:ascii="Times New Roman" w:hAnsi="Times New Roman" w:eastAsia="仿宋" w:cs="Times New Roman"/>
                <w:b/>
                <w:bCs/>
                <w:color w:val="auto"/>
                <w:kern w:val="0"/>
                <w:sz w:val="21"/>
                <w:szCs w:val="21"/>
                <w:lang w:bidi="ar"/>
              </w:rPr>
              <w:t>经费来源</w:t>
            </w:r>
          </w:p>
        </w:tc>
        <w:tc>
          <w:tcPr>
            <w:tcW w:w="569" w:type="pct"/>
            <w:shd w:val="clear" w:color="auto" w:fill="BEBEBE"/>
            <w:vAlign w:val="center"/>
          </w:tcPr>
          <w:p w14:paraId="57A4F258">
            <w:pPr>
              <w:widowControl/>
              <w:spacing w:line="240" w:lineRule="auto"/>
              <w:jc w:val="center"/>
              <w:textAlignment w:val="center"/>
              <w:rPr>
                <w:rFonts w:ascii="Times New Roman" w:hAnsi="Times New Roman" w:eastAsia="仿宋" w:cs="Times New Roman"/>
                <w:b/>
                <w:bCs/>
                <w:color w:val="auto"/>
                <w:sz w:val="21"/>
                <w:szCs w:val="21"/>
              </w:rPr>
            </w:pPr>
            <w:r>
              <w:rPr>
                <w:rFonts w:ascii="Times New Roman" w:hAnsi="Times New Roman" w:eastAsia="仿宋" w:cs="Times New Roman"/>
                <w:b/>
                <w:bCs/>
                <w:color w:val="auto"/>
                <w:kern w:val="0"/>
                <w:sz w:val="21"/>
                <w:szCs w:val="21"/>
                <w:lang w:bidi="ar"/>
              </w:rPr>
              <w:t>主要支撑指标</w:t>
            </w:r>
          </w:p>
        </w:tc>
      </w:tr>
      <w:tr w14:paraId="41576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170" w:type="pct"/>
            <w:vMerge w:val="restart"/>
            <w:vAlign w:val="center"/>
          </w:tcPr>
          <w:p w14:paraId="735E266B">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kern w:val="0"/>
                <w:sz w:val="21"/>
                <w:szCs w:val="21"/>
                <w:lang w:bidi="ar"/>
              </w:rPr>
              <w:t>生态制度</w:t>
            </w:r>
          </w:p>
        </w:tc>
        <w:tc>
          <w:tcPr>
            <w:tcW w:w="255" w:type="pct"/>
            <w:vAlign w:val="center"/>
          </w:tcPr>
          <w:p w14:paraId="7A415E90">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1</w:t>
            </w:r>
          </w:p>
        </w:tc>
        <w:tc>
          <w:tcPr>
            <w:tcW w:w="631" w:type="pct"/>
            <w:vAlign w:val="center"/>
          </w:tcPr>
          <w:p w14:paraId="44376794">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生态文化传承与保护制度</w:t>
            </w:r>
          </w:p>
        </w:tc>
        <w:tc>
          <w:tcPr>
            <w:tcW w:w="1816" w:type="pct"/>
            <w:vAlign w:val="center"/>
          </w:tcPr>
          <w:p w14:paraId="0986685D">
            <w:pPr>
              <w:widowControl/>
              <w:spacing w:line="240" w:lineRule="auto"/>
              <w:jc w:val="left"/>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探索新平县民族生态文化保护制度，加强对民族生态文化的保护，继承和弘扬优秀文化遗产。</w:t>
            </w:r>
          </w:p>
        </w:tc>
        <w:tc>
          <w:tcPr>
            <w:tcW w:w="408" w:type="pct"/>
            <w:vAlign w:val="center"/>
          </w:tcPr>
          <w:p w14:paraId="72445000">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2022-2035</w:t>
            </w:r>
          </w:p>
        </w:tc>
        <w:tc>
          <w:tcPr>
            <w:tcW w:w="413" w:type="pct"/>
            <w:noWrap/>
            <w:vAlign w:val="center"/>
          </w:tcPr>
          <w:p w14:paraId="1FC018A0">
            <w:pPr>
              <w:widowControl/>
              <w:spacing w:line="240" w:lineRule="auto"/>
              <w:jc w:val="center"/>
              <w:textAlignment w:val="center"/>
              <w:rPr>
                <w:rFonts w:hint="default"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100</w:t>
            </w:r>
          </w:p>
        </w:tc>
        <w:tc>
          <w:tcPr>
            <w:tcW w:w="413" w:type="pct"/>
            <w:vAlign w:val="center"/>
          </w:tcPr>
          <w:p w14:paraId="5C219C8C">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县人民政府</w:t>
            </w:r>
          </w:p>
        </w:tc>
        <w:tc>
          <w:tcPr>
            <w:tcW w:w="320" w:type="pct"/>
            <w:vAlign w:val="center"/>
          </w:tcPr>
          <w:p w14:paraId="1F7DC150">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政府投入</w:t>
            </w:r>
          </w:p>
        </w:tc>
        <w:tc>
          <w:tcPr>
            <w:tcW w:w="569" w:type="pct"/>
            <w:vAlign w:val="center"/>
          </w:tcPr>
          <w:p w14:paraId="047B535E">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党委政府对生态文明建设重大目标任务部署情况</w:t>
            </w:r>
          </w:p>
        </w:tc>
      </w:tr>
      <w:tr w14:paraId="39826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 w:type="pct"/>
            <w:vMerge w:val="continue"/>
            <w:vAlign w:val="center"/>
          </w:tcPr>
          <w:p w14:paraId="6FD254AB">
            <w:pPr>
              <w:spacing w:line="240" w:lineRule="auto"/>
              <w:jc w:val="center"/>
              <w:rPr>
                <w:rFonts w:ascii="Times New Roman" w:hAnsi="Times New Roman" w:eastAsia="仿宋" w:cs="Times New Roman"/>
                <w:color w:val="auto"/>
                <w:sz w:val="21"/>
                <w:szCs w:val="21"/>
              </w:rPr>
            </w:pPr>
          </w:p>
        </w:tc>
        <w:tc>
          <w:tcPr>
            <w:tcW w:w="255" w:type="pct"/>
            <w:vAlign w:val="center"/>
          </w:tcPr>
          <w:p w14:paraId="1914CEE7">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2</w:t>
            </w:r>
          </w:p>
        </w:tc>
        <w:tc>
          <w:tcPr>
            <w:tcW w:w="631" w:type="pct"/>
            <w:vAlign w:val="center"/>
          </w:tcPr>
          <w:p w14:paraId="1B713E05">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完善生态补偿机制</w:t>
            </w:r>
          </w:p>
        </w:tc>
        <w:tc>
          <w:tcPr>
            <w:tcW w:w="1816" w:type="pct"/>
            <w:vAlign w:val="center"/>
          </w:tcPr>
          <w:p w14:paraId="37AD5BB9">
            <w:pPr>
              <w:widowControl/>
              <w:spacing w:line="240" w:lineRule="auto"/>
              <w:jc w:val="left"/>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结合环境政策研究生态补偿制度，包括跨境、非跨境流域、森林碳汇、生物多样性、旅游资源开发等，探索建立多元生态补偿运行机制。</w:t>
            </w:r>
          </w:p>
        </w:tc>
        <w:tc>
          <w:tcPr>
            <w:tcW w:w="408" w:type="pct"/>
            <w:vAlign w:val="center"/>
          </w:tcPr>
          <w:p w14:paraId="1F73A76A">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2022-2035</w:t>
            </w:r>
          </w:p>
        </w:tc>
        <w:tc>
          <w:tcPr>
            <w:tcW w:w="413" w:type="pct"/>
            <w:vAlign w:val="center"/>
          </w:tcPr>
          <w:p w14:paraId="77773410">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30</w:t>
            </w:r>
          </w:p>
        </w:tc>
        <w:tc>
          <w:tcPr>
            <w:tcW w:w="413" w:type="pct"/>
            <w:vAlign w:val="center"/>
          </w:tcPr>
          <w:p w14:paraId="2DC1BD48">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县人民政府</w:t>
            </w:r>
          </w:p>
        </w:tc>
        <w:tc>
          <w:tcPr>
            <w:tcW w:w="320" w:type="pct"/>
            <w:vAlign w:val="center"/>
          </w:tcPr>
          <w:p w14:paraId="18D622D7">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政府投入</w:t>
            </w:r>
          </w:p>
        </w:tc>
        <w:tc>
          <w:tcPr>
            <w:tcW w:w="569" w:type="pct"/>
            <w:vAlign w:val="center"/>
          </w:tcPr>
          <w:p w14:paraId="7765442B">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党委政府对生态文明建设重大目标任务部署情况</w:t>
            </w:r>
          </w:p>
        </w:tc>
      </w:tr>
      <w:tr w14:paraId="7A33E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170" w:type="pct"/>
            <w:vMerge w:val="continue"/>
            <w:vAlign w:val="center"/>
          </w:tcPr>
          <w:p w14:paraId="4B10D97D">
            <w:pPr>
              <w:spacing w:line="240" w:lineRule="auto"/>
              <w:jc w:val="center"/>
              <w:rPr>
                <w:rFonts w:ascii="Times New Roman" w:hAnsi="Times New Roman" w:eastAsia="仿宋" w:cs="Times New Roman"/>
                <w:color w:val="auto"/>
                <w:sz w:val="21"/>
                <w:szCs w:val="21"/>
              </w:rPr>
            </w:pPr>
          </w:p>
        </w:tc>
        <w:tc>
          <w:tcPr>
            <w:tcW w:w="255" w:type="pct"/>
            <w:vAlign w:val="center"/>
          </w:tcPr>
          <w:p w14:paraId="745401FB">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kern w:val="0"/>
                <w:sz w:val="21"/>
                <w:szCs w:val="21"/>
                <w:lang w:bidi="ar"/>
              </w:rPr>
              <w:t>小计</w:t>
            </w:r>
          </w:p>
        </w:tc>
        <w:tc>
          <w:tcPr>
            <w:tcW w:w="2856" w:type="pct"/>
            <w:gridSpan w:val="3"/>
            <w:vAlign w:val="center"/>
          </w:tcPr>
          <w:p w14:paraId="7D659D2B">
            <w:pPr>
              <w:widowControl/>
              <w:spacing w:line="240" w:lineRule="auto"/>
              <w:jc w:val="left"/>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kern w:val="0"/>
                <w:sz w:val="21"/>
                <w:szCs w:val="21"/>
                <w:lang w:bidi="ar"/>
              </w:rPr>
              <w:t>/</w:t>
            </w:r>
          </w:p>
        </w:tc>
        <w:tc>
          <w:tcPr>
            <w:tcW w:w="413" w:type="pct"/>
            <w:vAlign w:val="center"/>
          </w:tcPr>
          <w:p w14:paraId="6AF4605A">
            <w:pPr>
              <w:widowControl/>
              <w:spacing w:line="240" w:lineRule="auto"/>
              <w:jc w:val="center"/>
              <w:textAlignment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b/>
                <w:bCs/>
                <w:color w:val="auto"/>
                <w:sz w:val="21"/>
                <w:szCs w:val="21"/>
                <w:lang w:val="en-US" w:eastAsia="zh-CN"/>
              </w:rPr>
              <w:t>130</w:t>
            </w:r>
          </w:p>
        </w:tc>
        <w:tc>
          <w:tcPr>
            <w:tcW w:w="413" w:type="pct"/>
            <w:vAlign w:val="center"/>
          </w:tcPr>
          <w:p w14:paraId="742F01FE">
            <w:pPr>
              <w:spacing w:line="240" w:lineRule="auto"/>
              <w:jc w:val="center"/>
              <w:rPr>
                <w:rFonts w:ascii="Times New Roman" w:hAnsi="Times New Roman" w:eastAsia="仿宋" w:cs="Times New Roman"/>
                <w:color w:val="auto"/>
                <w:sz w:val="21"/>
                <w:szCs w:val="21"/>
              </w:rPr>
            </w:pPr>
          </w:p>
        </w:tc>
        <w:tc>
          <w:tcPr>
            <w:tcW w:w="320" w:type="pct"/>
            <w:vAlign w:val="center"/>
          </w:tcPr>
          <w:p w14:paraId="155DBE47">
            <w:pPr>
              <w:spacing w:line="240" w:lineRule="auto"/>
              <w:jc w:val="center"/>
              <w:rPr>
                <w:rFonts w:ascii="Times New Roman" w:hAnsi="Times New Roman" w:eastAsia="仿宋" w:cs="Times New Roman"/>
                <w:color w:val="auto"/>
                <w:sz w:val="21"/>
                <w:szCs w:val="21"/>
              </w:rPr>
            </w:pPr>
          </w:p>
        </w:tc>
        <w:tc>
          <w:tcPr>
            <w:tcW w:w="569" w:type="pct"/>
            <w:vAlign w:val="center"/>
          </w:tcPr>
          <w:p w14:paraId="245FC749">
            <w:pPr>
              <w:spacing w:line="240" w:lineRule="auto"/>
              <w:jc w:val="center"/>
              <w:rPr>
                <w:rFonts w:ascii="Times New Roman" w:hAnsi="Times New Roman" w:eastAsia="仿宋" w:cs="Times New Roman"/>
                <w:color w:val="auto"/>
                <w:sz w:val="21"/>
                <w:szCs w:val="21"/>
              </w:rPr>
            </w:pPr>
          </w:p>
        </w:tc>
      </w:tr>
      <w:tr w14:paraId="4C21F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70" w:type="pct"/>
            <w:vMerge w:val="restart"/>
            <w:vAlign w:val="center"/>
          </w:tcPr>
          <w:p w14:paraId="402B1911">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kern w:val="0"/>
                <w:sz w:val="21"/>
                <w:szCs w:val="21"/>
                <w:lang w:bidi="ar"/>
              </w:rPr>
              <w:t>生态安全</w:t>
            </w:r>
          </w:p>
        </w:tc>
        <w:tc>
          <w:tcPr>
            <w:tcW w:w="255" w:type="pct"/>
            <w:vAlign w:val="center"/>
          </w:tcPr>
          <w:p w14:paraId="6E9BDDD1">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1</w:t>
            </w:r>
          </w:p>
        </w:tc>
        <w:tc>
          <w:tcPr>
            <w:tcW w:w="631" w:type="pct"/>
            <w:vAlign w:val="center"/>
          </w:tcPr>
          <w:p w14:paraId="269AEE3D">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新平县国控断面水污染防治项目</w:t>
            </w:r>
          </w:p>
        </w:tc>
        <w:tc>
          <w:tcPr>
            <w:tcW w:w="1816" w:type="pct"/>
            <w:vAlign w:val="center"/>
          </w:tcPr>
          <w:p w14:paraId="11748740">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项目范围包括：平甸河22.35km（团山脚村至岔河村）、小河底河21.34km（岔河村至化念水库国控断面位置）间的涉河道治理、沿岸村庄污水治理和沿岸农田面源污染治理三个方面，共涉及3个乡镇（街道）5个居（村）委会24个自然村和大开门开发区，共3485户14992人。</w:t>
            </w:r>
          </w:p>
          <w:p w14:paraId="7CC4EAB8">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（1）河道综合治理工程：建设平甸河水库库尾湿地10000m²。</w:t>
            </w:r>
          </w:p>
          <w:p w14:paraId="286FCC16">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（2）农业面源污染治理工程：河道生态拦截带（农田侧）建设6510m，现有农灌沟改造为生态沟1500m。</w:t>
            </w:r>
          </w:p>
          <w:p w14:paraId="10F76433">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（3）村庄污水治理工程</w:t>
            </w:r>
          </w:p>
          <w:p w14:paraId="6F6E7FFA">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生活污水收集系统：DN110UPVC管铺设13365m，DN200HDPE管铺设19320m。DN300HDPE管铺设8150m，DN400HDPE管铺设4855m，φ500塑料检查井651个，φ700塑料检查井154个，户用清扫井1824个；</w:t>
            </w:r>
          </w:p>
          <w:p w14:paraId="5CFCFAE0">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污水治理系统：建设“厌氧池+表流湿地”污水治理系统11座，建设“调节沉淀池+MBR一体化设备”污水处理系统3座。</w:t>
            </w:r>
          </w:p>
        </w:tc>
        <w:tc>
          <w:tcPr>
            <w:tcW w:w="408" w:type="pct"/>
            <w:vAlign w:val="center"/>
          </w:tcPr>
          <w:p w14:paraId="1B6361ED">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2022</w:t>
            </w:r>
          </w:p>
        </w:tc>
        <w:tc>
          <w:tcPr>
            <w:tcW w:w="413" w:type="pct"/>
            <w:vAlign w:val="center"/>
          </w:tcPr>
          <w:p w14:paraId="61F07D49">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2920</w:t>
            </w:r>
          </w:p>
        </w:tc>
        <w:tc>
          <w:tcPr>
            <w:tcW w:w="413" w:type="pct"/>
            <w:vAlign w:val="center"/>
          </w:tcPr>
          <w:p w14:paraId="0153B577">
            <w:pPr>
              <w:spacing w:line="240" w:lineRule="auto"/>
              <w:jc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市生态环境局新平分局</w:t>
            </w:r>
          </w:p>
        </w:tc>
        <w:tc>
          <w:tcPr>
            <w:tcW w:w="320" w:type="pct"/>
            <w:vAlign w:val="center"/>
          </w:tcPr>
          <w:p w14:paraId="09BCDA2B">
            <w:pPr>
              <w:spacing w:line="240" w:lineRule="auto"/>
              <w:jc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政府投入</w:t>
            </w:r>
          </w:p>
        </w:tc>
        <w:tc>
          <w:tcPr>
            <w:tcW w:w="569" w:type="pct"/>
            <w:vAlign w:val="center"/>
          </w:tcPr>
          <w:p w14:paraId="269607D0">
            <w:pPr>
              <w:spacing w:line="240" w:lineRule="auto"/>
              <w:jc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水环境质量</w:t>
            </w:r>
          </w:p>
        </w:tc>
      </w:tr>
      <w:tr w14:paraId="19634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70" w:type="pct"/>
            <w:vMerge w:val="continue"/>
            <w:vAlign w:val="center"/>
          </w:tcPr>
          <w:p w14:paraId="5BA7414D">
            <w:pPr>
              <w:widowControl/>
              <w:spacing w:line="240" w:lineRule="auto"/>
              <w:jc w:val="center"/>
              <w:textAlignment w:val="center"/>
              <w:rPr>
                <w:rFonts w:ascii="Times New Roman" w:hAnsi="Times New Roman" w:eastAsia="仿宋" w:cs="Times New Roman"/>
                <w:color w:val="auto"/>
                <w:kern w:val="0"/>
                <w:sz w:val="21"/>
                <w:szCs w:val="21"/>
                <w:lang w:bidi="ar"/>
              </w:rPr>
            </w:pPr>
          </w:p>
        </w:tc>
        <w:tc>
          <w:tcPr>
            <w:tcW w:w="255" w:type="pct"/>
            <w:vAlign w:val="center"/>
          </w:tcPr>
          <w:p w14:paraId="7956605C">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w:t>
            </w:r>
          </w:p>
        </w:tc>
        <w:tc>
          <w:tcPr>
            <w:tcW w:w="631" w:type="pct"/>
            <w:vAlign w:val="center"/>
          </w:tcPr>
          <w:p w14:paraId="33D573E2">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新平县平甸河流域生态综合治理项目</w:t>
            </w:r>
          </w:p>
        </w:tc>
        <w:tc>
          <w:tcPr>
            <w:tcW w:w="1816" w:type="pct"/>
            <w:vAlign w:val="center"/>
          </w:tcPr>
          <w:p w14:paraId="49A54CDC">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平甸河流域部分水库、河道生态综合整治等。</w:t>
            </w:r>
          </w:p>
        </w:tc>
        <w:tc>
          <w:tcPr>
            <w:tcW w:w="408" w:type="pct"/>
            <w:vAlign w:val="center"/>
          </w:tcPr>
          <w:p w14:paraId="3534A776">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2022-2030</w:t>
            </w:r>
          </w:p>
        </w:tc>
        <w:tc>
          <w:tcPr>
            <w:tcW w:w="413" w:type="pct"/>
            <w:vAlign w:val="center"/>
          </w:tcPr>
          <w:p w14:paraId="4EF2F9F1">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37962</w:t>
            </w:r>
          </w:p>
        </w:tc>
        <w:tc>
          <w:tcPr>
            <w:tcW w:w="413" w:type="pct"/>
            <w:vAlign w:val="center"/>
          </w:tcPr>
          <w:p w14:paraId="71D25B6E">
            <w:pPr>
              <w:spacing w:line="240" w:lineRule="auto"/>
              <w:jc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县水利局</w:t>
            </w:r>
          </w:p>
        </w:tc>
        <w:tc>
          <w:tcPr>
            <w:tcW w:w="320" w:type="pct"/>
            <w:vAlign w:val="center"/>
          </w:tcPr>
          <w:p w14:paraId="74310950">
            <w:pPr>
              <w:spacing w:line="240" w:lineRule="auto"/>
              <w:jc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政府投入</w:t>
            </w:r>
          </w:p>
        </w:tc>
        <w:tc>
          <w:tcPr>
            <w:tcW w:w="569" w:type="pct"/>
            <w:vAlign w:val="center"/>
          </w:tcPr>
          <w:p w14:paraId="5A442880">
            <w:pPr>
              <w:spacing w:line="240" w:lineRule="auto"/>
              <w:jc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水环境质量</w:t>
            </w:r>
          </w:p>
        </w:tc>
      </w:tr>
      <w:tr w14:paraId="21386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70" w:type="pct"/>
            <w:vMerge w:val="continue"/>
            <w:vAlign w:val="center"/>
          </w:tcPr>
          <w:p w14:paraId="3963DE81">
            <w:pPr>
              <w:widowControl/>
              <w:spacing w:line="240" w:lineRule="auto"/>
              <w:jc w:val="center"/>
              <w:textAlignment w:val="center"/>
              <w:rPr>
                <w:rFonts w:ascii="Times New Roman" w:hAnsi="Times New Roman" w:eastAsia="仿宋" w:cs="Times New Roman"/>
                <w:color w:val="auto"/>
                <w:kern w:val="0"/>
                <w:sz w:val="21"/>
                <w:szCs w:val="21"/>
                <w:lang w:bidi="ar"/>
              </w:rPr>
            </w:pPr>
          </w:p>
        </w:tc>
        <w:tc>
          <w:tcPr>
            <w:tcW w:w="255" w:type="pct"/>
            <w:vAlign w:val="center"/>
          </w:tcPr>
          <w:p w14:paraId="0283838B">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3</w:t>
            </w:r>
          </w:p>
        </w:tc>
        <w:tc>
          <w:tcPr>
            <w:tcW w:w="631" w:type="pct"/>
            <w:vAlign w:val="center"/>
          </w:tcPr>
          <w:p w14:paraId="27E62B0B">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新平县中小河流智慧水利建设项目</w:t>
            </w:r>
          </w:p>
        </w:tc>
        <w:tc>
          <w:tcPr>
            <w:tcW w:w="1816" w:type="pct"/>
            <w:vAlign w:val="center"/>
          </w:tcPr>
          <w:p w14:paraId="068544EC">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对4条1000平方公里以上河流、34条50至1000平方公里和7条50平方公里以下河流进行视频、水位、雨量和水质实时监控。分别建设52个视频、水位、雨量和水质自动监测站，其中每条1000平方公里以上的河流分别设置3个监控点，其余河河分别设置1个监控点。</w:t>
            </w:r>
          </w:p>
        </w:tc>
        <w:tc>
          <w:tcPr>
            <w:tcW w:w="408" w:type="pct"/>
            <w:vAlign w:val="center"/>
          </w:tcPr>
          <w:p w14:paraId="5531AA17">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2022-2023</w:t>
            </w:r>
          </w:p>
        </w:tc>
        <w:tc>
          <w:tcPr>
            <w:tcW w:w="413" w:type="pct"/>
            <w:vAlign w:val="center"/>
          </w:tcPr>
          <w:p w14:paraId="2FFCBA2E">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2000</w:t>
            </w:r>
          </w:p>
        </w:tc>
        <w:tc>
          <w:tcPr>
            <w:tcW w:w="413" w:type="pct"/>
            <w:vAlign w:val="center"/>
          </w:tcPr>
          <w:p w14:paraId="57B31652">
            <w:pPr>
              <w:spacing w:line="240" w:lineRule="auto"/>
              <w:jc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县水利局</w:t>
            </w:r>
          </w:p>
        </w:tc>
        <w:tc>
          <w:tcPr>
            <w:tcW w:w="320" w:type="pct"/>
            <w:vAlign w:val="center"/>
          </w:tcPr>
          <w:p w14:paraId="72D062EA">
            <w:pPr>
              <w:spacing w:line="240" w:lineRule="auto"/>
              <w:jc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政府投入</w:t>
            </w:r>
          </w:p>
        </w:tc>
        <w:tc>
          <w:tcPr>
            <w:tcW w:w="569" w:type="pct"/>
            <w:vAlign w:val="center"/>
          </w:tcPr>
          <w:p w14:paraId="6AB8F0BA">
            <w:pPr>
              <w:spacing w:line="240" w:lineRule="auto"/>
              <w:jc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水环境质量</w:t>
            </w:r>
          </w:p>
        </w:tc>
      </w:tr>
      <w:tr w14:paraId="28991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70" w:type="pct"/>
            <w:vMerge w:val="continue"/>
            <w:vAlign w:val="center"/>
          </w:tcPr>
          <w:p w14:paraId="19F63926">
            <w:pPr>
              <w:widowControl/>
              <w:spacing w:line="240" w:lineRule="auto"/>
              <w:jc w:val="center"/>
              <w:textAlignment w:val="center"/>
              <w:rPr>
                <w:rFonts w:ascii="Times New Roman" w:hAnsi="Times New Roman" w:eastAsia="仿宋" w:cs="Times New Roman"/>
                <w:color w:val="auto"/>
                <w:kern w:val="0"/>
                <w:sz w:val="21"/>
                <w:szCs w:val="21"/>
                <w:lang w:bidi="ar"/>
              </w:rPr>
            </w:pPr>
          </w:p>
        </w:tc>
        <w:tc>
          <w:tcPr>
            <w:tcW w:w="255" w:type="pct"/>
            <w:vAlign w:val="center"/>
          </w:tcPr>
          <w:p w14:paraId="0C3B189A">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4</w:t>
            </w:r>
          </w:p>
        </w:tc>
        <w:tc>
          <w:tcPr>
            <w:tcW w:w="631" w:type="pct"/>
            <w:vAlign w:val="center"/>
          </w:tcPr>
          <w:p w14:paraId="70627C87">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新平县扬武镇龙潭湿地森林公园建设项目</w:t>
            </w:r>
          </w:p>
        </w:tc>
        <w:tc>
          <w:tcPr>
            <w:tcW w:w="1816" w:type="pct"/>
            <w:vAlign w:val="center"/>
          </w:tcPr>
          <w:p w14:paraId="2D0AF263">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920750"/>
                  <wp:effectExtent l="0" t="0" r="0" b="0"/>
                  <wp:wrapNone/>
                  <wp:docPr id="547" name="Text_Box_715"/>
                  <wp:cNvGraphicFramePr/>
                  <a:graphic xmlns:a="http://schemas.openxmlformats.org/drawingml/2006/main">
                    <a:graphicData uri="http://schemas.openxmlformats.org/drawingml/2006/picture">
                      <pic:pic xmlns:pic="http://schemas.openxmlformats.org/drawingml/2006/picture">
                        <pic:nvPicPr>
                          <pic:cNvPr id="547" name="Text_Box_715"/>
                          <pic:cNvPicPr/>
                        </pic:nvPicPr>
                        <pic:blipFill>
                          <a:blip r:embed="rId25"/>
                          <a:stretch>
                            <a:fillRect/>
                          </a:stretch>
                        </pic:blipFill>
                        <pic:spPr>
                          <a:xfrm>
                            <a:off x="0" y="0"/>
                            <a:ext cx="12065" cy="9207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1022350"/>
                  <wp:effectExtent l="0" t="0" r="0" b="0"/>
                  <wp:wrapNone/>
                  <wp:docPr id="548" name="Text_Box_715_SpCnt_1"/>
                  <wp:cNvGraphicFramePr/>
                  <a:graphic xmlns:a="http://schemas.openxmlformats.org/drawingml/2006/main">
                    <a:graphicData uri="http://schemas.openxmlformats.org/drawingml/2006/picture">
                      <pic:pic xmlns:pic="http://schemas.openxmlformats.org/drawingml/2006/picture">
                        <pic:nvPicPr>
                          <pic:cNvPr id="548" name="Text_Box_715_SpCnt_1"/>
                          <pic:cNvPicPr/>
                        </pic:nvPicPr>
                        <pic:blipFill>
                          <a:blip r:embed="rId26"/>
                          <a:stretch>
                            <a:fillRect/>
                          </a:stretch>
                        </pic:blipFill>
                        <pic:spPr>
                          <a:xfrm>
                            <a:off x="0" y="0"/>
                            <a:ext cx="12065" cy="10223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1022350"/>
                  <wp:effectExtent l="0" t="0" r="0" b="0"/>
                  <wp:wrapNone/>
                  <wp:docPr id="549" name="Text_Box_715_SpCnt_2"/>
                  <wp:cNvGraphicFramePr/>
                  <a:graphic xmlns:a="http://schemas.openxmlformats.org/drawingml/2006/main">
                    <a:graphicData uri="http://schemas.openxmlformats.org/drawingml/2006/picture">
                      <pic:pic xmlns:pic="http://schemas.openxmlformats.org/drawingml/2006/picture">
                        <pic:nvPicPr>
                          <pic:cNvPr id="549" name="Text_Box_715_SpCnt_2"/>
                          <pic:cNvPicPr/>
                        </pic:nvPicPr>
                        <pic:blipFill>
                          <a:blip r:embed="rId26"/>
                          <a:stretch>
                            <a:fillRect/>
                          </a:stretch>
                        </pic:blipFill>
                        <pic:spPr>
                          <a:xfrm>
                            <a:off x="0" y="0"/>
                            <a:ext cx="12065" cy="10223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883920"/>
                  <wp:effectExtent l="0" t="0" r="0" b="0"/>
                  <wp:wrapNone/>
                  <wp:docPr id="550" name="Text_Box_715_SpCnt_3"/>
                  <wp:cNvGraphicFramePr/>
                  <a:graphic xmlns:a="http://schemas.openxmlformats.org/drawingml/2006/main">
                    <a:graphicData uri="http://schemas.openxmlformats.org/drawingml/2006/picture">
                      <pic:pic xmlns:pic="http://schemas.openxmlformats.org/drawingml/2006/picture">
                        <pic:nvPicPr>
                          <pic:cNvPr id="550" name="Text_Box_715_SpCnt_3"/>
                          <pic:cNvPicPr/>
                        </pic:nvPicPr>
                        <pic:blipFill>
                          <a:blip r:embed="rId27"/>
                          <a:stretch>
                            <a:fillRect/>
                          </a:stretch>
                        </pic:blipFill>
                        <pic:spPr>
                          <a:xfrm>
                            <a:off x="0" y="0"/>
                            <a:ext cx="12065" cy="88392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883920"/>
                  <wp:effectExtent l="0" t="0" r="0" b="0"/>
                  <wp:wrapNone/>
                  <wp:docPr id="551" name="Text_Box_715_SpCnt_4"/>
                  <wp:cNvGraphicFramePr/>
                  <a:graphic xmlns:a="http://schemas.openxmlformats.org/drawingml/2006/main">
                    <a:graphicData uri="http://schemas.openxmlformats.org/drawingml/2006/picture">
                      <pic:pic xmlns:pic="http://schemas.openxmlformats.org/drawingml/2006/picture">
                        <pic:nvPicPr>
                          <pic:cNvPr id="551" name="Text_Box_715_SpCnt_4"/>
                          <pic:cNvPicPr/>
                        </pic:nvPicPr>
                        <pic:blipFill>
                          <a:blip r:embed="rId27"/>
                          <a:stretch>
                            <a:fillRect/>
                          </a:stretch>
                        </pic:blipFill>
                        <pic:spPr>
                          <a:xfrm>
                            <a:off x="0" y="0"/>
                            <a:ext cx="12065" cy="88392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883920"/>
                  <wp:effectExtent l="0" t="0" r="0" b="0"/>
                  <wp:wrapNone/>
                  <wp:docPr id="552" name="Text_Box_715_SpCnt_5"/>
                  <wp:cNvGraphicFramePr/>
                  <a:graphic xmlns:a="http://schemas.openxmlformats.org/drawingml/2006/main">
                    <a:graphicData uri="http://schemas.openxmlformats.org/drawingml/2006/picture">
                      <pic:pic xmlns:pic="http://schemas.openxmlformats.org/drawingml/2006/picture">
                        <pic:nvPicPr>
                          <pic:cNvPr id="552" name="Text_Box_715_SpCnt_5"/>
                          <pic:cNvPicPr/>
                        </pic:nvPicPr>
                        <pic:blipFill>
                          <a:blip r:embed="rId27"/>
                          <a:stretch>
                            <a:fillRect/>
                          </a:stretch>
                        </pic:blipFill>
                        <pic:spPr>
                          <a:xfrm>
                            <a:off x="0" y="0"/>
                            <a:ext cx="12065" cy="88392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997585"/>
                  <wp:effectExtent l="0" t="0" r="0" b="0"/>
                  <wp:wrapNone/>
                  <wp:docPr id="553" name="Text_Box_716"/>
                  <wp:cNvGraphicFramePr/>
                  <a:graphic xmlns:a="http://schemas.openxmlformats.org/drawingml/2006/main">
                    <a:graphicData uri="http://schemas.openxmlformats.org/drawingml/2006/picture">
                      <pic:pic xmlns:pic="http://schemas.openxmlformats.org/drawingml/2006/picture">
                        <pic:nvPicPr>
                          <pic:cNvPr id="553" name="Text_Box_716"/>
                          <pic:cNvPicPr/>
                        </pic:nvPicPr>
                        <pic:blipFill>
                          <a:blip r:embed="rId28"/>
                          <a:stretch>
                            <a:fillRect/>
                          </a:stretch>
                        </pic:blipFill>
                        <pic:spPr>
                          <a:xfrm>
                            <a:off x="0" y="0"/>
                            <a:ext cx="12065" cy="99758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997585"/>
                  <wp:effectExtent l="0" t="0" r="0" b="0"/>
                  <wp:wrapNone/>
                  <wp:docPr id="554" name="Text_Box_716_SpCnt_1"/>
                  <wp:cNvGraphicFramePr/>
                  <a:graphic xmlns:a="http://schemas.openxmlformats.org/drawingml/2006/main">
                    <a:graphicData uri="http://schemas.openxmlformats.org/drawingml/2006/picture">
                      <pic:pic xmlns:pic="http://schemas.openxmlformats.org/drawingml/2006/picture">
                        <pic:nvPicPr>
                          <pic:cNvPr id="554" name="Text_Box_716_SpCnt_1"/>
                          <pic:cNvPicPr/>
                        </pic:nvPicPr>
                        <pic:blipFill>
                          <a:blip r:embed="rId28"/>
                          <a:stretch>
                            <a:fillRect/>
                          </a:stretch>
                        </pic:blipFill>
                        <pic:spPr>
                          <a:xfrm>
                            <a:off x="0" y="0"/>
                            <a:ext cx="12065" cy="99758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997585"/>
                  <wp:effectExtent l="0" t="0" r="0" b="0"/>
                  <wp:wrapNone/>
                  <wp:docPr id="555" name="Text_Box_715_SpCnt_6"/>
                  <wp:cNvGraphicFramePr/>
                  <a:graphic xmlns:a="http://schemas.openxmlformats.org/drawingml/2006/main">
                    <a:graphicData uri="http://schemas.openxmlformats.org/drawingml/2006/picture">
                      <pic:pic xmlns:pic="http://schemas.openxmlformats.org/drawingml/2006/picture">
                        <pic:nvPicPr>
                          <pic:cNvPr id="555" name="Text_Box_715_SpCnt_6"/>
                          <pic:cNvPicPr/>
                        </pic:nvPicPr>
                        <pic:blipFill>
                          <a:blip r:embed="rId28"/>
                          <a:stretch>
                            <a:fillRect/>
                          </a:stretch>
                        </pic:blipFill>
                        <pic:spPr>
                          <a:xfrm>
                            <a:off x="0" y="0"/>
                            <a:ext cx="12065" cy="99758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880745"/>
                  <wp:effectExtent l="0" t="0" r="0" b="0"/>
                  <wp:wrapNone/>
                  <wp:docPr id="556" name="Text_Box_716_SpCnt_2"/>
                  <wp:cNvGraphicFramePr/>
                  <a:graphic xmlns:a="http://schemas.openxmlformats.org/drawingml/2006/main">
                    <a:graphicData uri="http://schemas.openxmlformats.org/drawingml/2006/picture">
                      <pic:pic xmlns:pic="http://schemas.openxmlformats.org/drawingml/2006/picture">
                        <pic:nvPicPr>
                          <pic:cNvPr id="556" name="Text_Box_716_SpCnt_2"/>
                          <pic:cNvPicPr/>
                        </pic:nvPicPr>
                        <pic:blipFill>
                          <a:blip r:embed="rId29"/>
                          <a:stretch>
                            <a:fillRect/>
                          </a:stretch>
                        </pic:blipFill>
                        <pic:spPr>
                          <a:xfrm>
                            <a:off x="0" y="0"/>
                            <a:ext cx="12065" cy="88074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883920"/>
                  <wp:effectExtent l="0" t="0" r="0" b="0"/>
                  <wp:wrapNone/>
                  <wp:docPr id="557" name="Text_Box_716_SpCnt_3"/>
                  <wp:cNvGraphicFramePr/>
                  <a:graphic xmlns:a="http://schemas.openxmlformats.org/drawingml/2006/main">
                    <a:graphicData uri="http://schemas.openxmlformats.org/drawingml/2006/picture">
                      <pic:pic xmlns:pic="http://schemas.openxmlformats.org/drawingml/2006/picture">
                        <pic:nvPicPr>
                          <pic:cNvPr id="557" name="Text_Box_716_SpCnt_3"/>
                          <pic:cNvPicPr/>
                        </pic:nvPicPr>
                        <pic:blipFill>
                          <a:blip r:embed="rId27"/>
                          <a:stretch>
                            <a:fillRect/>
                          </a:stretch>
                        </pic:blipFill>
                        <pic:spPr>
                          <a:xfrm>
                            <a:off x="0" y="0"/>
                            <a:ext cx="12065" cy="88392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997585"/>
                  <wp:effectExtent l="0" t="0" r="0" b="0"/>
                  <wp:wrapNone/>
                  <wp:docPr id="558" name="Text_Box_716_SpCnt_4"/>
                  <wp:cNvGraphicFramePr/>
                  <a:graphic xmlns:a="http://schemas.openxmlformats.org/drawingml/2006/main">
                    <a:graphicData uri="http://schemas.openxmlformats.org/drawingml/2006/picture">
                      <pic:pic xmlns:pic="http://schemas.openxmlformats.org/drawingml/2006/picture">
                        <pic:nvPicPr>
                          <pic:cNvPr id="558" name="Text_Box_716_SpCnt_4"/>
                          <pic:cNvPicPr/>
                        </pic:nvPicPr>
                        <pic:blipFill>
                          <a:blip r:embed="rId28"/>
                          <a:stretch>
                            <a:fillRect/>
                          </a:stretch>
                        </pic:blipFill>
                        <pic:spPr>
                          <a:xfrm>
                            <a:off x="0" y="0"/>
                            <a:ext cx="12065" cy="99758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997585"/>
                  <wp:effectExtent l="0" t="0" r="0" b="0"/>
                  <wp:wrapNone/>
                  <wp:docPr id="559" name="Text_Box_715_SpCnt_7"/>
                  <wp:cNvGraphicFramePr/>
                  <a:graphic xmlns:a="http://schemas.openxmlformats.org/drawingml/2006/main">
                    <a:graphicData uri="http://schemas.openxmlformats.org/drawingml/2006/picture">
                      <pic:pic xmlns:pic="http://schemas.openxmlformats.org/drawingml/2006/picture">
                        <pic:nvPicPr>
                          <pic:cNvPr id="559" name="Text_Box_715_SpCnt_7"/>
                          <pic:cNvPicPr/>
                        </pic:nvPicPr>
                        <pic:blipFill>
                          <a:blip r:embed="rId28"/>
                          <a:stretch>
                            <a:fillRect/>
                          </a:stretch>
                        </pic:blipFill>
                        <pic:spPr>
                          <a:xfrm>
                            <a:off x="0" y="0"/>
                            <a:ext cx="12065" cy="99758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880745"/>
                  <wp:effectExtent l="0" t="0" r="0" b="0"/>
                  <wp:wrapNone/>
                  <wp:docPr id="560" name="Text_Box_715_SpCnt_8"/>
                  <wp:cNvGraphicFramePr/>
                  <a:graphic xmlns:a="http://schemas.openxmlformats.org/drawingml/2006/main">
                    <a:graphicData uri="http://schemas.openxmlformats.org/drawingml/2006/picture">
                      <pic:pic xmlns:pic="http://schemas.openxmlformats.org/drawingml/2006/picture">
                        <pic:nvPicPr>
                          <pic:cNvPr id="560" name="Text_Box_715_SpCnt_8"/>
                          <pic:cNvPicPr/>
                        </pic:nvPicPr>
                        <pic:blipFill>
                          <a:blip r:embed="rId29"/>
                          <a:stretch>
                            <a:fillRect/>
                          </a:stretch>
                        </pic:blipFill>
                        <pic:spPr>
                          <a:xfrm>
                            <a:off x="0" y="0"/>
                            <a:ext cx="12065" cy="88074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1022350"/>
                  <wp:effectExtent l="0" t="0" r="0" b="0"/>
                  <wp:wrapNone/>
                  <wp:docPr id="561" name="Text_Box_716_SpCnt_5"/>
                  <wp:cNvGraphicFramePr/>
                  <a:graphic xmlns:a="http://schemas.openxmlformats.org/drawingml/2006/main">
                    <a:graphicData uri="http://schemas.openxmlformats.org/drawingml/2006/picture">
                      <pic:pic xmlns:pic="http://schemas.openxmlformats.org/drawingml/2006/picture">
                        <pic:nvPicPr>
                          <pic:cNvPr id="561" name="Text_Box_716_SpCnt_5"/>
                          <pic:cNvPicPr/>
                        </pic:nvPicPr>
                        <pic:blipFill>
                          <a:blip r:embed="rId26"/>
                          <a:stretch>
                            <a:fillRect/>
                          </a:stretch>
                        </pic:blipFill>
                        <pic:spPr>
                          <a:xfrm>
                            <a:off x="0" y="0"/>
                            <a:ext cx="12065" cy="10223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880745"/>
                  <wp:effectExtent l="0" t="0" r="0" b="0"/>
                  <wp:wrapNone/>
                  <wp:docPr id="562" name="Text_Box_716_SpCnt_6"/>
                  <wp:cNvGraphicFramePr/>
                  <a:graphic xmlns:a="http://schemas.openxmlformats.org/drawingml/2006/main">
                    <a:graphicData uri="http://schemas.openxmlformats.org/drawingml/2006/picture">
                      <pic:pic xmlns:pic="http://schemas.openxmlformats.org/drawingml/2006/picture">
                        <pic:nvPicPr>
                          <pic:cNvPr id="562" name="Text_Box_716_SpCnt_6"/>
                          <pic:cNvPicPr/>
                        </pic:nvPicPr>
                        <pic:blipFill>
                          <a:blip r:embed="rId29"/>
                          <a:stretch>
                            <a:fillRect/>
                          </a:stretch>
                        </pic:blipFill>
                        <pic:spPr>
                          <a:xfrm>
                            <a:off x="0" y="0"/>
                            <a:ext cx="12065" cy="88074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1022350"/>
                  <wp:effectExtent l="0" t="0" r="0" b="0"/>
                  <wp:wrapNone/>
                  <wp:docPr id="563" name="Text_Box_715_SpCnt_9"/>
                  <wp:cNvGraphicFramePr/>
                  <a:graphic xmlns:a="http://schemas.openxmlformats.org/drawingml/2006/main">
                    <a:graphicData uri="http://schemas.openxmlformats.org/drawingml/2006/picture">
                      <pic:pic xmlns:pic="http://schemas.openxmlformats.org/drawingml/2006/picture">
                        <pic:nvPicPr>
                          <pic:cNvPr id="563" name="Text_Box_715_SpCnt_9"/>
                          <pic:cNvPicPr/>
                        </pic:nvPicPr>
                        <pic:blipFill>
                          <a:blip r:embed="rId26"/>
                          <a:stretch>
                            <a:fillRect/>
                          </a:stretch>
                        </pic:blipFill>
                        <pic:spPr>
                          <a:xfrm>
                            <a:off x="0" y="0"/>
                            <a:ext cx="12065" cy="10223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1022350"/>
                  <wp:effectExtent l="0" t="0" r="0" b="0"/>
                  <wp:wrapNone/>
                  <wp:docPr id="564" name="Text_Box_716_SpCnt_7"/>
                  <wp:cNvGraphicFramePr/>
                  <a:graphic xmlns:a="http://schemas.openxmlformats.org/drawingml/2006/main">
                    <a:graphicData uri="http://schemas.openxmlformats.org/drawingml/2006/picture">
                      <pic:pic xmlns:pic="http://schemas.openxmlformats.org/drawingml/2006/picture">
                        <pic:nvPicPr>
                          <pic:cNvPr id="564" name="Text_Box_716_SpCnt_7"/>
                          <pic:cNvPicPr/>
                        </pic:nvPicPr>
                        <pic:blipFill>
                          <a:blip r:embed="rId26"/>
                          <a:stretch>
                            <a:fillRect/>
                          </a:stretch>
                        </pic:blipFill>
                        <pic:spPr>
                          <a:xfrm>
                            <a:off x="0" y="0"/>
                            <a:ext cx="12065" cy="10223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1022350"/>
                  <wp:effectExtent l="0" t="0" r="0" b="0"/>
                  <wp:wrapNone/>
                  <wp:docPr id="565" name="Text_Box_715_SpCnt_10"/>
                  <wp:cNvGraphicFramePr/>
                  <a:graphic xmlns:a="http://schemas.openxmlformats.org/drawingml/2006/main">
                    <a:graphicData uri="http://schemas.openxmlformats.org/drawingml/2006/picture">
                      <pic:pic xmlns:pic="http://schemas.openxmlformats.org/drawingml/2006/picture">
                        <pic:nvPicPr>
                          <pic:cNvPr id="565" name="Text_Box_715_SpCnt_10"/>
                          <pic:cNvPicPr/>
                        </pic:nvPicPr>
                        <pic:blipFill>
                          <a:blip r:embed="rId26"/>
                          <a:stretch>
                            <a:fillRect/>
                          </a:stretch>
                        </pic:blipFill>
                        <pic:spPr>
                          <a:xfrm>
                            <a:off x="0" y="0"/>
                            <a:ext cx="12065" cy="10223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620" cy="1012825"/>
                  <wp:effectExtent l="0" t="0" r="0" b="0"/>
                  <wp:wrapNone/>
                  <wp:docPr id="566" name="Text_Box_716_SpCnt_8"/>
                  <wp:cNvGraphicFramePr/>
                  <a:graphic xmlns:a="http://schemas.openxmlformats.org/drawingml/2006/main">
                    <a:graphicData uri="http://schemas.openxmlformats.org/drawingml/2006/picture">
                      <pic:pic xmlns:pic="http://schemas.openxmlformats.org/drawingml/2006/picture">
                        <pic:nvPicPr>
                          <pic:cNvPr id="566" name="Text_Box_716_SpCnt_8"/>
                          <pic:cNvPicPr/>
                        </pic:nvPicPr>
                        <pic:blipFill>
                          <a:blip r:embed="rId30"/>
                          <a:stretch>
                            <a:fillRect/>
                          </a:stretch>
                        </pic:blipFill>
                        <pic:spPr>
                          <a:xfrm>
                            <a:off x="0" y="0"/>
                            <a:ext cx="7620" cy="10128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620" cy="1012825"/>
                  <wp:effectExtent l="0" t="0" r="0" b="0"/>
                  <wp:wrapNone/>
                  <wp:docPr id="567" name="Text_Box_715_SpCnt_11"/>
                  <wp:cNvGraphicFramePr/>
                  <a:graphic xmlns:a="http://schemas.openxmlformats.org/drawingml/2006/main">
                    <a:graphicData uri="http://schemas.openxmlformats.org/drawingml/2006/picture">
                      <pic:pic xmlns:pic="http://schemas.openxmlformats.org/drawingml/2006/picture">
                        <pic:nvPicPr>
                          <pic:cNvPr id="567" name="Text_Box_715_SpCnt_11"/>
                          <pic:cNvPicPr/>
                        </pic:nvPicPr>
                        <pic:blipFill>
                          <a:blip r:embed="rId30"/>
                          <a:stretch>
                            <a:fillRect/>
                          </a:stretch>
                        </pic:blipFill>
                        <pic:spPr>
                          <a:xfrm>
                            <a:off x="0" y="0"/>
                            <a:ext cx="7620" cy="10128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1022350"/>
                  <wp:effectExtent l="0" t="0" r="0" b="0"/>
                  <wp:wrapNone/>
                  <wp:docPr id="568" name="Text_Box_716_SpCnt_9"/>
                  <wp:cNvGraphicFramePr/>
                  <a:graphic xmlns:a="http://schemas.openxmlformats.org/drawingml/2006/main">
                    <a:graphicData uri="http://schemas.openxmlformats.org/drawingml/2006/picture">
                      <pic:pic xmlns:pic="http://schemas.openxmlformats.org/drawingml/2006/picture">
                        <pic:nvPicPr>
                          <pic:cNvPr id="568" name="Text_Box_716_SpCnt_9"/>
                          <pic:cNvPicPr/>
                        </pic:nvPicPr>
                        <pic:blipFill>
                          <a:blip r:embed="rId26"/>
                          <a:stretch>
                            <a:fillRect/>
                          </a:stretch>
                        </pic:blipFill>
                        <pic:spPr>
                          <a:xfrm>
                            <a:off x="0" y="0"/>
                            <a:ext cx="12065" cy="10223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1022350"/>
                  <wp:effectExtent l="0" t="0" r="0" b="0"/>
                  <wp:wrapNone/>
                  <wp:docPr id="569" name="Text_Box_715_SpCnt_12"/>
                  <wp:cNvGraphicFramePr/>
                  <a:graphic xmlns:a="http://schemas.openxmlformats.org/drawingml/2006/main">
                    <a:graphicData uri="http://schemas.openxmlformats.org/drawingml/2006/picture">
                      <pic:pic xmlns:pic="http://schemas.openxmlformats.org/drawingml/2006/picture">
                        <pic:nvPicPr>
                          <pic:cNvPr id="569" name="Text_Box_715_SpCnt_12"/>
                          <pic:cNvPicPr/>
                        </pic:nvPicPr>
                        <pic:blipFill>
                          <a:blip r:embed="rId26"/>
                          <a:stretch>
                            <a:fillRect/>
                          </a:stretch>
                        </pic:blipFill>
                        <pic:spPr>
                          <a:xfrm>
                            <a:off x="0" y="0"/>
                            <a:ext cx="12065" cy="10223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920750"/>
                  <wp:effectExtent l="0" t="0" r="0" b="0"/>
                  <wp:wrapNone/>
                  <wp:docPr id="570" name="Text_Box_716_SpCnt_10"/>
                  <wp:cNvGraphicFramePr/>
                  <a:graphic xmlns:a="http://schemas.openxmlformats.org/drawingml/2006/main">
                    <a:graphicData uri="http://schemas.openxmlformats.org/drawingml/2006/picture">
                      <pic:pic xmlns:pic="http://schemas.openxmlformats.org/drawingml/2006/picture">
                        <pic:nvPicPr>
                          <pic:cNvPr id="570" name="Text_Box_716_SpCnt_10"/>
                          <pic:cNvPicPr/>
                        </pic:nvPicPr>
                        <pic:blipFill>
                          <a:blip r:embed="rId25"/>
                          <a:stretch>
                            <a:fillRect/>
                          </a:stretch>
                        </pic:blipFill>
                        <pic:spPr>
                          <a:xfrm>
                            <a:off x="0" y="0"/>
                            <a:ext cx="12065" cy="9207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920750"/>
                  <wp:effectExtent l="0" t="0" r="0" b="0"/>
                  <wp:wrapNone/>
                  <wp:docPr id="571" name="Text_Box_715_SpCnt_13"/>
                  <wp:cNvGraphicFramePr/>
                  <a:graphic xmlns:a="http://schemas.openxmlformats.org/drawingml/2006/main">
                    <a:graphicData uri="http://schemas.openxmlformats.org/drawingml/2006/picture">
                      <pic:pic xmlns:pic="http://schemas.openxmlformats.org/drawingml/2006/picture">
                        <pic:nvPicPr>
                          <pic:cNvPr id="571" name="Text_Box_715_SpCnt_13"/>
                          <pic:cNvPicPr/>
                        </pic:nvPicPr>
                        <pic:blipFill>
                          <a:blip r:embed="rId25"/>
                          <a:stretch>
                            <a:fillRect/>
                          </a:stretch>
                        </pic:blipFill>
                        <pic:spPr>
                          <a:xfrm>
                            <a:off x="0" y="0"/>
                            <a:ext cx="12065" cy="9207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883920"/>
                  <wp:effectExtent l="0" t="0" r="0" b="0"/>
                  <wp:wrapNone/>
                  <wp:docPr id="572" name="Text_Box_716_SpCnt_11"/>
                  <wp:cNvGraphicFramePr/>
                  <a:graphic xmlns:a="http://schemas.openxmlformats.org/drawingml/2006/main">
                    <a:graphicData uri="http://schemas.openxmlformats.org/drawingml/2006/picture">
                      <pic:pic xmlns:pic="http://schemas.openxmlformats.org/drawingml/2006/picture">
                        <pic:nvPicPr>
                          <pic:cNvPr id="572" name="Text_Box_716_SpCnt_11"/>
                          <pic:cNvPicPr/>
                        </pic:nvPicPr>
                        <pic:blipFill>
                          <a:blip r:embed="rId27"/>
                          <a:stretch>
                            <a:fillRect/>
                          </a:stretch>
                        </pic:blipFill>
                        <pic:spPr>
                          <a:xfrm>
                            <a:off x="0" y="0"/>
                            <a:ext cx="12065" cy="88392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883920"/>
                  <wp:effectExtent l="0" t="0" r="0" b="0"/>
                  <wp:wrapNone/>
                  <wp:docPr id="573" name="Text_Box_715_SpCnt_14"/>
                  <wp:cNvGraphicFramePr/>
                  <a:graphic xmlns:a="http://schemas.openxmlformats.org/drawingml/2006/main">
                    <a:graphicData uri="http://schemas.openxmlformats.org/drawingml/2006/picture">
                      <pic:pic xmlns:pic="http://schemas.openxmlformats.org/drawingml/2006/picture">
                        <pic:nvPicPr>
                          <pic:cNvPr id="573" name="Text_Box_715_SpCnt_14"/>
                          <pic:cNvPicPr/>
                        </pic:nvPicPr>
                        <pic:blipFill>
                          <a:blip r:embed="rId27"/>
                          <a:stretch>
                            <a:fillRect/>
                          </a:stretch>
                        </pic:blipFill>
                        <pic:spPr>
                          <a:xfrm>
                            <a:off x="0" y="0"/>
                            <a:ext cx="12065" cy="88392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997585"/>
                  <wp:effectExtent l="0" t="0" r="0" b="0"/>
                  <wp:wrapNone/>
                  <wp:docPr id="574" name="Text_Box_716_SpCnt_12"/>
                  <wp:cNvGraphicFramePr/>
                  <a:graphic xmlns:a="http://schemas.openxmlformats.org/drawingml/2006/main">
                    <a:graphicData uri="http://schemas.openxmlformats.org/drawingml/2006/picture">
                      <pic:pic xmlns:pic="http://schemas.openxmlformats.org/drawingml/2006/picture">
                        <pic:nvPicPr>
                          <pic:cNvPr id="574" name="Text_Box_716_SpCnt_12"/>
                          <pic:cNvPicPr/>
                        </pic:nvPicPr>
                        <pic:blipFill>
                          <a:blip r:embed="rId28"/>
                          <a:stretch>
                            <a:fillRect/>
                          </a:stretch>
                        </pic:blipFill>
                        <pic:spPr>
                          <a:xfrm>
                            <a:off x="0" y="0"/>
                            <a:ext cx="12065" cy="99758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997585"/>
                  <wp:effectExtent l="0" t="0" r="0" b="0"/>
                  <wp:wrapNone/>
                  <wp:docPr id="575" name="Text_Box_715_SpCnt_15"/>
                  <wp:cNvGraphicFramePr/>
                  <a:graphic xmlns:a="http://schemas.openxmlformats.org/drawingml/2006/main">
                    <a:graphicData uri="http://schemas.openxmlformats.org/drawingml/2006/picture">
                      <pic:pic xmlns:pic="http://schemas.openxmlformats.org/drawingml/2006/picture">
                        <pic:nvPicPr>
                          <pic:cNvPr id="575" name="Text_Box_715_SpCnt_15"/>
                          <pic:cNvPicPr/>
                        </pic:nvPicPr>
                        <pic:blipFill>
                          <a:blip r:embed="rId28"/>
                          <a:stretch>
                            <a:fillRect/>
                          </a:stretch>
                        </pic:blipFill>
                        <pic:spPr>
                          <a:xfrm>
                            <a:off x="0" y="0"/>
                            <a:ext cx="12065" cy="99758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880745"/>
                  <wp:effectExtent l="0" t="0" r="0" b="0"/>
                  <wp:wrapNone/>
                  <wp:docPr id="576" name="Text_Box_716_SpCnt_13"/>
                  <wp:cNvGraphicFramePr/>
                  <a:graphic xmlns:a="http://schemas.openxmlformats.org/drawingml/2006/main">
                    <a:graphicData uri="http://schemas.openxmlformats.org/drawingml/2006/picture">
                      <pic:pic xmlns:pic="http://schemas.openxmlformats.org/drawingml/2006/picture">
                        <pic:nvPicPr>
                          <pic:cNvPr id="576" name="Text_Box_716_SpCnt_13"/>
                          <pic:cNvPicPr/>
                        </pic:nvPicPr>
                        <pic:blipFill>
                          <a:blip r:embed="rId29"/>
                          <a:stretch>
                            <a:fillRect/>
                          </a:stretch>
                        </pic:blipFill>
                        <pic:spPr>
                          <a:xfrm>
                            <a:off x="0" y="0"/>
                            <a:ext cx="12065" cy="88074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880745"/>
                  <wp:effectExtent l="0" t="0" r="0" b="0"/>
                  <wp:wrapNone/>
                  <wp:docPr id="577" name="Text_Box_715_SpCnt_16"/>
                  <wp:cNvGraphicFramePr/>
                  <a:graphic xmlns:a="http://schemas.openxmlformats.org/drawingml/2006/main">
                    <a:graphicData uri="http://schemas.openxmlformats.org/drawingml/2006/picture">
                      <pic:pic xmlns:pic="http://schemas.openxmlformats.org/drawingml/2006/picture">
                        <pic:nvPicPr>
                          <pic:cNvPr id="577" name="Text_Box_715_SpCnt_16"/>
                          <pic:cNvPicPr/>
                        </pic:nvPicPr>
                        <pic:blipFill>
                          <a:blip r:embed="rId29"/>
                          <a:stretch>
                            <a:fillRect/>
                          </a:stretch>
                        </pic:blipFill>
                        <pic:spPr>
                          <a:xfrm>
                            <a:off x="0" y="0"/>
                            <a:ext cx="12065" cy="88074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1022350"/>
                  <wp:effectExtent l="0" t="0" r="0" b="0"/>
                  <wp:wrapNone/>
                  <wp:docPr id="578" name="Text_Box_716_SpCnt_14"/>
                  <wp:cNvGraphicFramePr/>
                  <a:graphic xmlns:a="http://schemas.openxmlformats.org/drawingml/2006/main">
                    <a:graphicData uri="http://schemas.openxmlformats.org/drawingml/2006/picture">
                      <pic:pic xmlns:pic="http://schemas.openxmlformats.org/drawingml/2006/picture">
                        <pic:nvPicPr>
                          <pic:cNvPr id="578" name="Text_Box_716_SpCnt_14"/>
                          <pic:cNvPicPr/>
                        </pic:nvPicPr>
                        <pic:blipFill>
                          <a:blip r:embed="rId26"/>
                          <a:stretch>
                            <a:fillRect/>
                          </a:stretch>
                        </pic:blipFill>
                        <pic:spPr>
                          <a:xfrm>
                            <a:off x="0" y="0"/>
                            <a:ext cx="12065" cy="10223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1022350"/>
                  <wp:effectExtent l="0" t="0" r="0" b="0"/>
                  <wp:wrapNone/>
                  <wp:docPr id="579" name="Text_Box_715_SpCnt_17"/>
                  <wp:cNvGraphicFramePr/>
                  <a:graphic xmlns:a="http://schemas.openxmlformats.org/drawingml/2006/main">
                    <a:graphicData uri="http://schemas.openxmlformats.org/drawingml/2006/picture">
                      <pic:pic xmlns:pic="http://schemas.openxmlformats.org/drawingml/2006/picture">
                        <pic:nvPicPr>
                          <pic:cNvPr id="579" name="Text_Box_715_SpCnt_17"/>
                          <pic:cNvPicPr/>
                        </pic:nvPicPr>
                        <pic:blipFill>
                          <a:blip r:embed="rId26"/>
                          <a:stretch>
                            <a:fillRect/>
                          </a:stretch>
                        </pic:blipFill>
                        <pic:spPr>
                          <a:xfrm>
                            <a:off x="0" y="0"/>
                            <a:ext cx="12065" cy="10223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1022350"/>
                  <wp:effectExtent l="0" t="0" r="0" b="0"/>
                  <wp:wrapNone/>
                  <wp:docPr id="580" name="Text_Box_716_SpCnt_15"/>
                  <wp:cNvGraphicFramePr/>
                  <a:graphic xmlns:a="http://schemas.openxmlformats.org/drawingml/2006/main">
                    <a:graphicData uri="http://schemas.openxmlformats.org/drawingml/2006/picture">
                      <pic:pic xmlns:pic="http://schemas.openxmlformats.org/drawingml/2006/picture">
                        <pic:nvPicPr>
                          <pic:cNvPr id="580" name="Text_Box_716_SpCnt_15"/>
                          <pic:cNvPicPr/>
                        </pic:nvPicPr>
                        <pic:blipFill>
                          <a:blip r:embed="rId26"/>
                          <a:stretch>
                            <a:fillRect/>
                          </a:stretch>
                        </pic:blipFill>
                        <pic:spPr>
                          <a:xfrm>
                            <a:off x="0" y="0"/>
                            <a:ext cx="12065" cy="10223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1022350"/>
                  <wp:effectExtent l="0" t="0" r="0" b="0"/>
                  <wp:wrapNone/>
                  <wp:docPr id="581" name="Text_Box_715_SpCnt_18"/>
                  <wp:cNvGraphicFramePr/>
                  <a:graphic xmlns:a="http://schemas.openxmlformats.org/drawingml/2006/main">
                    <a:graphicData uri="http://schemas.openxmlformats.org/drawingml/2006/picture">
                      <pic:pic xmlns:pic="http://schemas.openxmlformats.org/drawingml/2006/picture">
                        <pic:nvPicPr>
                          <pic:cNvPr id="581" name="Text_Box_715_SpCnt_18"/>
                          <pic:cNvPicPr/>
                        </pic:nvPicPr>
                        <pic:blipFill>
                          <a:blip r:embed="rId26"/>
                          <a:stretch>
                            <a:fillRect/>
                          </a:stretch>
                        </pic:blipFill>
                        <pic:spPr>
                          <a:xfrm>
                            <a:off x="0" y="0"/>
                            <a:ext cx="12065" cy="10223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620" cy="1012825"/>
                  <wp:effectExtent l="0" t="0" r="0" b="0"/>
                  <wp:wrapNone/>
                  <wp:docPr id="582" name="Text_Box_716_SpCnt_16"/>
                  <wp:cNvGraphicFramePr/>
                  <a:graphic xmlns:a="http://schemas.openxmlformats.org/drawingml/2006/main">
                    <a:graphicData uri="http://schemas.openxmlformats.org/drawingml/2006/picture">
                      <pic:pic xmlns:pic="http://schemas.openxmlformats.org/drawingml/2006/picture">
                        <pic:nvPicPr>
                          <pic:cNvPr id="582" name="Text_Box_716_SpCnt_16"/>
                          <pic:cNvPicPr/>
                        </pic:nvPicPr>
                        <pic:blipFill>
                          <a:blip r:embed="rId30"/>
                          <a:stretch>
                            <a:fillRect/>
                          </a:stretch>
                        </pic:blipFill>
                        <pic:spPr>
                          <a:xfrm>
                            <a:off x="0" y="0"/>
                            <a:ext cx="7620" cy="10128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620" cy="1012825"/>
                  <wp:effectExtent l="0" t="0" r="0" b="0"/>
                  <wp:wrapNone/>
                  <wp:docPr id="583" name="Text_Box_715_SpCnt_19"/>
                  <wp:cNvGraphicFramePr/>
                  <a:graphic xmlns:a="http://schemas.openxmlformats.org/drawingml/2006/main">
                    <a:graphicData uri="http://schemas.openxmlformats.org/drawingml/2006/picture">
                      <pic:pic xmlns:pic="http://schemas.openxmlformats.org/drawingml/2006/picture">
                        <pic:nvPicPr>
                          <pic:cNvPr id="583" name="Text_Box_715_SpCnt_19"/>
                          <pic:cNvPicPr/>
                        </pic:nvPicPr>
                        <pic:blipFill>
                          <a:blip r:embed="rId30"/>
                          <a:stretch>
                            <a:fillRect/>
                          </a:stretch>
                        </pic:blipFill>
                        <pic:spPr>
                          <a:xfrm>
                            <a:off x="0" y="0"/>
                            <a:ext cx="7620" cy="10128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1022350"/>
                  <wp:effectExtent l="0" t="0" r="0" b="0"/>
                  <wp:wrapNone/>
                  <wp:docPr id="584" name="Text_Box_716_SpCnt_17"/>
                  <wp:cNvGraphicFramePr/>
                  <a:graphic xmlns:a="http://schemas.openxmlformats.org/drawingml/2006/main">
                    <a:graphicData uri="http://schemas.openxmlformats.org/drawingml/2006/picture">
                      <pic:pic xmlns:pic="http://schemas.openxmlformats.org/drawingml/2006/picture">
                        <pic:nvPicPr>
                          <pic:cNvPr id="584" name="Text_Box_716_SpCnt_17"/>
                          <pic:cNvPicPr/>
                        </pic:nvPicPr>
                        <pic:blipFill>
                          <a:blip r:embed="rId26"/>
                          <a:stretch>
                            <a:fillRect/>
                          </a:stretch>
                        </pic:blipFill>
                        <pic:spPr>
                          <a:xfrm>
                            <a:off x="0" y="0"/>
                            <a:ext cx="12065" cy="10223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1022350"/>
                  <wp:effectExtent l="0" t="0" r="0" b="0"/>
                  <wp:wrapNone/>
                  <wp:docPr id="585" name="Text_Box_715_SpCnt_20"/>
                  <wp:cNvGraphicFramePr/>
                  <a:graphic xmlns:a="http://schemas.openxmlformats.org/drawingml/2006/main">
                    <a:graphicData uri="http://schemas.openxmlformats.org/drawingml/2006/picture">
                      <pic:pic xmlns:pic="http://schemas.openxmlformats.org/drawingml/2006/picture">
                        <pic:nvPicPr>
                          <pic:cNvPr id="585" name="Text_Box_715_SpCnt_20"/>
                          <pic:cNvPicPr/>
                        </pic:nvPicPr>
                        <pic:blipFill>
                          <a:blip r:embed="rId26"/>
                          <a:stretch>
                            <a:fillRect/>
                          </a:stretch>
                        </pic:blipFill>
                        <pic:spPr>
                          <a:xfrm>
                            <a:off x="0" y="0"/>
                            <a:ext cx="12065" cy="10223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920750"/>
                  <wp:effectExtent l="0" t="0" r="0" b="0"/>
                  <wp:wrapNone/>
                  <wp:docPr id="586" name="Text_Box_716_SpCnt_18"/>
                  <wp:cNvGraphicFramePr/>
                  <a:graphic xmlns:a="http://schemas.openxmlformats.org/drawingml/2006/main">
                    <a:graphicData uri="http://schemas.openxmlformats.org/drawingml/2006/picture">
                      <pic:pic xmlns:pic="http://schemas.openxmlformats.org/drawingml/2006/picture">
                        <pic:nvPicPr>
                          <pic:cNvPr id="586" name="Text_Box_716_SpCnt_18"/>
                          <pic:cNvPicPr/>
                        </pic:nvPicPr>
                        <pic:blipFill>
                          <a:blip r:embed="rId25"/>
                          <a:stretch>
                            <a:fillRect/>
                          </a:stretch>
                        </pic:blipFill>
                        <pic:spPr>
                          <a:xfrm>
                            <a:off x="0" y="0"/>
                            <a:ext cx="12065" cy="9207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920750"/>
                  <wp:effectExtent l="0" t="0" r="0" b="0"/>
                  <wp:wrapNone/>
                  <wp:docPr id="587" name="Text_Box_715_SpCnt_21"/>
                  <wp:cNvGraphicFramePr/>
                  <a:graphic xmlns:a="http://schemas.openxmlformats.org/drawingml/2006/main">
                    <a:graphicData uri="http://schemas.openxmlformats.org/drawingml/2006/picture">
                      <pic:pic xmlns:pic="http://schemas.openxmlformats.org/drawingml/2006/picture">
                        <pic:nvPicPr>
                          <pic:cNvPr id="587" name="Text_Box_715_SpCnt_21"/>
                          <pic:cNvPicPr/>
                        </pic:nvPicPr>
                        <pic:blipFill>
                          <a:blip r:embed="rId25"/>
                          <a:stretch>
                            <a:fillRect/>
                          </a:stretch>
                        </pic:blipFill>
                        <pic:spPr>
                          <a:xfrm>
                            <a:off x="0" y="0"/>
                            <a:ext cx="12065" cy="9207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883920"/>
                  <wp:effectExtent l="0" t="0" r="0" b="0"/>
                  <wp:wrapNone/>
                  <wp:docPr id="588" name="Text_Box_716_SpCnt_19"/>
                  <wp:cNvGraphicFramePr/>
                  <a:graphic xmlns:a="http://schemas.openxmlformats.org/drawingml/2006/main">
                    <a:graphicData uri="http://schemas.openxmlformats.org/drawingml/2006/picture">
                      <pic:pic xmlns:pic="http://schemas.openxmlformats.org/drawingml/2006/picture">
                        <pic:nvPicPr>
                          <pic:cNvPr id="588" name="Text_Box_716_SpCnt_19"/>
                          <pic:cNvPicPr/>
                        </pic:nvPicPr>
                        <pic:blipFill>
                          <a:blip r:embed="rId27"/>
                          <a:stretch>
                            <a:fillRect/>
                          </a:stretch>
                        </pic:blipFill>
                        <pic:spPr>
                          <a:xfrm>
                            <a:off x="0" y="0"/>
                            <a:ext cx="12065" cy="88392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620" cy="1012825"/>
                  <wp:effectExtent l="0" t="0" r="0" b="0"/>
                  <wp:wrapNone/>
                  <wp:docPr id="589" name="Text_Box_716_SpCnt_20"/>
                  <wp:cNvGraphicFramePr/>
                  <a:graphic xmlns:a="http://schemas.openxmlformats.org/drawingml/2006/main">
                    <a:graphicData uri="http://schemas.openxmlformats.org/drawingml/2006/picture">
                      <pic:pic xmlns:pic="http://schemas.openxmlformats.org/drawingml/2006/picture">
                        <pic:nvPicPr>
                          <pic:cNvPr id="589" name="Text_Box_716_SpCnt_20"/>
                          <pic:cNvPicPr/>
                        </pic:nvPicPr>
                        <pic:blipFill>
                          <a:blip r:embed="rId30"/>
                          <a:stretch>
                            <a:fillRect/>
                          </a:stretch>
                        </pic:blipFill>
                        <pic:spPr>
                          <a:xfrm>
                            <a:off x="0" y="0"/>
                            <a:ext cx="7620" cy="10128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997585"/>
                  <wp:effectExtent l="0" t="0" r="0" b="0"/>
                  <wp:wrapNone/>
                  <wp:docPr id="590" name="Text_Box_715_SpCnt_22"/>
                  <wp:cNvGraphicFramePr/>
                  <a:graphic xmlns:a="http://schemas.openxmlformats.org/drawingml/2006/main">
                    <a:graphicData uri="http://schemas.openxmlformats.org/drawingml/2006/picture">
                      <pic:pic xmlns:pic="http://schemas.openxmlformats.org/drawingml/2006/picture">
                        <pic:nvPicPr>
                          <pic:cNvPr id="590" name="Text_Box_715_SpCnt_22"/>
                          <pic:cNvPicPr/>
                        </pic:nvPicPr>
                        <pic:blipFill>
                          <a:blip r:embed="rId28"/>
                          <a:stretch>
                            <a:fillRect/>
                          </a:stretch>
                        </pic:blipFill>
                        <pic:spPr>
                          <a:xfrm>
                            <a:off x="0" y="0"/>
                            <a:ext cx="12065" cy="99758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880745"/>
                  <wp:effectExtent l="0" t="0" r="0" b="0"/>
                  <wp:wrapNone/>
                  <wp:docPr id="591" name="Text_Box_715_SpCnt_23"/>
                  <wp:cNvGraphicFramePr/>
                  <a:graphic xmlns:a="http://schemas.openxmlformats.org/drawingml/2006/main">
                    <a:graphicData uri="http://schemas.openxmlformats.org/drawingml/2006/picture">
                      <pic:pic xmlns:pic="http://schemas.openxmlformats.org/drawingml/2006/picture">
                        <pic:nvPicPr>
                          <pic:cNvPr id="591" name="Text_Box_715_SpCnt_23"/>
                          <pic:cNvPicPr/>
                        </pic:nvPicPr>
                        <pic:blipFill>
                          <a:blip r:embed="rId29"/>
                          <a:stretch>
                            <a:fillRect/>
                          </a:stretch>
                        </pic:blipFill>
                        <pic:spPr>
                          <a:xfrm>
                            <a:off x="0" y="0"/>
                            <a:ext cx="12065" cy="88074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1022350"/>
                  <wp:effectExtent l="0" t="0" r="0" b="0"/>
                  <wp:wrapNone/>
                  <wp:docPr id="592" name="Text_Box_716_SpCnt_21"/>
                  <wp:cNvGraphicFramePr/>
                  <a:graphic xmlns:a="http://schemas.openxmlformats.org/drawingml/2006/main">
                    <a:graphicData uri="http://schemas.openxmlformats.org/drawingml/2006/picture">
                      <pic:pic xmlns:pic="http://schemas.openxmlformats.org/drawingml/2006/picture">
                        <pic:nvPicPr>
                          <pic:cNvPr id="592" name="Text_Box_716_SpCnt_21"/>
                          <pic:cNvPicPr/>
                        </pic:nvPicPr>
                        <pic:blipFill>
                          <a:blip r:embed="rId26"/>
                          <a:stretch>
                            <a:fillRect/>
                          </a:stretch>
                        </pic:blipFill>
                        <pic:spPr>
                          <a:xfrm>
                            <a:off x="0" y="0"/>
                            <a:ext cx="12065" cy="10223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880745"/>
                  <wp:effectExtent l="0" t="0" r="0" b="0"/>
                  <wp:wrapNone/>
                  <wp:docPr id="593" name="Text_Box_716_SpCnt_22"/>
                  <wp:cNvGraphicFramePr/>
                  <a:graphic xmlns:a="http://schemas.openxmlformats.org/drawingml/2006/main">
                    <a:graphicData uri="http://schemas.openxmlformats.org/drawingml/2006/picture">
                      <pic:pic xmlns:pic="http://schemas.openxmlformats.org/drawingml/2006/picture">
                        <pic:nvPicPr>
                          <pic:cNvPr id="593" name="Text_Box_716_SpCnt_22"/>
                          <pic:cNvPicPr/>
                        </pic:nvPicPr>
                        <pic:blipFill>
                          <a:blip r:embed="rId29"/>
                          <a:stretch>
                            <a:fillRect/>
                          </a:stretch>
                        </pic:blipFill>
                        <pic:spPr>
                          <a:xfrm>
                            <a:off x="0" y="0"/>
                            <a:ext cx="12065" cy="88074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1022350"/>
                  <wp:effectExtent l="0" t="0" r="0" b="0"/>
                  <wp:wrapNone/>
                  <wp:docPr id="594" name="Text_Box_715_SpCnt_24"/>
                  <wp:cNvGraphicFramePr/>
                  <a:graphic xmlns:a="http://schemas.openxmlformats.org/drawingml/2006/main">
                    <a:graphicData uri="http://schemas.openxmlformats.org/drawingml/2006/picture">
                      <pic:pic xmlns:pic="http://schemas.openxmlformats.org/drawingml/2006/picture">
                        <pic:nvPicPr>
                          <pic:cNvPr id="594" name="Text_Box_715_SpCnt_24"/>
                          <pic:cNvPicPr/>
                        </pic:nvPicPr>
                        <pic:blipFill>
                          <a:blip r:embed="rId26"/>
                          <a:stretch>
                            <a:fillRect/>
                          </a:stretch>
                        </pic:blipFill>
                        <pic:spPr>
                          <a:xfrm>
                            <a:off x="0" y="0"/>
                            <a:ext cx="12065" cy="10223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1022350"/>
                  <wp:effectExtent l="0" t="0" r="0" b="0"/>
                  <wp:wrapNone/>
                  <wp:docPr id="595" name="Text_Box_716_SpCnt_23"/>
                  <wp:cNvGraphicFramePr/>
                  <a:graphic xmlns:a="http://schemas.openxmlformats.org/drawingml/2006/main">
                    <a:graphicData uri="http://schemas.openxmlformats.org/drawingml/2006/picture">
                      <pic:pic xmlns:pic="http://schemas.openxmlformats.org/drawingml/2006/picture">
                        <pic:nvPicPr>
                          <pic:cNvPr id="595" name="Text_Box_716_SpCnt_23"/>
                          <pic:cNvPicPr/>
                        </pic:nvPicPr>
                        <pic:blipFill>
                          <a:blip r:embed="rId26"/>
                          <a:stretch>
                            <a:fillRect/>
                          </a:stretch>
                        </pic:blipFill>
                        <pic:spPr>
                          <a:xfrm>
                            <a:off x="0" y="0"/>
                            <a:ext cx="12065" cy="10223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1022350"/>
                  <wp:effectExtent l="0" t="0" r="0" b="0"/>
                  <wp:wrapNone/>
                  <wp:docPr id="596" name="Text_Box_715_SpCnt_25"/>
                  <wp:cNvGraphicFramePr/>
                  <a:graphic xmlns:a="http://schemas.openxmlformats.org/drawingml/2006/main">
                    <a:graphicData uri="http://schemas.openxmlformats.org/drawingml/2006/picture">
                      <pic:pic xmlns:pic="http://schemas.openxmlformats.org/drawingml/2006/picture">
                        <pic:nvPicPr>
                          <pic:cNvPr id="596" name="Text_Box_715_SpCnt_25"/>
                          <pic:cNvPicPr/>
                        </pic:nvPicPr>
                        <pic:blipFill>
                          <a:blip r:embed="rId26"/>
                          <a:stretch>
                            <a:fillRect/>
                          </a:stretch>
                        </pic:blipFill>
                        <pic:spPr>
                          <a:xfrm>
                            <a:off x="0" y="0"/>
                            <a:ext cx="12065" cy="10223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620" cy="1012825"/>
                  <wp:effectExtent l="0" t="0" r="0" b="0"/>
                  <wp:wrapNone/>
                  <wp:docPr id="597" name="Text_Box_716_SpCnt_24"/>
                  <wp:cNvGraphicFramePr/>
                  <a:graphic xmlns:a="http://schemas.openxmlformats.org/drawingml/2006/main">
                    <a:graphicData uri="http://schemas.openxmlformats.org/drawingml/2006/picture">
                      <pic:pic xmlns:pic="http://schemas.openxmlformats.org/drawingml/2006/picture">
                        <pic:nvPicPr>
                          <pic:cNvPr id="597" name="Text_Box_716_SpCnt_24"/>
                          <pic:cNvPicPr/>
                        </pic:nvPicPr>
                        <pic:blipFill>
                          <a:blip r:embed="rId30"/>
                          <a:stretch>
                            <a:fillRect/>
                          </a:stretch>
                        </pic:blipFill>
                        <pic:spPr>
                          <a:xfrm>
                            <a:off x="0" y="0"/>
                            <a:ext cx="7620" cy="10128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620" cy="1012825"/>
                  <wp:effectExtent l="0" t="0" r="0" b="0"/>
                  <wp:wrapNone/>
                  <wp:docPr id="598" name="Text_Box_715_SpCnt_26"/>
                  <wp:cNvGraphicFramePr/>
                  <a:graphic xmlns:a="http://schemas.openxmlformats.org/drawingml/2006/main">
                    <a:graphicData uri="http://schemas.openxmlformats.org/drawingml/2006/picture">
                      <pic:pic xmlns:pic="http://schemas.openxmlformats.org/drawingml/2006/picture">
                        <pic:nvPicPr>
                          <pic:cNvPr id="598" name="Text_Box_715_SpCnt_26"/>
                          <pic:cNvPicPr/>
                        </pic:nvPicPr>
                        <pic:blipFill>
                          <a:blip r:embed="rId30"/>
                          <a:stretch>
                            <a:fillRect/>
                          </a:stretch>
                        </pic:blipFill>
                        <pic:spPr>
                          <a:xfrm>
                            <a:off x="0" y="0"/>
                            <a:ext cx="7620" cy="10128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1022350"/>
                  <wp:effectExtent l="0" t="0" r="0" b="0"/>
                  <wp:wrapNone/>
                  <wp:docPr id="599" name="Text_Box_716_SpCnt_25"/>
                  <wp:cNvGraphicFramePr/>
                  <a:graphic xmlns:a="http://schemas.openxmlformats.org/drawingml/2006/main">
                    <a:graphicData uri="http://schemas.openxmlformats.org/drawingml/2006/picture">
                      <pic:pic xmlns:pic="http://schemas.openxmlformats.org/drawingml/2006/picture">
                        <pic:nvPicPr>
                          <pic:cNvPr id="599" name="Text_Box_716_SpCnt_25"/>
                          <pic:cNvPicPr/>
                        </pic:nvPicPr>
                        <pic:blipFill>
                          <a:blip r:embed="rId26"/>
                          <a:stretch>
                            <a:fillRect/>
                          </a:stretch>
                        </pic:blipFill>
                        <pic:spPr>
                          <a:xfrm>
                            <a:off x="0" y="0"/>
                            <a:ext cx="12065" cy="10223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1022350"/>
                  <wp:effectExtent l="0" t="0" r="0" b="0"/>
                  <wp:wrapNone/>
                  <wp:docPr id="600" name="Text_Box_715_SpCnt_27"/>
                  <wp:cNvGraphicFramePr/>
                  <a:graphic xmlns:a="http://schemas.openxmlformats.org/drawingml/2006/main">
                    <a:graphicData uri="http://schemas.openxmlformats.org/drawingml/2006/picture">
                      <pic:pic xmlns:pic="http://schemas.openxmlformats.org/drawingml/2006/picture">
                        <pic:nvPicPr>
                          <pic:cNvPr id="600" name="Text_Box_715_SpCnt_27"/>
                          <pic:cNvPicPr/>
                        </pic:nvPicPr>
                        <pic:blipFill>
                          <a:blip r:embed="rId26"/>
                          <a:stretch>
                            <a:fillRect/>
                          </a:stretch>
                        </pic:blipFill>
                        <pic:spPr>
                          <a:xfrm>
                            <a:off x="0" y="0"/>
                            <a:ext cx="12065" cy="10223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920750"/>
                  <wp:effectExtent l="0" t="0" r="0" b="0"/>
                  <wp:wrapNone/>
                  <wp:docPr id="601" name="Text_Box_716_SpCnt_26"/>
                  <wp:cNvGraphicFramePr/>
                  <a:graphic xmlns:a="http://schemas.openxmlformats.org/drawingml/2006/main">
                    <a:graphicData uri="http://schemas.openxmlformats.org/drawingml/2006/picture">
                      <pic:pic xmlns:pic="http://schemas.openxmlformats.org/drawingml/2006/picture">
                        <pic:nvPicPr>
                          <pic:cNvPr id="601" name="Text_Box_716_SpCnt_26"/>
                          <pic:cNvPicPr/>
                        </pic:nvPicPr>
                        <pic:blipFill>
                          <a:blip r:embed="rId25"/>
                          <a:stretch>
                            <a:fillRect/>
                          </a:stretch>
                        </pic:blipFill>
                        <pic:spPr>
                          <a:xfrm>
                            <a:off x="0" y="0"/>
                            <a:ext cx="12065" cy="9207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920750"/>
                  <wp:effectExtent l="0" t="0" r="0" b="0"/>
                  <wp:wrapNone/>
                  <wp:docPr id="602" name="Text_Box_715_SpCnt_28"/>
                  <wp:cNvGraphicFramePr/>
                  <a:graphic xmlns:a="http://schemas.openxmlformats.org/drawingml/2006/main">
                    <a:graphicData uri="http://schemas.openxmlformats.org/drawingml/2006/picture">
                      <pic:pic xmlns:pic="http://schemas.openxmlformats.org/drawingml/2006/picture">
                        <pic:nvPicPr>
                          <pic:cNvPr id="602" name="Text_Box_715_SpCnt_28"/>
                          <pic:cNvPicPr/>
                        </pic:nvPicPr>
                        <pic:blipFill>
                          <a:blip r:embed="rId25"/>
                          <a:stretch>
                            <a:fillRect/>
                          </a:stretch>
                        </pic:blipFill>
                        <pic:spPr>
                          <a:xfrm>
                            <a:off x="0" y="0"/>
                            <a:ext cx="12065" cy="9207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883920"/>
                  <wp:effectExtent l="0" t="0" r="0" b="0"/>
                  <wp:wrapNone/>
                  <wp:docPr id="603" name="Text_Box_716_SpCnt_27"/>
                  <wp:cNvGraphicFramePr/>
                  <a:graphic xmlns:a="http://schemas.openxmlformats.org/drawingml/2006/main">
                    <a:graphicData uri="http://schemas.openxmlformats.org/drawingml/2006/picture">
                      <pic:pic xmlns:pic="http://schemas.openxmlformats.org/drawingml/2006/picture">
                        <pic:nvPicPr>
                          <pic:cNvPr id="603" name="Text_Box_716_SpCnt_27"/>
                          <pic:cNvPicPr/>
                        </pic:nvPicPr>
                        <pic:blipFill>
                          <a:blip r:embed="rId27"/>
                          <a:stretch>
                            <a:fillRect/>
                          </a:stretch>
                        </pic:blipFill>
                        <pic:spPr>
                          <a:xfrm>
                            <a:off x="0" y="0"/>
                            <a:ext cx="12065" cy="88392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920750"/>
                  <wp:effectExtent l="0" t="0" r="0" b="0"/>
                  <wp:wrapNone/>
                  <wp:docPr id="604" name="Text_Box_716_SpCnt_28"/>
                  <wp:cNvGraphicFramePr/>
                  <a:graphic xmlns:a="http://schemas.openxmlformats.org/drawingml/2006/main">
                    <a:graphicData uri="http://schemas.openxmlformats.org/drawingml/2006/picture">
                      <pic:pic xmlns:pic="http://schemas.openxmlformats.org/drawingml/2006/picture">
                        <pic:nvPicPr>
                          <pic:cNvPr id="604" name="Text_Box_716_SpCnt_28"/>
                          <pic:cNvPicPr/>
                        </pic:nvPicPr>
                        <pic:blipFill>
                          <a:blip r:embed="rId25"/>
                          <a:stretch>
                            <a:fillRect/>
                          </a:stretch>
                        </pic:blipFill>
                        <pic:spPr>
                          <a:xfrm>
                            <a:off x="0" y="0"/>
                            <a:ext cx="12065" cy="9207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620" cy="1012825"/>
                  <wp:effectExtent l="0" t="0" r="0" b="0"/>
                  <wp:wrapNone/>
                  <wp:docPr id="605" name="Text_Box_715_SpCnt_29"/>
                  <wp:cNvGraphicFramePr/>
                  <a:graphic xmlns:a="http://schemas.openxmlformats.org/drawingml/2006/main">
                    <a:graphicData uri="http://schemas.openxmlformats.org/drawingml/2006/picture">
                      <pic:pic xmlns:pic="http://schemas.openxmlformats.org/drawingml/2006/picture">
                        <pic:nvPicPr>
                          <pic:cNvPr id="605" name="Text_Box_715_SpCnt_29"/>
                          <pic:cNvPicPr/>
                        </pic:nvPicPr>
                        <pic:blipFill>
                          <a:blip r:embed="rId30"/>
                          <a:stretch>
                            <a:fillRect/>
                          </a:stretch>
                        </pic:blipFill>
                        <pic:spPr>
                          <a:xfrm>
                            <a:off x="0" y="0"/>
                            <a:ext cx="7620" cy="10128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880745"/>
                  <wp:effectExtent l="0" t="0" r="0" b="0"/>
                  <wp:wrapNone/>
                  <wp:docPr id="606" name="Text_Box_715_SpCnt_30"/>
                  <wp:cNvGraphicFramePr/>
                  <a:graphic xmlns:a="http://schemas.openxmlformats.org/drawingml/2006/main">
                    <a:graphicData uri="http://schemas.openxmlformats.org/drawingml/2006/picture">
                      <pic:pic xmlns:pic="http://schemas.openxmlformats.org/drawingml/2006/picture">
                        <pic:nvPicPr>
                          <pic:cNvPr id="606" name="Text_Box_715_SpCnt_30"/>
                          <pic:cNvPicPr/>
                        </pic:nvPicPr>
                        <pic:blipFill>
                          <a:blip r:embed="rId29"/>
                          <a:stretch>
                            <a:fillRect/>
                          </a:stretch>
                        </pic:blipFill>
                        <pic:spPr>
                          <a:xfrm>
                            <a:off x="0" y="0"/>
                            <a:ext cx="12065" cy="88074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1022350"/>
                  <wp:effectExtent l="0" t="0" r="0" b="0"/>
                  <wp:wrapNone/>
                  <wp:docPr id="607" name="Text_Box_716_SpCnt_29"/>
                  <wp:cNvGraphicFramePr/>
                  <a:graphic xmlns:a="http://schemas.openxmlformats.org/drawingml/2006/main">
                    <a:graphicData uri="http://schemas.openxmlformats.org/drawingml/2006/picture">
                      <pic:pic xmlns:pic="http://schemas.openxmlformats.org/drawingml/2006/picture">
                        <pic:nvPicPr>
                          <pic:cNvPr id="607" name="Text_Box_716_SpCnt_29"/>
                          <pic:cNvPicPr/>
                        </pic:nvPicPr>
                        <pic:blipFill>
                          <a:blip r:embed="rId26"/>
                          <a:stretch>
                            <a:fillRect/>
                          </a:stretch>
                        </pic:blipFill>
                        <pic:spPr>
                          <a:xfrm>
                            <a:off x="0" y="0"/>
                            <a:ext cx="12065" cy="10223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1022350"/>
                  <wp:effectExtent l="0" t="0" r="0" b="0"/>
                  <wp:wrapNone/>
                  <wp:docPr id="608" name="Text_Box_716_SpCnt_30"/>
                  <wp:cNvGraphicFramePr/>
                  <a:graphic xmlns:a="http://schemas.openxmlformats.org/drawingml/2006/main">
                    <a:graphicData uri="http://schemas.openxmlformats.org/drawingml/2006/picture">
                      <pic:pic xmlns:pic="http://schemas.openxmlformats.org/drawingml/2006/picture">
                        <pic:nvPicPr>
                          <pic:cNvPr id="608" name="Text_Box_716_SpCnt_30"/>
                          <pic:cNvPicPr/>
                        </pic:nvPicPr>
                        <pic:blipFill>
                          <a:blip r:embed="rId26"/>
                          <a:stretch>
                            <a:fillRect/>
                          </a:stretch>
                        </pic:blipFill>
                        <pic:spPr>
                          <a:xfrm>
                            <a:off x="0" y="0"/>
                            <a:ext cx="12065" cy="10223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1022350"/>
                  <wp:effectExtent l="0" t="0" r="0" b="0"/>
                  <wp:wrapNone/>
                  <wp:docPr id="609" name="Text_Box_715_SpCnt_31"/>
                  <wp:cNvGraphicFramePr/>
                  <a:graphic xmlns:a="http://schemas.openxmlformats.org/drawingml/2006/main">
                    <a:graphicData uri="http://schemas.openxmlformats.org/drawingml/2006/picture">
                      <pic:pic xmlns:pic="http://schemas.openxmlformats.org/drawingml/2006/picture">
                        <pic:nvPicPr>
                          <pic:cNvPr id="609" name="Text_Box_715_SpCnt_31"/>
                          <pic:cNvPicPr/>
                        </pic:nvPicPr>
                        <pic:blipFill>
                          <a:blip r:embed="rId26"/>
                          <a:stretch>
                            <a:fillRect/>
                          </a:stretch>
                        </pic:blipFill>
                        <pic:spPr>
                          <a:xfrm>
                            <a:off x="0" y="0"/>
                            <a:ext cx="12065" cy="10223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1022350"/>
                  <wp:effectExtent l="0" t="0" r="0" b="0"/>
                  <wp:wrapNone/>
                  <wp:docPr id="610" name="Text_Box_716_SpCnt_31"/>
                  <wp:cNvGraphicFramePr/>
                  <a:graphic xmlns:a="http://schemas.openxmlformats.org/drawingml/2006/main">
                    <a:graphicData uri="http://schemas.openxmlformats.org/drawingml/2006/picture">
                      <pic:pic xmlns:pic="http://schemas.openxmlformats.org/drawingml/2006/picture">
                        <pic:nvPicPr>
                          <pic:cNvPr id="610" name="Text_Box_716_SpCnt_31"/>
                          <pic:cNvPicPr/>
                        </pic:nvPicPr>
                        <pic:blipFill>
                          <a:blip r:embed="rId26"/>
                          <a:stretch>
                            <a:fillRect/>
                          </a:stretch>
                        </pic:blipFill>
                        <pic:spPr>
                          <a:xfrm>
                            <a:off x="0" y="0"/>
                            <a:ext cx="12065" cy="10223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1055370</wp:posOffset>
                  </wp:positionH>
                  <wp:positionV relativeFrom="paragraph">
                    <wp:posOffset>0</wp:posOffset>
                  </wp:positionV>
                  <wp:extent cx="7620" cy="837565"/>
                  <wp:effectExtent l="0" t="0" r="0" b="0"/>
                  <wp:wrapNone/>
                  <wp:docPr id="611" name="Text_Box_716_SpCnt_32"/>
                  <wp:cNvGraphicFramePr/>
                  <a:graphic xmlns:a="http://schemas.openxmlformats.org/drawingml/2006/main">
                    <a:graphicData uri="http://schemas.openxmlformats.org/drawingml/2006/picture">
                      <pic:pic xmlns:pic="http://schemas.openxmlformats.org/drawingml/2006/picture">
                        <pic:nvPicPr>
                          <pic:cNvPr id="611" name="Text_Box_716_SpCnt_32"/>
                          <pic:cNvPicPr/>
                        </pic:nvPicPr>
                        <pic:blipFill>
                          <a:blip r:embed="rId31"/>
                          <a:stretch>
                            <a:fillRect/>
                          </a:stretch>
                        </pic:blipFill>
                        <pic:spPr>
                          <a:xfrm>
                            <a:off x="0" y="0"/>
                            <a:ext cx="7620" cy="83756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1055370</wp:posOffset>
                  </wp:positionH>
                  <wp:positionV relativeFrom="paragraph">
                    <wp:posOffset>0</wp:posOffset>
                  </wp:positionV>
                  <wp:extent cx="7620" cy="837565"/>
                  <wp:effectExtent l="0" t="0" r="0" b="0"/>
                  <wp:wrapNone/>
                  <wp:docPr id="612" name="Text_Box_715_SpCnt_32"/>
                  <wp:cNvGraphicFramePr/>
                  <a:graphic xmlns:a="http://schemas.openxmlformats.org/drawingml/2006/main">
                    <a:graphicData uri="http://schemas.openxmlformats.org/drawingml/2006/picture">
                      <pic:pic xmlns:pic="http://schemas.openxmlformats.org/drawingml/2006/picture">
                        <pic:nvPicPr>
                          <pic:cNvPr id="612" name="Text_Box_715_SpCnt_32"/>
                          <pic:cNvPicPr/>
                        </pic:nvPicPr>
                        <pic:blipFill>
                          <a:blip r:embed="rId31"/>
                          <a:stretch>
                            <a:fillRect/>
                          </a:stretch>
                        </pic:blipFill>
                        <pic:spPr>
                          <a:xfrm>
                            <a:off x="0" y="0"/>
                            <a:ext cx="7620" cy="83756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1055370</wp:posOffset>
                  </wp:positionH>
                  <wp:positionV relativeFrom="paragraph">
                    <wp:posOffset>0</wp:posOffset>
                  </wp:positionV>
                  <wp:extent cx="7620" cy="988060"/>
                  <wp:effectExtent l="0" t="0" r="0" b="0"/>
                  <wp:wrapNone/>
                  <wp:docPr id="613" name="Text_Box_716_SpCnt_33"/>
                  <wp:cNvGraphicFramePr/>
                  <a:graphic xmlns:a="http://schemas.openxmlformats.org/drawingml/2006/main">
                    <a:graphicData uri="http://schemas.openxmlformats.org/drawingml/2006/picture">
                      <pic:pic xmlns:pic="http://schemas.openxmlformats.org/drawingml/2006/picture">
                        <pic:nvPicPr>
                          <pic:cNvPr id="613" name="Text_Box_716_SpCnt_33"/>
                          <pic:cNvPicPr/>
                        </pic:nvPicPr>
                        <pic:blipFill>
                          <a:blip r:embed="rId32"/>
                          <a:stretch>
                            <a:fillRect/>
                          </a:stretch>
                        </pic:blipFill>
                        <pic:spPr>
                          <a:xfrm>
                            <a:off x="0" y="0"/>
                            <a:ext cx="7620" cy="9880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1055370</wp:posOffset>
                  </wp:positionH>
                  <wp:positionV relativeFrom="paragraph">
                    <wp:posOffset>0</wp:posOffset>
                  </wp:positionV>
                  <wp:extent cx="7620" cy="1142365"/>
                  <wp:effectExtent l="0" t="0" r="0" b="0"/>
                  <wp:wrapNone/>
                  <wp:docPr id="614" name="Text_Box_716_SpCnt_34"/>
                  <wp:cNvGraphicFramePr/>
                  <a:graphic xmlns:a="http://schemas.openxmlformats.org/drawingml/2006/main">
                    <a:graphicData uri="http://schemas.openxmlformats.org/drawingml/2006/picture">
                      <pic:pic xmlns:pic="http://schemas.openxmlformats.org/drawingml/2006/picture">
                        <pic:nvPicPr>
                          <pic:cNvPr id="614" name="Text_Box_716_SpCnt_34"/>
                          <pic:cNvPicPr/>
                        </pic:nvPicPr>
                        <pic:blipFill>
                          <a:blip r:embed="rId33"/>
                          <a:stretch>
                            <a:fillRect/>
                          </a:stretch>
                        </pic:blipFill>
                        <pic:spPr>
                          <a:xfrm>
                            <a:off x="0" y="0"/>
                            <a:ext cx="7620" cy="114236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1055370</wp:posOffset>
                  </wp:positionH>
                  <wp:positionV relativeFrom="paragraph">
                    <wp:posOffset>0</wp:posOffset>
                  </wp:positionV>
                  <wp:extent cx="7620" cy="988060"/>
                  <wp:effectExtent l="0" t="0" r="0" b="0"/>
                  <wp:wrapNone/>
                  <wp:docPr id="615" name="Text_Box_715_SpCnt_33"/>
                  <wp:cNvGraphicFramePr/>
                  <a:graphic xmlns:a="http://schemas.openxmlformats.org/drawingml/2006/main">
                    <a:graphicData uri="http://schemas.openxmlformats.org/drawingml/2006/picture">
                      <pic:pic xmlns:pic="http://schemas.openxmlformats.org/drawingml/2006/picture">
                        <pic:nvPicPr>
                          <pic:cNvPr id="615" name="Text_Box_715_SpCnt_33"/>
                          <pic:cNvPicPr/>
                        </pic:nvPicPr>
                        <pic:blipFill>
                          <a:blip r:embed="rId32"/>
                          <a:stretch>
                            <a:fillRect/>
                          </a:stretch>
                        </pic:blipFill>
                        <pic:spPr>
                          <a:xfrm>
                            <a:off x="0" y="0"/>
                            <a:ext cx="7620" cy="9880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1055370</wp:posOffset>
                  </wp:positionH>
                  <wp:positionV relativeFrom="paragraph">
                    <wp:posOffset>0</wp:posOffset>
                  </wp:positionV>
                  <wp:extent cx="7620" cy="1142365"/>
                  <wp:effectExtent l="0" t="0" r="0" b="0"/>
                  <wp:wrapNone/>
                  <wp:docPr id="616" name="Text_Box_715_SpCnt_34"/>
                  <wp:cNvGraphicFramePr/>
                  <a:graphic xmlns:a="http://schemas.openxmlformats.org/drawingml/2006/main">
                    <a:graphicData uri="http://schemas.openxmlformats.org/drawingml/2006/picture">
                      <pic:pic xmlns:pic="http://schemas.openxmlformats.org/drawingml/2006/picture">
                        <pic:nvPicPr>
                          <pic:cNvPr id="616" name="Text_Box_715_SpCnt_34"/>
                          <pic:cNvPicPr/>
                        </pic:nvPicPr>
                        <pic:blipFill>
                          <a:blip r:embed="rId33"/>
                          <a:stretch>
                            <a:fillRect/>
                          </a:stretch>
                        </pic:blipFill>
                        <pic:spPr>
                          <a:xfrm>
                            <a:off x="0" y="0"/>
                            <a:ext cx="7620" cy="114236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t>建设为休闲湿地和森林康体登山公园，保护和发挥绿水青山资源，提升集镇品位，打造美丽宜居的健康生活目的地。公园总占地400亩，其中湿地40亩，森林占地360亩。</w:t>
            </w:r>
          </w:p>
        </w:tc>
        <w:tc>
          <w:tcPr>
            <w:tcW w:w="408" w:type="pct"/>
            <w:vAlign w:val="center"/>
          </w:tcPr>
          <w:p w14:paraId="7609E801">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2022-2030</w:t>
            </w:r>
          </w:p>
        </w:tc>
        <w:tc>
          <w:tcPr>
            <w:tcW w:w="413" w:type="pct"/>
            <w:vAlign w:val="center"/>
          </w:tcPr>
          <w:p w14:paraId="797142E7">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1100</w:t>
            </w:r>
          </w:p>
        </w:tc>
        <w:tc>
          <w:tcPr>
            <w:tcW w:w="413" w:type="pct"/>
            <w:vAlign w:val="center"/>
          </w:tcPr>
          <w:p w14:paraId="68C4263A">
            <w:pPr>
              <w:spacing w:line="240" w:lineRule="auto"/>
              <w:jc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县住建局</w:t>
            </w:r>
          </w:p>
        </w:tc>
        <w:tc>
          <w:tcPr>
            <w:tcW w:w="320" w:type="pct"/>
            <w:vAlign w:val="center"/>
          </w:tcPr>
          <w:p w14:paraId="3DE9669B">
            <w:pPr>
              <w:spacing w:line="240" w:lineRule="auto"/>
              <w:jc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政府投入</w:t>
            </w:r>
          </w:p>
        </w:tc>
        <w:tc>
          <w:tcPr>
            <w:tcW w:w="569" w:type="pct"/>
            <w:vAlign w:val="center"/>
          </w:tcPr>
          <w:p w14:paraId="24C2ED7C">
            <w:pPr>
              <w:spacing w:line="240" w:lineRule="auto"/>
              <w:jc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林草覆盖率</w:t>
            </w:r>
          </w:p>
        </w:tc>
      </w:tr>
      <w:tr w14:paraId="66096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70" w:type="pct"/>
            <w:vMerge w:val="continue"/>
            <w:vAlign w:val="center"/>
          </w:tcPr>
          <w:p w14:paraId="365FD6C6">
            <w:pPr>
              <w:widowControl/>
              <w:spacing w:line="240" w:lineRule="auto"/>
              <w:jc w:val="center"/>
              <w:textAlignment w:val="center"/>
              <w:rPr>
                <w:rFonts w:ascii="Times New Roman" w:hAnsi="Times New Roman" w:eastAsia="仿宋" w:cs="Times New Roman"/>
                <w:color w:val="auto"/>
                <w:kern w:val="0"/>
                <w:sz w:val="21"/>
                <w:szCs w:val="21"/>
                <w:lang w:bidi="ar"/>
              </w:rPr>
            </w:pPr>
          </w:p>
        </w:tc>
        <w:tc>
          <w:tcPr>
            <w:tcW w:w="255" w:type="pct"/>
            <w:vAlign w:val="center"/>
          </w:tcPr>
          <w:p w14:paraId="7A2D80BE">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5</w:t>
            </w:r>
          </w:p>
        </w:tc>
        <w:tc>
          <w:tcPr>
            <w:tcW w:w="631" w:type="pct"/>
            <w:vAlign w:val="center"/>
          </w:tcPr>
          <w:p w14:paraId="0191935E">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新平县哀牢山国家级保护区生态监测站建设</w:t>
            </w:r>
          </w:p>
        </w:tc>
        <w:tc>
          <w:tcPr>
            <w:tcW w:w="1816" w:type="pct"/>
            <w:vAlign w:val="center"/>
          </w:tcPr>
          <w:p w14:paraId="438387A8">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建设2个生态系统定位监测站1000平方米、气象监测站2个100平方米、鸟类监测环志站2个800平方米、野外生态教育点5个1000平方米、公众教育路线步道100公里、栈道50公里。</w:t>
            </w:r>
          </w:p>
        </w:tc>
        <w:tc>
          <w:tcPr>
            <w:tcW w:w="408" w:type="pct"/>
            <w:vAlign w:val="center"/>
          </w:tcPr>
          <w:p w14:paraId="54A27E4B">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2021-2025</w:t>
            </w:r>
          </w:p>
        </w:tc>
        <w:tc>
          <w:tcPr>
            <w:tcW w:w="413" w:type="pct"/>
            <w:vAlign w:val="center"/>
          </w:tcPr>
          <w:p w14:paraId="0F48F7F2">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2000</w:t>
            </w:r>
          </w:p>
        </w:tc>
        <w:tc>
          <w:tcPr>
            <w:tcW w:w="413" w:type="pct"/>
            <w:vAlign w:val="center"/>
          </w:tcPr>
          <w:p w14:paraId="74296F5A">
            <w:pPr>
              <w:spacing w:line="240" w:lineRule="auto"/>
              <w:jc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新县林业和草原局</w:t>
            </w:r>
          </w:p>
        </w:tc>
        <w:tc>
          <w:tcPr>
            <w:tcW w:w="320" w:type="pct"/>
            <w:vAlign w:val="center"/>
          </w:tcPr>
          <w:p w14:paraId="4AD8676C">
            <w:pPr>
              <w:spacing w:line="240" w:lineRule="auto"/>
              <w:jc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政府投入</w:t>
            </w:r>
          </w:p>
        </w:tc>
        <w:tc>
          <w:tcPr>
            <w:tcW w:w="569" w:type="pct"/>
            <w:vAlign w:val="center"/>
          </w:tcPr>
          <w:p w14:paraId="6ED8B69C">
            <w:pPr>
              <w:spacing w:line="240" w:lineRule="auto"/>
              <w:jc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生物多样性保护</w:t>
            </w:r>
          </w:p>
        </w:tc>
      </w:tr>
      <w:tr w14:paraId="343DE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70" w:type="pct"/>
            <w:vMerge w:val="continue"/>
            <w:vAlign w:val="center"/>
          </w:tcPr>
          <w:p w14:paraId="0A828F12">
            <w:pPr>
              <w:widowControl/>
              <w:spacing w:line="240" w:lineRule="auto"/>
              <w:jc w:val="center"/>
              <w:textAlignment w:val="center"/>
              <w:rPr>
                <w:rFonts w:ascii="Times New Roman" w:hAnsi="Times New Roman" w:eastAsia="仿宋" w:cs="Times New Roman"/>
                <w:color w:val="auto"/>
                <w:kern w:val="0"/>
                <w:sz w:val="21"/>
                <w:szCs w:val="21"/>
                <w:lang w:bidi="ar"/>
              </w:rPr>
            </w:pPr>
          </w:p>
        </w:tc>
        <w:tc>
          <w:tcPr>
            <w:tcW w:w="255" w:type="pct"/>
            <w:vAlign w:val="center"/>
          </w:tcPr>
          <w:p w14:paraId="656ABF6E">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6</w:t>
            </w:r>
          </w:p>
        </w:tc>
        <w:tc>
          <w:tcPr>
            <w:tcW w:w="631" w:type="pct"/>
            <w:vAlign w:val="center"/>
          </w:tcPr>
          <w:p w14:paraId="241428EB">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新平县哀牢山国家级保护区科研宣教中心及配套建设</w:t>
            </w:r>
          </w:p>
        </w:tc>
        <w:tc>
          <w:tcPr>
            <w:tcW w:w="1816" w:type="pct"/>
            <w:vAlign w:val="center"/>
          </w:tcPr>
          <w:p w14:paraId="0F12633E">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建设科研宣教用房500平方米、宣教场馆200平方米，配备相应设备。</w:t>
            </w:r>
          </w:p>
        </w:tc>
        <w:tc>
          <w:tcPr>
            <w:tcW w:w="408" w:type="pct"/>
            <w:vAlign w:val="center"/>
          </w:tcPr>
          <w:p w14:paraId="1D5B6C91">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2022-2024</w:t>
            </w:r>
          </w:p>
        </w:tc>
        <w:tc>
          <w:tcPr>
            <w:tcW w:w="413" w:type="pct"/>
            <w:vAlign w:val="center"/>
          </w:tcPr>
          <w:p w14:paraId="595D457D">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1600</w:t>
            </w:r>
          </w:p>
        </w:tc>
        <w:tc>
          <w:tcPr>
            <w:tcW w:w="413" w:type="pct"/>
            <w:vAlign w:val="center"/>
          </w:tcPr>
          <w:p w14:paraId="2157B8D7">
            <w:pPr>
              <w:spacing w:line="240" w:lineRule="auto"/>
              <w:jc w:val="both"/>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县林业和草原局</w:t>
            </w:r>
          </w:p>
        </w:tc>
        <w:tc>
          <w:tcPr>
            <w:tcW w:w="320" w:type="pct"/>
            <w:vAlign w:val="center"/>
          </w:tcPr>
          <w:p w14:paraId="0082BBD2">
            <w:pPr>
              <w:spacing w:line="240" w:lineRule="auto"/>
              <w:jc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政府投入</w:t>
            </w:r>
          </w:p>
        </w:tc>
        <w:tc>
          <w:tcPr>
            <w:tcW w:w="569" w:type="pct"/>
            <w:vAlign w:val="center"/>
          </w:tcPr>
          <w:p w14:paraId="660B5491">
            <w:pPr>
              <w:spacing w:line="240" w:lineRule="auto"/>
              <w:jc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生物多样性保护</w:t>
            </w:r>
          </w:p>
        </w:tc>
      </w:tr>
      <w:tr w14:paraId="6F6E6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70" w:type="pct"/>
            <w:vMerge w:val="continue"/>
            <w:vAlign w:val="center"/>
          </w:tcPr>
          <w:p w14:paraId="0D60032F">
            <w:pPr>
              <w:widowControl/>
              <w:spacing w:line="240" w:lineRule="auto"/>
              <w:jc w:val="center"/>
              <w:textAlignment w:val="center"/>
              <w:rPr>
                <w:rFonts w:ascii="Times New Roman" w:hAnsi="Times New Roman" w:eastAsia="仿宋" w:cs="Times New Roman"/>
                <w:color w:val="auto"/>
                <w:kern w:val="0"/>
                <w:sz w:val="21"/>
                <w:szCs w:val="21"/>
                <w:lang w:bidi="ar"/>
              </w:rPr>
            </w:pPr>
          </w:p>
        </w:tc>
        <w:tc>
          <w:tcPr>
            <w:tcW w:w="255" w:type="pct"/>
            <w:vAlign w:val="center"/>
          </w:tcPr>
          <w:p w14:paraId="1A9FB629">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7</w:t>
            </w:r>
          </w:p>
        </w:tc>
        <w:tc>
          <w:tcPr>
            <w:tcW w:w="631" w:type="pct"/>
            <w:vAlign w:val="center"/>
          </w:tcPr>
          <w:p w14:paraId="677BE223">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医疗废物收集和处置设施建设工</w:t>
            </w:r>
          </w:p>
          <w:p w14:paraId="1928992C">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工程项目</w:t>
            </w:r>
          </w:p>
        </w:tc>
        <w:tc>
          <w:tcPr>
            <w:tcW w:w="1816" w:type="pct"/>
            <w:vAlign w:val="center"/>
          </w:tcPr>
          <w:p w14:paraId="4C7D7496">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完善新平县医疗废物收集和处置设施，医疗废物收集转运系统等。</w:t>
            </w:r>
          </w:p>
        </w:tc>
        <w:tc>
          <w:tcPr>
            <w:tcW w:w="408" w:type="pct"/>
            <w:vAlign w:val="center"/>
          </w:tcPr>
          <w:p w14:paraId="4606C1E0">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2022-2023</w:t>
            </w:r>
          </w:p>
        </w:tc>
        <w:tc>
          <w:tcPr>
            <w:tcW w:w="413" w:type="pct"/>
            <w:vAlign w:val="center"/>
          </w:tcPr>
          <w:p w14:paraId="715B06D1">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500</w:t>
            </w:r>
          </w:p>
        </w:tc>
        <w:tc>
          <w:tcPr>
            <w:tcW w:w="413" w:type="pct"/>
            <w:vAlign w:val="center"/>
          </w:tcPr>
          <w:p w14:paraId="45C83863">
            <w:pPr>
              <w:spacing w:line="240" w:lineRule="auto"/>
              <w:jc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县卫健局</w:t>
            </w:r>
          </w:p>
        </w:tc>
        <w:tc>
          <w:tcPr>
            <w:tcW w:w="320" w:type="pct"/>
            <w:vAlign w:val="center"/>
          </w:tcPr>
          <w:p w14:paraId="2F53D420">
            <w:pPr>
              <w:spacing w:line="240" w:lineRule="auto"/>
              <w:jc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政府投入</w:t>
            </w:r>
          </w:p>
        </w:tc>
        <w:tc>
          <w:tcPr>
            <w:tcW w:w="569" w:type="pct"/>
            <w:vAlign w:val="center"/>
          </w:tcPr>
          <w:p w14:paraId="7D59FFAA">
            <w:pPr>
              <w:spacing w:line="240" w:lineRule="auto"/>
              <w:jc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危险废物利用处置率</w:t>
            </w:r>
          </w:p>
        </w:tc>
      </w:tr>
      <w:tr w14:paraId="3B32A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70" w:type="pct"/>
            <w:vMerge w:val="continue"/>
            <w:vAlign w:val="center"/>
          </w:tcPr>
          <w:p w14:paraId="15A74641">
            <w:pPr>
              <w:spacing w:line="240" w:lineRule="auto"/>
              <w:jc w:val="center"/>
              <w:rPr>
                <w:rFonts w:ascii="Times New Roman" w:hAnsi="Times New Roman" w:eastAsia="仿宋" w:cs="Times New Roman"/>
                <w:color w:val="auto"/>
                <w:sz w:val="21"/>
                <w:szCs w:val="21"/>
              </w:rPr>
            </w:pPr>
          </w:p>
        </w:tc>
        <w:tc>
          <w:tcPr>
            <w:tcW w:w="255" w:type="pct"/>
            <w:vAlign w:val="center"/>
          </w:tcPr>
          <w:p w14:paraId="03E1B14C">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小计</w:t>
            </w:r>
          </w:p>
        </w:tc>
        <w:tc>
          <w:tcPr>
            <w:tcW w:w="2856" w:type="pct"/>
            <w:gridSpan w:val="3"/>
            <w:vAlign w:val="center"/>
          </w:tcPr>
          <w:p w14:paraId="28ECBEEA">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w:t>
            </w:r>
          </w:p>
        </w:tc>
        <w:tc>
          <w:tcPr>
            <w:tcW w:w="413" w:type="pct"/>
            <w:vAlign w:val="center"/>
          </w:tcPr>
          <w:p w14:paraId="74AAF70A">
            <w:pPr>
              <w:widowControl/>
              <w:spacing w:line="240" w:lineRule="auto"/>
              <w:jc w:val="center"/>
              <w:textAlignment w:val="center"/>
              <w:rPr>
                <w:rFonts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b/>
                <w:bCs/>
                <w:color w:val="auto"/>
                <w:kern w:val="0"/>
                <w:sz w:val="21"/>
                <w:szCs w:val="21"/>
                <w:lang w:val="en-US" w:eastAsia="zh-CN" w:bidi="ar"/>
              </w:rPr>
              <w:t>48082</w:t>
            </w:r>
          </w:p>
        </w:tc>
        <w:tc>
          <w:tcPr>
            <w:tcW w:w="413" w:type="pct"/>
            <w:vAlign w:val="center"/>
          </w:tcPr>
          <w:p w14:paraId="306997C4">
            <w:pPr>
              <w:spacing w:line="240" w:lineRule="auto"/>
              <w:jc w:val="center"/>
              <w:rPr>
                <w:rFonts w:ascii="Times New Roman" w:hAnsi="Times New Roman" w:eastAsia="仿宋" w:cs="Times New Roman"/>
                <w:color w:val="auto"/>
                <w:kern w:val="0"/>
                <w:sz w:val="21"/>
                <w:szCs w:val="21"/>
                <w:lang w:bidi="ar"/>
              </w:rPr>
            </w:pPr>
          </w:p>
        </w:tc>
        <w:tc>
          <w:tcPr>
            <w:tcW w:w="320" w:type="pct"/>
            <w:vAlign w:val="center"/>
          </w:tcPr>
          <w:p w14:paraId="0DC64425">
            <w:pPr>
              <w:spacing w:line="240" w:lineRule="auto"/>
              <w:jc w:val="center"/>
              <w:rPr>
                <w:rFonts w:ascii="Times New Roman" w:hAnsi="Times New Roman" w:eastAsia="仿宋" w:cs="Times New Roman"/>
                <w:color w:val="auto"/>
                <w:kern w:val="0"/>
                <w:sz w:val="21"/>
                <w:szCs w:val="21"/>
                <w:lang w:bidi="ar"/>
              </w:rPr>
            </w:pPr>
          </w:p>
        </w:tc>
        <w:tc>
          <w:tcPr>
            <w:tcW w:w="569" w:type="pct"/>
            <w:vAlign w:val="center"/>
          </w:tcPr>
          <w:p w14:paraId="02BD9B2A">
            <w:pPr>
              <w:spacing w:line="240" w:lineRule="auto"/>
              <w:jc w:val="center"/>
              <w:rPr>
                <w:rFonts w:ascii="Times New Roman" w:hAnsi="Times New Roman" w:eastAsia="仿宋" w:cs="Times New Roman"/>
                <w:color w:val="auto"/>
                <w:kern w:val="0"/>
                <w:sz w:val="21"/>
                <w:szCs w:val="21"/>
                <w:lang w:bidi="ar"/>
              </w:rPr>
            </w:pPr>
          </w:p>
        </w:tc>
      </w:tr>
      <w:tr w14:paraId="31223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 w:type="pct"/>
            <w:vMerge w:val="restart"/>
            <w:vAlign w:val="center"/>
          </w:tcPr>
          <w:p w14:paraId="111F5A33">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kern w:val="0"/>
                <w:sz w:val="21"/>
                <w:szCs w:val="21"/>
                <w:lang w:bidi="ar"/>
              </w:rPr>
              <w:t>生态空间</w:t>
            </w:r>
          </w:p>
        </w:tc>
        <w:tc>
          <w:tcPr>
            <w:tcW w:w="255" w:type="pct"/>
            <w:vAlign w:val="center"/>
          </w:tcPr>
          <w:p w14:paraId="0C57D7CC">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1</w:t>
            </w:r>
          </w:p>
        </w:tc>
        <w:tc>
          <w:tcPr>
            <w:tcW w:w="631" w:type="pct"/>
            <w:vAlign w:val="center"/>
          </w:tcPr>
          <w:p w14:paraId="1E8AE664">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磨盘山国家森林公园保护管理设施项目</w:t>
            </w:r>
          </w:p>
        </w:tc>
        <w:tc>
          <w:tcPr>
            <w:tcW w:w="1816" w:type="pct"/>
            <w:vAlign w:val="center"/>
          </w:tcPr>
          <w:p w14:paraId="30360E01">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0288" behindDoc="0" locked="0" layoutInCell="1" allowOverlap="1">
                  <wp:simplePos x="0" y="0"/>
                  <wp:positionH relativeFrom="column">
                    <wp:posOffset>690245</wp:posOffset>
                  </wp:positionH>
                  <wp:positionV relativeFrom="paragraph">
                    <wp:posOffset>0</wp:posOffset>
                  </wp:positionV>
                  <wp:extent cx="82550" cy="403860"/>
                  <wp:effectExtent l="0" t="0" r="0" b="0"/>
                  <wp:wrapNone/>
                  <wp:docPr id="779" name="Text_Box_35"/>
                  <wp:cNvGraphicFramePr/>
                  <a:graphic xmlns:a="http://schemas.openxmlformats.org/drawingml/2006/main">
                    <a:graphicData uri="http://schemas.openxmlformats.org/drawingml/2006/picture">
                      <pic:pic xmlns:pic="http://schemas.openxmlformats.org/drawingml/2006/picture">
                        <pic:nvPicPr>
                          <pic:cNvPr id="779" name="Text_Box_35"/>
                          <pic:cNvPicPr/>
                        </pic:nvPicPr>
                        <pic:blipFill>
                          <a:blip r:embed="rId34"/>
                          <a:stretch>
                            <a:fillRect/>
                          </a:stretch>
                        </pic:blipFill>
                        <pic:spPr>
                          <a:xfrm>
                            <a:off x="0" y="0"/>
                            <a:ext cx="82550" cy="4038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0288" behindDoc="0" locked="0" layoutInCell="1" allowOverlap="1">
                  <wp:simplePos x="0" y="0"/>
                  <wp:positionH relativeFrom="column">
                    <wp:posOffset>690245</wp:posOffset>
                  </wp:positionH>
                  <wp:positionV relativeFrom="paragraph">
                    <wp:posOffset>0</wp:posOffset>
                  </wp:positionV>
                  <wp:extent cx="82550" cy="403860"/>
                  <wp:effectExtent l="0" t="0" r="0" b="0"/>
                  <wp:wrapNone/>
                  <wp:docPr id="780" name="Text_Box_41"/>
                  <wp:cNvGraphicFramePr/>
                  <a:graphic xmlns:a="http://schemas.openxmlformats.org/drawingml/2006/main">
                    <a:graphicData uri="http://schemas.openxmlformats.org/drawingml/2006/picture">
                      <pic:pic xmlns:pic="http://schemas.openxmlformats.org/drawingml/2006/picture">
                        <pic:nvPicPr>
                          <pic:cNvPr id="780" name="Text_Box_41"/>
                          <pic:cNvPicPr/>
                        </pic:nvPicPr>
                        <pic:blipFill>
                          <a:blip r:embed="rId34"/>
                          <a:stretch>
                            <a:fillRect/>
                          </a:stretch>
                        </pic:blipFill>
                        <pic:spPr>
                          <a:xfrm>
                            <a:off x="0" y="0"/>
                            <a:ext cx="82550" cy="4038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0288" behindDoc="0" locked="0" layoutInCell="1" allowOverlap="1">
                  <wp:simplePos x="0" y="0"/>
                  <wp:positionH relativeFrom="column">
                    <wp:posOffset>690245</wp:posOffset>
                  </wp:positionH>
                  <wp:positionV relativeFrom="paragraph">
                    <wp:posOffset>0</wp:posOffset>
                  </wp:positionV>
                  <wp:extent cx="82550" cy="403860"/>
                  <wp:effectExtent l="0" t="0" r="0" b="0"/>
                  <wp:wrapNone/>
                  <wp:docPr id="781" name="Text_Box_41_SpCnt_1"/>
                  <wp:cNvGraphicFramePr/>
                  <a:graphic xmlns:a="http://schemas.openxmlformats.org/drawingml/2006/main">
                    <a:graphicData uri="http://schemas.openxmlformats.org/drawingml/2006/picture">
                      <pic:pic xmlns:pic="http://schemas.openxmlformats.org/drawingml/2006/picture">
                        <pic:nvPicPr>
                          <pic:cNvPr id="781" name="Text_Box_41_SpCnt_1"/>
                          <pic:cNvPicPr/>
                        </pic:nvPicPr>
                        <pic:blipFill>
                          <a:blip r:embed="rId34"/>
                          <a:stretch>
                            <a:fillRect/>
                          </a:stretch>
                        </pic:blipFill>
                        <pic:spPr>
                          <a:xfrm>
                            <a:off x="0" y="0"/>
                            <a:ext cx="82550" cy="4038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0288" behindDoc="0" locked="0" layoutInCell="1" allowOverlap="1">
                  <wp:simplePos x="0" y="0"/>
                  <wp:positionH relativeFrom="column">
                    <wp:posOffset>690245</wp:posOffset>
                  </wp:positionH>
                  <wp:positionV relativeFrom="paragraph">
                    <wp:posOffset>0</wp:posOffset>
                  </wp:positionV>
                  <wp:extent cx="82550" cy="403860"/>
                  <wp:effectExtent l="0" t="0" r="0" b="0"/>
                  <wp:wrapNone/>
                  <wp:docPr id="782" name="Text_Box_35_SpCnt_1"/>
                  <wp:cNvGraphicFramePr/>
                  <a:graphic xmlns:a="http://schemas.openxmlformats.org/drawingml/2006/main">
                    <a:graphicData uri="http://schemas.openxmlformats.org/drawingml/2006/picture">
                      <pic:pic xmlns:pic="http://schemas.openxmlformats.org/drawingml/2006/picture">
                        <pic:nvPicPr>
                          <pic:cNvPr id="782" name="Text_Box_35_SpCnt_1"/>
                          <pic:cNvPicPr/>
                        </pic:nvPicPr>
                        <pic:blipFill>
                          <a:blip r:embed="rId34"/>
                          <a:stretch>
                            <a:fillRect/>
                          </a:stretch>
                        </pic:blipFill>
                        <pic:spPr>
                          <a:xfrm>
                            <a:off x="0" y="0"/>
                            <a:ext cx="82550" cy="4038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0288" behindDoc="0" locked="0" layoutInCell="1" allowOverlap="1">
                  <wp:simplePos x="0" y="0"/>
                  <wp:positionH relativeFrom="column">
                    <wp:posOffset>690245</wp:posOffset>
                  </wp:positionH>
                  <wp:positionV relativeFrom="paragraph">
                    <wp:posOffset>0</wp:posOffset>
                  </wp:positionV>
                  <wp:extent cx="82550" cy="403860"/>
                  <wp:effectExtent l="0" t="0" r="0" b="0"/>
                  <wp:wrapNone/>
                  <wp:docPr id="783" name="Text_Box_41_SpCnt_2"/>
                  <wp:cNvGraphicFramePr/>
                  <a:graphic xmlns:a="http://schemas.openxmlformats.org/drawingml/2006/main">
                    <a:graphicData uri="http://schemas.openxmlformats.org/drawingml/2006/picture">
                      <pic:pic xmlns:pic="http://schemas.openxmlformats.org/drawingml/2006/picture">
                        <pic:nvPicPr>
                          <pic:cNvPr id="783" name="Text_Box_41_SpCnt_2"/>
                          <pic:cNvPicPr/>
                        </pic:nvPicPr>
                        <pic:blipFill>
                          <a:blip r:embed="rId34"/>
                          <a:stretch>
                            <a:fillRect/>
                          </a:stretch>
                        </pic:blipFill>
                        <pic:spPr>
                          <a:xfrm>
                            <a:off x="0" y="0"/>
                            <a:ext cx="82550" cy="4038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0288" behindDoc="0" locked="0" layoutInCell="1" allowOverlap="1">
                  <wp:simplePos x="0" y="0"/>
                  <wp:positionH relativeFrom="column">
                    <wp:posOffset>690245</wp:posOffset>
                  </wp:positionH>
                  <wp:positionV relativeFrom="paragraph">
                    <wp:posOffset>0</wp:posOffset>
                  </wp:positionV>
                  <wp:extent cx="82550" cy="403860"/>
                  <wp:effectExtent l="0" t="0" r="0" b="0"/>
                  <wp:wrapNone/>
                  <wp:docPr id="784" name="Text_Box_35_SpCnt_2"/>
                  <wp:cNvGraphicFramePr/>
                  <a:graphic xmlns:a="http://schemas.openxmlformats.org/drawingml/2006/main">
                    <a:graphicData uri="http://schemas.openxmlformats.org/drawingml/2006/picture">
                      <pic:pic xmlns:pic="http://schemas.openxmlformats.org/drawingml/2006/picture">
                        <pic:nvPicPr>
                          <pic:cNvPr id="784" name="Text_Box_35_SpCnt_2"/>
                          <pic:cNvPicPr/>
                        </pic:nvPicPr>
                        <pic:blipFill>
                          <a:blip r:embed="rId34"/>
                          <a:stretch>
                            <a:fillRect/>
                          </a:stretch>
                        </pic:blipFill>
                        <pic:spPr>
                          <a:xfrm>
                            <a:off x="0" y="0"/>
                            <a:ext cx="82550" cy="4038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0288" behindDoc="0" locked="0" layoutInCell="1" allowOverlap="1">
                  <wp:simplePos x="0" y="0"/>
                  <wp:positionH relativeFrom="column">
                    <wp:posOffset>690245</wp:posOffset>
                  </wp:positionH>
                  <wp:positionV relativeFrom="paragraph">
                    <wp:posOffset>0</wp:posOffset>
                  </wp:positionV>
                  <wp:extent cx="82550" cy="403860"/>
                  <wp:effectExtent l="0" t="0" r="0" b="0"/>
                  <wp:wrapNone/>
                  <wp:docPr id="785" name="Text_Box_41_SpCnt_3"/>
                  <wp:cNvGraphicFramePr/>
                  <a:graphic xmlns:a="http://schemas.openxmlformats.org/drawingml/2006/main">
                    <a:graphicData uri="http://schemas.openxmlformats.org/drawingml/2006/picture">
                      <pic:pic xmlns:pic="http://schemas.openxmlformats.org/drawingml/2006/picture">
                        <pic:nvPicPr>
                          <pic:cNvPr id="785" name="Text_Box_41_SpCnt_3"/>
                          <pic:cNvPicPr/>
                        </pic:nvPicPr>
                        <pic:blipFill>
                          <a:blip r:embed="rId34"/>
                          <a:stretch>
                            <a:fillRect/>
                          </a:stretch>
                        </pic:blipFill>
                        <pic:spPr>
                          <a:xfrm>
                            <a:off x="0" y="0"/>
                            <a:ext cx="82550" cy="4038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0288" behindDoc="0" locked="0" layoutInCell="1" allowOverlap="1">
                  <wp:simplePos x="0" y="0"/>
                  <wp:positionH relativeFrom="column">
                    <wp:posOffset>690245</wp:posOffset>
                  </wp:positionH>
                  <wp:positionV relativeFrom="paragraph">
                    <wp:posOffset>0</wp:posOffset>
                  </wp:positionV>
                  <wp:extent cx="82550" cy="403860"/>
                  <wp:effectExtent l="0" t="0" r="0" b="0"/>
                  <wp:wrapNone/>
                  <wp:docPr id="786" name="Text_Box_35_SpCnt_3"/>
                  <wp:cNvGraphicFramePr/>
                  <a:graphic xmlns:a="http://schemas.openxmlformats.org/drawingml/2006/main">
                    <a:graphicData uri="http://schemas.openxmlformats.org/drawingml/2006/picture">
                      <pic:pic xmlns:pic="http://schemas.openxmlformats.org/drawingml/2006/picture">
                        <pic:nvPicPr>
                          <pic:cNvPr id="786" name="Text_Box_35_SpCnt_3"/>
                          <pic:cNvPicPr/>
                        </pic:nvPicPr>
                        <pic:blipFill>
                          <a:blip r:embed="rId34"/>
                          <a:stretch>
                            <a:fillRect/>
                          </a:stretch>
                        </pic:blipFill>
                        <pic:spPr>
                          <a:xfrm>
                            <a:off x="0" y="0"/>
                            <a:ext cx="82550" cy="4038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0288" behindDoc="0" locked="0" layoutInCell="1" allowOverlap="1">
                  <wp:simplePos x="0" y="0"/>
                  <wp:positionH relativeFrom="column">
                    <wp:posOffset>1055370</wp:posOffset>
                  </wp:positionH>
                  <wp:positionV relativeFrom="paragraph">
                    <wp:posOffset>0</wp:posOffset>
                  </wp:positionV>
                  <wp:extent cx="7620" cy="835660"/>
                  <wp:effectExtent l="0" t="0" r="0" b="0"/>
                  <wp:wrapNone/>
                  <wp:docPr id="787" name="Text_Box_715"/>
                  <wp:cNvGraphicFramePr/>
                  <a:graphic xmlns:a="http://schemas.openxmlformats.org/drawingml/2006/main">
                    <a:graphicData uri="http://schemas.openxmlformats.org/drawingml/2006/picture">
                      <pic:pic xmlns:pic="http://schemas.openxmlformats.org/drawingml/2006/picture">
                        <pic:nvPicPr>
                          <pic:cNvPr id="787" name="Text_Box_715"/>
                          <pic:cNvPicPr/>
                        </pic:nvPicPr>
                        <pic:blipFill>
                          <a:blip r:embed="rId35"/>
                          <a:stretch>
                            <a:fillRect/>
                          </a:stretch>
                        </pic:blipFill>
                        <pic:spPr>
                          <a:xfrm>
                            <a:off x="0" y="0"/>
                            <a:ext cx="7620" cy="8356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0288" behindDoc="0" locked="0" layoutInCell="1" allowOverlap="1">
                  <wp:simplePos x="0" y="0"/>
                  <wp:positionH relativeFrom="column">
                    <wp:posOffset>1055370</wp:posOffset>
                  </wp:positionH>
                  <wp:positionV relativeFrom="paragraph">
                    <wp:posOffset>0</wp:posOffset>
                  </wp:positionV>
                  <wp:extent cx="7620" cy="835660"/>
                  <wp:effectExtent l="0" t="0" r="0" b="0"/>
                  <wp:wrapNone/>
                  <wp:docPr id="788" name="Text_Box_716"/>
                  <wp:cNvGraphicFramePr/>
                  <a:graphic xmlns:a="http://schemas.openxmlformats.org/drawingml/2006/main">
                    <a:graphicData uri="http://schemas.openxmlformats.org/drawingml/2006/picture">
                      <pic:pic xmlns:pic="http://schemas.openxmlformats.org/drawingml/2006/picture">
                        <pic:nvPicPr>
                          <pic:cNvPr id="788" name="Text_Box_716"/>
                          <pic:cNvPicPr/>
                        </pic:nvPicPr>
                        <pic:blipFill>
                          <a:blip r:embed="rId35"/>
                          <a:stretch>
                            <a:fillRect/>
                          </a:stretch>
                        </pic:blipFill>
                        <pic:spPr>
                          <a:xfrm>
                            <a:off x="0" y="0"/>
                            <a:ext cx="7620" cy="8356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t>森林公园界碑、界桩、围栏建设500万；标识标牌、应急救援、防灾减灾、卫生救援设施及站点建设500万元</w:t>
            </w:r>
          </w:p>
        </w:tc>
        <w:tc>
          <w:tcPr>
            <w:tcW w:w="408" w:type="pct"/>
            <w:vAlign w:val="center"/>
          </w:tcPr>
          <w:p w14:paraId="2B2D4325">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2022-2023</w:t>
            </w:r>
          </w:p>
        </w:tc>
        <w:tc>
          <w:tcPr>
            <w:tcW w:w="413" w:type="pct"/>
            <w:vAlign w:val="center"/>
          </w:tcPr>
          <w:p w14:paraId="124E1A94">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1000</w:t>
            </w:r>
          </w:p>
        </w:tc>
        <w:tc>
          <w:tcPr>
            <w:tcW w:w="413" w:type="pct"/>
            <w:vAlign w:val="center"/>
          </w:tcPr>
          <w:p w14:paraId="11117A6B">
            <w:pPr>
              <w:spacing w:line="240" w:lineRule="auto"/>
              <w:jc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新平县林业和草原局</w:t>
            </w:r>
          </w:p>
        </w:tc>
        <w:tc>
          <w:tcPr>
            <w:tcW w:w="320" w:type="pct"/>
            <w:vAlign w:val="center"/>
          </w:tcPr>
          <w:p w14:paraId="3AE15E85">
            <w:pPr>
              <w:spacing w:line="240" w:lineRule="auto"/>
              <w:jc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政府投入</w:t>
            </w:r>
          </w:p>
        </w:tc>
        <w:tc>
          <w:tcPr>
            <w:tcW w:w="569" w:type="pct"/>
            <w:vAlign w:val="center"/>
          </w:tcPr>
          <w:p w14:paraId="560C6906">
            <w:pPr>
              <w:spacing w:line="240" w:lineRule="auto"/>
              <w:jc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自然生态空间</w:t>
            </w:r>
          </w:p>
        </w:tc>
      </w:tr>
      <w:tr w14:paraId="2A2CA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 w:type="pct"/>
            <w:vMerge w:val="continue"/>
            <w:vAlign w:val="center"/>
          </w:tcPr>
          <w:p w14:paraId="71F0BDB1">
            <w:pPr>
              <w:widowControl/>
              <w:spacing w:line="240" w:lineRule="auto"/>
              <w:jc w:val="center"/>
              <w:textAlignment w:val="center"/>
              <w:rPr>
                <w:rFonts w:ascii="Times New Roman" w:hAnsi="Times New Roman" w:eastAsia="仿宋" w:cs="Times New Roman"/>
                <w:color w:val="auto"/>
                <w:kern w:val="0"/>
                <w:sz w:val="21"/>
                <w:szCs w:val="21"/>
                <w:lang w:bidi="ar"/>
              </w:rPr>
            </w:pPr>
          </w:p>
        </w:tc>
        <w:tc>
          <w:tcPr>
            <w:tcW w:w="255" w:type="pct"/>
            <w:vAlign w:val="center"/>
          </w:tcPr>
          <w:p w14:paraId="15176155">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2</w:t>
            </w:r>
          </w:p>
        </w:tc>
        <w:tc>
          <w:tcPr>
            <w:tcW w:w="631" w:type="pct"/>
            <w:vAlign w:val="center"/>
          </w:tcPr>
          <w:p w14:paraId="343FD18B">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磨盘山国家森林公园生态服务设施项目</w:t>
            </w:r>
          </w:p>
        </w:tc>
        <w:tc>
          <w:tcPr>
            <w:tcW w:w="1816" w:type="pct"/>
            <w:vAlign w:val="center"/>
          </w:tcPr>
          <w:p w14:paraId="137BC9CB">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科普教育及资源展示设施、宣传栏、步行道、垃圾污水中转收集设施、生态公厕、停车场服务设施建设</w:t>
            </w:r>
          </w:p>
        </w:tc>
        <w:tc>
          <w:tcPr>
            <w:tcW w:w="408" w:type="pct"/>
            <w:vAlign w:val="center"/>
          </w:tcPr>
          <w:p w14:paraId="348CA546">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2022-2025</w:t>
            </w:r>
          </w:p>
        </w:tc>
        <w:tc>
          <w:tcPr>
            <w:tcW w:w="413" w:type="pct"/>
            <w:vAlign w:val="center"/>
          </w:tcPr>
          <w:p w14:paraId="41B6365E">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2000</w:t>
            </w:r>
          </w:p>
        </w:tc>
        <w:tc>
          <w:tcPr>
            <w:tcW w:w="413" w:type="pct"/>
            <w:vAlign w:val="center"/>
          </w:tcPr>
          <w:p w14:paraId="71C58EA1">
            <w:pPr>
              <w:spacing w:line="240" w:lineRule="auto"/>
              <w:jc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县林业和草原局</w:t>
            </w:r>
          </w:p>
        </w:tc>
        <w:tc>
          <w:tcPr>
            <w:tcW w:w="320" w:type="pct"/>
            <w:vAlign w:val="center"/>
          </w:tcPr>
          <w:p w14:paraId="71CFF4E4">
            <w:pPr>
              <w:spacing w:line="240" w:lineRule="auto"/>
              <w:jc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政府投入</w:t>
            </w:r>
          </w:p>
        </w:tc>
        <w:tc>
          <w:tcPr>
            <w:tcW w:w="569" w:type="pct"/>
            <w:vAlign w:val="center"/>
          </w:tcPr>
          <w:p w14:paraId="2A47C5F3">
            <w:pPr>
              <w:spacing w:line="240" w:lineRule="auto"/>
              <w:jc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自然生态空间</w:t>
            </w:r>
          </w:p>
        </w:tc>
      </w:tr>
      <w:tr w14:paraId="748B3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 w:type="pct"/>
            <w:vMerge w:val="continue"/>
            <w:vAlign w:val="center"/>
          </w:tcPr>
          <w:p w14:paraId="0D7E9685">
            <w:pPr>
              <w:widowControl/>
              <w:spacing w:line="240" w:lineRule="auto"/>
              <w:jc w:val="center"/>
              <w:textAlignment w:val="center"/>
              <w:rPr>
                <w:rFonts w:ascii="Times New Roman" w:hAnsi="Times New Roman" w:eastAsia="仿宋" w:cs="Times New Roman"/>
                <w:color w:val="auto"/>
                <w:kern w:val="0"/>
                <w:sz w:val="21"/>
                <w:szCs w:val="21"/>
                <w:lang w:bidi="ar"/>
              </w:rPr>
            </w:pPr>
          </w:p>
        </w:tc>
        <w:tc>
          <w:tcPr>
            <w:tcW w:w="255" w:type="pct"/>
            <w:vAlign w:val="center"/>
          </w:tcPr>
          <w:p w14:paraId="413B25FD">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3</w:t>
            </w:r>
          </w:p>
        </w:tc>
        <w:tc>
          <w:tcPr>
            <w:tcW w:w="631" w:type="pct"/>
            <w:vAlign w:val="center"/>
          </w:tcPr>
          <w:p w14:paraId="124A67F3">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新平县自然保护地管护站建设项目　</w:t>
            </w:r>
          </w:p>
        </w:tc>
        <w:tc>
          <w:tcPr>
            <w:tcW w:w="1816" w:type="pct"/>
            <w:vAlign w:val="center"/>
          </w:tcPr>
          <w:p w14:paraId="201FDC72">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建设哀牢山县级自然保护区2个，磨盘山国家森林自然公园2个，新化古州野林森林自然公园2个共6个保护地管护站，每个建设规模280平方，投资100万元，共计投资600万元。管护点7个、哨卡22、各巡护补给点20个，收容救护站1个500平方米，扑火队营房1个500平方米。3个木材检查站建设投资300万元。</w:t>
            </w:r>
          </w:p>
        </w:tc>
        <w:tc>
          <w:tcPr>
            <w:tcW w:w="408" w:type="pct"/>
            <w:vAlign w:val="center"/>
          </w:tcPr>
          <w:p w14:paraId="4E1E1B9A">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2023</w:t>
            </w:r>
          </w:p>
        </w:tc>
        <w:tc>
          <w:tcPr>
            <w:tcW w:w="413" w:type="pct"/>
            <w:vAlign w:val="center"/>
          </w:tcPr>
          <w:p w14:paraId="6308AE19">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2900</w:t>
            </w:r>
          </w:p>
        </w:tc>
        <w:tc>
          <w:tcPr>
            <w:tcW w:w="413" w:type="pct"/>
            <w:vAlign w:val="center"/>
          </w:tcPr>
          <w:p w14:paraId="12284821">
            <w:pPr>
              <w:spacing w:line="240" w:lineRule="auto"/>
              <w:jc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县林业和草原局、哀牢山管护局</w:t>
            </w:r>
          </w:p>
        </w:tc>
        <w:tc>
          <w:tcPr>
            <w:tcW w:w="320" w:type="pct"/>
            <w:vAlign w:val="center"/>
          </w:tcPr>
          <w:p w14:paraId="59E4808B">
            <w:pPr>
              <w:spacing w:line="240" w:lineRule="auto"/>
              <w:jc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政府投入</w:t>
            </w:r>
          </w:p>
        </w:tc>
        <w:tc>
          <w:tcPr>
            <w:tcW w:w="569" w:type="pct"/>
            <w:vAlign w:val="center"/>
          </w:tcPr>
          <w:p w14:paraId="4E152EAE">
            <w:pPr>
              <w:spacing w:line="240" w:lineRule="auto"/>
              <w:jc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自然生态空间</w:t>
            </w:r>
          </w:p>
        </w:tc>
      </w:tr>
      <w:tr w14:paraId="01337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 w:type="pct"/>
            <w:vMerge w:val="continue"/>
            <w:vAlign w:val="center"/>
          </w:tcPr>
          <w:p w14:paraId="7FF040AE">
            <w:pPr>
              <w:widowControl/>
              <w:spacing w:line="240" w:lineRule="auto"/>
              <w:jc w:val="center"/>
              <w:textAlignment w:val="center"/>
              <w:rPr>
                <w:rFonts w:ascii="Times New Roman" w:hAnsi="Times New Roman" w:eastAsia="仿宋" w:cs="Times New Roman"/>
                <w:color w:val="auto"/>
                <w:kern w:val="0"/>
                <w:sz w:val="21"/>
                <w:szCs w:val="21"/>
                <w:lang w:bidi="ar"/>
              </w:rPr>
            </w:pPr>
          </w:p>
        </w:tc>
        <w:tc>
          <w:tcPr>
            <w:tcW w:w="255" w:type="pct"/>
            <w:vAlign w:val="center"/>
          </w:tcPr>
          <w:p w14:paraId="12B72885">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4</w:t>
            </w:r>
          </w:p>
        </w:tc>
        <w:tc>
          <w:tcPr>
            <w:tcW w:w="631" w:type="pct"/>
            <w:vAlign w:val="center"/>
          </w:tcPr>
          <w:p w14:paraId="4C3594CB">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新平县长江经济带生态修复治理项目</w:t>
            </w:r>
          </w:p>
        </w:tc>
        <w:tc>
          <w:tcPr>
            <w:tcW w:w="1816" w:type="pct"/>
            <w:vAlign w:val="center"/>
          </w:tcPr>
          <w:p w14:paraId="05800AAE">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17830"/>
                  <wp:effectExtent l="0" t="0" r="0" b="0"/>
                  <wp:wrapNone/>
                  <wp:docPr id="789" name="Text_Box_35_SpCnt_4"/>
                  <wp:cNvGraphicFramePr/>
                  <a:graphic xmlns:a="http://schemas.openxmlformats.org/drawingml/2006/main">
                    <a:graphicData uri="http://schemas.openxmlformats.org/drawingml/2006/picture">
                      <pic:pic xmlns:pic="http://schemas.openxmlformats.org/drawingml/2006/picture">
                        <pic:nvPicPr>
                          <pic:cNvPr id="789" name="Text_Box_35_SpCnt_4"/>
                          <pic:cNvPicPr/>
                        </pic:nvPicPr>
                        <pic:blipFill>
                          <a:blip r:embed="rId36"/>
                          <a:stretch>
                            <a:fillRect/>
                          </a:stretch>
                        </pic:blipFill>
                        <pic:spPr>
                          <a:xfrm>
                            <a:off x="0" y="0"/>
                            <a:ext cx="82550" cy="41783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17830"/>
                  <wp:effectExtent l="0" t="0" r="0" b="0"/>
                  <wp:wrapNone/>
                  <wp:docPr id="790" name="Text_Box_35_SpCnt_5"/>
                  <wp:cNvGraphicFramePr/>
                  <a:graphic xmlns:a="http://schemas.openxmlformats.org/drawingml/2006/main">
                    <a:graphicData uri="http://schemas.openxmlformats.org/drawingml/2006/picture">
                      <pic:pic xmlns:pic="http://schemas.openxmlformats.org/drawingml/2006/picture">
                        <pic:nvPicPr>
                          <pic:cNvPr id="790" name="Text_Box_35_SpCnt_5"/>
                          <pic:cNvPicPr/>
                        </pic:nvPicPr>
                        <pic:blipFill>
                          <a:blip r:embed="rId36"/>
                          <a:stretch>
                            <a:fillRect/>
                          </a:stretch>
                        </pic:blipFill>
                        <pic:spPr>
                          <a:xfrm>
                            <a:off x="0" y="0"/>
                            <a:ext cx="82550" cy="41783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520700"/>
                  <wp:effectExtent l="0" t="0" r="0" b="0"/>
                  <wp:wrapNone/>
                  <wp:docPr id="791" name="Text_Box_35_SpCnt_6"/>
                  <wp:cNvGraphicFramePr/>
                  <a:graphic xmlns:a="http://schemas.openxmlformats.org/drawingml/2006/main">
                    <a:graphicData uri="http://schemas.openxmlformats.org/drawingml/2006/picture">
                      <pic:pic xmlns:pic="http://schemas.openxmlformats.org/drawingml/2006/picture">
                        <pic:nvPicPr>
                          <pic:cNvPr id="791" name="Text_Box_35_SpCnt_6"/>
                          <pic:cNvPicPr/>
                        </pic:nvPicPr>
                        <pic:blipFill>
                          <a:blip r:embed="rId37"/>
                          <a:stretch>
                            <a:fillRect/>
                          </a:stretch>
                        </pic:blipFill>
                        <pic:spPr>
                          <a:xfrm>
                            <a:off x="0" y="0"/>
                            <a:ext cx="82550" cy="52070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792" name="Text_Box_35_SpCnt_7"/>
                  <wp:cNvGraphicFramePr/>
                  <a:graphic xmlns:a="http://schemas.openxmlformats.org/drawingml/2006/main">
                    <a:graphicData uri="http://schemas.openxmlformats.org/drawingml/2006/picture">
                      <pic:pic xmlns:pic="http://schemas.openxmlformats.org/drawingml/2006/picture">
                        <pic:nvPicPr>
                          <pic:cNvPr id="792" name="Text_Box_35_SpCnt_7"/>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793" name="Text_Box_35_SpCnt_8"/>
                  <wp:cNvGraphicFramePr/>
                  <a:graphic xmlns:a="http://schemas.openxmlformats.org/drawingml/2006/main">
                    <a:graphicData uri="http://schemas.openxmlformats.org/drawingml/2006/picture">
                      <pic:pic xmlns:pic="http://schemas.openxmlformats.org/drawingml/2006/picture">
                        <pic:nvPicPr>
                          <pic:cNvPr id="793" name="Text_Box_35_SpCnt_8"/>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794" name="Text_Box_35_SpCnt_9"/>
                  <wp:cNvGraphicFramePr/>
                  <a:graphic xmlns:a="http://schemas.openxmlformats.org/drawingml/2006/main">
                    <a:graphicData uri="http://schemas.openxmlformats.org/drawingml/2006/picture">
                      <pic:pic xmlns:pic="http://schemas.openxmlformats.org/drawingml/2006/picture">
                        <pic:nvPicPr>
                          <pic:cNvPr id="794" name="Text_Box_35_SpCnt_9"/>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520700"/>
                  <wp:effectExtent l="0" t="0" r="0" b="0"/>
                  <wp:wrapNone/>
                  <wp:docPr id="795" name="Text_Box_41_SpCnt_4"/>
                  <wp:cNvGraphicFramePr/>
                  <a:graphic xmlns:a="http://schemas.openxmlformats.org/drawingml/2006/main">
                    <a:graphicData uri="http://schemas.openxmlformats.org/drawingml/2006/picture">
                      <pic:pic xmlns:pic="http://schemas.openxmlformats.org/drawingml/2006/picture">
                        <pic:nvPicPr>
                          <pic:cNvPr id="795" name="Text_Box_41_SpCnt_4"/>
                          <pic:cNvPicPr/>
                        </pic:nvPicPr>
                        <pic:blipFill>
                          <a:blip r:embed="rId37"/>
                          <a:stretch>
                            <a:fillRect/>
                          </a:stretch>
                        </pic:blipFill>
                        <pic:spPr>
                          <a:xfrm>
                            <a:off x="0" y="0"/>
                            <a:ext cx="82550" cy="52070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796" name="Text_Box_41_SpCnt_5"/>
                  <wp:cNvGraphicFramePr/>
                  <a:graphic xmlns:a="http://schemas.openxmlformats.org/drawingml/2006/main">
                    <a:graphicData uri="http://schemas.openxmlformats.org/drawingml/2006/picture">
                      <pic:pic xmlns:pic="http://schemas.openxmlformats.org/drawingml/2006/picture">
                        <pic:nvPicPr>
                          <pic:cNvPr id="796" name="Text_Box_41_SpCnt_5"/>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797" name="Text_Box_41_SpCnt_6"/>
                  <wp:cNvGraphicFramePr/>
                  <a:graphic xmlns:a="http://schemas.openxmlformats.org/drawingml/2006/main">
                    <a:graphicData uri="http://schemas.openxmlformats.org/drawingml/2006/picture">
                      <pic:pic xmlns:pic="http://schemas.openxmlformats.org/drawingml/2006/picture">
                        <pic:nvPicPr>
                          <pic:cNvPr id="797" name="Text_Box_41_SpCnt_6"/>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798" name="Text_Box_35_SpCnt_10"/>
                  <wp:cNvGraphicFramePr/>
                  <a:graphic xmlns:a="http://schemas.openxmlformats.org/drawingml/2006/main">
                    <a:graphicData uri="http://schemas.openxmlformats.org/drawingml/2006/picture">
                      <pic:pic xmlns:pic="http://schemas.openxmlformats.org/drawingml/2006/picture">
                        <pic:nvPicPr>
                          <pic:cNvPr id="798" name="Text_Box_35_SpCnt_10"/>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799" name="Text_Box_41_SpCnt_7"/>
                  <wp:cNvGraphicFramePr/>
                  <a:graphic xmlns:a="http://schemas.openxmlformats.org/drawingml/2006/main">
                    <a:graphicData uri="http://schemas.openxmlformats.org/drawingml/2006/picture">
                      <pic:pic xmlns:pic="http://schemas.openxmlformats.org/drawingml/2006/picture">
                        <pic:nvPicPr>
                          <pic:cNvPr id="799" name="Text_Box_41_SpCnt_7"/>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00" name="Text_Box_41_SpCnt_8"/>
                  <wp:cNvGraphicFramePr/>
                  <a:graphic xmlns:a="http://schemas.openxmlformats.org/drawingml/2006/main">
                    <a:graphicData uri="http://schemas.openxmlformats.org/drawingml/2006/picture">
                      <pic:pic xmlns:pic="http://schemas.openxmlformats.org/drawingml/2006/picture">
                        <pic:nvPicPr>
                          <pic:cNvPr id="800" name="Text_Box_41_SpCnt_8"/>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01" name="Text_Box_35_SpCnt_11"/>
                  <wp:cNvGraphicFramePr/>
                  <a:graphic xmlns:a="http://schemas.openxmlformats.org/drawingml/2006/main">
                    <a:graphicData uri="http://schemas.openxmlformats.org/drawingml/2006/picture">
                      <pic:pic xmlns:pic="http://schemas.openxmlformats.org/drawingml/2006/picture">
                        <pic:nvPicPr>
                          <pic:cNvPr id="801" name="Text_Box_35_SpCnt_11"/>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02" name="Text_Box_35_SpCnt_12"/>
                  <wp:cNvGraphicFramePr/>
                  <a:graphic xmlns:a="http://schemas.openxmlformats.org/drawingml/2006/main">
                    <a:graphicData uri="http://schemas.openxmlformats.org/drawingml/2006/picture">
                      <pic:pic xmlns:pic="http://schemas.openxmlformats.org/drawingml/2006/picture">
                        <pic:nvPicPr>
                          <pic:cNvPr id="802" name="Text_Box_35_SpCnt_12"/>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03" name="Text_Box_41_SpCnt_9"/>
                  <wp:cNvGraphicFramePr/>
                  <a:graphic xmlns:a="http://schemas.openxmlformats.org/drawingml/2006/main">
                    <a:graphicData uri="http://schemas.openxmlformats.org/drawingml/2006/picture">
                      <pic:pic xmlns:pic="http://schemas.openxmlformats.org/drawingml/2006/picture">
                        <pic:nvPicPr>
                          <pic:cNvPr id="803" name="Text_Box_41_SpCnt_9"/>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04" name="Text_Box_41_SpCnt_10"/>
                  <wp:cNvGraphicFramePr/>
                  <a:graphic xmlns:a="http://schemas.openxmlformats.org/drawingml/2006/main">
                    <a:graphicData uri="http://schemas.openxmlformats.org/drawingml/2006/picture">
                      <pic:pic xmlns:pic="http://schemas.openxmlformats.org/drawingml/2006/picture">
                        <pic:nvPicPr>
                          <pic:cNvPr id="804" name="Text_Box_41_SpCnt_10"/>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05" name="Text_Box_35_SpCnt_13"/>
                  <wp:cNvGraphicFramePr/>
                  <a:graphic xmlns:a="http://schemas.openxmlformats.org/drawingml/2006/main">
                    <a:graphicData uri="http://schemas.openxmlformats.org/drawingml/2006/picture">
                      <pic:pic xmlns:pic="http://schemas.openxmlformats.org/drawingml/2006/picture">
                        <pic:nvPicPr>
                          <pic:cNvPr id="805" name="Text_Box_35_SpCnt_13"/>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92760"/>
                  <wp:effectExtent l="0" t="0" r="0" b="0"/>
                  <wp:wrapNone/>
                  <wp:docPr id="806" name="Text_Box_41_SpCnt_11"/>
                  <wp:cNvGraphicFramePr/>
                  <a:graphic xmlns:a="http://schemas.openxmlformats.org/drawingml/2006/main">
                    <a:graphicData uri="http://schemas.openxmlformats.org/drawingml/2006/picture">
                      <pic:pic xmlns:pic="http://schemas.openxmlformats.org/drawingml/2006/picture">
                        <pic:nvPicPr>
                          <pic:cNvPr id="806" name="Text_Box_41_SpCnt_11"/>
                          <pic:cNvPicPr/>
                        </pic:nvPicPr>
                        <pic:blipFill>
                          <a:blip r:embed="rId39"/>
                          <a:stretch>
                            <a:fillRect/>
                          </a:stretch>
                        </pic:blipFill>
                        <pic:spPr>
                          <a:xfrm>
                            <a:off x="0" y="0"/>
                            <a:ext cx="82550" cy="4927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520700"/>
                  <wp:effectExtent l="0" t="0" r="0" b="0"/>
                  <wp:wrapNone/>
                  <wp:docPr id="807" name="Text_Box_41_SpCnt_12"/>
                  <wp:cNvGraphicFramePr/>
                  <a:graphic xmlns:a="http://schemas.openxmlformats.org/drawingml/2006/main">
                    <a:graphicData uri="http://schemas.openxmlformats.org/drawingml/2006/picture">
                      <pic:pic xmlns:pic="http://schemas.openxmlformats.org/drawingml/2006/picture">
                        <pic:nvPicPr>
                          <pic:cNvPr id="807" name="Text_Box_41_SpCnt_12"/>
                          <pic:cNvPicPr/>
                        </pic:nvPicPr>
                        <pic:blipFill>
                          <a:blip r:embed="rId37"/>
                          <a:stretch>
                            <a:fillRect/>
                          </a:stretch>
                        </pic:blipFill>
                        <pic:spPr>
                          <a:xfrm>
                            <a:off x="0" y="0"/>
                            <a:ext cx="82550" cy="52070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08" name="Text_Box_35_SpCnt_14"/>
                  <wp:cNvGraphicFramePr/>
                  <a:graphic xmlns:a="http://schemas.openxmlformats.org/drawingml/2006/main">
                    <a:graphicData uri="http://schemas.openxmlformats.org/drawingml/2006/picture">
                      <pic:pic xmlns:pic="http://schemas.openxmlformats.org/drawingml/2006/picture">
                        <pic:nvPicPr>
                          <pic:cNvPr id="808" name="Text_Box_35_SpCnt_14"/>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09" name="Text_Box_35_SpCnt_15"/>
                  <wp:cNvGraphicFramePr/>
                  <a:graphic xmlns:a="http://schemas.openxmlformats.org/drawingml/2006/main">
                    <a:graphicData uri="http://schemas.openxmlformats.org/drawingml/2006/picture">
                      <pic:pic xmlns:pic="http://schemas.openxmlformats.org/drawingml/2006/picture">
                        <pic:nvPicPr>
                          <pic:cNvPr id="809" name="Text_Box_35_SpCnt_15"/>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92760"/>
                  <wp:effectExtent l="0" t="0" r="0" b="0"/>
                  <wp:wrapNone/>
                  <wp:docPr id="810" name="Text_Box_35_SpCnt_16"/>
                  <wp:cNvGraphicFramePr/>
                  <a:graphic xmlns:a="http://schemas.openxmlformats.org/drawingml/2006/main">
                    <a:graphicData uri="http://schemas.openxmlformats.org/drawingml/2006/picture">
                      <pic:pic xmlns:pic="http://schemas.openxmlformats.org/drawingml/2006/picture">
                        <pic:nvPicPr>
                          <pic:cNvPr id="810" name="Text_Box_35_SpCnt_16"/>
                          <pic:cNvPicPr/>
                        </pic:nvPicPr>
                        <pic:blipFill>
                          <a:blip r:embed="rId39"/>
                          <a:stretch>
                            <a:fillRect/>
                          </a:stretch>
                        </pic:blipFill>
                        <pic:spPr>
                          <a:xfrm>
                            <a:off x="0" y="0"/>
                            <a:ext cx="82550" cy="4927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92760"/>
                  <wp:effectExtent l="0" t="0" r="0" b="0"/>
                  <wp:wrapNone/>
                  <wp:docPr id="811" name="Text_Box_41_SpCnt_13"/>
                  <wp:cNvGraphicFramePr/>
                  <a:graphic xmlns:a="http://schemas.openxmlformats.org/drawingml/2006/main">
                    <a:graphicData uri="http://schemas.openxmlformats.org/drawingml/2006/picture">
                      <pic:pic xmlns:pic="http://schemas.openxmlformats.org/drawingml/2006/picture">
                        <pic:nvPicPr>
                          <pic:cNvPr id="811" name="Text_Box_41_SpCnt_13"/>
                          <pic:cNvPicPr/>
                        </pic:nvPicPr>
                        <pic:blipFill>
                          <a:blip r:embed="rId39"/>
                          <a:stretch>
                            <a:fillRect/>
                          </a:stretch>
                        </pic:blipFill>
                        <pic:spPr>
                          <a:xfrm>
                            <a:off x="0" y="0"/>
                            <a:ext cx="82550" cy="4927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12" name="Text_Box_41_SpCnt_14"/>
                  <wp:cNvGraphicFramePr/>
                  <a:graphic xmlns:a="http://schemas.openxmlformats.org/drawingml/2006/main">
                    <a:graphicData uri="http://schemas.openxmlformats.org/drawingml/2006/picture">
                      <pic:pic xmlns:pic="http://schemas.openxmlformats.org/drawingml/2006/picture">
                        <pic:nvPicPr>
                          <pic:cNvPr id="812" name="Text_Box_41_SpCnt_14"/>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92760"/>
                  <wp:effectExtent l="0" t="0" r="0" b="0"/>
                  <wp:wrapNone/>
                  <wp:docPr id="813" name="Text_Box_35_SpCnt_17"/>
                  <wp:cNvGraphicFramePr/>
                  <a:graphic xmlns:a="http://schemas.openxmlformats.org/drawingml/2006/main">
                    <a:graphicData uri="http://schemas.openxmlformats.org/drawingml/2006/picture">
                      <pic:pic xmlns:pic="http://schemas.openxmlformats.org/drawingml/2006/picture">
                        <pic:nvPicPr>
                          <pic:cNvPr id="813" name="Text_Box_35_SpCnt_17"/>
                          <pic:cNvPicPr/>
                        </pic:nvPicPr>
                        <pic:blipFill>
                          <a:blip r:embed="rId39"/>
                          <a:stretch>
                            <a:fillRect/>
                          </a:stretch>
                        </pic:blipFill>
                        <pic:spPr>
                          <a:xfrm>
                            <a:off x="0" y="0"/>
                            <a:ext cx="82550" cy="4927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92760"/>
                  <wp:effectExtent l="0" t="0" r="0" b="0"/>
                  <wp:wrapNone/>
                  <wp:docPr id="814" name="Text_Box_41_SpCnt_15"/>
                  <wp:cNvGraphicFramePr/>
                  <a:graphic xmlns:a="http://schemas.openxmlformats.org/drawingml/2006/main">
                    <a:graphicData uri="http://schemas.openxmlformats.org/drawingml/2006/picture">
                      <pic:pic xmlns:pic="http://schemas.openxmlformats.org/drawingml/2006/picture">
                        <pic:nvPicPr>
                          <pic:cNvPr id="814" name="Text_Box_41_SpCnt_15"/>
                          <pic:cNvPicPr/>
                        </pic:nvPicPr>
                        <pic:blipFill>
                          <a:blip r:embed="rId39"/>
                          <a:stretch>
                            <a:fillRect/>
                          </a:stretch>
                        </pic:blipFill>
                        <pic:spPr>
                          <a:xfrm>
                            <a:off x="0" y="0"/>
                            <a:ext cx="82550" cy="4927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15" name="Text_Box_41_SpCnt_16"/>
                  <wp:cNvGraphicFramePr/>
                  <a:graphic xmlns:a="http://schemas.openxmlformats.org/drawingml/2006/main">
                    <a:graphicData uri="http://schemas.openxmlformats.org/drawingml/2006/picture">
                      <pic:pic xmlns:pic="http://schemas.openxmlformats.org/drawingml/2006/picture">
                        <pic:nvPicPr>
                          <pic:cNvPr id="815" name="Text_Box_41_SpCnt_16"/>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16" name="Text_Box_35_SpCnt_18"/>
                  <wp:cNvGraphicFramePr/>
                  <a:graphic xmlns:a="http://schemas.openxmlformats.org/drawingml/2006/main">
                    <a:graphicData uri="http://schemas.openxmlformats.org/drawingml/2006/picture">
                      <pic:pic xmlns:pic="http://schemas.openxmlformats.org/drawingml/2006/picture">
                        <pic:nvPicPr>
                          <pic:cNvPr id="816" name="Text_Box_35_SpCnt_18"/>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92760"/>
                  <wp:effectExtent l="0" t="0" r="0" b="0"/>
                  <wp:wrapNone/>
                  <wp:docPr id="817" name="Text_Box_35_SpCnt_19"/>
                  <wp:cNvGraphicFramePr/>
                  <a:graphic xmlns:a="http://schemas.openxmlformats.org/drawingml/2006/main">
                    <a:graphicData uri="http://schemas.openxmlformats.org/drawingml/2006/picture">
                      <pic:pic xmlns:pic="http://schemas.openxmlformats.org/drawingml/2006/picture">
                        <pic:nvPicPr>
                          <pic:cNvPr id="817" name="Text_Box_35_SpCnt_19"/>
                          <pic:cNvPicPr/>
                        </pic:nvPicPr>
                        <pic:blipFill>
                          <a:blip r:embed="rId39"/>
                          <a:stretch>
                            <a:fillRect/>
                          </a:stretch>
                        </pic:blipFill>
                        <pic:spPr>
                          <a:xfrm>
                            <a:off x="0" y="0"/>
                            <a:ext cx="82550" cy="4927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92760"/>
                  <wp:effectExtent l="0" t="0" r="0" b="0"/>
                  <wp:wrapNone/>
                  <wp:docPr id="818" name="Text_Box_41_SpCnt_17"/>
                  <wp:cNvGraphicFramePr/>
                  <a:graphic xmlns:a="http://schemas.openxmlformats.org/drawingml/2006/main">
                    <a:graphicData uri="http://schemas.openxmlformats.org/drawingml/2006/picture">
                      <pic:pic xmlns:pic="http://schemas.openxmlformats.org/drawingml/2006/picture">
                        <pic:nvPicPr>
                          <pic:cNvPr id="818" name="Text_Box_41_SpCnt_17"/>
                          <pic:cNvPicPr/>
                        </pic:nvPicPr>
                        <pic:blipFill>
                          <a:blip r:embed="rId39"/>
                          <a:stretch>
                            <a:fillRect/>
                          </a:stretch>
                        </pic:blipFill>
                        <pic:spPr>
                          <a:xfrm>
                            <a:off x="0" y="0"/>
                            <a:ext cx="82550" cy="4927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19" name="Text_Box_41_SpCnt_18"/>
                  <wp:cNvGraphicFramePr/>
                  <a:graphic xmlns:a="http://schemas.openxmlformats.org/drawingml/2006/main">
                    <a:graphicData uri="http://schemas.openxmlformats.org/drawingml/2006/picture">
                      <pic:pic xmlns:pic="http://schemas.openxmlformats.org/drawingml/2006/picture">
                        <pic:nvPicPr>
                          <pic:cNvPr id="819" name="Text_Box_41_SpCnt_18"/>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92760"/>
                  <wp:effectExtent l="0" t="0" r="0" b="0"/>
                  <wp:wrapNone/>
                  <wp:docPr id="820" name="Text_Box_41_SpCnt_19"/>
                  <wp:cNvGraphicFramePr/>
                  <a:graphic xmlns:a="http://schemas.openxmlformats.org/drawingml/2006/main">
                    <a:graphicData uri="http://schemas.openxmlformats.org/drawingml/2006/picture">
                      <pic:pic xmlns:pic="http://schemas.openxmlformats.org/drawingml/2006/picture">
                        <pic:nvPicPr>
                          <pic:cNvPr id="820" name="Text_Box_41_SpCnt_19"/>
                          <pic:cNvPicPr/>
                        </pic:nvPicPr>
                        <pic:blipFill>
                          <a:blip r:embed="rId39"/>
                          <a:stretch>
                            <a:fillRect/>
                          </a:stretch>
                        </pic:blipFill>
                        <pic:spPr>
                          <a:xfrm>
                            <a:off x="0" y="0"/>
                            <a:ext cx="82550" cy="4927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92760"/>
                  <wp:effectExtent l="0" t="0" r="0" b="0"/>
                  <wp:wrapNone/>
                  <wp:docPr id="821" name="Text_Box_35_SpCnt_20"/>
                  <wp:cNvGraphicFramePr/>
                  <a:graphic xmlns:a="http://schemas.openxmlformats.org/drawingml/2006/main">
                    <a:graphicData uri="http://schemas.openxmlformats.org/drawingml/2006/picture">
                      <pic:pic xmlns:pic="http://schemas.openxmlformats.org/drawingml/2006/picture">
                        <pic:nvPicPr>
                          <pic:cNvPr id="821" name="Text_Box_35_SpCnt_20"/>
                          <pic:cNvPicPr/>
                        </pic:nvPicPr>
                        <pic:blipFill>
                          <a:blip r:embed="rId39"/>
                          <a:stretch>
                            <a:fillRect/>
                          </a:stretch>
                        </pic:blipFill>
                        <pic:spPr>
                          <a:xfrm>
                            <a:off x="0" y="0"/>
                            <a:ext cx="82550" cy="4927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22" name="Text_Box_41_SpCnt_20"/>
                  <wp:cNvGraphicFramePr/>
                  <a:graphic xmlns:a="http://schemas.openxmlformats.org/drawingml/2006/main">
                    <a:graphicData uri="http://schemas.openxmlformats.org/drawingml/2006/picture">
                      <pic:pic xmlns:pic="http://schemas.openxmlformats.org/drawingml/2006/picture">
                        <pic:nvPicPr>
                          <pic:cNvPr id="822" name="Text_Box_41_SpCnt_20"/>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17830"/>
                  <wp:effectExtent l="0" t="0" r="0" b="0"/>
                  <wp:wrapNone/>
                  <wp:docPr id="823" name="Text_Box_41_SpCnt_21"/>
                  <wp:cNvGraphicFramePr/>
                  <a:graphic xmlns:a="http://schemas.openxmlformats.org/drawingml/2006/main">
                    <a:graphicData uri="http://schemas.openxmlformats.org/drawingml/2006/picture">
                      <pic:pic xmlns:pic="http://schemas.openxmlformats.org/drawingml/2006/picture">
                        <pic:nvPicPr>
                          <pic:cNvPr id="823" name="Text_Box_41_SpCnt_21"/>
                          <pic:cNvPicPr/>
                        </pic:nvPicPr>
                        <pic:blipFill>
                          <a:blip r:embed="rId36"/>
                          <a:stretch>
                            <a:fillRect/>
                          </a:stretch>
                        </pic:blipFill>
                        <pic:spPr>
                          <a:xfrm>
                            <a:off x="0" y="0"/>
                            <a:ext cx="82550" cy="41783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520700"/>
                  <wp:effectExtent l="0" t="0" r="0" b="0"/>
                  <wp:wrapNone/>
                  <wp:docPr id="824" name="Text_Box_35_SpCnt_21"/>
                  <wp:cNvGraphicFramePr/>
                  <a:graphic xmlns:a="http://schemas.openxmlformats.org/drawingml/2006/main">
                    <a:graphicData uri="http://schemas.openxmlformats.org/drawingml/2006/picture">
                      <pic:pic xmlns:pic="http://schemas.openxmlformats.org/drawingml/2006/picture">
                        <pic:nvPicPr>
                          <pic:cNvPr id="824" name="Text_Box_35_SpCnt_21"/>
                          <pic:cNvPicPr/>
                        </pic:nvPicPr>
                        <pic:blipFill>
                          <a:blip r:embed="rId37"/>
                          <a:stretch>
                            <a:fillRect/>
                          </a:stretch>
                        </pic:blipFill>
                        <pic:spPr>
                          <a:xfrm>
                            <a:off x="0" y="0"/>
                            <a:ext cx="82550" cy="52070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25" name="Text_Box_35_SpCnt_22"/>
                  <wp:cNvGraphicFramePr/>
                  <a:graphic xmlns:a="http://schemas.openxmlformats.org/drawingml/2006/main">
                    <a:graphicData uri="http://schemas.openxmlformats.org/drawingml/2006/picture">
                      <pic:pic xmlns:pic="http://schemas.openxmlformats.org/drawingml/2006/picture">
                        <pic:nvPicPr>
                          <pic:cNvPr id="825" name="Text_Box_35_SpCnt_22"/>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92760"/>
                  <wp:effectExtent l="0" t="0" r="0" b="0"/>
                  <wp:wrapNone/>
                  <wp:docPr id="826" name="Text_Box_35_SpCnt_23"/>
                  <wp:cNvGraphicFramePr/>
                  <a:graphic xmlns:a="http://schemas.openxmlformats.org/drawingml/2006/main">
                    <a:graphicData uri="http://schemas.openxmlformats.org/drawingml/2006/picture">
                      <pic:pic xmlns:pic="http://schemas.openxmlformats.org/drawingml/2006/picture">
                        <pic:nvPicPr>
                          <pic:cNvPr id="826" name="Text_Box_35_SpCnt_23"/>
                          <pic:cNvPicPr/>
                        </pic:nvPicPr>
                        <pic:blipFill>
                          <a:blip r:embed="rId39"/>
                          <a:stretch>
                            <a:fillRect/>
                          </a:stretch>
                        </pic:blipFill>
                        <pic:spPr>
                          <a:xfrm>
                            <a:off x="0" y="0"/>
                            <a:ext cx="82550" cy="4927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27" name="Text_Box_35_SpCnt_24"/>
                  <wp:cNvGraphicFramePr/>
                  <a:graphic xmlns:a="http://schemas.openxmlformats.org/drawingml/2006/main">
                    <a:graphicData uri="http://schemas.openxmlformats.org/drawingml/2006/picture">
                      <pic:pic xmlns:pic="http://schemas.openxmlformats.org/drawingml/2006/picture">
                        <pic:nvPicPr>
                          <pic:cNvPr id="827" name="Text_Box_35_SpCnt_24"/>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28" name="Text_Box_41_SpCnt_22"/>
                  <wp:cNvGraphicFramePr/>
                  <a:graphic xmlns:a="http://schemas.openxmlformats.org/drawingml/2006/main">
                    <a:graphicData uri="http://schemas.openxmlformats.org/drawingml/2006/picture">
                      <pic:pic xmlns:pic="http://schemas.openxmlformats.org/drawingml/2006/picture">
                        <pic:nvPicPr>
                          <pic:cNvPr id="828" name="Text_Box_41_SpCnt_22"/>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92760"/>
                  <wp:effectExtent l="0" t="0" r="0" b="0"/>
                  <wp:wrapNone/>
                  <wp:docPr id="829" name="Text_Box_41_SpCnt_23"/>
                  <wp:cNvGraphicFramePr/>
                  <a:graphic xmlns:a="http://schemas.openxmlformats.org/drawingml/2006/main">
                    <a:graphicData uri="http://schemas.openxmlformats.org/drawingml/2006/picture">
                      <pic:pic xmlns:pic="http://schemas.openxmlformats.org/drawingml/2006/picture">
                        <pic:nvPicPr>
                          <pic:cNvPr id="829" name="Text_Box_41_SpCnt_23"/>
                          <pic:cNvPicPr/>
                        </pic:nvPicPr>
                        <pic:blipFill>
                          <a:blip r:embed="rId39"/>
                          <a:stretch>
                            <a:fillRect/>
                          </a:stretch>
                        </pic:blipFill>
                        <pic:spPr>
                          <a:xfrm>
                            <a:off x="0" y="0"/>
                            <a:ext cx="82550" cy="4927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30" name="Text_Box_35_SpCnt_25"/>
                  <wp:cNvGraphicFramePr/>
                  <a:graphic xmlns:a="http://schemas.openxmlformats.org/drawingml/2006/main">
                    <a:graphicData uri="http://schemas.openxmlformats.org/drawingml/2006/picture">
                      <pic:pic xmlns:pic="http://schemas.openxmlformats.org/drawingml/2006/picture">
                        <pic:nvPicPr>
                          <pic:cNvPr id="830" name="Text_Box_35_SpCnt_25"/>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31" name="Text_Box_41_SpCnt_24"/>
                  <wp:cNvGraphicFramePr/>
                  <a:graphic xmlns:a="http://schemas.openxmlformats.org/drawingml/2006/main">
                    <a:graphicData uri="http://schemas.openxmlformats.org/drawingml/2006/picture">
                      <pic:pic xmlns:pic="http://schemas.openxmlformats.org/drawingml/2006/picture">
                        <pic:nvPicPr>
                          <pic:cNvPr id="831" name="Text_Box_41_SpCnt_24"/>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32" name="Text_Box_41_SpCnt_25"/>
                  <wp:cNvGraphicFramePr/>
                  <a:graphic xmlns:a="http://schemas.openxmlformats.org/drawingml/2006/main">
                    <a:graphicData uri="http://schemas.openxmlformats.org/drawingml/2006/picture">
                      <pic:pic xmlns:pic="http://schemas.openxmlformats.org/drawingml/2006/picture">
                        <pic:nvPicPr>
                          <pic:cNvPr id="832" name="Text_Box_41_SpCnt_25"/>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92760"/>
                  <wp:effectExtent l="0" t="0" r="0" b="0"/>
                  <wp:wrapNone/>
                  <wp:docPr id="833" name="Text_Box_35_SpCnt_26"/>
                  <wp:cNvGraphicFramePr/>
                  <a:graphic xmlns:a="http://schemas.openxmlformats.org/drawingml/2006/main">
                    <a:graphicData uri="http://schemas.openxmlformats.org/drawingml/2006/picture">
                      <pic:pic xmlns:pic="http://schemas.openxmlformats.org/drawingml/2006/picture">
                        <pic:nvPicPr>
                          <pic:cNvPr id="833" name="Text_Box_35_SpCnt_26"/>
                          <pic:cNvPicPr/>
                        </pic:nvPicPr>
                        <pic:blipFill>
                          <a:blip r:embed="rId39"/>
                          <a:stretch>
                            <a:fillRect/>
                          </a:stretch>
                        </pic:blipFill>
                        <pic:spPr>
                          <a:xfrm>
                            <a:off x="0" y="0"/>
                            <a:ext cx="82550" cy="4927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34" name="Text_Box_35_SpCnt_27"/>
                  <wp:cNvGraphicFramePr/>
                  <a:graphic xmlns:a="http://schemas.openxmlformats.org/drawingml/2006/main">
                    <a:graphicData uri="http://schemas.openxmlformats.org/drawingml/2006/picture">
                      <pic:pic xmlns:pic="http://schemas.openxmlformats.org/drawingml/2006/picture">
                        <pic:nvPicPr>
                          <pic:cNvPr id="834" name="Text_Box_35_SpCnt_27"/>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35" name="Text_Box_41_SpCnt_26"/>
                  <wp:cNvGraphicFramePr/>
                  <a:graphic xmlns:a="http://schemas.openxmlformats.org/drawingml/2006/main">
                    <a:graphicData uri="http://schemas.openxmlformats.org/drawingml/2006/picture">
                      <pic:pic xmlns:pic="http://schemas.openxmlformats.org/drawingml/2006/picture">
                        <pic:nvPicPr>
                          <pic:cNvPr id="835" name="Text_Box_41_SpCnt_26"/>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92760"/>
                  <wp:effectExtent l="0" t="0" r="0" b="0"/>
                  <wp:wrapNone/>
                  <wp:docPr id="836" name="Text_Box_41_SpCnt_27"/>
                  <wp:cNvGraphicFramePr/>
                  <a:graphic xmlns:a="http://schemas.openxmlformats.org/drawingml/2006/main">
                    <a:graphicData uri="http://schemas.openxmlformats.org/drawingml/2006/picture">
                      <pic:pic xmlns:pic="http://schemas.openxmlformats.org/drawingml/2006/picture">
                        <pic:nvPicPr>
                          <pic:cNvPr id="836" name="Text_Box_41_SpCnt_27"/>
                          <pic:cNvPicPr/>
                        </pic:nvPicPr>
                        <pic:blipFill>
                          <a:blip r:embed="rId39"/>
                          <a:stretch>
                            <a:fillRect/>
                          </a:stretch>
                        </pic:blipFill>
                        <pic:spPr>
                          <a:xfrm>
                            <a:off x="0" y="0"/>
                            <a:ext cx="82550" cy="4927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37" name="Text_Box_35_SpCnt_28"/>
                  <wp:cNvGraphicFramePr/>
                  <a:graphic xmlns:a="http://schemas.openxmlformats.org/drawingml/2006/main">
                    <a:graphicData uri="http://schemas.openxmlformats.org/drawingml/2006/picture">
                      <pic:pic xmlns:pic="http://schemas.openxmlformats.org/drawingml/2006/picture">
                        <pic:nvPicPr>
                          <pic:cNvPr id="837" name="Text_Box_35_SpCnt_28"/>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38" name="Text_Box_41_SpCnt_28"/>
                  <wp:cNvGraphicFramePr/>
                  <a:graphic xmlns:a="http://schemas.openxmlformats.org/drawingml/2006/main">
                    <a:graphicData uri="http://schemas.openxmlformats.org/drawingml/2006/picture">
                      <pic:pic xmlns:pic="http://schemas.openxmlformats.org/drawingml/2006/picture">
                        <pic:nvPicPr>
                          <pic:cNvPr id="838" name="Text_Box_41_SpCnt_28"/>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520700"/>
                  <wp:effectExtent l="0" t="0" r="0" b="0"/>
                  <wp:wrapNone/>
                  <wp:docPr id="839" name="Text_Box_41_SpCnt_29"/>
                  <wp:cNvGraphicFramePr/>
                  <a:graphic xmlns:a="http://schemas.openxmlformats.org/drawingml/2006/main">
                    <a:graphicData uri="http://schemas.openxmlformats.org/drawingml/2006/picture">
                      <pic:pic xmlns:pic="http://schemas.openxmlformats.org/drawingml/2006/picture">
                        <pic:nvPicPr>
                          <pic:cNvPr id="839" name="Text_Box_41_SpCnt_29"/>
                          <pic:cNvPicPr/>
                        </pic:nvPicPr>
                        <pic:blipFill>
                          <a:blip r:embed="rId37"/>
                          <a:stretch>
                            <a:fillRect/>
                          </a:stretch>
                        </pic:blipFill>
                        <pic:spPr>
                          <a:xfrm>
                            <a:off x="0" y="0"/>
                            <a:ext cx="82550" cy="52070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40" name="Text_Box_35_SpCnt_29"/>
                  <wp:cNvGraphicFramePr/>
                  <a:graphic xmlns:a="http://schemas.openxmlformats.org/drawingml/2006/main">
                    <a:graphicData uri="http://schemas.openxmlformats.org/drawingml/2006/picture">
                      <pic:pic xmlns:pic="http://schemas.openxmlformats.org/drawingml/2006/picture">
                        <pic:nvPicPr>
                          <pic:cNvPr id="840" name="Text_Box_35_SpCnt_29"/>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92760"/>
                  <wp:effectExtent l="0" t="0" r="0" b="0"/>
                  <wp:wrapNone/>
                  <wp:docPr id="841" name="Text_Box_35_SpCnt_30"/>
                  <wp:cNvGraphicFramePr/>
                  <a:graphic xmlns:a="http://schemas.openxmlformats.org/drawingml/2006/main">
                    <a:graphicData uri="http://schemas.openxmlformats.org/drawingml/2006/picture">
                      <pic:pic xmlns:pic="http://schemas.openxmlformats.org/drawingml/2006/picture">
                        <pic:nvPicPr>
                          <pic:cNvPr id="841" name="Text_Box_35_SpCnt_30"/>
                          <pic:cNvPicPr/>
                        </pic:nvPicPr>
                        <pic:blipFill>
                          <a:blip r:embed="rId39"/>
                          <a:stretch>
                            <a:fillRect/>
                          </a:stretch>
                        </pic:blipFill>
                        <pic:spPr>
                          <a:xfrm>
                            <a:off x="0" y="0"/>
                            <a:ext cx="82550" cy="4927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42" name="Text_Box_35_SpCnt_31"/>
                  <wp:cNvGraphicFramePr/>
                  <a:graphic xmlns:a="http://schemas.openxmlformats.org/drawingml/2006/main">
                    <a:graphicData uri="http://schemas.openxmlformats.org/drawingml/2006/picture">
                      <pic:pic xmlns:pic="http://schemas.openxmlformats.org/drawingml/2006/picture">
                        <pic:nvPicPr>
                          <pic:cNvPr id="842" name="Text_Box_35_SpCnt_31"/>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43" name="Text_Box_41_SpCnt_30"/>
                  <wp:cNvGraphicFramePr/>
                  <a:graphic xmlns:a="http://schemas.openxmlformats.org/drawingml/2006/main">
                    <a:graphicData uri="http://schemas.openxmlformats.org/drawingml/2006/picture">
                      <pic:pic xmlns:pic="http://schemas.openxmlformats.org/drawingml/2006/picture">
                        <pic:nvPicPr>
                          <pic:cNvPr id="843" name="Text_Box_41_SpCnt_30"/>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92760"/>
                  <wp:effectExtent l="0" t="0" r="0" b="0"/>
                  <wp:wrapNone/>
                  <wp:docPr id="844" name="Text_Box_41_SpCnt_31"/>
                  <wp:cNvGraphicFramePr/>
                  <a:graphic xmlns:a="http://schemas.openxmlformats.org/drawingml/2006/main">
                    <a:graphicData uri="http://schemas.openxmlformats.org/drawingml/2006/picture">
                      <pic:pic xmlns:pic="http://schemas.openxmlformats.org/drawingml/2006/picture">
                        <pic:nvPicPr>
                          <pic:cNvPr id="844" name="Text_Box_41_SpCnt_31"/>
                          <pic:cNvPicPr/>
                        </pic:nvPicPr>
                        <pic:blipFill>
                          <a:blip r:embed="rId39"/>
                          <a:stretch>
                            <a:fillRect/>
                          </a:stretch>
                        </pic:blipFill>
                        <pic:spPr>
                          <a:xfrm>
                            <a:off x="0" y="0"/>
                            <a:ext cx="82550" cy="4927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45" name="Text_Box_35_SpCnt_32"/>
                  <wp:cNvGraphicFramePr/>
                  <a:graphic xmlns:a="http://schemas.openxmlformats.org/drawingml/2006/main">
                    <a:graphicData uri="http://schemas.openxmlformats.org/drawingml/2006/picture">
                      <pic:pic xmlns:pic="http://schemas.openxmlformats.org/drawingml/2006/picture">
                        <pic:nvPicPr>
                          <pic:cNvPr id="845" name="Text_Box_35_SpCnt_32"/>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46" name="Text_Box_41_SpCnt_32"/>
                  <wp:cNvGraphicFramePr/>
                  <a:graphic xmlns:a="http://schemas.openxmlformats.org/drawingml/2006/main">
                    <a:graphicData uri="http://schemas.openxmlformats.org/drawingml/2006/picture">
                      <pic:pic xmlns:pic="http://schemas.openxmlformats.org/drawingml/2006/picture">
                        <pic:nvPicPr>
                          <pic:cNvPr id="846" name="Text_Box_41_SpCnt_32"/>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47" name="Text_Box_35_SpCnt_33"/>
                  <wp:cNvGraphicFramePr/>
                  <a:graphic xmlns:a="http://schemas.openxmlformats.org/drawingml/2006/main">
                    <a:graphicData uri="http://schemas.openxmlformats.org/drawingml/2006/picture">
                      <pic:pic xmlns:pic="http://schemas.openxmlformats.org/drawingml/2006/picture">
                        <pic:nvPicPr>
                          <pic:cNvPr id="847" name="Text_Box_35_SpCnt_33"/>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48" name="Text_Box_41_SpCnt_33"/>
                  <wp:cNvGraphicFramePr/>
                  <a:graphic xmlns:a="http://schemas.openxmlformats.org/drawingml/2006/main">
                    <a:graphicData uri="http://schemas.openxmlformats.org/drawingml/2006/picture">
                      <pic:pic xmlns:pic="http://schemas.openxmlformats.org/drawingml/2006/picture">
                        <pic:nvPicPr>
                          <pic:cNvPr id="848" name="Text_Box_41_SpCnt_33"/>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49" name="Text_Box_35_SpCnt_34"/>
                  <wp:cNvGraphicFramePr/>
                  <a:graphic xmlns:a="http://schemas.openxmlformats.org/drawingml/2006/main">
                    <a:graphicData uri="http://schemas.openxmlformats.org/drawingml/2006/picture">
                      <pic:pic xmlns:pic="http://schemas.openxmlformats.org/drawingml/2006/picture">
                        <pic:nvPicPr>
                          <pic:cNvPr id="849" name="Text_Box_35_SpCnt_34"/>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50" name="Text_Box_41_SpCnt_34"/>
                  <wp:cNvGraphicFramePr/>
                  <a:graphic xmlns:a="http://schemas.openxmlformats.org/drawingml/2006/main">
                    <a:graphicData uri="http://schemas.openxmlformats.org/drawingml/2006/picture">
                      <pic:pic xmlns:pic="http://schemas.openxmlformats.org/drawingml/2006/picture">
                        <pic:nvPicPr>
                          <pic:cNvPr id="850" name="Text_Box_41_SpCnt_34"/>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520700"/>
                  <wp:effectExtent l="0" t="0" r="0" b="0"/>
                  <wp:wrapNone/>
                  <wp:docPr id="851" name="Text_Box_35_SpCnt_35"/>
                  <wp:cNvGraphicFramePr/>
                  <a:graphic xmlns:a="http://schemas.openxmlformats.org/drawingml/2006/main">
                    <a:graphicData uri="http://schemas.openxmlformats.org/drawingml/2006/picture">
                      <pic:pic xmlns:pic="http://schemas.openxmlformats.org/drawingml/2006/picture">
                        <pic:nvPicPr>
                          <pic:cNvPr id="851" name="Text_Box_35_SpCnt_35"/>
                          <pic:cNvPicPr/>
                        </pic:nvPicPr>
                        <pic:blipFill>
                          <a:blip r:embed="rId37"/>
                          <a:stretch>
                            <a:fillRect/>
                          </a:stretch>
                        </pic:blipFill>
                        <pic:spPr>
                          <a:xfrm>
                            <a:off x="0" y="0"/>
                            <a:ext cx="82550" cy="52070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52" name="Text_Box_41_SpCnt_35"/>
                  <wp:cNvGraphicFramePr/>
                  <a:graphic xmlns:a="http://schemas.openxmlformats.org/drawingml/2006/main">
                    <a:graphicData uri="http://schemas.openxmlformats.org/drawingml/2006/picture">
                      <pic:pic xmlns:pic="http://schemas.openxmlformats.org/drawingml/2006/picture">
                        <pic:nvPicPr>
                          <pic:cNvPr id="852" name="Text_Box_41_SpCnt_35"/>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53" name="Text_Box_35_SpCnt_36"/>
                  <wp:cNvGraphicFramePr/>
                  <a:graphic xmlns:a="http://schemas.openxmlformats.org/drawingml/2006/main">
                    <a:graphicData uri="http://schemas.openxmlformats.org/drawingml/2006/picture">
                      <pic:pic xmlns:pic="http://schemas.openxmlformats.org/drawingml/2006/picture">
                        <pic:nvPicPr>
                          <pic:cNvPr id="853" name="Text_Box_35_SpCnt_36"/>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54" name="Text_Box_41_SpCnt_36"/>
                  <wp:cNvGraphicFramePr/>
                  <a:graphic xmlns:a="http://schemas.openxmlformats.org/drawingml/2006/main">
                    <a:graphicData uri="http://schemas.openxmlformats.org/drawingml/2006/picture">
                      <pic:pic xmlns:pic="http://schemas.openxmlformats.org/drawingml/2006/picture">
                        <pic:nvPicPr>
                          <pic:cNvPr id="854" name="Text_Box_41_SpCnt_36"/>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55" name="Text_Box_35_SpCnt_37"/>
                  <wp:cNvGraphicFramePr/>
                  <a:graphic xmlns:a="http://schemas.openxmlformats.org/drawingml/2006/main">
                    <a:graphicData uri="http://schemas.openxmlformats.org/drawingml/2006/picture">
                      <pic:pic xmlns:pic="http://schemas.openxmlformats.org/drawingml/2006/picture">
                        <pic:nvPicPr>
                          <pic:cNvPr id="855" name="Text_Box_35_SpCnt_37"/>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56" name="Text_Box_41_SpCnt_37"/>
                  <wp:cNvGraphicFramePr/>
                  <a:graphic xmlns:a="http://schemas.openxmlformats.org/drawingml/2006/main">
                    <a:graphicData uri="http://schemas.openxmlformats.org/drawingml/2006/picture">
                      <pic:pic xmlns:pic="http://schemas.openxmlformats.org/drawingml/2006/picture">
                        <pic:nvPicPr>
                          <pic:cNvPr id="856" name="Text_Box_41_SpCnt_37"/>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57" name="Text_Box_35_SpCnt_38"/>
                  <wp:cNvGraphicFramePr/>
                  <a:graphic xmlns:a="http://schemas.openxmlformats.org/drawingml/2006/main">
                    <a:graphicData uri="http://schemas.openxmlformats.org/drawingml/2006/picture">
                      <pic:pic xmlns:pic="http://schemas.openxmlformats.org/drawingml/2006/picture">
                        <pic:nvPicPr>
                          <pic:cNvPr id="857" name="Text_Box_35_SpCnt_38"/>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6360" cy="488950"/>
                  <wp:effectExtent l="0" t="0" r="0" b="0"/>
                  <wp:wrapNone/>
                  <wp:docPr id="858" name="Text_Box_41_SpCnt_38"/>
                  <wp:cNvGraphicFramePr/>
                  <a:graphic xmlns:a="http://schemas.openxmlformats.org/drawingml/2006/main">
                    <a:graphicData uri="http://schemas.openxmlformats.org/drawingml/2006/picture">
                      <pic:pic xmlns:pic="http://schemas.openxmlformats.org/drawingml/2006/picture">
                        <pic:nvPicPr>
                          <pic:cNvPr id="858" name="Text_Box_41_SpCnt_38"/>
                          <pic:cNvPicPr/>
                        </pic:nvPicPr>
                        <pic:blipFill>
                          <a:blip r:embed="rId39"/>
                          <a:stretch>
                            <a:fillRect/>
                          </a:stretch>
                        </pic:blipFill>
                        <pic:spPr>
                          <a:xfrm>
                            <a:off x="0" y="0"/>
                            <a:ext cx="86360" cy="4889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520700"/>
                  <wp:effectExtent l="0" t="0" r="0" b="0"/>
                  <wp:wrapNone/>
                  <wp:docPr id="859" name="Text_Box_41_SpCnt_39"/>
                  <wp:cNvGraphicFramePr/>
                  <a:graphic xmlns:a="http://schemas.openxmlformats.org/drawingml/2006/main">
                    <a:graphicData uri="http://schemas.openxmlformats.org/drawingml/2006/picture">
                      <pic:pic xmlns:pic="http://schemas.openxmlformats.org/drawingml/2006/picture">
                        <pic:nvPicPr>
                          <pic:cNvPr id="859" name="Text_Box_41_SpCnt_39"/>
                          <pic:cNvPicPr/>
                        </pic:nvPicPr>
                        <pic:blipFill>
                          <a:blip r:embed="rId37"/>
                          <a:stretch>
                            <a:fillRect/>
                          </a:stretch>
                        </pic:blipFill>
                        <pic:spPr>
                          <a:xfrm>
                            <a:off x="0" y="0"/>
                            <a:ext cx="82550" cy="52070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6360" cy="488950"/>
                  <wp:effectExtent l="0" t="0" r="0" b="0"/>
                  <wp:wrapNone/>
                  <wp:docPr id="860" name="Text_Box_41_SpCnt_40"/>
                  <wp:cNvGraphicFramePr/>
                  <a:graphic xmlns:a="http://schemas.openxmlformats.org/drawingml/2006/main">
                    <a:graphicData uri="http://schemas.openxmlformats.org/drawingml/2006/picture">
                      <pic:pic xmlns:pic="http://schemas.openxmlformats.org/drawingml/2006/picture">
                        <pic:nvPicPr>
                          <pic:cNvPr id="860" name="Text_Box_41_SpCnt_40"/>
                          <pic:cNvPicPr/>
                        </pic:nvPicPr>
                        <pic:blipFill>
                          <a:blip r:embed="rId39"/>
                          <a:stretch>
                            <a:fillRect/>
                          </a:stretch>
                        </pic:blipFill>
                        <pic:spPr>
                          <a:xfrm>
                            <a:off x="0" y="0"/>
                            <a:ext cx="86360" cy="4889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6360" cy="488950"/>
                  <wp:effectExtent l="0" t="0" r="0" b="0"/>
                  <wp:wrapNone/>
                  <wp:docPr id="861" name="Text_Box_35_SpCnt_39"/>
                  <wp:cNvGraphicFramePr/>
                  <a:graphic xmlns:a="http://schemas.openxmlformats.org/drawingml/2006/main">
                    <a:graphicData uri="http://schemas.openxmlformats.org/drawingml/2006/picture">
                      <pic:pic xmlns:pic="http://schemas.openxmlformats.org/drawingml/2006/picture">
                        <pic:nvPicPr>
                          <pic:cNvPr id="861" name="Text_Box_35_SpCnt_39"/>
                          <pic:cNvPicPr/>
                        </pic:nvPicPr>
                        <pic:blipFill>
                          <a:blip r:embed="rId39"/>
                          <a:stretch>
                            <a:fillRect/>
                          </a:stretch>
                        </pic:blipFill>
                        <pic:spPr>
                          <a:xfrm>
                            <a:off x="0" y="0"/>
                            <a:ext cx="86360" cy="4889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6360" cy="488950"/>
                  <wp:effectExtent l="0" t="0" r="0" b="0"/>
                  <wp:wrapNone/>
                  <wp:docPr id="862" name="Text_Box_41_SpCnt_41"/>
                  <wp:cNvGraphicFramePr/>
                  <a:graphic xmlns:a="http://schemas.openxmlformats.org/drawingml/2006/main">
                    <a:graphicData uri="http://schemas.openxmlformats.org/drawingml/2006/picture">
                      <pic:pic xmlns:pic="http://schemas.openxmlformats.org/drawingml/2006/picture">
                        <pic:nvPicPr>
                          <pic:cNvPr id="862" name="Text_Box_41_SpCnt_41"/>
                          <pic:cNvPicPr/>
                        </pic:nvPicPr>
                        <pic:blipFill>
                          <a:blip r:embed="rId39"/>
                          <a:stretch>
                            <a:fillRect/>
                          </a:stretch>
                        </pic:blipFill>
                        <pic:spPr>
                          <a:xfrm>
                            <a:off x="0" y="0"/>
                            <a:ext cx="86360" cy="4889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6360" cy="488950"/>
                  <wp:effectExtent l="0" t="0" r="0" b="0"/>
                  <wp:wrapNone/>
                  <wp:docPr id="863" name="Text_Box_35_SpCnt_40"/>
                  <wp:cNvGraphicFramePr/>
                  <a:graphic xmlns:a="http://schemas.openxmlformats.org/drawingml/2006/main">
                    <a:graphicData uri="http://schemas.openxmlformats.org/drawingml/2006/picture">
                      <pic:pic xmlns:pic="http://schemas.openxmlformats.org/drawingml/2006/picture">
                        <pic:nvPicPr>
                          <pic:cNvPr id="863" name="Text_Box_35_SpCnt_40"/>
                          <pic:cNvPicPr/>
                        </pic:nvPicPr>
                        <pic:blipFill>
                          <a:blip r:embed="rId39"/>
                          <a:stretch>
                            <a:fillRect/>
                          </a:stretch>
                        </pic:blipFill>
                        <pic:spPr>
                          <a:xfrm>
                            <a:off x="0" y="0"/>
                            <a:ext cx="86360" cy="4889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6360" cy="488950"/>
                  <wp:effectExtent l="0" t="0" r="0" b="0"/>
                  <wp:wrapNone/>
                  <wp:docPr id="864" name="Text_Box_41_SpCnt_42"/>
                  <wp:cNvGraphicFramePr/>
                  <a:graphic xmlns:a="http://schemas.openxmlformats.org/drawingml/2006/main">
                    <a:graphicData uri="http://schemas.openxmlformats.org/drawingml/2006/picture">
                      <pic:pic xmlns:pic="http://schemas.openxmlformats.org/drawingml/2006/picture">
                        <pic:nvPicPr>
                          <pic:cNvPr id="864" name="Text_Box_41_SpCnt_42"/>
                          <pic:cNvPicPr/>
                        </pic:nvPicPr>
                        <pic:blipFill>
                          <a:blip r:embed="rId39"/>
                          <a:stretch>
                            <a:fillRect/>
                          </a:stretch>
                        </pic:blipFill>
                        <pic:spPr>
                          <a:xfrm>
                            <a:off x="0" y="0"/>
                            <a:ext cx="86360" cy="4889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520700"/>
                  <wp:effectExtent l="0" t="0" r="0" b="0"/>
                  <wp:wrapNone/>
                  <wp:docPr id="865" name="Text_Box_41_SpCnt_43"/>
                  <wp:cNvGraphicFramePr/>
                  <a:graphic xmlns:a="http://schemas.openxmlformats.org/drawingml/2006/main">
                    <a:graphicData uri="http://schemas.openxmlformats.org/drawingml/2006/picture">
                      <pic:pic xmlns:pic="http://schemas.openxmlformats.org/drawingml/2006/picture">
                        <pic:nvPicPr>
                          <pic:cNvPr id="865" name="Text_Box_41_SpCnt_43"/>
                          <pic:cNvPicPr/>
                        </pic:nvPicPr>
                        <pic:blipFill>
                          <a:blip r:embed="rId37"/>
                          <a:stretch>
                            <a:fillRect/>
                          </a:stretch>
                        </pic:blipFill>
                        <pic:spPr>
                          <a:xfrm>
                            <a:off x="0" y="0"/>
                            <a:ext cx="82550" cy="52070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6360" cy="488950"/>
                  <wp:effectExtent l="0" t="0" r="0" b="0"/>
                  <wp:wrapNone/>
                  <wp:docPr id="866" name="Text_Box_41_SpCnt_44"/>
                  <wp:cNvGraphicFramePr/>
                  <a:graphic xmlns:a="http://schemas.openxmlformats.org/drawingml/2006/main">
                    <a:graphicData uri="http://schemas.openxmlformats.org/drawingml/2006/picture">
                      <pic:pic xmlns:pic="http://schemas.openxmlformats.org/drawingml/2006/picture">
                        <pic:nvPicPr>
                          <pic:cNvPr id="866" name="Text_Box_41_SpCnt_44"/>
                          <pic:cNvPicPr/>
                        </pic:nvPicPr>
                        <pic:blipFill>
                          <a:blip r:embed="rId39"/>
                          <a:stretch>
                            <a:fillRect/>
                          </a:stretch>
                        </pic:blipFill>
                        <pic:spPr>
                          <a:xfrm>
                            <a:off x="0" y="0"/>
                            <a:ext cx="86360" cy="4889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67" name="Text_Box_35_SpCnt_41"/>
                  <wp:cNvGraphicFramePr/>
                  <a:graphic xmlns:a="http://schemas.openxmlformats.org/drawingml/2006/main">
                    <a:graphicData uri="http://schemas.openxmlformats.org/drawingml/2006/picture">
                      <pic:pic xmlns:pic="http://schemas.openxmlformats.org/drawingml/2006/picture">
                        <pic:nvPicPr>
                          <pic:cNvPr id="867" name="Text_Box_35_SpCnt_41"/>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17830"/>
                  <wp:effectExtent l="0" t="0" r="0" b="0"/>
                  <wp:wrapNone/>
                  <wp:docPr id="868" name="Text_Box_41_SpCnt_45"/>
                  <wp:cNvGraphicFramePr/>
                  <a:graphic xmlns:a="http://schemas.openxmlformats.org/drawingml/2006/main">
                    <a:graphicData uri="http://schemas.openxmlformats.org/drawingml/2006/picture">
                      <pic:pic xmlns:pic="http://schemas.openxmlformats.org/drawingml/2006/picture">
                        <pic:nvPicPr>
                          <pic:cNvPr id="868" name="Text_Box_41_SpCnt_45"/>
                          <pic:cNvPicPr/>
                        </pic:nvPicPr>
                        <pic:blipFill>
                          <a:blip r:embed="rId36"/>
                          <a:stretch>
                            <a:fillRect/>
                          </a:stretch>
                        </pic:blipFill>
                        <pic:spPr>
                          <a:xfrm>
                            <a:off x="0" y="0"/>
                            <a:ext cx="82550" cy="41783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520700"/>
                  <wp:effectExtent l="0" t="0" r="0" b="0"/>
                  <wp:wrapNone/>
                  <wp:docPr id="869" name="Text_Box_35_SpCnt_42"/>
                  <wp:cNvGraphicFramePr/>
                  <a:graphic xmlns:a="http://schemas.openxmlformats.org/drawingml/2006/main">
                    <a:graphicData uri="http://schemas.openxmlformats.org/drawingml/2006/picture">
                      <pic:pic xmlns:pic="http://schemas.openxmlformats.org/drawingml/2006/picture">
                        <pic:nvPicPr>
                          <pic:cNvPr id="869" name="Text_Box_35_SpCnt_42"/>
                          <pic:cNvPicPr/>
                        </pic:nvPicPr>
                        <pic:blipFill>
                          <a:blip r:embed="rId37"/>
                          <a:stretch>
                            <a:fillRect/>
                          </a:stretch>
                        </pic:blipFill>
                        <pic:spPr>
                          <a:xfrm>
                            <a:off x="0" y="0"/>
                            <a:ext cx="82550" cy="52070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70" name="Text_Box_41_SpCnt_46"/>
                  <wp:cNvGraphicFramePr/>
                  <a:graphic xmlns:a="http://schemas.openxmlformats.org/drawingml/2006/main">
                    <a:graphicData uri="http://schemas.openxmlformats.org/drawingml/2006/picture">
                      <pic:pic xmlns:pic="http://schemas.openxmlformats.org/drawingml/2006/picture">
                        <pic:nvPicPr>
                          <pic:cNvPr id="870" name="Text_Box_41_SpCnt_46"/>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520700"/>
                  <wp:effectExtent l="0" t="0" r="0" b="0"/>
                  <wp:wrapNone/>
                  <wp:docPr id="871" name="Text_Box_35_SpCnt_43"/>
                  <wp:cNvGraphicFramePr/>
                  <a:graphic xmlns:a="http://schemas.openxmlformats.org/drawingml/2006/main">
                    <a:graphicData uri="http://schemas.openxmlformats.org/drawingml/2006/picture">
                      <pic:pic xmlns:pic="http://schemas.openxmlformats.org/drawingml/2006/picture">
                        <pic:nvPicPr>
                          <pic:cNvPr id="871" name="Text_Box_35_SpCnt_43"/>
                          <pic:cNvPicPr/>
                        </pic:nvPicPr>
                        <pic:blipFill>
                          <a:blip r:embed="rId37"/>
                          <a:stretch>
                            <a:fillRect/>
                          </a:stretch>
                        </pic:blipFill>
                        <pic:spPr>
                          <a:xfrm>
                            <a:off x="0" y="0"/>
                            <a:ext cx="82550" cy="52070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520700"/>
                  <wp:effectExtent l="0" t="0" r="0" b="0"/>
                  <wp:wrapNone/>
                  <wp:docPr id="872" name="Text_Box_41_SpCnt_47"/>
                  <wp:cNvGraphicFramePr/>
                  <a:graphic xmlns:a="http://schemas.openxmlformats.org/drawingml/2006/main">
                    <a:graphicData uri="http://schemas.openxmlformats.org/drawingml/2006/picture">
                      <pic:pic xmlns:pic="http://schemas.openxmlformats.org/drawingml/2006/picture">
                        <pic:nvPicPr>
                          <pic:cNvPr id="872" name="Text_Box_41_SpCnt_47"/>
                          <pic:cNvPicPr/>
                        </pic:nvPicPr>
                        <pic:blipFill>
                          <a:blip r:embed="rId37"/>
                          <a:stretch>
                            <a:fillRect/>
                          </a:stretch>
                        </pic:blipFill>
                        <pic:spPr>
                          <a:xfrm>
                            <a:off x="0" y="0"/>
                            <a:ext cx="82550" cy="52070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520700"/>
                  <wp:effectExtent l="0" t="0" r="0" b="0"/>
                  <wp:wrapNone/>
                  <wp:docPr id="873" name="Text_Box_35_SpCnt_44"/>
                  <wp:cNvGraphicFramePr/>
                  <a:graphic xmlns:a="http://schemas.openxmlformats.org/drawingml/2006/main">
                    <a:graphicData uri="http://schemas.openxmlformats.org/drawingml/2006/picture">
                      <pic:pic xmlns:pic="http://schemas.openxmlformats.org/drawingml/2006/picture">
                        <pic:nvPicPr>
                          <pic:cNvPr id="873" name="Text_Box_35_SpCnt_44"/>
                          <pic:cNvPicPr/>
                        </pic:nvPicPr>
                        <pic:blipFill>
                          <a:blip r:embed="rId37"/>
                          <a:stretch>
                            <a:fillRect/>
                          </a:stretch>
                        </pic:blipFill>
                        <pic:spPr>
                          <a:xfrm>
                            <a:off x="0" y="0"/>
                            <a:ext cx="82550" cy="52070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17830"/>
                  <wp:effectExtent l="0" t="0" r="0" b="0"/>
                  <wp:wrapNone/>
                  <wp:docPr id="874" name="Text_Box_41_SpCnt_48"/>
                  <wp:cNvGraphicFramePr/>
                  <a:graphic xmlns:a="http://schemas.openxmlformats.org/drawingml/2006/main">
                    <a:graphicData uri="http://schemas.openxmlformats.org/drawingml/2006/picture">
                      <pic:pic xmlns:pic="http://schemas.openxmlformats.org/drawingml/2006/picture">
                        <pic:nvPicPr>
                          <pic:cNvPr id="874" name="Text_Box_41_SpCnt_48"/>
                          <pic:cNvPicPr/>
                        </pic:nvPicPr>
                        <pic:blipFill>
                          <a:blip r:embed="rId36"/>
                          <a:stretch>
                            <a:fillRect/>
                          </a:stretch>
                        </pic:blipFill>
                        <pic:spPr>
                          <a:xfrm>
                            <a:off x="0" y="0"/>
                            <a:ext cx="82550" cy="41783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17830"/>
                  <wp:effectExtent l="0" t="0" r="0" b="0"/>
                  <wp:wrapNone/>
                  <wp:docPr id="875" name="Text_Box_35_SpCnt_45"/>
                  <wp:cNvGraphicFramePr/>
                  <a:graphic xmlns:a="http://schemas.openxmlformats.org/drawingml/2006/main">
                    <a:graphicData uri="http://schemas.openxmlformats.org/drawingml/2006/picture">
                      <pic:pic xmlns:pic="http://schemas.openxmlformats.org/drawingml/2006/picture">
                        <pic:nvPicPr>
                          <pic:cNvPr id="875" name="Text_Box_35_SpCnt_45"/>
                          <pic:cNvPicPr/>
                        </pic:nvPicPr>
                        <pic:blipFill>
                          <a:blip r:embed="rId36"/>
                          <a:stretch>
                            <a:fillRect/>
                          </a:stretch>
                        </pic:blipFill>
                        <pic:spPr>
                          <a:xfrm>
                            <a:off x="0" y="0"/>
                            <a:ext cx="82550" cy="41783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17830"/>
                  <wp:effectExtent l="0" t="0" r="0" b="0"/>
                  <wp:wrapNone/>
                  <wp:docPr id="876" name="Text_Box_41_SpCnt_49"/>
                  <wp:cNvGraphicFramePr/>
                  <a:graphic xmlns:a="http://schemas.openxmlformats.org/drawingml/2006/main">
                    <a:graphicData uri="http://schemas.openxmlformats.org/drawingml/2006/picture">
                      <pic:pic xmlns:pic="http://schemas.openxmlformats.org/drawingml/2006/picture">
                        <pic:nvPicPr>
                          <pic:cNvPr id="876" name="Text_Box_41_SpCnt_49"/>
                          <pic:cNvPicPr/>
                        </pic:nvPicPr>
                        <pic:blipFill>
                          <a:blip r:embed="rId36"/>
                          <a:stretch>
                            <a:fillRect/>
                          </a:stretch>
                        </pic:blipFill>
                        <pic:spPr>
                          <a:xfrm>
                            <a:off x="0" y="0"/>
                            <a:ext cx="82550" cy="41783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17830"/>
                  <wp:effectExtent l="0" t="0" r="0" b="0"/>
                  <wp:wrapNone/>
                  <wp:docPr id="877" name="Text_Box_35_SpCnt_46"/>
                  <wp:cNvGraphicFramePr/>
                  <a:graphic xmlns:a="http://schemas.openxmlformats.org/drawingml/2006/main">
                    <a:graphicData uri="http://schemas.openxmlformats.org/drawingml/2006/picture">
                      <pic:pic xmlns:pic="http://schemas.openxmlformats.org/drawingml/2006/picture">
                        <pic:nvPicPr>
                          <pic:cNvPr id="877" name="Text_Box_35_SpCnt_46"/>
                          <pic:cNvPicPr/>
                        </pic:nvPicPr>
                        <pic:blipFill>
                          <a:blip r:embed="rId36"/>
                          <a:stretch>
                            <a:fillRect/>
                          </a:stretch>
                        </pic:blipFill>
                        <pic:spPr>
                          <a:xfrm>
                            <a:off x="0" y="0"/>
                            <a:ext cx="82550" cy="41783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17830"/>
                  <wp:effectExtent l="0" t="0" r="0" b="0"/>
                  <wp:wrapNone/>
                  <wp:docPr id="878" name="Text_Box_41_SpCnt_50"/>
                  <wp:cNvGraphicFramePr/>
                  <a:graphic xmlns:a="http://schemas.openxmlformats.org/drawingml/2006/main">
                    <a:graphicData uri="http://schemas.openxmlformats.org/drawingml/2006/picture">
                      <pic:pic xmlns:pic="http://schemas.openxmlformats.org/drawingml/2006/picture">
                        <pic:nvPicPr>
                          <pic:cNvPr id="878" name="Text_Box_41_SpCnt_50"/>
                          <pic:cNvPicPr/>
                        </pic:nvPicPr>
                        <pic:blipFill>
                          <a:blip r:embed="rId36"/>
                          <a:stretch>
                            <a:fillRect/>
                          </a:stretch>
                        </pic:blipFill>
                        <pic:spPr>
                          <a:xfrm>
                            <a:off x="0" y="0"/>
                            <a:ext cx="82550" cy="41783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17830"/>
                  <wp:effectExtent l="0" t="0" r="0" b="0"/>
                  <wp:wrapNone/>
                  <wp:docPr id="879" name="Text_Box_35_SpCnt_47"/>
                  <wp:cNvGraphicFramePr/>
                  <a:graphic xmlns:a="http://schemas.openxmlformats.org/drawingml/2006/main">
                    <a:graphicData uri="http://schemas.openxmlformats.org/drawingml/2006/picture">
                      <pic:pic xmlns:pic="http://schemas.openxmlformats.org/drawingml/2006/picture">
                        <pic:nvPicPr>
                          <pic:cNvPr id="879" name="Text_Box_35_SpCnt_47"/>
                          <pic:cNvPicPr/>
                        </pic:nvPicPr>
                        <pic:blipFill>
                          <a:blip r:embed="rId36"/>
                          <a:stretch>
                            <a:fillRect/>
                          </a:stretch>
                        </pic:blipFill>
                        <pic:spPr>
                          <a:xfrm>
                            <a:off x="0" y="0"/>
                            <a:ext cx="82550" cy="41783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17830"/>
                  <wp:effectExtent l="0" t="0" r="0" b="0"/>
                  <wp:wrapNone/>
                  <wp:docPr id="880" name="Text_Box_41_SpCnt_51"/>
                  <wp:cNvGraphicFramePr/>
                  <a:graphic xmlns:a="http://schemas.openxmlformats.org/drawingml/2006/main">
                    <a:graphicData uri="http://schemas.openxmlformats.org/drawingml/2006/picture">
                      <pic:pic xmlns:pic="http://schemas.openxmlformats.org/drawingml/2006/picture">
                        <pic:nvPicPr>
                          <pic:cNvPr id="880" name="Text_Box_41_SpCnt_51"/>
                          <pic:cNvPicPr/>
                        </pic:nvPicPr>
                        <pic:blipFill>
                          <a:blip r:embed="rId36"/>
                          <a:stretch>
                            <a:fillRect/>
                          </a:stretch>
                        </pic:blipFill>
                        <pic:spPr>
                          <a:xfrm>
                            <a:off x="0" y="0"/>
                            <a:ext cx="82550" cy="41783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17830"/>
                  <wp:effectExtent l="0" t="0" r="0" b="0"/>
                  <wp:wrapNone/>
                  <wp:docPr id="881" name="Text_Box_35_SpCnt_48"/>
                  <wp:cNvGraphicFramePr/>
                  <a:graphic xmlns:a="http://schemas.openxmlformats.org/drawingml/2006/main">
                    <a:graphicData uri="http://schemas.openxmlformats.org/drawingml/2006/picture">
                      <pic:pic xmlns:pic="http://schemas.openxmlformats.org/drawingml/2006/picture">
                        <pic:nvPicPr>
                          <pic:cNvPr id="881" name="Text_Box_35_SpCnt_48"/>
                          <pic:cNvPicPr/>
                        </pic:nvPicPr>
                        <pic:blipFill>
                          <a:blip r:embed="rId36"/>
                          <a:stretch>
                            <a:fillRect/>
                          </a:stretch>
                        </pic:blipFill>
                        <pic:spPr>
                          <a:xfrm>
                            <a:off x="0" y="0"/>
                            <a:ext cx="82550" cy="41783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82" name="Text_Box_41_SpCnt_52"/>
                  <wp:cNvGraphicFramePr/>
                  <a:graphic xmlns:a="http://schemas.openxmlformats.org/drawingml/2006/main">
                    <a:graphicData uri="http://schemas.openxmlformats.org/drawingml/2006/picture">
                      <pic:pic xmlns:pic="http://schemas.openxmlformats.org/drawingml/2006/picture">
                        <pic:nvPicPr>
                          <pic:cNvPr id="882" name="Text_Box_41_SpCnt_52"/>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6360" cy="488950"/>
                  <wp:effectExtent l="0" t="0" r="0" b="0"/>
                  <wp:wrapNone/>
                  <wp:docPr id="883" name="Text_Box_41_SpCnt_53"/>
                  <wp:cNvGraphicFramePr/>
                  <a:graphic xmlns:a="http://schemas.openxmlformats.org/drawingml/2006/main">
                    <a:graphicData uri="http://schemas.openxmlformats.org/drawingml/2006/picture">
                      <pic:pic xmlns:pic="http://schemas.openxmlformats.org/drawingml/2006/picture">
                        <pic:nvPicPr>
                          <pic:cNvPr id="883" name="Text_Box_41_SpCnt_53"/>
                          <pic:cNvPicPr/>
                        </pic:nvPicPr>
                        <pic:blipFill>
                          <a:blip r:embed="rId39"/>
                          <a:stretch>
                            <a:fillRect/>
                          </a:stretch>
                        </pic:blipFill>
                        <pic:spPr>
                          <a:xfrm>
                            <a:off x="0" y="0"/>
                            <a:ext cx="86360" cy="4889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92760"/>
                  <wp:effectExtent l="0" t="0" r="0" b="0"/>
                  <wp:wrapNone/>
                  <wp:docPr id="884" name="Text_Box_35_SpCnt_49"/>
                  <wp:cNvGraphicFramePr/>
                  <a:graphic xmlns:a="http://schemas.openxmlformats.org/drawingml/2006/main">
                    <a:graphicData uri="http://schemas.openxmlformats.org/drawingml/2006/picture">
                      <pic:pic xmlns:pic="http://schemas.openxmlformats.org/drawingml/2006/picture">
                        <pic:nvPicPr>
                          <pic:cNvPr id="884" name="Text_Box_35_SpCnt_49"/>
                          <pic:cNvPicPr/>
                        </pic:nvPicPr>
                        <pic:blipFill>
                          <a:blip r:embed="rId39"/>
                          <a:stretch>
                            <a:fillRect/>
                          </a:stretch>
                        </pic:blipFill>
                        <pic:spPr>
                          <a:xfrm>
                            <a:off x="0" y="0"/>
                            <a:ext cx="82550" cy="4927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85" name="Text_Box_41_SpCnt_54"/>
                  <wp:cNvGraphicFramePr/>
                  <a:graphic xmlns:a="http://schemas.openxmlformats.org/drawingml/2006/main">
                    <a:graphicData uri="http://schemas.openxmlformats.org/drawingml/2006/picture">
                      <pic:pic xmlns:pic="http://schemas.openxmlformats.org/drawingml/2006/picture">
                        <pic:nvPicPr>
                          <pic:cNvPr id="885" name="Text_Box_41_SpCnt_54"/>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520700"/>
                  <wp:effectExtent l="0" t="0" r="0" b="0"/>
                  <wp:wrapNone/>
                  <wp:docPr id="886" name="Text_Box_35_SpCnt_50"/>
                  <wp:cNvGraphicFramePr/>
                  <a:graphic xmlns:a="http://schemas.openxmlformats.org/drawingml/2006/main">
                    <a:graphicData uri="http://schemas.openxmlformats.org/drawingml/2006/picture">
                      <pic:pic xmlns:pic="http://schemas.openxmlformats.org/drawingml/2006/picture">
                        <pic:nvPicPr>
                          <pic:cNvPr id="886" name="Text_Box_35_SpCnt_50"/>
                          <pic:cNvPicPr/>
                        </pic:nvPicPr>
                        <pic:blipFill>
                          <a:blip r:embed="rId37"/>
                          <a:stretch>
                            <a:fillRect/>
                          </a:stretch>
                        </pic:blipFill>
                        <pic:spPr>
                          <a:xfrm>
                            <a:off x="0" y="0"/>
                            <a:ext cx="82550" cy="52070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6360" cy="488950"/>
                  <wp:effectExtent l="0" t="0" r="0" b="0"/>
                  <wp:wrapNone/>
                  <wp:docPr id="887" name="Text_Box_35_SpCnt_51"/>
                  <wp:cNvGraphicFramePr/>
                  <a:graphic xmlns:a="http://schemas.openxmlformats.org/drawingml/2006/main">
                    <a:graphicData uri="http://schemas.openxmlformats.org/drawingml/2006/picture">
                      <pic:pic xmlns:pic="http://schemas.openxmlformats.org/drawingml/2006/picture">
                        <pic:nvPicPr>
                          <pic:cNvPr id="887" name="Text_Box_35_SpCnt_51"/>
                          <pic:cNvPicPr/>
                        </pic:nvPicPr>
                        <pic:blipFill>
                          <a:blip r:embed="rId39"/>
                          <a:stretch>
                            <a:fillRect/>
                          </a:stretch>
                        </pic:blipFill>
                        <pic:spPr>
                          <a:xfrm>
                            <a:off x="0" y="0"/>
                            <a:ext cx="86360" cy="4889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88" name="Text_Box_35_SpCnt_52"/>
                  <wp:cNvGraphicFramePr/>
                  <a:graphic xmlns:a="http://schemas.openxmlformats.org/drawingml/2006/main">
                    <a:graphicData uri="http://schemas.openxmlformats.org/drawingml/2006/picture">
                      <pic:pic xmlns:pic="http://schemas.openxmlformats.org/drawingml/2006/picture">
                        <pic:nvPicPr>
                          <pic:cNvPr id="888" name="Text_Box_35_SpCnt_52"/>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89" name="Text_Box_35_SpCnt_53"/>
                  <wp:cNvGraphicFramePr/>
                  <a:graphic xmlns:a="http://schemas.openxmlformats.org/drawingml/2006/main">
                    <a:graphicData uri="http://schemas.openxmlformats.org/drawingml/2006/picture">
                      <pic:pic xmlns:pic="http://schemas.openxmlformats.org/drawingml/2006/picture">
                        <pic:nvPicPr>
                          <pic:cNvPr id="889" name="Text_Box_35_SpCnt_53"/>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6360" cy="488950"/>
                  <wp:effectExtent l="0" t="0" r="0" b="0"/>
                  <wp:wrapNone/>
                  <wp:docPr id="890" name="Text_Box_35_SpCnt_54"/>
                  <wp:cNvGraphicFramePr/>
                  <a:graphic xmlns:a="http://schemas.openxmlformats.org/drawingml/2006/main">
                    <a:graphicData uri="http://schemas.openxmlformats.org/drawingml/2006/picture">
                      <pic:pic xmlns:pic="http://schemas.openxmlformats.org/drawingml/2006/picture">
                        <pic:nvPicPr>
                          <pic:cNvPr id="890" name="Text_Box_35_SpCnt_54"/>
                          <pic:cNvPicPr/>
                        </pic:nvPicPr>
                        <pic:blipFill>
                          <a:blip r:embed="rId39"/>
                          <a:stretch>
                            <a:fillRect/>
                          </a:stretch>
                        </pic:blipFill>
                        <pic:spPr>
                          <a:xfrm>
                            <a:off x="0" y="0"/>
                            <a:ext cx="86360" cy="4889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91" name="Text_Box_41_SpCnt_55"/>
                  <wp:cNvGraphicFramePr/>
                  <a:graphic xmlns:a="http://schemas.openxmlformats.org/drawingml/2006/main">
                    <a:graphicData uri="http://schemas.openxmlformats.org/drawingml/2006/picture">
                      <pic:pic xmlns:pic="http://schemas.openxmlformats.org/drawingml/2006/picture">
                        <pic:nvPicPr>
                          <pic:cNvPr id="891" name="Text_Box_41_SpCnt_55"/>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6360" cy="488950"/>
                  <wp:effectExtent l="0" t="0" r="0" b="0"/>
                  <wp:wrapNone/>
                  <wp:docPr id="892" name="Text_Box_41_SpCnt_56"/>
                  <wp:cNvGraphicFramePr/>
                  <a:graphic xmlns:a="http://schemas.openxmlformats.org/drawingml/2006/main">
                    <a:graphicData uri="http://schemas.openxmlformats.org/drawingml/2006/picture">
                      <pic:pic xmlns:pic="http://schemas.openxmlformats.org/drawingml/2006/picture">
                        <pic:nvPicPr>
                          <pic:cNvPr id="892" name="Text_Box_41_SpCnt_56"/>
                          <pic:cNvPicPr/>
                        </pic:nvPicPr>
                        <pic:blipFill>
                          <a:blip r:embed="rId39"/>
                          <a:stretch>
                            <a:fillRect/>
                          </a:stretch>
                        </pic:blipFill>
                        <pic:spPr>
                          <a:xfrm>
                            <a:off x="0" y="0"/>
                            <a:ext cx="86360" cy="4889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93" name="Text_Box_35_SpCnt_55"/>
                  <wp:cNvGraphicFramePr/>
                  <a:graphic xmlns:a="http://schemas.openxmlformats.org/drawingml/2006/main">
                    <a:graphicData uri="http://schemas.openxmlformats.org/drawingml/2006/picture">
                      <pic:pic xmlns:pic="http://schemas.openxmlformats.org/drawingml/2006/picture">
                        <pic:nvPicPr>
                          <pic:cNvPr id="893" name="Text_Box_35_SpCnt_55"/>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94" name="Text_Box_41_SpCnt_57"/>
                  <wp:cNvGraphicFramePr/>
                  <a:graphic xmlns:a="http://schemas.openxmlformats.org/drawingml/2006/main">
                    <a:graphicData uri="http://schemas.openxmlformats.org/drawingml/2006/picture">
                      <pic:pic xmlns:pic="http://schemas.openxmlformats.org/drawingml/2006/picture">
                        <pic:nvPicPr>
                          <pic:cNvPr id="894" name="Text_Box_41_SpCnt_57"/>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6360" cy="488950"/>
                  <wp:effectExtent l="0" t="0" r="0" b="0"/>
                  <wp:wrapNone/>
                  <wp:docPr id="895" name="Text_Box_35_SpCnt_56"/>
                  <wp:cNvGraphicFramePr/>
                  <a:graphic xmlns:a="http://schemas.openxmlformats.org/drawingml/2006/main">
                    <a:graphicData uri="http://schemas.openxmlformats.org/drawingml/2006/picture">
                      <pic:pic xmlns:pic="http://schemas.openxmlformats.org/drawingml/2006/picture">
                        <pic:nvPicPr>
                          <pic:cNvPr id="895" name="Text_Box_35_SpCnt_56"/>
                          <pic:cNvPicPr/>
                        </pic:nvPicPr>
                        <pic:blipFill>
                          <a:blip r:embed="rId39"/>
                          <a:stretch>
                            <a:fillRect/>
                          </a:stretch>
                        </pic:blipFill>
                        <pic:spPr>
                          <a:xfrm>
                            <a:off x="0" y="0"/>
                            <a:ext cx="86360" cy="4889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96" name="Text_Box_35_SpCnt_57"/>
                  <wp:cNvGraphicFramePr/>
                  <a:graphic xmlns:a="http://schemas.openxmlformats.org/drawingml/2006/main">
                    <a:graphicData uri="http://schemas.openxmlformats.org/drawingml/2006/picture">
                      <pic:pic xmlns:pic="http://schemas.openxmlformats.org/drawingml/2006/picture">
                        <pic:nvPicPr>
                          <pic:cNvPr id="896" name="Text_Box_35_SpCnt_57"/>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6360" cy="488950"/>
                  <wp:effectExtent l="0" t="0" r="0" b="0"/>
                  <wp:wrapNone/>
                  <wp:docPr id="897" name="Text_Box_35_SpCnt_58"/>
                  <wp:cNvGraphicFramePr/>
                  <a:graphic xmlns:a="http://schemas.openxmlformats.org/drawingml/2006/main">
                    <a:graphicData uri="http://schemas.openxmlformats.org/drawingml/2006/picture">
                      <pic:pic xmlns:pic="http://schemas.openxmlformats.org/drawingml/2006/picture">
                        <pic:nvPicPr>
                          <pic:cNvPr id="897" name="Text_Box_35_SpCnt_58"/>
                          <pic:cNvPicPr/>
                        </pic:nvPicPr>
                        <pic:blipFill>
                          <a:blip r:embed="rId39"/>
                          <a:stretch>
                            <a:fillRect/>
                          </a:stretch>
                        </pic:blipFill>
                        <pic:spPr>
                          <a:xfrm>
                            <a:off x="0" y="0"/>
                            <a:ext cx="86360" cy="4889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98" name="Text_Box_41_SpCnt_58"/>
                  <wp:cNvGraphicFramePr/>
                  <a:graphic xmlns:a="http://schemas.openxmlformats.org/drawingml/2006/main">
                    <a:graphicData uri="http://schemas.openxmlformats.org/drawingml/2006/picture">
                      <pic:pic xmlns:pic="http://schemas.openxmlformats.org/drawingml/2006/picture">
                        <pic:nvPicPr>
                          <pic:cNvPr id="898" name="Text_Box_41_SpCnt_58"/>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99" name="Text_Box_35_SpCnt_59"/>
                  <wp:cNvGraphicFramePr/>
                  <a:graphic xmlns:a="http://schemas.openxmlformats.org/drawingml/2006/main">
                    <a:graphicData uri="http://schemas.openxmlformats.org/drawingml/2006/picture">
                      <pic:pic xmlns:pic="http://schemas.openxmlformats.org/drawingml/2006/picture">
                        <pic:nvPicPr>
                          <pic:cNvPr id="899" name="Text_Box_35_SpCnt_59"/>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6360" cy="488950"/>
                  <wp:effectExtent l="0" t="0" r="0" b="0"/>
                  <wp:wrapNone/>
                  <wp:docPr id="900" name="Text_Box_35_SpCnt_60"/>
                  <wp:cNvGraphicFramePr/>
                  <a:graphic xmlns:a="http://schemas.openxmlformats.org/drawingml/2006/main">
                    <a:graphicData uri="http://schemas.openxmlformats.org/drawingml/2006/picture">
                      <pic:pic xmlns:pic="http://schemas.openxmlformats.org/drawingml/2006/picture">
                        <pic:nvPicPr>
                          <pic:cNvPr id="900" name="Text_Box_35_SpCnt_60"/>
                          <pic:cNvPicPr/>
                        </pic:nvPicPr>
                        <pic:blipFill>
                          <a:blip r:embed="rId39"/>
                          <a:stretch>
                            <a:fillRect/>
                          </a:stretch>
                        </pic:blipFill>
                        <pic:spPr>
                          <a:xfrm>
                            <a:off x="0" y="0"/>
                            <a:ext cx="86360" cy="4889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17830"/>
                  <wp:effectExtent l="0" t="0" r="0" b="0"/>
                  <wp:wrapNone/>
                  <wp:docPr id="901" name="Text_Box_35_SpCnt_61"/>
                  <wp:cNvGraphicFramePr/>
                  <a:graphic xmlns:a="http://schemas.openxmlformats.org/drawingml/2006/main">
                    <a:graphicData uri="http://schemas.openxmlformats.org/drawingml/2006/picture">
                      <pic:pic xmlns:pic="http://schemas.openxmlformats.org/drawingml/2006/picture">
                        <pic:nvPicPr>
                          <pic:cNvPr id="901" name="Text_Box_35_SpCnt_61"/>
                          <pic:cNvPicPr/>
                        </pic:nvPicPr>
                        <pic:blipFill>
                          <a:blip r:embed="rId36"/>
                          <a:stretch>
                            <a:fillRect/>
                          </a:stretch>
                        </pic:blipFill>
                        <pic:spPr>
                          <a:xfrm>
                            <a:off x="0" y="0"/>
                            <a:ext cx="82550" cy="41783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17830"/>
                  <wp:effectExtent l="0" t="0" r="0" b="0"/>
                  <wp:wrapNone/>
                  <wp:docPr id="902" name="Text_Box_35_SpCnt_62"/>
                  <wp:cNvGraphicFramePr/>
                  <a:graphic xmlns:a="http://schemas.openxmlformats.org/drawingml/2006/main">
                    <a:graphicData uri="http://schemas.openxmlformats.org/drawingml/2006/picture">
                      <pic:pic xmlns:pic="http://schemas.openxmlformats.org/drawingml/2006/picture">
                        <pic:nvPicPr>
                          <pic:cNvPr id="902" name="Text_Box_35_SpCnt_62"/>
                          <pic:cNvPicPr/>
                        </pic:nvPicPr>
                        <pic:blipFill>
                          <a:blip r:embed="rId36"/>
                          <a:stretch>
                            <a:fillRect/>
                          </a:stretch>
                        </pic:blipFill>
                        <pic:spPr>
                          <a:xfrm>
                            <a:off x="0" y="0"/>
                            <a:ext cx="82550" cy="41783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903" name="Text_Box_41_SpCnt_59"/>
                  <wp:cNvGraphicFramePr/>
                  <a:graphic xmlns:a="http://schemas.openxmlformats.org/drawingml/2006/main">
                    <a:graphicData uri="http://schemas.openxmlformats.org/drawingml/2006/picture">
                      <pic:pic xmlns:pic="http://schemas.openxmlformats.org/drawingml/2006/picture">
                        <pic:nvPicPr>
                          <pic:cNvPr id="903" name="Text_Box_41_SpCnt_59"/>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520700"/>
                  <wp:effectExtent l="0" t="0" r="0" b="0"/>
                  <wp:wrapNone/>
                  <wp:docPr id="904" name="Text_Box_35_SpCnt_63"/>
                  <wp:cNvGraphicFramePr/>
                  <a:graphic xmlns:a="http://schemas.openxmlformats.org/drawingml/2006/main">
                    <a:graphicData uri="http://schemas.openxmlformats.org/drawingml/2006/picture">
                      <pic:pic xmlns:pic="http://schemas.openxmlformats.org/drawingml/2006/picture">
                        <pic:nvPicPr>
                          <pic:cNvPr id="904" name="Text_Box_35_SpCnt_63"/>
                          <pic:cNvPicPr/>
                        </pic:nvPicPr>
                        <pic:blipFill>
                          <a:blip r:embed="rId37"/>
                          <a:stretch>
                            <a:fillRect/>
                          </a:stretch>
                        </pic:blipFill>
                        <pic:spPr>
                          <a:xfrm>
                            <a:off x="0" y="0"/>
                            <a:ext cx="82550" cy="52070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520700"/>
                  <wp:effectExtent l="0" t="0" r="0" b="0"/>
                  <wp:wrapNone/>
                  <wp:docPr id="905" name="Text_Box_41_SpCnt_60"/>
                  <wp:cNvGraphicFramePr/>
                  <a:graphic xmlns:a="http://schemas.openxmlformats.org/drawingml/2006/main">
                    <a:graphicData uri="http://schemas.openxmlformats.org/drawingml/2006/picture">
                      <pic:pic xmlns:pic="http://schemas.openxmlformats.org/drawingml/2006/picture">
                        <pic:nvPicPr>
                          <pic:cNvPr id="905" name="Text_Box_41_SpCnt_60"/>
                          <pic:cNvPicPr/>
                        </pic:nvPicPr>
                        <pic:blipFill>
                          <a:blip r:embed="rId37"/>
                          <a:stretch>
                            <a:fillRect/>
                          </a:stretch>
                        </pic:blipFill>
                        <pic:spPr>
                          <a:xfrm>
                            <a:off x="0" y="0"/>
                            <a:ext cx="82550" cy="52070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17830"/>
                  <wp:effectExtent l="0" t="0" r="0" b="0"/>
                  <wp:wrapNone/>
                  <wp:docPr id="906" name="Text_Box_41_SpCnt_61"/>
                  <wp:cNvGraphicFramePr/>
                  <a:graphic xmlns:a="http://schemas.openxmlformats.org/drawingml/2006/main">
                    <a:graphicData uri="http://schemas.openxmlformats.org/drawingml/2006/picture">
                      <pic:pic xmlns:pic="http://schemas.openxmlformats.org/drawingml/2006/picture">
                        <pic:nvPicPr>
                          <pic:cNvPr id="906" name="Text_Box_41_SpCnt_61"/>
                          <pic:cNvPicPr/>
                        </pic:nvPicPr>
                        <pic:blipFill>
                          <a:blip r:embed="rId36"/>
                          <a:stretch>
                            <a:fillRect/>
                          </a:stretch>
                        </pic:blipFill>
                        <pic:spPr>
                          <a:xfrm>
                            <a:off x="0" y="0"/>
                            <a:ext cx="82550" cy="41783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6360" cy="488950"/>
                  <wp:effectExtent l="0" t="0" r="0" b="0"/>
                  <wp:wrapNone/>
                  <wp:docPr id="907" name="Text_Box_41_SpCnt_62"/>
                  <wp:cNvGraphicFramePr/>
                  <a:graphic xmlns:a="http://schemas.openxmlformats.org/drawingml/2006/main">
                    <a:graphicData uri="http://schemas.openxmlformats.org/drawingml/2006/picture">
                      <pic:pic xmlns:pic="http://schemas.openxmlformats.org/drawingml/2006/picture">
                        <pic:nvPicPr>
                          <pic:cNvPr id="907" name="Text_Box_41_SpCnt_62"/>
                          <pic:cNvPicPr/>
                        </pic:nvPicPr>
                        <pic:blipFill>
                          <a:blip r:embed="rId39"/>
                          <a:stretch>
                            <a:fillRect/>
                          </a:stretch>
                        </pic:blipFill>
                        <pic:spPr>
                          <a:xfrm>
                            <a:off x="0" y="0"/>
                            <a:ext cx="86360" cy="4889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908" name="Text_Box_35_SpCnt_64"/>
                  <wp:cNvGraphicFramePr/>
                  <a:graphic xmlns:a="http://schemas.openxmlformats.org/drawingml/2006/main">
                    <a:graphicData uri="http://schemas.openxmlformats.org/drawingml/2006/picture">
                      <pic:pic xmlns:pic="http://schemas.openxmlformats.org/drawingml/2006/picture">
                        <pic:nvPicPr>
                          <pic:cNvPr id="908" name="Text_Box_35_SpCnt_64"/>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909" name="Text_Box_41_SpCnt_63"/>
                  <wp:cNvGraphicFramePr/>
                  <a:graphic xmlns:a="http://schemas.openxmlformats.org/drawingml/2006/main">
                    <a:graphicData uri="http://schemas.openxmlformats.org/drawingml/2006/picture">
                      <pic:pic xmlns:pic="http://schemas.openxmlformats.org/drawingml/2006/picture">
                        <pic:nvPicPr>
                          <pic:cNvPr id="909" name="Text_Box_41_SpCnt_63"/>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910" name="Text_Box_35_SpCnt_65"/>
                  <wp:cNvGraphicFramePr/>
                  <a:graphic xmlns:a="http://schemas.openxmlformats.org/drawingml/2006/main">
                    <a:graphicData uri="http://schemas.openxmlformats.org/drawingml/2006/picture">
                      <pic:pic xmlns:pic="http://schemas.openxmlformats.org/drawingml/2006/picture">
                        <pic:nvPicPr>
                          <pic:cNvPr id="910" name="Text_Box_35_SpCnt_65"/>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911" name="Text_Box_41_SpCnt_64"/>
                  <wp:cNvGraphicFramePr/>
                  <a:graphic xmlns:a="http://schemas.openxmlformats.org/drawingml/2006/main">
                    <a:graphicData uri="http://schemas.openxmlformats.org/drawingml/2006/picture">
                      <pic:pic xmlns:pic="http://schemas.openxmlformats.org/drawingml/2006/picture">
                        <pic:nvPicPr>
                          <pic:cNvPr id="911" name="Text_Box_41_SpCnt_64"/>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912" name="Text_Box_35_SpCnt_66"/>
                  <wp:cNvGraphicFramePr/>
                  <a:graphic xmlns:a="http://schemas.openxmlformats.org/drawingml/2006/main">
                    <a:graphicData uri="http://schemas.openxmlformats.org/drawingml/2006/picture">
                      <pic:pic xmlns:pic="http://schemas.openxmlformats.org/drawingml/2006/picture">
                        <pic:nvPicPr>
                          <pic:cNvPr id="912" name="Text_Box_35_SpCnt_66"/>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913" name="Text_Box_41_SpCnt_65"/>
                  <wp:cNvGraphicFramePr/>
                  <a:graphic xmlns:a="http://schemas.openxmlformats.org/drawingml/2006/main">
                    <a:graphicData uri="http://schemas.openxmlformats.org/drawingml/2006/picture">
                      <pic:pic xmlns:pic="http://schemas.openxmlformats.org/drawingml/2006/picture">
                        <pic:nvPicPr>
                          <pic:cNvPr id="913" name="Text_Box_41_SpCnt_65"/>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17830"/>
                  <wp:effectExtent l="0" t="0" r="0" b="0"/>
                  <wp:wrapNone/>
                  <wp:docPr id="914" name="Text_Box_41_SpCnt_66"/>
                  <wp:cNvGraphicFramePr/>
                  <a:graphic xmlns:a="http://schemas.openxmlformats.org/drawingml/2006/main">
                    <a:graphicData uri="http://schemas.openxmlformats.org/drawingml/2006/picture">
                      <pic:pic xmlns:pic="http://schemas.openxmlformats.org/drawingml/2006/picture">
                        <pic:nvPicPr>
                          <pic:cNvPr id="914" name="Text_Box_41_SpCnt_66"/>
                          <pic:cNvPicPr/>
                        </pic:nvPicPr>
                        <pic:blipFill>
                          <a:blip r:embed="rId36"/>
                          <a:stretch>
                            <a:fillRect/>
                          </a:stretch>
                        </pic:blipFill>
                        <pic:spPr>
                          <a:xfrm>
                            <a:off x="0" y="0"/>
                            <a:ext cx="82550" cy="41783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6360" cy="488950"/>
                  <wp:effectExtent l="0" t="0" r="0" b="0"/>
                  <wp:wrapNone/>
                  <wp:docPr id="915" name="Text_Box_35_SpCnt_67"/>
                  <wp:cNvGraphicFramePr/>
                  <a:graphic xmlns:a="http://schemas.openxmlformats.org/drawingml/2006/main">
                    <a:graphicData uri="http://schemas.openxmlformats.org/drawingml/2006/picture">
                      <pic:pic xmlns:pic="http://schemas.openxmlformats.org/drawingml/2006/picture">
                        <pic:nvPicPr>
                          <pic:cNvPr id="915" name="Text_Box_35_SpCnt_67"/>
                          <pic:cNvPicPr/>
                        </pic:nvPicPr>
                        <pic:blipFill>
                          <a:blip r:embed="rId39"/>
                          <a:stretch>
                            <a:fillRect/>
                          </a:stretch>
                        </pic:blipFill>
                        <pic:spPr>
                          <a:xfrm>
                            <a:off x="0" y="0"/>
                            <a:ext cx="86360" cy="4889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520700"/>
                  <wp:effectExtent l="0" t="0" r="0" b="0"/>
                  <wp:wrapNone/>
                  <wp:docPr id="916" name="Text_Box_41_SpCnt_67"/>
                  <wp:cNvGraphicFramePr/>
                  <a:graphic xmlns:a="http://schemas.openxmlformats.org/drawingml/2006/main">
                    <a:graphicData uri="http://schemas.openxmlformats.org/drawingml/2006/picture">
                      <pic:pic xmlns:pic="http://schemas.openxmlformats.org/drawingml/2006/picture">
                        <pic:nvPicPr>
                          <pic:cNvPr id="916" name="Text_Box_41_SpCnt_67"/>
                          <pic:cNvPicPr/>
                        </pic:nvPicPr>
                        <pic:blipFill>
                          <a:blip r:embed="rId37"/>
                          <a:stretch>
                            <a:fillRect/>
                          </a:stretch>
                        </pic:blipFill>
                        <pic:spPr>
                          <a:xfrm>
                            <a:off x="0" y="0"/>
                            <a:ext cx="82550" cy="52070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690245</wp:posOffset>
                  </wp:positionH>
                  <wp:positionV relativeFrom="paragraph">
                    <wp:posOffset>0</wp:posOffset>
                  </wp:positionV>
                  <wp:extent cx="82550" cy="403225"/>
                  <wp:effectExtent l="0" t="0" r="0" b="0"/>
                  <wp:wrapNone/>
                  <wp:docPr id="917" name="Text_Box_41_SpCnt_68"/>
                  <wp:cNvGraphicFramePr/>
                  <a:graphic xmlns:a="http://schemas.openxmlformats.org/drawingml/2006/main">
                    <a:graphicData uri="http://schemas.openxmlformats.org/drawingml/2006/picture">
                      <pic:pic xmlns:pic="http://schemas.openxmlformats.org/drawingml/2006/picture">
                        <pic:nvPicPr>
                          <pic:cNvPr id="917" name="Text_Box_41_SpCnt_68"/>
                          <pic:cNvPicPr/>
                        </pic:nvPicPr>
                        <pic:blipFill>
                          <a:blip r:embed="rId40"/>
                          <a:stretch>
                            <a:fillRect/>
                          </a:stretch>
                        </pic:blipFill>
                        <pic:spPr>
                          <a:xfrm>
                            <a:off x="0" y="0"/>
                            <a:ext cx="82550" cy="4032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690245</wp:posOffset>
                  </wp:positionH>
                  <wp:positionV relativeFrom="paragraph">
                    <wp:posOffset>0</wp:posOffset>
                  </wp:positionV>
                  <wp:extent cx="82550" cy="403225"/>
                  <wp:effectExtent l="0" t="0" r="0" b="0"/>
                  <wp:wrapNone/>
                  <wp:docPr id="918" name="Text_Box_41_SpCnt_69"/>
                  <wp:cNvGraphicFramePr/>
                  <a:graphic xmlns:a="http://schemas.openxmlformats.org/drawingml/2006/main">
                    <a:graphicData uri="http://schemas.openxmlformats.org/drawingml/2006/picture">
                      <pic:pic xmlns:pic="http://schemas.openxmlformats.org/drawingml/2006/picture">
                        <pic:nvPicPr>
                          <pic:cNvPr id="918" name="Text_Box_41_SpCnt_69"/>
                          <pic:cNvPicPr/>
                        </pic:nvPicPr>
                        <pic:blipFill>
                          <a:blip r:embed="rId40"/>
                          <a:stretch>
                            <a:fillRect/>
                          </a:stretch>
                        </pic:blipFill>
                        <pic:spPr>
                          <a:xfrm>
                            <a:off x="0" y="0"/>
                            <a:ext cx="82550" cy="4032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690245</wp:posOffset>
                  </wp:positionH>
                  <wp:positionV relativeFrom="paragraph">
                    <wp:posOffset>0</wp:posOffset>
                  </wp:positionV>
                  <wp:extent cx="82550" cy="403225"/>
                  <wp:effectExtent l="0" t="0" r="0" b="0"/>
                  <wp:wrapNone/>
                  <wp:docPr id="919" name="Text_Box_41_SpCnt_70"/>
                  <wp:cNvGraphicFramePr/>
                  <a:graphic xmlns:a="http://schemas.openxmlformats.org/drawingml/2006/main">
                    <a:graphicData uri="http://schemas.openxmlformats.org/drawingml/2006/picture">
                      <pic:pic xmlns:pic="http://schemas.openxmlformats.org/drawingml/2006/picture">
                        <pic:nvPicPr>
                          <pic:cNvPr id="919" name="Text_Box_41_SpCnt_70"/>
                          <pic:cNvPicPr/>
                        </pic:nvPicPr>
                        <pic:blipFill>
                          <a:blip r:embed="rId40"/>
                          <a:stretch>
                            <a:fillRect/>
                          </a:stretch>
                        </pic:blipFill>
                        <pic:spPr>
                          <a:xfrm>
                            <a:off x="0" y="0"/>
                            <a:ext cx="82550" cy="4032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690245</wp:posOffset>
                  </wp:positionH>
                  <wp:positionV relativeFrom="paragraph">
                    <wp:posOffset>0</wp:posOffset>
                  </wp:positionV>
                  <wp:extent cx="82550" cy="403225"/>
                  <wp:effectExtent l="0" t="0" r="0" b="0"/>
                  <wp:wrapNone/>
                  <wp:docPr id="920" name="Text_Box_41_SpCnt_71"/>
                  <wp:cNvGraphicFramePr/>
                  <a:graphic xmlns:a="http://schemas.openxmlformats.org/drawingml/2006/main">
                    <a:graphicData uri="http://schemas.openxmlformats.org/drawingml/2006/picture">
                      <pic:pic xmlns:pic="http://schemas.openxmlformats.org/drawingml/2006/picture">
                        <pic:nvPicPr>
                          <pic:cNvPr id="920" name="Text_Box_41_SpCnt_71"/>
                          <pic:cNvPicPr/>
                        </pic:nvPicPr>
                        <pic:blipFill>
                          <a:blip r:embed="rId40"/>
                          <a:stretch>
                            <a:fillRect/>
                          </a:stretch>
                        </pic:blipFill>
                        <pic:spPr>
                          <a:xfrm>
                            <a:off x="0" y="0"/>
                            <a:ext cx="82550" cy="4032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690245</wp:posOffset>
                  </wp:positionH>
                  <wp:positionV relativeFrom="paragraph">
                    <wp:posOffset>0</wp:posOffset>
                  </wp:positionV>
                  <wp:extent cx="82550" cy="403225"/>
                  <wp:effectExtent l="0" t="0" r="0" b="0"/>
                  <wp:wrapNone/>
                  <wp:docPr id="921" name="Text_Box_35_SpCnt_68"/>
                  <wp:cNvGraphicFramePr/>
                  <a:graphic xmlns:a="http://schemas.openxmlformats.org/drawingml/2006/main">
                    <a:graphicData uri="http://schemas.openxmlformats.org/drawingml/2006/picture">
                      <pic:pic xmlns:pic="http://schemas.openxmlformats.org/drawingml/2006/picture">
                        <pic:nvPicPr>
                          <pic:cNvPr id="921" name="Text_Box_35_SpCnt_68"/>
                          <pic:cNvPicPr/>
                        </pic:nvPicPr>
                        <pic:blipFill>
                          <a:blip r:embed="rId40"/>
                          <a:stretch>
                            <a:fillRect/>
                          </a:stretch>
                        </pic:blipFill>
                        <pic:spPr>
                          <a:xfrm>
                            <a:off x="0" y="0"/>
                            <a:ext cx="82550" cy="4032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690245</wp:posOffset>
                  </wp:positionH>
                  <wp:positionV relativeFrom="paragraph">
                    <wp:posOffset>0</wp:posOffset>
                  </wp:positionV>
                  <wp:extent cx="82550" cy="403225"/>
                  <wp:effectExtent l="0" t="0" r="0" b="0"/>
                  <wp:wrapNone/>
                  <wp:docPr id="922" name="Text_Box_41_SpCnt_72"/>
                  <wp:cNvGraphicFramePr/>
                  <a:graphic xmlns:a="http://schemas.openxmlformats.org/drawingml/2006/main">
                    <a:graphicData uri="http://schemas.openxmlformats.org/drawingml/2006/picture">
                      <pic:pic xmlns:pic="http://schemas.openxmlformats.org/drawingml/2006/picture">
                        <pic:nvPicPr>
                          <pic:cNvPr id="922" name="Text_Box_41_SpCnt_72"/>
                          <pic:cNvPicPr/>
                        </pic:nvPicPr>
                        <pic:blipFill>
                          <a:blip r:embed="rId40"/>
                          <a:stretch>
                            <a:fillRect/>
                          </a:stretch>
                        </pic:blipFill>
                        <pic:spPr>
                          <a:xfrm>
                            <a:off x="0" y="0"/>
                            <a:ext cx="82550" cy="4032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690245</wp:posOffset>
                  </wp:positionH>
                  <wp:positionV relativeFrom="paragraph">
                    <wp:posOffset>0</wp:posOffset>
                  </wp:positionV>
                  <wp:extent cx="82550" cy="403225"/>
                  <wp:effectExtent l="0" t="0" r="0" b="0"/>
                  <wp:wrapNone/>
                  <wp:docPr id="923" name="Text_Box_35_SpCnt_69"/>
                  <wp:cNvGraphicFramePr/>
                  <a:graphic xmlns:a="http://schemas.openxmlformats.org/drawingml/2006/main">
                    <a:graphicData uri="http://schemas.openxmlformats.org/drawingml/2006/picture">
                      <pic:pic xmlns:pic="http://schemas.openxmlformats.org/drawingml/2006/picture">
                        <pic:nvPicPr>
                          <pic:cNvPr id="923" name="Text_Box_35_SpCnt_69"/>
                          <pic:cNvPicPr/>
                        </pic:nvPicPr>
                        <pic:blipFill>
                          <a:blip r:embed="rId40"/>
                          <a:stretch>
                            <a:fillRect/>
                          </a:stretch>
                        </pic:blipFill>
                        <pic:spPr>
                          <a:xfrm>
                            <a:off x="0" y="0"/>
                            <a:ext cx="82550" cy="4032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690245</wp:posOffset>
                  </wp:positionH>
                  <wp:positionV relativeFrom="paragraph">
                    <wp:posOffset>0</wp:posOffset>
                  </wp:positionV>
                  <wp:extent cx="82550" cy="403225"/>
                  <wp:effectExtent l="0" t="0" r="0" b="0"/>
                  <wp:wrapNone/>
                  <wp:docPr id="924" name="Text_Box_35_SpCnt_70"/>
                  <wp:cNvGraphicFramePr/>
                  <a:graphic xmlns:a="http://schemas.openxmlformats.org/drawingml/2006/main">
                    <a:graphicData uri="http://schemas.openxmlformats.org/drawingml/2006/picture">
                      <pic:pic xmlns:pic="http://schemas.openxmlformats.org/drawingml/2006/picture">
                        <pic:nvPicPr>
                          <pic:cNvPr id="924" name="Text_Box_35_SpCnt_70"/>
                          <pic:cNvPicPr/>
                        </pic:nvPicPr>
                        <pic:blipFill>
                          <a:blip r:embed="rId40"/>
                          <a:stretch>
                            <a:fillRect/>
                          </a:stretch>
                        </pic:blipFill>
                        <pic:spPr>
                          <a:xfrm>
                            <a:off x="0" y="0"/>
                            <a:ext cx="82550" cy="4032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690245</wp:posOffset>
                  </wp:positionH>
                  <wp:positionV relativeFrom="paragraph">
                    <wp:posOffset>0</wp:posOffset>
                  </wp:positionV>
                  <wp:extent cx="82550" cy="403225"/>
                  <wp:effectExtent l="0" t="0" r="0" b="0"/>
                  <wp:wrapNone/>
                  <wp:docPr id="925" name="Text_Box_41_SpCnt_73"/>
                  <wp:cNvGraphicFramePr/>
                  <a:graphic xmlns:a="http://schemas.openxmlformats.org/drawingml/2006/main">
                    <a:graphicData uri="http://schemas.openxmlformats.org/drawingml/2006/picture">
                      <pic:pic xmlns:pic="http://schemas.openxmlformats.org/drawingml/2006/picture">
                        <pic:nvPicPr>
                          <pic:cNvPr id="925" name="Text_Box_41_SpCnt_73"/>
                          <pic:cNvPicPr/>
                        </pic:nvPicPr>
                        <pic:blipFill>
                          <a:blip r:embed="rId40"/>
                          <a:stretch>
                            <a:fillRect/>
                          </a:stretch>
                        </pic:blipFill>
                        <pic:spPr>
                          <a:xfrm>
                            <a:off x="0" y="0"/>
                            <a:ext cx="82550" cy="4032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690245</wp:posOffset>
                  </wp:positionH>
                  <wp:positionV relativeFrom="paragraph">
                    <wp:posOffset>0</wp:posOffset>
                  </wp:positionV>
                  <wp:extent cx="82550" cy="403225"/>
                  <wp:effectExtent l="0" t="0" r="0" b="0"/>
                  <wp:wrapNone/>
                  <wp:docPr id="926" name="Text_Box_35_SpCnt_71"/>
                  <wp:cNvGraphicFramePr/>
                  <a:graphic xmlns:a="http://schemas.openxmlformats.org/drawingml/2006/main">
                    <a:graphicData uri="http://schemas.openxmlformats.org/drawingml/2006/picture">
                      <pic:pic xmlns:pic="http://schemas.openxmlformats.org/drawingml/2006/picture">
                        <pic:nvPicPr>
                          <pic:cNvPr id="926" name="Text_Box_35_SpCnt_71"/>
                          <pic:cNvPicPr/>
                        </pic:nvPicPr>
                        <pic:blipFill>
                          <a:blip r:embed="rId40"/>
                          <a:stretch>
                            <a:fillRect/>
                          </a:stretch>
                        </pic:blipFill>
                        <pic:spPr>
                          <a:xfrm>
                            <a:off x="0" y="0"/>
                            <a:ext cx="82550" cy="4032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690245</wp:posOffset>
                  </wp:positionH>
                  <wp:positionV relativeFrom="paragraph">
                    <wp:posOffset>0</wp:posOffset>
                  </wp:positionV>
                  <wp:extent cx="82550" cy="403225"/>
                  <wp:effectExtent l="0" t="0" r="0" b="0"/>
                  <wp:wrapNone/>
                  <wp:docPr id="927" name="Text_Box_41_SpCnt_74"/>
                  <wp:cNvGraphicFramePr/>
                  <a:graphic xmlns:a="http://schemas.openxmlformats.org/drawingml/2006/main">
                    <a:graphicData uri="http://schemas.openxmlformats.org/drawingml/2006/picture">
                      <pic:pic xmlns:pic="http://schemas.openxmlformats.org/drawingml/2006/picture">
                        <pic:nvPicPr>
                          <pic:cNvPr id="927" name="Text_Box_41_SpCnt_74"/>
                          <pic:cNvPicPr/>
                        </pic:nvPicPr>
                        <pic:blipFill>
                          <a:blip r:embed="rId40"/>
                          <a:stretch>
                            <a:fillRect/>
                          </a:stretch>
                        </pic:blipFill>
                        <pic:spPr>
                          <a:xfrm>
                            <a:off x="0" y="0"/>
                            <a:ext cx="82550" cy="4032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690245</wp:posOffset>
                  </wp:positionH>
                  <wp:positionV relativeFrom="paragraph">
                    <wp:posOffset>0</wp:posOffset>
                  </wp:positionV>
                  <wp:extent cx="82550" cy="403225"/>
                  <wp:effectExtent l="0" t="0" r="0" b="0"/>
                  <wp:wrapNone/>
                  <wp:docPr id="928" name="Text_Box_41_SpCnt_75"/>
                  <wp:cNvGraphicFramePr/>
                  <a:graphic xmlns:a="http://schemas.openxmlformats.org/drawingml/2006/main">
                    <a:graphicData uri="http://schemas.openxmlformats.org/drawingml/2006/picture">
                      <pic:pic xmlns:pic="http://schemas.openxmlformats.org/drawingml/2006/picture">
                        <pic:nvPicPr>
                          <pic:cNvPr id="928" name="Text_Box_41_SpCnt_75"/>
                          <pic:cNvPicPr/>
                        </pic:nvPicPr>
                        <pic:blipFill>
                          <a:blip r:embed="rId40"/>
                          <a:stretch>
                            <a:fillRect/>
                          </a:stretch>
                        </pic:blipFill>
                        <pic:spPr>
                          <a:xfrm>
                            <a:off x="0" y="0"/>
                            <a:ext cx="82550" cy="4032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690245</wp:posOffset>
                  </wp:positionH>
                  <wp:positionV relativeFrom="paragraph">
                    <wp:posOffset>0</wp:posOffset>
                  </wp:positionV>
                  <wp:extent cx="82550" cy="403225"/>
                  <wp:effectExtent l="0" t="0" r="0" b="0"/>
                  <wp:wrapNone/>
                  <wp:docPr id="929" name="Text_Box_35_SpCnt_72"/>
                  <wp:cNvGraphicFramePr/>
                  <a:graphic xmlns:a="http://schemas.openxmlformats.org/drawingml/2006/main">
                    <a:graphicData uri="http://schemas.openxmlformats.org/drawingml/2006/picture">
                      <pic:pic xmlns:pic="http://schemas.openxmlformats.org/drawingml/2006/picture">
                        <pic:nvPicPr>
                          <pic:cNvPr id="929" name="Text_Box_35_SpCnt_72"/>
                          <pic:cNvPicPr/>
                        </pic:nvPicPr>
                        <pic:blipFill>
                          <a:blip r:embed="rId40"/>
                          <a:stretch>
                            <a:fillRect/>
                          </a:stretch>
                        </pic:blipFill>
                        <pic:spPr>
                          <a:xfrm>
                            <a:off x="0" y="0"/>
                            <a:ext cx="82550" cy="4032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690245</wp:posOffset>
                  </wp:positionH>
                  <wp:positionV relativeFrom="paragraph">
                    <wp:posOffset>0</wp:posOffset>
                  </wp:positionV>
                  <wp:extent cx="82550" cy="403225"/>
                  <wp:effectExtent l="0" t="0" r="0" b="0"/>
                  <wp:wrapNone/>
                  <wp:docPr id="930" name="Text_Box_35_SpCnt_73"/>
                  <wp:cNvGraphicFramePr/>
                  <a:graphic xmlns:a="http://schemas.openxmlformats.org/drawingml/2006/main">
                    <a:graphicData uri="http://schemas.openxmlformats.org/drawingml/2006/picture">
                      <pic:pic xmlns:pic="http://schemas.openxmlformats.org/drawingml/2006/picture">
                        <pic:nvPicPr>
                          <pic:cNvPr id="930" name="Text_Box_35_SpCnt_73"/>
                          <pic:cNvPicPr/>
                        </pic:nvPicPr>
                        <pic:blipFill>
                          <a:blip r:embed="rId40"/>
                          <a:stretch>
                            <a:fillRect/>
                          </a:stretch>
                        </pic:blipFill>
                        <pic:spPr>
                          <a:xfrm>
                            <a:off x="0" y="0"/>
                            <a:ext cx="82550" cy="4032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690245</wp:posOffset>
                  </wp:positionH>
                  <wp:positionV relativeFrom="paragraph">
                    <wp:posOffset>0</wp:posOffset>
                  </wp:positionV>
                  <wp:extent cx="82550" cy="403225"/>
                  <wp:effectExtent l="0" t="0" r="0" b="0"/>
                  <wp:wrapNone/>
                  <wp:docPr id="931" name="Text_Box_41_SpCnt_76"/>
                  <wp:cNvGraphicFramePr/>
                  <a:graphic xmlns:a="http://schemas.openxmlformats.org/drawingml/2006/main">
                    <a:graphicData uri="http://schemas.openxmlformats.org/drawingml/2006/picture">
                      <pic:pic xmlns:pic="http://schemas.openxmlformats.org/drawingml/2006/picture">
                        <pic:nvPicPr>
                          <pic:cNvPr id="931" name="Text_Box_41_SpCnt_76"/>
                          <pic:cNvPicPr/>
                        </pic:nvPicPr>
                        <pic:blipFill>
                          <a:blip r:embed="rId40"/>
                          <a:stretch>
                            <a:fillRect/>
                          </a:stretch>
                        </pic:blipFill>
                        <pic:spPr>
                          <a:xfrm>
                            <a:off x="0" y="0"/>
                            <a:ext cx="82550" cy="4032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690245</wp:posOffset>
                  </wp:positionH>
                  <wp:positionV relativeFrom="paragraph">
                    <wp:posOffset>0</wp:posOffset>
                  </wp:positionV>
                  <wp:extent cx="82550" cy="403225"/>
                  <wp:effectExtent l="0" t="0" r="0" b="0"/>
                  <wp:wrapNone/>
                  <wp:docPr id="932" name="Text_Box_35_SpCnt_74"/>
                  <wp:cNvGraphicFramePr/>
                  <a:graphic xmlns:a="http://schemas.openxmlformats.org/drawingml/2006/main">
                    <a:graphicData uri="http://schemas.openxmlformats.org/drawingml/2006/picture">
                      <pic:pic xmlns:pic="http://schemas.openxmlformats.org/drawingml/2006/picture">
                        <pic:nvPicPr>
                          <pic:cNvPr id="932" name="Text_Box_35_SpCnt_74"/>
                          <pic:cNvPicPr/>
                        </pic:nvPicPr>
                        <pic:blipFill>
                          <a:blip r:embed="rId40"/>
                          <a:stretch>
                            <a:fillRect/>
                          </a:stretch>
                        </pic:blipFill>
                        <pic:spPr>
                          <a:xfrm>
                            <a:off x="0" y="0"/>
                            <a:ext cx="82550" cy="4032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690245</wp:posOffset>
                  </wp:positionH>
                  <wp:positionV relativeFrom="paragraph">
                    <wp:posOffset>0</wp:posOffset>
                  </wp:positionV>
                  <wp:extent cx="82550" cy="403225"/>
                  <wp:effectExtent l="0" t="0" r="0" b="0"/>
                  <wp:wrapNone/>
                  <wp:docPr id="933" name="Text_Box_35_SpCnt_75"/>
                  <wp:cNvGraphicFramePr/>
                  <a:graphic xmlns:a="http://schemas.openxmlformats.org/drawingml/2006/main">
                    <a:graphicData uri="http://schemas.openxmlformats.org/drawingml/2006/picture">
                      <pic:pic xmlns:pic="http://schemas.openxmlformats.org/drawingml/2006/picture">
                        <pic:nvPicPr>
                          <pic:cNvPr id="933" name="Text_Box_35_SpCnt_75"/>
                          <pic:cNvPicPr/>
                        </pic:nvPicPr>
                        <pic:blipFill>
                          <a:blip r:embed="rId40"/>
                          <a:stretch>
                            <a:fillRect/>
                          </a:stretch>
                        </pic:blipFill>
                        <pic:spPr>
                          <a:xfrm>
                            <a:off x="0" y="0"/>
                            <a:ext cx="82550" cy="4032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690245</wp:posOffset>
                  </wp:positionH>
                  <wp:positionV relativeFrom="paragraph">
                    <wp:posOffset>0</wp:posOffset>
                  </wp:positionV>
                  <wp:extent cx="82550" cy="403225"/>
                  <wp:effectExtent l="0" t="0" r="0" b="0"/>
                  <wp:wrapNone/>
                  <wp:docPr id="934" name="Text_Box_41_SpCnt_77"/>
                  <wp:cNvGraphicFramePr/>
                  <a:graphic xmlns:a="http://schemas.openxmlformats.org/drawingml/2006/main">
                    <a:graphicData uri="http://schemas.openxmlformats.org/drawingml/2006/picture">
                      <pic:pic xmlns:pic="http://schemas.openxmlformats.org/drawingml/2006/picture">
                        <pic:nvPicPr>
                          <pic:cNvPr id="934" name="Text_Box_41_SpCnt_77"/>
                          <pic:cNvPicPr/>
                        </pic:nvPicPr>
                        <pic:blipFill>
                          <a:blip r:embed="rId40"/>
                          <a:stretch>
                            <a:fillRect/>
                          </a:stretch>
                        </pic:blipFill>
                        <pic:spPr>
                          <a:xfrm>
                            <a:off x="0" y="0"/>
                            <a:ext cx="82550" cy="4032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690245</wp:posOffset>
                  </wp:positionH>
                  <wp:positionV relativeFrom="paragraph">
                    <wp:posOffset>0</wp:posOffset>
                  </wp:positionV>
                  <wp:extent cx="82550" cy="403225"/>
                  <wp:effectExtent l="0" t="0" r="0" b="0"/>
                  <wp:wrapNone/>
                  <wp:docPr id="935" name="Text_Box_41_SpCnt_78"/>
                  <wp:cNvGraphicFramePr/>
                  <a:graphic xmlns:a="http://schemas.openxmlformats.org/drawingml/2006/main">
                    <a:graphicData uri="http://schemas.openxmlformats.org/drawingml/2006/picture">
                      <pic:pic xmlns:pic="http://schemas.openxmlformats.org/drawingml/2006/picture">
                        <pic:nvPicPr>
                          <pic:cNvPr id="935" name="Text_Box_41_SpCnt_78"/>
                          <pic:cNvPicPr/>
                        </pic:nvPicPr>
                        <pic:blipFill>
                          <a:blip r:embed="rId40"/>
                          <a:stretch>
                            <a:fillRect/>
                          </a:stretch>
                        </pic:blipFill>
                        <pic:spPr>
                          <a:xfrm>
                            <a:off x="0" y="0"/>
                            <a:ext cx="82550" cy="4032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690245</wp:posOffset>
                  </wp:positionH>
                  <wp:positionV relativeFrom="paragraph">
                    <wp:posOffset>0</wp:posOffset>
                  </wp:positionV>
                  <wp:extent cx="82550" cy="403225"/>
                  <wp:effectExtent l="0" t="0" r="0" b="0"/>
                  <wp:wrapNone/>
                  <wp:docPr id="936" name="Text_Box_35_SpCnt_76"/>
                  <wp:cNvGraphicFramePr/>
                  <a:graphic xmlns:a="http://schemas.openxmlformats.org/drawingml/2006/main">
                    <a:graphicData uri="http://schemas.openxmlformats.org/drawingml/2006/picture">
                      <pic:pic xmlns:pic="http://schemas.openxmlformats.org/drawingml/2006/picture">
                        <pic:nvPicPr>
                          <pic:cNvPr id="936" name="Text_Box_35_SpCnt_76"/>
                          <pic:cNvPicPr/>
                        </pic:nvPicPr>
                        <pic:blipFill>
                          <a:blip r:embed="rId40"/>
                          <a:stretch>
                            <a:fillRect/>
                          </a:stretch>
                        </pic:blipFill>
                        <pic:spPr>
                          <a:xfrm>
                            <a:off x="0" y="0"/>
                            <a:ext cx="82550" cy="4032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690245</wp:posOffset>
                  </wp:positionH>
                  <wp:positionV relativeFrom="paragraph">
                    <wp:posOffset>0</wp:posOffset>
                  </wp:positionV>
                  <wp:extent cx="82550" cy="403225"/>
                  <wp:effectExtent l="0" t="0" r="0" b="0"/>
                  <wp:wrapNone/>
                  <wp:docPr id="937" name="Text_Box_35_SpCnt_77"/>
                  <wp:cNvGraphicFramePr/>
                  <a:graphic xmlns:a="http://schemas.openxmlformats.org/drawingml/2006/main">
                    <a:graphicData uri="http://schemas.openxmlformats.org/drawingml/2006/picture">
                      <pic:pic xmlns:pic="http://schemas.openxmlformats.org/drawingml/2006/picture">
                        <pic:nvPicPr>
                          <pic:cNvPr id="937" name="Text_Box_35_SpCnt_77"/>
                          <pic:cNvPicPr/>
                        </pic:nvPicPr>
                        <pic:blipFill>
                          <a:blip r:embed="rId40"/>
                          <a:stretch>
                            <a:fillRect/>
                          </a:stretch>
                        </pic:blipFill>
                        <pic:spPr>
                          <a:xfrm>
                            <a:off x="0" y="0"/>
                            <a:ext cx="82550" cy="4032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690245</wp:posOffset>
                  </wp:positionH>
                  <wp:positionV relativeFrom="paragraph">
                    <wp:posOffset>0</wp:posOffset>
                  </wp:positionV>
                  <wp:extent cx="82550" cy="403225"/>
                  <wp:effectExtent l="0" t="0" r="0" b="0"/>
                  <wp:wrapNone/>
                  <wp:docPr id="938" name="Text_Box_41_SpCnt_79"/>
                  <wp:cNvGraphicFramePr/>
                  <a:graphic xmlns:a="http://schemas.openxmlformats.org/drawingml/2006/main">
                    <a:graphicData uri="http://schemas.openxmlformats.org/drawingml/2006/picture">
                      <pic:pic xmlns:pic="http://schemas.openxmlformats.org/drawingml/2006/picture">
                        <pic:nvPicPr>
                          <pic:cNvPr id="938" name="Text_Box_41_SpCnt_79"/>
                          <pic:cNvPicPr/>
                        </pic:nvPicPr>
                        <pic:blipFill>
                          <a:blip r:embed="rId40"/>
                          <a:stretch>
                            <a:fillRect/>
                          </a:stretch>
                        </pic:blipFill>
                        <pic:spPr>
                          <a:xfrm>
                            <a:off x="0" y="0"/>
                            <a:ext cx="82550" cy="4032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690245</wp:posOffset>
                  </wp:positionH>
                  <wp:positionV relativeFrom="paragraph">
                    <wp:posOffset>0</wp:posOffset>
                  </wp:positionV>
                  <wp:extent cx="82550" cy="403225"/>
                  <wp:effectExtent l="0" t="0" r="0" b="0"/>
                  <wp:wrapNone/>
                  <wp:docPr id="939" name="Text_Box_35_SpCnt_78"/>
                  <wp:cNvGraphicFramePr/>
                  <a:graphic xmlns:a="http://schemas.openxmlformats.org/drawingml/2006/main">
                    <a:graphicData uri="http://schemas.openxmlformats.org/drawingml/2006/picture">
                      <pic:pic xmlns:pic="http://schemas.openxmlformats.org/drawingml/2006/picture">
                        <pic:nvPicPr>
                          <pic:cNvPr id="939" name="Text_Box_35_SpCnt_78"/>
                          <pic:cNvPicPr/>
                        </pic:nvPicPr>
                        <pic:blipFill>
                          <a:blip r:embed="rId40"/>
                          <a:stretch>
                            <a:fillRect/>
                          </a:stretch>
                        </pic:blipFill>
                        <pic:spPr>
                          <a:xfrm>
                            <a:off x="0" y="0"/>
                            <a:ext cx="82550" cy="4032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690245</wp:posOffset>
                  </wp:positionH>
                  <wp:positionV relativeFrom="paragraph">
                    <wp:posOffset>0</wp:posOffset>
                  </wp:positionV>
                  <wp:extent cx="82550" cy="403225"/>
                  <wp:effectExtent l="0" t="0" r="0" b="0"/>
                  <wp:wrapNone/>
                  <wp:docPr id="940" name="Text_Box_35_SpCnt_79"/>
                  <wp:cNvGraphicFramePr/>
                  <a:graphic xmlns:a="http://schemas.openxmlformats.org/drawingml/2006/main">
                    <a:graphicData uri="http://schemas.openxmlformats.org/drawingml/2006/picture">
                      <pic:pic xmlns:pic="http://schemas.openxmlformats.org/drawingml/2006/picture">
                        <pic:nvPicPr>
                          <pic:cNvPr id="940" name="Text_Box_35_SpCnt_79"/>
                          <pic:cNvPicPr/>
                        </pic:nvPicPr>
                        <pic:blipFill>
                          <a:blip r:embed="rId40"/>
                          <a:stretch>
                            <a:fillRect/>
                          </a:stretch>
                        </pic:blipFill>
                        <pic:spPr>
                          <a:xfrm>
                            <a:off x="0" y="0"/>
                            <a:ext cx="82550" cy="4032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t>在戛洒集镇面山造林5000亩，造林树种：凤凰木、小叶榕、攀枝花。新化乡造林5000亩，造林树种：旱冬瓜、青香木、小叶榕等。</w:t>
            </w:r>
          </w:p>
        </w:tc>
        <w:tc>
          <w:tcPr>
            <w:tcW w:w="408" w:type="pct"/>
            <w:vAlign w:val="center"/>
          </w:tcPr>
          <w:p w14:paraId="498DB1FD">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2022-2024</w:t>
            </w:r>
          </w:p>
        </w:tc>
        <w:tc>
          <w:tcPr>
            <w:tcW w:w="413" w:type="pct"/>
            <w:vAlign w:val="center"/>
          </w:tcPr>
          <w:p w14:paraId="20423DD6">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10000</w:t>
            </w:r>
          </w:p>
        </w:tc>
        <w:tc>
          <w:tcPr>
            <w:tcW w:w="413" w:type="pct"/>
            <w:vAlign w:val="center"/>
          </w:tcPr>
          <w:p w14:paraId="0B2F5414">
            <w:pPr>
              <w:spacing w:line="240" w:lineRule="auto"/>
              <w:jc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县林业和草原局</w:t>
            </w:r>
          </w:p>
        </w:tc>
        <w:tc>
          <w:tcPr>
            <w:tcW w:w="320" w:type="pct"/>
            <w:vAlign w:val="center"/>
          </w:tcPr>
          <w:p w14:paraId="4527F4A2">
            <w:pPr>
              <w:spacing w:line="240" w:lineRule="auto"/>
              <w:jc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政府投入</w:t>
            </w:r>
          </w:p>
        </w:tc>
        <w:tc>
          <w:tcPr>
            <w:tcW w:w="569" w:type="pct"/>
            <w:vAlign w:val="center"/>
          </w:tcPr>
          <w:p w14:paraId="45476BFB">
            <w:pPr>
              <w:spacing w:line="240" w:lineRule="auto"/>
              <w:jc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自然生态空间</w:t>
            </w:r>
          </w:p>
        </w:tc>
      </w:tr>
      <w:tr w14:paraId="33D24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 w:type="pct"/>
            <w:vMerge w:val="continue"/>
            <w:vAlign w:val="center"/>
          </w:tcPr>
          <w:p w14:paraId="5EC13870">
            <w:pPr>
              <w:widowControl/>
              <w:spacing w:line="240" w:lineRule="auto"/>
              <w:jc w:val="center"/>
              <w:textAlignment w:val="center"/>
              <w:rPr>
                <w:rFonts w:ascii="Times New Roman" w:hAnsi="Times New Roman" w:eastAsia="仿宋" w:cs="Times New Roman"/>
                <w:color w:val="auto"/>
                <w:kern w:val="0"/>
                <w:sz w:val="21"/>
                <w:szCs w:val="21"/>
                <w:lang w:bidi="ar"/>
              </w:rPr>
            </w:pPr>
          </w:p>
        </w:tc>
        <w:tc>
          <w:tcPr>
            <w:tcW w:w="255" w:type="pct"/>
            <w:vAlign w:val="center"/>
          </w:tcPr>
          <w:p w14:paraId="50A1963A">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5</w:t>
            </w:r>
          </w:p>
        </w:tc>
        <w:tc>
          <w:tcPr>
            <w:tcW w:w="631" w:type="pct"/>
            <w:vAlign w:val="center"/>
          </w:tcPr>
          <w:p w14:paraId="174DB1E5">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推进重点河湖水域岸线管控</w:t>
            </w:r>
          </w:p>
        </w:tc>
        <w:tc>
          <w:tcPr>
            <w:tcW w:w="1816" w:type="pct"/>
            <w:vAlign w:val="center"/>
          </w:tcPr>
          <w:p w14:paraId="57318641">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完成云南省下达的河湖管理保护范围划定。以建设美丽乡村、宜居乡村为目标，各乡（镇）按照上级要求开展农村河湖管理保护工作，有效防止农村河湖被侵占、破坏。</w:t>
            </w:r>
          </w:p>
        </w:tc>
        <w:tc>
          <w:tcPr>
            <w:tcW w:w="408" w:type="pct"/>
            <w:vAlign w:val="center"/>
          </w:tcPr>
          <w:p w14:paraId="41A32E87">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2022-2030</w:t>
            </w:r>
          </w:p>
        </w:tc>
        <w:tc>
          <w:tcPr>
            <w:tcW w:w="413" w:type="pct"/>
            <w:vAlign w:val="center"/>
          </w:tcPr>
          <w:p w14:paraId="746EFD6F">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60</w:t>
            </w:r>
          </w:p>
        </w:tc>
        <w:tc>
          <w:tcPr>
            <w:tcW w:w="413" w:type="pct"/>
            <w:vAlign w:val="center"/>
          </w:tcPr>
          <w:p w14:paraId="222600A1">
            <w:pPr>
              <w:spacing w:line="240" w:lineRule="auto"/>
              <w:jc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县水利局</w:t>
            </w:r>
          </w:p>
        </w:tc>
        <w:tc>
          <w:tcPr>
            <w:tcW w:w="320" w:type="pct"/>
            <w:vAlign w:val="center"/>
          </w:tcPr>
          <w:p w14:paraId="56F58BE5">
            <w:pPr>
              <w:spacing w:line="240" w:lineRule="auto"/>
              <w:jc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政府投入</w:t>
            </w:r>
          </w:p>
        </w:tc>
        <w:tc>
          <w:tcPr>
            <w:tcW w:w="569" w:type="pct"/>
            <w:vAlign w:val="center"/>
          </w:tcPr>
          <w:p w14:paraId="63B16CEF">
            <w:pPr>
              <w:spacing w:line="240" w:lineRule="auto"/>
              <w:jc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河湖岸线保护率</w:t>
            </w:r>
          </w:p>
        </w:tc>
      </w:tr>
      <w:tr w14:paraId="464ED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70" w:type="pct"/>
            <w:vMerge w:val="continue"/>
            <w:vAlign w:val="center"/>
          </w:tcPr>
          <w:p w14:paraId="5156730E">
            <w:pPr>
              <w:spacing w:line="240" w:lineRule="auto"/>
              <w:jc w:val="center"/>
              <w:rPr>
                <w:rFonts w:ascii="Times New Roman" w:hAnsi="Times New Roman" w:eastAsia="仿宋" w:cs="Times New Roman"/>
                <w:color w:val="auto"/>
                <w:sz w:val="21"/>
                <w:szCs w:val="21"/>
              </w:rPr>
            </w:pPr>
          </w:p>
        </w:tc>
        <w:tc>
          <w:tcPr>
            <w:tcW w:w="255" w:type="pct"/>
            <w:vAlign w:val="center"/>
          </w:tcPr>
          <w:p w14:paraId="2F737577">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小计</w:t>
            </w:r>
          </w:p>
        </w:tc>
        <w:tc>
          <w:tcPr>
            <w:tcW w:w="2856" w:type="pct"/>
            <w:gridSpan w:val="3"/>
            <w:vAlign w:val="center"/>
          </w:tcPr>
          <w:p w14:paraId="4103EAFD">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w:t>
            </w:r>
          </w:p>
        </w:tc>
        <w:tc>
          <w:tcPr>
            <w:tcW w:w="413" w:type="pct"/>
            <w:vAlign w:val="center"/>
          </w:tcPr>
          <w:p w14:paraId="6E9CB376">
            <w:pPr>
              <w:widowControl/>
              <w:spacing w:line="240" w:lineRule="auto"/>
              <w:jc w:val="center"/>
              <w:textAlignment w:val="center"/>
              <w:rPr>
                <w:rFonts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b/>
                <w:bCs/>
                <w:color w:val="auto"/>
                <w:kern w:val="0"/>
                <w:sz w:val="21"/>
                <w:szCs w:val="21"/>
                <w:lang w:val="en-US" w:eastAsia="zh-CN" w:bidi="ar"/>
              </w:rPr>
              <w:t>15960</w:t>
            </w:r>
          </w:p>
        </w:tc>
        <w:tc>
          <w:tcPr>
            <w:tcW w:w="413" w:type="pct"/>
            <w:vAlign w:val="center"/>
          </w:tcPr>
          <w:p w14:paraId="2D5C54B0">
            <w:pPr>
              <w:spacing w:line="240" w:lineRule="auto"/>
              <w:jc w:val="center"/>
              <w:rPr>
                <w:rFonts w:ascii="Times New Roman" w:hAnsi="Times New Roman" w:eastAsia="仿宋" w:cs="Times New Roman"/>
                <w:color w:val="auto"/>
                <w:sz w:val="21"/>
                <w:szCs w:val="21"/>
              </w:rPr>
            </w:pPr>
          </w:p>
        </w:tc>
        <w:tc>
          <w:tcPr>
            <w:tcW w:w="320" w:type="pct"/>
            <w:vAlign w:val="center"/>
          </w:tcPr>
          <w:p w14:paraId="1FFABD83">
            <w:pPr>
              <w:spacing w:line="240" w:lineRule="auto"/>
              <w:jc w:val="center"/>
              <w:rPr>
                <w:rFonts w:ascii="Times New Roman" w:hAnsi="Times New Roman" w:eastAsia="仿宋" w:cs="Times New Roman"/>
                <w:color w:val="auto"/>
                <w:sz w:val="21"/>
                <w:szCs w:val="21"/>
              </w:rPr>
            </w:pPr>
          </w:p>
        </w:tc>
        <w:tc>
          <w:tcPr>
            <w:tcW w:w="569" w:type="pct"/>
            <w:vAlign w:val="center"/>
          </w:tcPr>
          <w:p w14:paraId="7AE416B8">
            <w:pPr>
              <w:spacing w:line="240" w:lineRule="auto"/>
              <w:jc w:val="center"/>
              <w:rPr>
                <w:rFonts w:ascii="Times New Roman" w:hAnsi="Times New Roman" w:eastAsia="仿宋" w:cs="Times New Roman"/>
                <w:color w:val="auto"/>
                <w:sz w:val="21"/>
                <w:szCs w:val="21"/>
              </w:rPr>
            </w:pPr>
          </w:p>
        </w:tc>
      </w:tr>
      <w:tr w14:paraId="58374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70" w:type="pct"/>
            <w:vMerge w:val="restart"/>
            <w:vAlign w:val="center"/>
          </w:tcPr>
          <w:p w14:paraId="1AE7C54F">
            <w:pPr>
              <w:spacing w:line="240" w:lineRule="auto"/>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生态经济</w:t>
            </w:r>
          </w:p>
        </w:tc>
        <w:tc>
          <w:tcPr>
            <w:tcW w:w="255" w:type="pct"/>
            <w:noWrap/>
            <w:vAlign w:val="center"/>
          </w:tcPr>
          <w:p w14:paraId="7DDB85A3">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1</w:t>
            </w:r>
          </w:p>
        </w:tc>
        <w:tc>
          <w:tcPr>
            <w:tcW w:w="631" w:type="pct"/>
            <w:vAlign w:val="center"/>
          </w:tcPr>
          <w:p w14:paraId="00E7D2F7">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云南玉溪仙福钢铁（集团）有限公司产能置换升级改造项目</w:t>
            </w:r>
          </w:p>
        </w:tc>
        <w:tc>
          <w:tcPr>
            <w:tcW w:w="1816" w:type="pct"/>
            <w:vAlign w:val="center"/>
          </w:tcPr>
          <w:p w14:paraId="7514E528">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对公司原有生产装备及设施进行升级改造，拆除现有炼铁高炉四座（450m³、580m³各一座，630m³二座）及氧气顶吹转炉五座（35吨三座，50吨一座、60吨一座）；建成1350m³炼铁高炉两座、100吨转炉两座、52吨合金钢电炉一座及相关配套设施。</w:t>
            </w:r>
          </w:p>
        </w:tc>
        <w:tc>
          <w:tcPr>
            <w:tcW w:w="408" w:type="pct"/>
            <w:vAlign w:val="center"/>
          </w:tcPr>
          <w:p w14:paraId="2AE1A96F">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2022-2023</w:t>
            </w:r>
          </w:p>
        </w:tc>
        <w:tc>
          <w:tcPr>
            <w:tcW w:w="413" w:type="pct"/>
            <w:vAlign w:val="center"/>
          </w:tcPr>
          <w:p w14:paraId="2B0C7D1F">
            <w:pPr>
              <w:spacing w:line="240" w:lineRule="auto"/>
              <w:jc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480000</w:t>
            </w:r>
          </w:p>
        </w:tc>
        <w:tc>
          <w:tcPr>
            <w:tcW w:w="413" w:type="pct"/>
            <w:vAlign w:val="center"/>
          </w:tcPr>
          <w:p w14:paraId="66ABD896">
            <w:pPr>
              <w:widowControl/>
              <w:spacing w:line="240" w:lineRule="auto"/>
              <w:jc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rPr>
              <w:t>云南玉溪仙福钢铁（集团）有限公司</w:t>
            </w:r>
          </w:p>
        </w:tc>
        <w:tc>
          <w:tcPr>
            <w:tcW w:w="320" w:type="pct"/>
            <w:vAlign w:val="center"/>
          </w:tcPr>
          <w:p w14:paraId="7AC2B1E4">
            <w:pPr>
              <w:widowControl/>
              <w:spacing w:line="240" w:lineRule="auto"/>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rPr>
              <w:t>企业自筹</w:t>
            </w:r>
          </w:p>
        </w:tc>
        <w:tc>
          <w:tcPr>
            <w:tcW w:w="569" w:type="pct"/>
            <w:vAlign w:val="center"/>
          </w:tcPr>
          <w:p w14:paraId="0B7CB6AB">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单位地区生产总值能耗</w:t>
            </w:r>
          </w:p>
        </w:tc>
      </w:tr>
      <w:tr w14:paraId="15A32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70" w:type="pct"/>
            <w:vMerge w:val="continue"/>
            <w:vAlign w:val="center"/>
          </w:tcPr>
          <w:p w14:paraId="0F4A93F3">
            <w:pPr>
              <w:spacing w:line="240" w:lineRule="auto"/>
              <w:jc w:val="center"/>
              <w:rPr>
                <w:rFonts w:ascii="Times New Roman" w:hAnsi="Times New Roman" w:eastAsia="仿宋" w:cs="Times New Roman"/>
                <w:color w:val="auto"/>
                <w:sz w:val="21"/>
                <w:szCs w:val="21"/>
              </w:rPr>
            </w:pPr>
          </w:p>
        </w:tc>
        <w:tc>
          <w:tcPr>
            <w:tcW w:w="255" w:type="pct"/>
            <w:noWrap/>
            <w:vAlign w:val="center"/>
          </w:tcPr>
          <w:p w14:paraId="6A12DBE7">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2</w:t>
            </w:r>
          </w:p>
        </w:tc>
        <w:tc>
          <w:tcPr>
            <w:tcW w:w="631" w:type="pct"/>
            <w:tcBorders>
              <w:top w:val="single" w:color="auto" w:sz="4" w:space="0"/>
              <w:left w:val="single" w:color="auto" w:sz="4" w:space="0"/>
              <w:bottom w:val="single" w:color="auto" w:sz="4" w:space="0"/>
              <w:right w:val="single" w:color="auto" w:sz="4" w:space="0"/>
            </w:tcBorders>
            <w:shd w:val="clear" w:color="auto" w:fill="auto"/>
            <w:vAlign w:val="center"/>
          </w:tcPr>
          <w:p w14:paraId="656956C3">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新平县联兴风电场</w:t>
            </w:r>
          </w:p>
        </w:tc>
        <w:tc>
          <w:tcPr>
            <w:tcW w:w="1816" w:type="pct"/>
            <w:tcBorders>
              <w:top w:val="single" w:color="auto" w:sz="4" w:space="0"/>
              <w:left w:val="single" w:color="auto" w:sz="4" w:space="0"/>
              <w:bottom w:val="single" w:color="auto" w:sz="4" w:space="0"/>
              <w:right w:val="single" w:color="auto" w:sz="4" w:space="0"/>
            </w:tcBorders>
            <w:shd w:val="clear" w:color="auto" w:fill="auto"/>
            <w:vAlign w:val="center"/>
          </w:tcPr>
          <w:p w14:paraId="41F58079">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安装风机47台，总装机9.9万千瓦。</w:t>
            </w:r>
          </w:p>
        </w:tc>
        <w:tc>
          <w:tcPr>
            <w:tcW w:w="408" w:type="pct"/>
            <w:tcBorders>
              <w:top w:val="single" w:color="auto" w:sz="4" w:space="0"/>
              <w:left w:val="single" w:color="auto" w:sz="4" w:space="0"/>
              <w:bottom w:val="single" w:color="auto" w:sz="4" w:space="0"/>
              <w:right w:val="single" w:color="auto" w:sz="4" w:space="0"/>
            </w:tcBorders>
            <w:shd w:val="clear" w:color="auto" w:fill="auto"/>
            <w:vAlign w:val="center"/>
          </w:tcPr>
          <w:p w14:paraId="7D994AFC">
            <w:pPr>
              <w:widowControl/>
              <w:spacing w:line="240" w:lineRule="auto"/>
              <w:jc w:val="center"/>
              <w:rPr>
                <w:rFonts w:ascii="Times New Roman" w:hAnsi="Times New Roman" w:eastAsia="宋体" w:cs="Times New Roman"/>
                <w:color w:val="000000"/>
                <w:kern w:val="0"/>
                <w:sz w:val="21"/>
                <w:szCs w:val="21"/>
              </w:rPr>
            </w:pPr>
            <w:r>
              <w:rPr>
                <w:rFonts w:ascii="Times New Roman" w:hAnsi="Times New Roman" w:cs="Times New Roman"/>
                <w:color w:val="000000"/>
                <w:sz w:val="21"/>
                <w:szCs w:val="21"/>
              </w:rPr>
              <w:t>2023-2025</w:t>
            </w:r>
          </w:p>
        </w:tc>
        <w:tc>
          <w:tcPr>
            <w:tcW w:w="413" w:type="pct"/>
            <w:tcBorders>
              <w:top w:val="single" w:color="auto" w:sz="4" w:space="0"/>
              <w:left w:val="single" w:color="auto" w:sz="4" w:space="0"/>
              <w:bottom w:val="single" w:color="auto" w:sz="4" w:space="0"/>
              <w:right w:val="single" w:color="auto" w:sz="4" w:space="0"/>
            </w:tcBorders>
            <w:shd w:val="clear" w:color="auto" w:fill="auto"/>
            <w:vAlign w:val="center"/>
          </w:tcPr>
          <w:p w14:paraId="0D3EADB8">
            <w:pPr>
              <w:widowControl/>
              <w:spacing w:line="240" w:lineRule="auto"/>
              <w:jc w:val="center"/>
              <w:rPr>
                <w:rFonts w:ascii="Times New Roman" w:hAnsi="Times New Roman" w:eastAsia="宋体" w:cs="Times New Roman"/>
                <w:color w:val="000000"/>
                <w:kern w:val="0"/>
                <w:sz w:val="21"/>
                <w:szCs w:val="21"/>
              </w:rPr>
            </w:pPr>
            <w:r>
              <w:rPr>
                <w:rFonts w:ascii="Times New Roman" w:hAnsi="Times New Roman" w:cs="Times New Roman"/>
                <w:color w:val="000000"/>
                <w:sz w:val="21"/>
                <w:szCs w:val="21"/>
              </w:rPr>
              <w:t>69300</w:t>
            </w:r>
          </w:p>
        </w:tc>
        <w:tc>
          <w:tcPr>
            <w:tcW w:w="413" w:type="pct"/>
            <w:shd w:val="clear" w:color="auto" w:fill="auto"/>
            <w:vAlign w:val="center"/>
          </w:tcPr>
          <w:p w14:paraId="05C7614B">
            <w:pPr>
              <w:widowControl/>
              <w:spacing w:line="240" w:lineRule="auto"/>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县发展局</w:t>
            </w:r>
          </w:p>
        </w:tc>
        <w:tc>
          <w:tcPr>
            <w:tcW w:w="320" w:type="pct"/>
            <w:vAlign w:val="center"/>
          </w:tcPr>
          <w:p w14:paraId="71BC4018">
            <w:pPr>
              <w:widowControl/>
              <w:spacing w:line="240" w:lineRule="auto"/>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企业自筹、政府投入</w:t>
            </w:r>
          </w:p>
        </w:tc>
        <w:tc>
          <w:tcPr>
            <w:tcW w:w="569" w:type="pct"/>
            <w:vAlign w:val="center"/>
          </w:tcPr>
          <w:p w14:paraId="711DF563">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单位地区生产总值能耗</w:t>
            </w:r>
          </w:p>
        </w:tc>
      </w:tr>
      <w:tr w14:paraId="2C3C3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70" w:type="pct"/>
            <w:vMerge w:val="continue"/>
            <w:vAlign w:val="center"/>
          </w:tcPr>
          <w:p w14:paraId="69A438C4">
            <w:pPr>
              <w:spacing w:line="240" w:lineRule="auto"/>
              <w:jc w:val="center"/>
              <w:rPr>
                <w:rFonts w:ascii="Times New Roman" w:hAnsi="Times New Roman" w:eastAsia="仿宋" w:cs="Times New Roman"/>
                <w:color w:val="auto"/>
                <w:sz w:val="21"/>
                <w:szCs w:val="21"/>
              </w:rPr>
            </w:pPr>
          </w:p>
        </w:tc>
        <w:tc>
          <w:tcPr>
            <w:tcW w:w="255" w:type="pct"/>
            <w:noWrap/>
            <w:vAlign w:val="center"/>
          </w:tcPr>
          <w:p w14:paraId="699380A2">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3</w:t>
            </w:r>
          </w:p>
        </w:tc>
        <w:tc>
          <w:tcPr>
            <w:tcW w:w="631" w:type="pct"/>
            <w:tcBorders>
              <w:top w:val="nil"/>
              <w:left w:val="single" w:color="auto" w:sz="4" w:space="0"/>
              <w:bottom w:val="single" w:color="auto" w:sz="4" w:space="0"/>
              <w:right w:val="single" w:color="auto" w:sz="4" w:space="0"/>
            </w:tcBorders>
            <w:shd w:val="clear" w:color="auto" w:fill="auto"/>
            <w:vAlign w:val="center"/>
          </w:tcPr>
          <w:p w14:paraId="5BBB7FEC">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新平县鲁奎山风电场</w:t>
            </w:r>
          </w:p>
        </w:tc>
        <w:tc>
          <w:tcPr>
            <w:tcW w:w="1816" w:type="pct"/>
            <w:tcBorders>
              <w:top w:val="nil"/>
              <w:left w:val="single" w:color="auto" w:sz="4" w:space="0"/>
              <w:bottom w:val="single" w:color="auto" w:sz="4" w:space="0"/>
              <w:right w:val="single" w:color="auto" w:sz="4" w:space="0"/>
            </w:tcBorders>
            <w:shd w:val="clear" w:color="auto" w:fill="auto"/>
            <w:vAlign w:val="center"/>
          </w:tcPr>
          <w:p w14:paraId="0A3EBF16">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安装风机18台，总装机5万千瓦。</w:t>
            </w:r>
          </w:p>
        </w:tc>
        <w:tc>
          <w:tcPr>
            <w:tcW w:w="408" w:type="pct"/>
            <w:tcBorders>
              <w:top w:val="nil"/>
              <w:left w:val="single" w:color="auto" w:sz="4" w:space="0"/>
              <w:bottom w:val="single" w:color="auto" w:sz="4" w:space="0"/>
              <w:right w:val="single" w:color="auto" w:sz="4" w:space="0"/>
            </w:tcBorders>
            <w:shd w:val="clear" w:color="auto" w:fill="auto"/>
            <w:vAlign w:val="center"/>
          </w:tcPr>
          <w:p w14:paraId="7F126ECC">
            <w:pPr>
              <w:jc w:val="center"/>
              <w:rPr>
                <w:rFonts w:ascii="Times New Roman" w:hAnsi="Times New Roman" w:cs="Times New Roman"/>
                <w:color w:val="000000"/>
                <w:sz w:val="21"/>
                <w:szCs w:val="21"/>
              </w:rPr>
            </w:pPr>
            <w:r>
              <w:rPr>
                <w:rFonts w:ascii="Times New Roman" w:hAnsi="Times New Roman" w:cs="Times New Roman"/>
                <w:color w:val="000000"/>
                <w:sz w:val="21"/>
                <w:szCs w:val="21"/>
              </w:rPr>
              <w:t>2025-2027</w:t>
            </w:r>
          </w:p>
        </w:tc>
        <w:tc>
          <w:tcPr>
            <w:tcW w:w="413" w:type="pct"/>
            <w:tcBorders>
              <w:top w:val="nil"/>
              <w:left w:val="single" w:color="auto" w:sz="4" w:space="0"/>
              <w:bottom w:val="single" w:color="auto" w:sz="4" w:space="0"/>
              <w:right w:val="single" w:color="auto" w:sz="4" w:space="0"/>
            </w:tcBorders>
            <w:shd w:val="clear" w:color="auto" w:fill="auto"/>
            <w:vAlign w:val="center"/>
          </w:tcPr>
          <w:p w14:paraId="0C484C51">
            <w:pPr>
              <w:jc w:val="center"/>
              <w:rPr>
                <w:rFonts w:ascii="Times New Roman" w:hAnsi="Times New Roman" w:cs="Times New Roman"/>
                <w:color w:val="000000"/>
                <w:sz w:val="21"/>
                <w:szCs w:val="21"/>
              </w:rPr>
            </w:pPr>
            <w:r>
              <w:rPr>
                <w:rFonts w:ascii="Times New Roman" w:hAnsi="Times New Roman" w:cs="Times New Roman"/>
                <w:color w:val="000000"/>
                <w:sz w:val="21"/>
                <w:szCs w:val="21"/>
              </w:rPr>
              <w:t>35000</w:t>
            </w:r>
          </w:p>
        </w:tc>
        <w:tc>
          <w:tcPr>
            <w:tcW w:w="413" w:type="pct"/>
            <w:shd w:val="clear" w:color="auto" w:fill="auto"/>
            <w:vAlign w:val="center"/>
          </w:tcPr>
          <w:p w14:paraId="1D5E6A92">
            <w:pPr>
              <w:widowControl/>
              <w:spacing w:line="240" w:lineRule="auto"/>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县发展局</w:t>
            </w:r>
          </w:p>
        </w:tc>
        <w:tc>
          <w:tcPr>
            <w:tcW w:w="320" w:type="pct"/>
            <w:vAlign w:val="center"/>
          </w:tcPr>
          <w:p w14:paraId="384148F2">
            <w:pPr>
              <w:widowControl/>
              <w:spacing w:line="240" w:lineRule="auto"/>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企业自筹、政府投入</w:t>
            </w:r>
          </w:p>
        </w:tc>
        <w:tc>
          <w:tcPr>
            <w:tcW w:w="569" w:type="pct"/>
            <w:vAlign w:val="center"/>
          </w:tcPr>
          <w:p w14:paraId="73552144">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单位地区生产总值能耗</w:t>
            </w:r>
          </w:p>
        </w:tc>
      </w:tr>
      <w:tr w14:paraId="28F31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70" w:type="pct"/>
            <w:vMerge w:val="continue"/>
            <w:vAlign w:val="center"/>
          </w:tcPr>
          <w:p w14:paraId="01EDF05C">
            <w:pPr>
              <w:spacing w:line="240" w:lineRule="auto"/>
              <w:jc w:val="center"/>
              <w:rPr>
                <w:rFonts w:ascii="Times New Roman" w:hAnsi="Times New Roman" w:eastAsia="仿宋" w:cs="Times New Roman"/>
                <w:color w:val="auto"/>
                <w:sz w:val="21"/>
                <w:szCs w:val="21"/>
              </w:rPr>
            </w:pPr>
          </w:p>
        </w:tc>
        <w:tc>
          <w:tcPr>
            <w:tcW w:w="255" w:type="pct"/>
            <w:noWrap/>
            <w:vAlign w:val="center"/>
          </w:tcPr>
          <w:p w14:paraId="1367C3BF">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4</w:t>
            </w:r>
          </w:p>
        </w:tc>
        <w:tc>
          <w:tcPr>
            <w:tcW w:w="631" w:type="pct"/>
            <w:tcBorders>
              <w:top w:val="nil"/>
              <w:left w:val="single" w:color="auto" w:sz="4" w:space="0"/>
              <w:bottom w:val="single" w:color="auto" w:sz="4" w:space="0"/>
              <w:right w:val="single" w:color="auto" w:sz="4" w:space="0"/>
            </w:tcBorders>
            <w:shd w:val="clear" w:color="auto" w:fill="auto"/>
            <w:vAlign w:val="center"/>
          </w:tcPr>
          <w:p w14:paraId="7BF3E24B">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新平县哈科迪二期风电场</w:t>
            </w:r>
          </w:p>
        </w:tc>
        <w:tc>
          <w:tcPr>
            <w:tcW w:w="1816" w:type="pct"/>
            <w:tcBorders>
              <w:top w:val="nil"/>
              <w:left w:val="single" w:color="auto" w:sz="4" w:space="0"/>
              <w:bottom w:val="single" w:color="auto" w:sz="4" w:space="0"/>
              <w:right w:val="single" w:color="auto" w:sz="4" w:space="0"/>
            </w:tcBorders>
            <w:shd w:val="clear" w:color="auto" w:fill="auto"/>
            <w:vAlign w:val="center"/>
          </w:tcPr>
          <w:p w14:paraId="45977C04">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安装风机30台，总装机8万千瓦。</w:t>
            </w:r>
          </w:p>
        </w:tc>
        <w:tc>
          <w:tcPr>
            <w:tcW w:w="408" w:type="pct"/>
            <w:tcBorders>
              <w:top w:val="nil"/>
              <w:left w:val="single" w:color="auto" w:sz="4" w:space="0"/>
              <w:bottom w:val="single" w:color="auto" w:sz="4" w:space="0"/>
              <w:right w:val="single" w:color="auto" w:sz="4" w:space="0"/>
            </w:tcBorders>
            <w:shd w:val="clear" w:color="auto" w:fill="auto"/>
            <w:vAlign w:val="center"/>
          </w:tcPr>
          <w:p w14:paraId="37925351">
            <w:pPr>
              <w:jc w:val="center"/>
              <w:rPr>
                <w:rFonts w:ascii="Times New Roman" w:hAnsi="Times New Roman" w:cs="Times New Roman"/>
                <w:color w:val="000000"/>
                <w:sz w:val="21"/>
                <w:szCs w:val="21"/>
              </w:rPr>
            </w:pPr>
            <w:r>
              <w:rPr>
                <w:rFonts w:ascii="Times New Roman" w:hAnsi="Times New Roman" w:cs="Times New Roman"/>
                <w:color w:val="000000"/>
                <w:sz w:val="21"/>
                <w:szCs w:val="21"/>
              </w:rPr>
              <w:t>2024-2026</w:t>
            </w:r>
          </w:p>
        </w:tc>
        <w:tc>
          <w:tcPr>
            <w:tcW w:w="413" w:type="pct"/>
            <w:tcBorders>
              <w:top w:val="nil"/>
              <w:left w:val="single" w:color="auto" w:sz="4" w:space="0"/>
              <w:bottom w:val="single" w:color="auto" w:sz="4" w:space="0"/>
              <w:right w:val="single" w:color="auto" w:sz="4" w:space="0"/>
            </w:tcBorders>
            <w:shd w:val="clear" w:color="auto" w:fill="auto"/>
            <w:vAlign w:val="center"/>
          </w:tcPr>
          <w:p w14:paraId="24682936">
            <w:pPr>
              <w:jc w:val="center"/>
              <w:rPr>
                <w:rFonts w:ascii="Times New Roman" w:hAnsi="Times New Roman" w:cs="Times New Roman"/>
                <w:color w:val="000000"/>
                <w:sz w:val="21"/>
                <w:szCs w:val="21"/>
              </w:rPr>
            </w:pPr>
            <w:r>
              <w:rPr>
                <w:rFonts w:ascii="Times New Roman" w:hAnsi="Times New Roman" w:cs="Times New Roman"/>
                <w:color w:val="000000"/>
                <w:sz w:val="21"/>
                <w:szCs w:val="21"/>
              </w:rPr>
              <w:t>56000</w:t>
            </w:r>
          </w:p>
        </w:tc>
        <w:tc>
          <w:tcPr>
            <w:tcW w:w="413" w:type="pct"/>
            <w:shd w:val="clear" w:color="auto" w:fill="auto"/>
            <w:vAlign w:val="center"/>
          </w:tcPr>
          <w:p w14:paraId="779FBF49">
            <w:pPr>
              <w:widowControl/>
              <w:spacing w:line="240" w:lineRule="auto"/>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县发展局</w:t>
            </w:r>
          </w:p>
        </w:tc>
        <w:tc>
          <w:tcPr>
            <w:tcW w:w="320" w:type="pct"/>
            <w:vAlign w:val="center"/>
          </w:tcPr>
          <w:p w14:paraId="4357AB7B">
            <w:pPr>
              <w:widowControl/>
              <w:spacing w:line="240" w:lineRule="auto"/>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企业自筹、政府投入</w:t>
            </w:r>
          </w:p>
        </w:tc>
        <w:tc>
          <w:tcPr>
            <w:tcW w:w="569" w:type="pct"/>
            <w:vAlign w:val="center"/>
          </w:tcPr>
          <w:p w14:paraId="65037CA5">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单位地区生产总值能耗</w:t>
            </w:r>
          </w:p>
        </w:tc>
      </w:tr>
      <w:tr w14:paraId="48550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70" w:type="pct"/>
            <w:vMerge w:val="continue"/>
            <w:vAlign w:val="center"/>
          </w:tcPr>
          <w:p w14:paraId="28094EC5">
            <w:pPr>
              <w:spacing w:line="240" w:lineRule="auto"/>
              <w:jc w:val="center"/>
              <w:rPr>
                <w:rFonts w:ascii="Times New Roman" w:hAnsi="Times New Roman" w:eastAsia="仿宋" w:cs="Times New Roman"/>
                <w:color w:val="auto"/>
                <w:sz w:val="21"/>
                <w:szCs w:val="21"/>
              </w:rPr>
            </w:pPr>
          </w:p>
        </w:tc>
        <w:tc>
          <w:tcPr>
            <w:tcW w:w="255" w:type="pct"/>
            <w:noWrap/>
            <w:vAlign w:val="center"/>
          </w:tcPr>
          <w:p w14:paraId="2387719D">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5</w:t>
            </w:r>
          </w:p>
        </w:tc>
        <w:tc>
          <w:tcPr>
            <w:tcW w:w="631" w:type="pct"/>
            <w:tcBorders>
              <w:top w:val="nil"/>
              <w:left w:val="single" w:color="auto" w:sz="4" w:space="0"/>
              <w:bottom w:val="single" w:color="auto" w:sz="4" w:space="0"/>
              <w:right w:val="single" w:color="auto" w:sz="4" w:space="0"/>
            </w:tcBorders>
            <w:shd w:val="clear" w:color="auto" w:fill="auto"/>
            <w:vAlign w:val="center"/>
          </w:tcPr>
          <w:p w14:paraId="5FA02962">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新平县建兴磨味分散式风电建设项目</w:t>
            </w:r>
          </w:p>
        </w:tc>
        <w:tc>
          <w:tcPr>
            <w:tcW w:w="1816" w:type="pct"/>
            <w:tcBorders>
              <w:top w:val="nil"/>
              <w:left w:val="single" w:color="auto" w:sz="4" w:space="0"/>
              <w:bottom w:val="single" w:color="auto" w:sz="4" w:space="0"/>
              <w:right w:val="single" w:color="auto" w:sz="4" w:space="0"/>
            </w:tcBorders>
            <w:shd w:val="clear" w:color="auto" w:fill="auto"/>
            <w:vAlign w:val="center"/>
          </w:tcPr>
          <w:p w14:paraId="6B3EA621">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单机容量3000千瓦风机4台，总装机12000千瓦。</w:t>
            </w:r>
          </w:p>
        </w:tc>
        <w:tc>
          <w:tcPr>
            <w:tcW w:w="408" w:type="pct"/>
            <w:tcBorders>
              <w:top w:val="nil"/>
              <w:left w:val="single" w:color="auto" w:sz="4" w:space="0"/>
              <w:bottom w:val="single" w:color="auto" w:sz="4" w:space="0"/>
              <w:right w:val="single" w:color="auto" w:sz="4" w:space="0"/>
            </w:tcBorders>
            <w:shd w:val="clear" w:color="auto" w:fill="auto"/>
            <w:vAlign w:val="center"/>
          </w:tcPr>
          <w:p w14:paraId="4B6549F3">
            <w:pPr>
              <w:jc w:val="center"/>
              <w:rPr>
                <w:rFonts w:ascii="Times New Roman" w:hAnsi="Times New Roman" w:cs="Times New Roman"/>
                <w:color w:val="000000"/>
                <w:sz w:val="21"/>
                <w:szCs w:val="21"/>
              </w:rPr>
            </w:pPr>
            <w:r>
              <w:rPr>
                <w:rFonts w:ascii="Times New Roman" w:hAnsi="Times New Roman" w:cs="Times New Roman"/>
                <w:color w:val="000000"/>
                <w:sz w:val="21"/>
                <w:szCs w:val="21"/>
              </w:rPr>
              <w:t>2023-2024</w:t>
            </w:r>
          </w:p>
        </w:tc>
        <w:tc>
          <w:tcPr>
            <w:tcW w:w="413" w:type="pct"/>
            <w:tcBorders>
              <w:top w:val="nil"/>
              <w:left w:val="single" w:color="auto" w:sz="4" w:space="0"/>
              <w:bottom w:val="single" w:color="auto" w:sz="4" w:space="0"/>
              <w:right w:val="single" w:color="auto" w:sz="4" w:space="0"/>
            </w:tcBorders>
            <w:shd w:val="clear" w:color="auto" w:fill="auto"/>
            <w:vAlign w:val="center"/>
          </w:tcPr>
          <w:p w14:paraId="03C34933">
            <w:pPr>
              <w:jc w:val="center"/>
              <w:rPr>
                <w:rFonts w:ascii="Times New Roman" w:hAnsi="Times New Roman" w:cs="Times New Roman"/>
                <w:color w:val="000000"/>
                <w:sz w:val="21"/>
                <w:szCs w:val="21"/>
              </w:rPr>
            </w:pPr>
            <w:r>
              <w:rPr>
                <w:rFonts w:ascii="Times New Roman" w:hAnsi="Times New Roman" w:cs="Times New Roman"/>
                <w:color w:val="000000"/>
                <w:sz w:val="21"/>
                <w:szCs w:val="21"/>
              </w:rPr>
              <w:t>8400</w:t>
            </w:r>
          </w:p>
        </w:tc>
        <w:tc>
          <w:tcPr>
            <w:tcW w:w="413" w:type="pct"/>
            <w:shd w:val="clear" w:color="auto" w:fill="auto"/>
            <w:vAlign w:val="center"/>
          </w:tcPr>
          <w:p w14:paraId="7D1EC31A">
            <w:pPr>
              <w:widowControl/>
              <w:spacing w:line="240" w:lineRule="auto"/>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县发展局</w:t>
            </w:r>
          </w:p>
        </w:tc>
        <w:tc>
          <w:tcPr>
            <w:tcW w:w="320" w:type="pct"/>
            <w:vAlign w:val="center"/>
          </w:tcPr>
          <w:p w14:paraId="56623ADD">
            <w:pPr>
              <w:widowControl/>
              <w:spacing w:line="240" w:lineRule="auto"/>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企业自筹、政府投入</w:t>
            </w:r>
          </w:p>
        </w:tc>
        <w:tc>
          <w:tcPr>
            <w:tcW w:w="569" w:type="pct"/>
            <w:vAlign w:val="center"/>
          </w:tcPr>
          <w:p w14:paraId="2D58A084">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单位地区生产总值能耗</w:t>
            </w:r>
          </w:p>
        </w:tc>
      </w:tr>
      <w:tr w14:paraId="618FA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70" w:type="pct"/>
            <w:vMerge w:val="continue"/>
            <w:vAlign w:val="center"/>
          </w:tcPr>
          <w:p w14:paraId="63238D42">
            <w:pPr>
              <w:spacing w:line="240" w:lineRule="auto"/>
              <w:jc w:val="center"/>
              <w:rPr>
                <w:rFonts w:ascii="Times New Roman" w:hAnsi="Times New Roman" w:eastAsia="仿宋" w:cs="Times New Roman"/>
                <w:color w:val="auto"/>
                <w:sz w:val="21"/>
                <w:szCs w:val="21"/>
              </w:rPr>
            </w:pPr>
          </w:p>
        </w:tc>
        <w:tc>
          <w:tcPr>
            <w:tcW w:w="255" w:type="pct"/>
            <w:noWrap/>
            <w:vAlign w:val="center"/>
          </w:tcPr>
          <w:p w14:paraId="3D773DDF">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6</w:t>
            </w:r>
          </w:p>
        </w:tc>
        <w:tc>
          <w:tcPr>
            <w:tcW w:w="631" w:type="pct"/>
            <w:tcBorders>
              <w:top w:val="nil"/>
              <w:left w:val="single" w:color="auto" w:sz="4" w:space="0"/>
              <w:bottom w:val="single" w:color="auto" w:sz="4" w:space="0"/>
              <w:right w:val="single" w:color="auto" w:sz="4" w:space="0"/>
            </w:tcBorders>
            <w:shd w:val="clear" w:color="auto" w:fill="auto"/>
            <w:vAlign w:val="center"/>
          </w:tcPr>
          <w:p w14:paraId="30EE60C0">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新平县建兴帽合分散式风电建设项目</w:t>
            </w:r>
          </w:p>
        </w:tc>
        <w:tc>
          <w:tcPr>
            <w:tcW w:w="1816" w:type="pct"/>
            <w:tcBorders>
              <w:top w:val="nil"/>
              <w:left w:val="single" w:color="auto" w:sz="4" w:space="0"/>
              <w:bottom w:val="single" w:color="auto" w:sz="4" w:space="0"/>
              <w:right w:val="single" w:color="auto" w:sz="4" w:space="0"/>
            </w:tcBorders>
            <w:shd w:val="clear" w:color="auto" w:fill="auto"/>
            <w:vAlign w:val="center"/>
          </w:tcPr>
          <w:p w14:paraId="6DC85950">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单机容量3000千瓦风机2台，总装机6000千瓦。</w:t>
            </w:r>
          </w:p>
        </w:tc>
        <w:tc>
          <w:tcPr>
            <w:tcW w:w="408" w:type="pct"/>
            <w:tcBorders>
              <w:top w:val="nil"/>
              <w:left w:val="single" w:color="auto" w:sz="4" w:space="0"/>
              <w:bottom w:val="single" w:color="auto" w:sz="4" w:space="0"/>
              <w:right w:val="single" w:color="auto" w:sz="4" w:space="0"/>
            </w:tcBorders>
            <w:shd w:val="clear" w:color="auto" w:fill="auto"/>
            <w:vAlign w:val="center"/>
          </w:tcPr>
          <w:p w14:paraId="351C62AB">
            <w:pPr>
              <w:jc w:val="center"/>
              <w:rPr>
                <w:rFonts w:ascii="Times New Roman" w:hAnsi="Times New Roman" w:cs="Times New Roman"/>
                <w:color w:val="000000"/>
                <w:sz w:val="21"/>
                <w:szCs w:val="21"/>
              </w:rPr>
            </w:pPr>
            <w:r>
              <w:rPr>
                <w:rFonts w:ascii="Times New Roman" w:hAnsi="Times New Roman" w:cs="Times New Roman"/>
                <w:color w:val="000000"/>
                <w:sz w:val="21"/>
                <w:szCs w:val="21"/>
              </w:rPr>
              <w:t>2023-2024</w:t>
            </w:r>
          </w:p>
        </w:tc>
        <w:tc>
          <w:tcPr>
            <w:tcW w:w="413" w:type="pct"/>
            <w:tcBorders>
              <w:top w:val="nil"/>
              <w:left w:val="single" w:color="auto" w:sz="4" w:space="0"/>
              <w:bottom w:val="single" w:color="auto" w:sz="4" w:space="0"/>
              <w:right w:val="single" w:color="auto" w:sz="4" w:space="0"/>
            </w:tcBorders>
            <w:shd w:val="clear" w:color="auto" w:fill="auto"/>
            <w:vAlign w:val="center"/>
          </w:tcPr>
          <w:p w14:paraId="18C480C4">
            <w:pPr>
              <w:jc w:val="center"/>
              <w:rPr>
                <w:rFonts w:ascii="Times New Roman" w:hAnsi="Times New Roman" w:cs="Times New Roman"/>
                <w:color w:val="000000"/>
                <w:sz w:val="21"/>
                <w:szCs w:val="21"/>
              </w:rPr>
            </w:pPr>
            <w:r>
              <w:rPr>
                <w:rFonts w:ascii="Times New Roman" w:hAnsi="Times New Roman" w:cs="Times New Roman"/>
                <w:color w:val="000000"/>
                <w:sz w:val="21"/>
                <w:szCs w:val="21"/>
              </w:rPr>
              <w:t>4200</w:t>
            </w:r>
          </w:p>
        </w:tc>
        <w:tc>
          <w:tcPr>
            <w:tcW w:w="413" w:type="pct"/>
            <w:shd w:val="clear" w:color="auto" w:fill="auto"/>
            <w:vAlign w:val="center"/>
          </w:tcPr>
          <w:p w14:paraId="6C762694">
            <w:pPr>
              <w:widowControl/>
              <w:spacing w:line="240" w:lineRule="auto"/>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县发展局</w:t>
            </w:r>
          </w:p>
        </w:tc>
        <w:tc>
          <w:tcPr>
            <w:tcW w:w="320" w:type="pct"/>
            <w:vAlign w:val="center"/>
          </w:tcPr>
          <w:p w14:paraId="07E9CCFA">
            <w:pPr>
              <w:widowControl/>
              <w:spacing w:line="240" w:lineRule="auto"/>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企业自筹、政府投入</w:t>
            </w:r>
          </w:p>
        </w:tc>
        <w:tc>
          <w:tcPr>
            <w:tcW w:w="569" w:type="pct"/>
            <w:vAlign w:val="center"/>
          </w:tcPr>
          <w:p w14:paraId="6355C63E">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单位地区生产总值能耗</w:t>
            </w:r>
          </w:p>
        </w:tc>
      </w:tr>
      <w:tr w14:paraId="2C133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70" w:type="pct"/>
            <w:vMerge w:val="continue"/>
            <w:vAlign w:val="center"/>
          </w:tcPr>
          <w:p w14:paraId="23A27ABF">
            <w:pPr>
              <w:spacing w:line="240" w:lineRule="auto"/>
              <w:jc w:val="center"/>
              <w:rPr>
                <w:rFonts w:ascii="Times New Roman" w:hAnsi="Times New Roman" w:eastAsia="仿宋" w:cs="Times New Roman"/>
                <w:color w:val="auto"/>
                <w:sz w:val="21"/>
                <w:szCs w:val="21"/>
              </w:rPr>
            </w:pPr>
          </w:p>
        </w:tc>
        <w:tc>
          <w:tcPr>
            <w:tcW w:w="255" w:type="pct"/>
            <w:noWrap/>
            <w:vAlign w:val="center"/>
          </w:tcPr>
          <w:p w14:paraId="429209E3">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7</w:t>
            </w:r>
          </w:p>
        </w:tc>
        <w:tc>
          <w:tcPr>
            <w:tcW w:w="631" w:type="pct"/>
            <w:tcBorders>
              <w:top w:val="nil"/>
              <w:left w:val="single" w:color="auto" w:sz="4" w:space="0"/>
              <w:bottom w:val="single" w:color="auto" w:sz="4" w:space="0"/>
              <w:right w:val="single" w:color="auto" w:sz="4" w:space="0"/>
            </w:tcBorders>
            <w:shd w:val="clear" w:color="auto" w:fill="auto"/>
            <w:vAlign w:val="center"/>
          </w:tcPr>
          <w:p w14:paraId="56CD8E10">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新平县冒合山光伏电站</w:t>
            </w:r>
          </w:p>
        </w:tc>
        <w:tc>
          <w:tcPr>
            <w:tcW w:w="1816" w:type="pct"/>
            <w:tcBorders>
              <w:top w:val="nil"/>
              <w:left w:val="single" w:color="auto" w:sz="4" w:space="0"/>
              <w:bottom w:val="single" w:color="auto" w:sz="4" w:space="0"/>
              <w:right w:val="single" w:color="auto" w:sz="4" w:space="0"/>
            </w:tcBorders>
            <w:shd w:val="clear" w:color="auto" w:fill="auto"/>
            <w:vAlign w:val="center"/>
          </w:tcPr>
          <w:p w14:paraId="62A6423E">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占地约3000亩，总装机10万千瓦。</w:t>
            </w:r>
          </w:p>
        </w:tc>
        <w:tc>
          <w:tcPr>
            <w:tcW w:w="408" w:type="pct"/>
            <w:tcBorders>
              <w:top w:val="nil"/>
              <w:left w:val="single" w:color="auto" w:sz="4" w:space="0"/>
              <w:bottom w:val="single" w:color="auto" w:sz="4" w:space="0"/>
              <w:right w:val="single" w:color="auto" w:sz="4" w:space="0"/>
            </w:tcBorders>
            <w:shd w:val="clear" w:color="auto" w:fill="auto"/>
            <w:vAlign w:val="center"/>
          </w:tcPr>
          <w:p w14:paraId="1F3FF9A2">
            <w:pPr>
              <w:jc w:val="center"/>
              <w:rPr>
                <w:rFonts w:ascii="Times New Roman" w:hAnsi="Times New Roman" w:cs="Times New Roman"/>
                <w:color w:val="000000"/>
                <w:sz w:val="21"/>
                <w:szCs w:val="21"/>
              </w:rPr>
            </w:pPr>
            <w:r>
              <w:rPr>
                <w:rFonts w:ascii="Times New Roman" w:hAnsi="Times New Roman" w:cs="Times New Roman"/>
                <w:color w:val="000000"/>
                <w:sz w:val="21"/>
                <w:szCs w:val="21"/>
              </w:rPr>
              <w:t>2022-2023</w:t>
            </w:r>
          </w:p>
        </w:tc>
        <w:tc>
          <w:tcPr>
            <w:tcW w:w="413" w:type="pct"/>
            <w:tcBorders>
              <w:top w:val="nil"/>
              <w:left w:val="single" w:color="auto" w:sz="4" w:space="0"/>
              <w:bottom w:val="single" w:color="auto" w:sz="4" w:space="0"/>
              <w:right w:val="single" w:color="auto" w:sz="4" w:space="0"/>
            </w:tcBorders>
            <w:shd w:val="clear" w:color="auto" w:fill="auto"/>
            <w:vAlign w:val="center"/>
          </w:tcPr>
          <w:p w14:paraId="0937B7F8">
            <w:pPr>
              <w:jc w:val="center"/>
              <w:rPr>
                <w:rFonts w:ascii="Times New Roman" w:hAnsi="Times New Roman" w:cs="Times New Roman"/>
                <w:color w:val="000000"/>
                <w:sz w:val="21"/>
                <w:szCs w:val="21"/>
              </w:rPr>
            </w:pPr>
            <w:r>
              <w:rPr>
                <w:rFonts w:ascii="Times New Roman" w:hAnsi="Times New Roman" w:cs="Times New Roman"/>
                <w:color w:val="000000"/>
                <w:sz w:val="21"/>
                <w:szCs w:val="21"/>
              </w:rPr>
              <w:t>40000</w:t>
            </w:r>
          </w:p>
        </w:tc>
        <w:tc>
          <w:tcPr>
            <w:tcW w:w="413" w:type="pct"/>
            <w:shd w:val="clear" w:color="auto" w:fill="auto"/>
            <w:vAlign w:val="center"/>
          </w:tcPr>
          <w:p w14:paraId="2681EE3F">
            <w:pPr>
              <w:widowControl/>
              <w:spacing w:line="240" w:lineRule="auto"/>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县发展局</w:t>
            </w:r>
          </w:p>
        </w:tc>
        <w:tc>
          <w:tcPr>
            <w:tcW w:w="320" w:type="pct"/>
            <w:vAlign w:val="center"/>
          </w:tcPr>
          <w:p w14:paraId="41807B4B">
            <w:pPr>
              <w:widowControl/>
              <w:spacing w:line="240" w:lineRule="auto"/>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企业自筹、政府投入</w:t>
            </w:r>
          </w:p>
        </w:tc>
        <w:tc>
          <w:tcPr>
            <w:tcW w:w="569" w:type="pct"/>
            <w:vAlign w:val="center"/>
          </w:tcPr>
          <w:p w14:paraId="335293C5">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单位地区生产总值能耗</w:t>
            </w:r>
          </w:p>
        </w:tc>
      </w:tr>
      <w:tr w14:paraId="6C818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70" w:type="pct"/>
            <w:vMerge w:val="continue"/>
            <w:vAlign w:val="center"/>
          </w:tcPr>
          <w:p w14:paraId="30845F63">
            <w:pPr>
              <w:spacing w:line="240" w:lineRule="auto"/>
              <w:jc w:val="center"/>
              <w:rPr>
                <w:rFonts w:ascii="Times New Roman" w:hAnsi="Times New Roman" w:eastAsia="仿宋" w:cs="Times New Roman"/>
                <w:color w:val="auto"/>
                <w:sz w:val="21"/>
                <w:szCs w:val="21"/>
              </w:rPr>
            </w:pPr>
          </w:p>
        </w:tc>
        <w:tc>
          <w:tcPr>
            <w:tcW w:w="255" w:type="pct"/>
            <w:noWrap/>
            <w:vAlign w:val="center"/>
          </w:tcPr>
          <w:p w14:paraId="1539C4E7">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8</w:t>
            </w:r>
          </w:p>
        </w:tc>
        <w:tc>
          <w:tcPr>
            <w:tcW w:w="631" w:type="pct"/>
            <w:vAlign w:val="center"/>
          </w:tcPr>
          <w:p w14:paraId="24280C6F">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新平县建兴乡蛇纹石开发综合利用项目</w:t>
            </w:r>
          </w:p>
        </w:tc>
        <w:tc>
          <w:tcPr>
            <w:tcW w:w="1816" w:type="pct"/>
            <w:vAlign w:val="center"/>
          </w:tcPr>
          <w:p w14:paraId="0E775EBF">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建设年处理蛇纹石矿20万吨综合选矿厂，形成年产硫酸镍、氧化镁精矿和氧化铁红等多金属5万吨生产能力；并配套一座库容69万立方米尾矿库。</w:t>
            </w:r>
          </w:p>
        </w:tc>
        <w:tc>
          <w:tcPr>
            <w:tcW w:w="408" w:type="pct"/>
            <w:vAlign w:val="center"/>
          </w:tcPr>
          <w:p w14:paraId="6DBA2B83">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2022-2024</w:t>
            </w:r>
          </w:p>
        </w:tc>
        <w:tc>
          <w:tcPr>
            <w:tcW w:w="413" w:type="pct"/>
            <w:vAlign w:val="center"/>
          </w:tcPr>
          <w:p w14:paraId="19E49D21">
            <w:pPr>
              <w:spacing w:line="240" w:lineRule="auto"/>
              <w:jc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30000</w:t>
            </w:r>
          </w:p>
        </w:tc>
        <w:tc>
          <w:tcPr>
            <w:tcW w:w="413" w:type="pct"/>
            <w:vAlign w:val="center"/>
          </w:tcPr>
          <w:p w14:paraId="52BE4C38">
            <w:pPr>
              <w:widowControl/>
              <w:spacing w:line="240" w:lineRule="auto"/>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县工信局</w:t>
            </w:r>
          </w:p>
        </w:tc>
        <w:tc>
          <w:tcPr>
            <w:tcW w:w="320" w:type="pct"/>
            <w:vAlign w:val="center"/>
          </w:tcPr>
          <w:p w14:paraId="2B5291ED">
            <w:pPr>
              <w:widowControl/>
              <w:spacing w:line="240" w:lineRule="auto"/>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企业自筹、政府投入</w:t>
            </w:r>
          </w:p>
        </w:tc>
        <w:tc>
          <w:tcPr>
            <w:tcW w:w="569" w:type="pct"/>
            <w:vAlign w:val="center"/>
          </w:tcPr>
          <w:p w14:paraId="747EF4D8">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一般工业固体废物综合利用率提高幅度</w:t>
            </w:r>
          </w:p>
        </w:tc>
      </w:tr>
      <w:tr w14:paraId="47735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70" w:type="pct"/>
            <w:vMerge w:val="continue"/>
            <w:vAlign w:val="center"/>
          </w:tcPr>
          <w:p w14:paraId="0C9A99D9">
            <w:pPr>
              <w:spacing w:line="240" w:lineRule="auto"/>
              <w:jc w:val="center"/>
              <w:rPr>
                <w:rFonts w:ascii="Times New Roman" w:hAnsi="Times New Roman" w:eastAsia="仿宋" w:cs="Times New Roman"/>
                <w:color w:val="auto"/>
                <w:sz w:val="21"/>
                <w:szCs w:val="21"/>
              </w:rPr>
            </w:pPr>
          </w:p>
        </w:tc>
        <w:tc>
          <w:tcPr>
            <w:tcW w:w="255" w:type="pct"/>
            <w:noWrap/>
            <w:vAlign w:val="center"/>
          </w:tcPr>
          <w:p w14:paraId="746AEE27">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9</w:t>
            </w:r>
          </w:p>
        </w:tc>
        <w:tc>
          <w:tcPr>
            <w:tcW w:w="631" w:type="pct"/>
            <w:vAlign w:val="center"/>
          </w:tcPr>
          <w:p w14:paraId="49030523">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新平县固体废弃物资源再生开发利用建设项目</w:t>
            </w:r>
          </w:p>
        </w:tc>
        <w:tc>
          <w:tcPr>
            <w:tcW w:w="1816" w:type="pct"/>
            <w:vAlign w:val="center"/>
          </w:tcPr>
          <w:p w14:paraId="25521D52">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年处理并生产资源再生开发利用产品50万吨。</w:t>
            </w:r>
          </w:p>
        </w:tc>
        <w:tc>
          <w:tcPr>
            <w:tcW w:w="408" w:type="pct"/>
            <w:vAlign w:val="center"/>
          </w:tcPr>
          <w:p w14:paraId="2A74FE46">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2022-2025</w:t>
            </w:r>
          </w:p>
        </w:tc>
        <w:tc>
          <w:tcPr>
            <w:tcW w:w="413" w:type="pct"/>
            <w:vAlign w:val="center"/>
          </w:tcPr>
          <w:p w14:paraId="779C94F4">
            <w:pPr>
              <w:spacing w:line="240" w:lineRule="auto"/>
              <w:jc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6000</w:t>
            </w:r>
          </w:p>
        </w:tc>
        <w:tc>
          <w:tcPr>
            <w:tcW w:w="413" w:type="pct"/>
            <w:vAlign w:val="center"/>
          </w:tcPr>
          <w:p w14:paraId="3A728FB2">
            <w:pPr>
              <w:widowControl/>
              <w:spacing w:line="240" w:lineRule="auto"/>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新平工业园区</w:t>
            </w:r>
          </w:p>
        </w:tc>
        <w:tc>
          <w:tcPr>
            <w:tcW w:w="320" w:type="pct"/>
            <w:vAlign w:val="center"/>
          </w:tcPr>
          <w:p w14:paraId="40B01D9A">
            <w:pPr>
              <w:widowControl/>
              <w:spacing w:line="240" w:lineRule="auto"/>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政府投入</w:t>
            </w:r>
          </w:p>
        </w:tc>
        <w:tc>
          <w:tcPr>
            <w:tcW w:w="569" w:type="pct"/>
            <w:vAlign w:val="center"/>
          </w:tcPr>
          <w:p w14:paraId="7BE586D8">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一般工业固体废物综合利用率提高幅度</w:t>
            </w:r>
          </w:p>
        </w:tc>
      </w:tr>
      <w:tr w14:paraId="34E2B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170" w:type="pct"/>
            <w:vMerge w:val="continue"/>
            <w:vAlign w:val="center"/>
          </w:tcPr>
          <w:p w14:paraId="709308B8">
            <w:pPr>
              <w:spacing w:line="240" w:lineRule="auto"/>
              <w:jc w:val="center"/>
              <w:rPr>
                <w:rFonts w:ascii="Times New Roman" w:hAnsi="Times New Roman" w:eastAsia="仿宋" w:cs="Times New Roman"/>
                <w:color w:val="auto"/>
                <w:sz w:val="21"/>
                <w:szCs w:val="21"/>
              </w:rPr>
            </w:pPr>
          </w:p>
        </w:tc>
        <w:tc>
          <w:tcPr>
            <w:tcW w:w="255" w:type="pct"/>
            <w:noWrap/>
            <w:vAlign w:val="center"/>
          </w:tcPr>
          <w:p w14:paraId="52940C2E">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10</w:t>
            </w:r>
          </w:p>
        </w:tc>
        <w:tc>
          <w:tcPr>
            <w:tcW w:w="631" w:type="pct"/>
            <w:vAlign w:val="center"/>
          </w:tcPr>
          <w:p w14:paraId="4963CC1E">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新平县生物质能源加工厂建设项目</w:t>
            </w:r>
          </w:p>
        </w:tc>
        <w:tc>
          <w:tcPr>
            <w:tcW w:w="1816" w:type="pct"/>
            <w:vAlign w:val="center"/>
          </w:tcPr>
          <w:p w14:paraId="52B70440">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利用秸秆、修剪树枝、废旧木材生产生物质碳，年生产规模2万吨。</w:t>
            </w:r>
          </w:p>
        </w:tc>
        <w:tc>
          <w:tcPr>
            <w:tcW w:w="408" w:type="pct"/>
            <w:vAlign w:val="center"/>
          </w:tcPr>
          <w:p w14:paraId="223EE22B">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2024-2025</w:t>
            </w:r>
          </w:p>
        </w:tc>
        <w:tc>
          <w:tcPr>
            <w:tcW w:w="413" w:type="pct"/>
            <w:vAlign w:val="center"/>
          </w:tcPr>
          <w:p w14:paraId="6D193420">
            <w:pPr>
              <w:spacing w:line="240" w:lineRule="auto"/>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1000</w:t>
            </w:r>
          </w:p>
        </w:tc>
        <w:tc>
          <w:tcPr>
            <w:tcW w:w="413" w:type="pct"/>
            <w:vAlign w:val="center"/>
          </w:tcPr>
          <w:p w14:paraId="0B805105">
            <w:pPr>
              <w:widowControl/>
              <w:spacing w:line="240" w:lineRule="auto"/>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县农业农村局</w:t>
            </w:r>
          </w:p>
        </w:tc>
        <w:tc>
          <w:tcPr>
            <w:tcW w:w="320" w:type="pct"/>
            <w:vAlign w:val="center"/>
          </w:tcPr>
          <w:p w14:paraId="51FE1C8D">
            <w:pPr>
              <w:widowControl/>
              <w:spacing w:line="240" w:lineRule="auto"/>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政府投入</w:t>
            </w:r>
          </w:p>
        </w:tc>
        <w:tc>
          <w:tcPr>
            <w:tcW w:w="569" w:type="pct"/>
            <w:vAlign w:val="center"/>
          </w:tcPr>
          <w:p w14:paraId="33988109">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农业废弃物综合利用率</w:t>
            </w:r>
          </w:p>
        </w:tc>
      </w:tr>
      <w:tr w14:paraId="5DA1A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170" w:type="pct"/>
            <w:vMerge w:val="continue"/>
            <w:vAlign w:val="center"/>
          </w:tcPr>
          <w:p w14:paraId="1404017E">
            <w:pPr>
              <w:spacing w:line="240" w:lineRule="auto"/>
              <w:jc w:val="center"/>
              <w:rPr>
                <w:rFonts w:ascii="Times New Roman" w:hAnsi="Times New Roman" w:eastAsia="仿宋" w:cs="Times New Roman"/>
                <w:color w:val="auto"/>
                <w:sz w:val="21"/>
                <w:szCs w:val="21"/>
              </w:rPr>
            </w:pPr>
          </w:p>
        </w:tc>
        <w:tc>
          <w:tcPr>
            <w:tcW w:w="255" w:type="pct"/>
            <w:noWrap/>
            <w:vAlign w:val="center"/>
          </w:tcPr>
          <w:p w14:paraId="1B5E74F4">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11</w:t>
            </w:r>
          </w:p>
        </w:tc>
        <w:tc>
          <w:tcPr>
            <w:tcW w:w="631" w:type="pct"/>
            <w:vAlign w:val="center"/>
          </w:tcPr>
          <w:p w14:paraId="5F075858">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新平县畜禽粪污资源化利用整县推进项目</w:t>
            </w:r>
          </w:p>
        </w:tc>
        <w:tc>
          <w:tcPr>
            <w:tcW w:w="1816" w:type="pct"/>
            <w:vAlign w:val="center"/>
          </w:tcPr>
          <w:p w14:paraId="25E7D303">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新平县畜禽粪污资源化利用整县推进项目有机肥加工厂升级改造工程（新平林丰农业科技有限公司、新平民兴蛋鸡养殖场、新平晶凯生物科技有限公司），主要建设内容原材料仓库35500平方米、有机肥生产设备3套等；另再建设3家有机肥厂，总年产有机肥21万吨。</w:t>
            </w:r>
          </w:p>
        </w:tc>
        <w:tc>
          <w:tcPr>
            <w:tcW w:w="408" w:type="pct"/>
            <w:vAlign w:val="center"/>
          </w:tcPr>
          <w:p w14:paraId="1B626FC8">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kern w:val="0"/>
                <w:sz w:val="21"/>
                <w:szCs w:val="21"/>
                <w:lang w:bidi="ar"/>
              </w:rPr>
              <w:t>2021-2025</w:t>
            </w:r>
          </w:p>
        </w:tc>
        <w:tc>
          <w:tcPr>
            <w:tcW w:w="413" w:type="pct"/>
            <w:vAlign w:val="center"/>
          </w:tcPr>
          <w:p w14:paraId="221D1E17">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kern w:val="0"/>
                <w:sz w:val="21"/>
                <w:szCs w:val="21"/>
                <w:lang w:bidi="ar"/>
              </w:rPr>
              <w:t>14694</w:t>
            </w:r>
          </w:p>
        </w:tc>
        <w:tc>
          <w:tcPr>
            <w:tcW w:w="413" w:type="pct"/>
            <w:vAlign w:val="center"/>
          </w:tcPr>
          <w:p w14:paraId="5ABFD920">
            <w:pPr>
              <w:widowControl/>
              <w:spacing w:line="240" w:lineRule="auto"/>
              <w:jc w:val="center"/>
              <w:textAlignment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kern w:val="0"/>
                <w:sz w:val="21"/>
                <w:szCs w:val="21"/>
                <w:lang w:val="en-US" w:eastAsia="zh-CN" w:bidi="ar"/>
              </w:rPr>
              <w:t>县</w:t>
            </w:r>
            <w:r>
              <w:rPr>
                <w:rFonts w:ascii="Times New Roman" w:hAnsi="Times New Roman" w:eastAsia="仿宋" w:cs="Times New Roman"/>
                <w:color w:val="auto"/>
                <w:kern w:val="0"/>
                <w:sz w:val="21"/>
                <w:szCs w:val="21"/>
                <w:lang w:bidi="ar"/>
              </w:rPr>
              <w:t>农业农村局</w:t>
            </w:r>
          </w:p>
        </w:tc>
        <w:tc>
          <w:tcPr>
            <w:tcW w:w="320" w:type="pct"/>
            <w:vAlign w:val="center"/>
          </w:tcPr>
          <w:p w14:paraId="2EAFBACC">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kern w:val="0"/>
                <w:sz w:val="21"/>
                <w:szCs w:val="21"/>
                <w:lang w:bidi="ar"/>
              </w:rPr>
              <w:t>政府投入</w:t>
            </w:r>
          </w:p>
        </w:tc>
        <w:tc>
          <w:tcPr>
            <w:tcW w:w="569" w:type="pct"/>
            <w:vAlign w:val="center"/>
          </w:tcPr>
          <w:p w14:paraId="238065B9">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kern w:val="0"/>
                <w:sz w:val="21"/>
                <w:szCs w:val="21"/>
                <w:lang w:bidi="ar"/>
              </w:rPr>
              <w:t>农业废弃物综合利用率</w:t>
            </w:r>
          </w:p>
        </w:tc>
      </w:tr>
      <w:tr w14:paraId="31BD8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 w:type="pct"/>
            <w:vMerge w:val="continue"/>
            <w:vAlign w:val="center"/>
          </w:tcPr>
          <w:p w14:paraId="1288A738">
            <w:pPr>
              <w:spacing w:line="240" w:lineRule="auto"/>
              <w:jc w:val="center"/>
              <w:rPr>
                <w:rFonts w:ascii="Times New Roman" w:hAnsi="Times New Roman" w:eastAsia="仿宋" w:cs="Times New Roman"/>
                <w:color w:val="auto"/>
                <w:sz w:val="21"/>
                <w:szCs w:val="21"/>
              </w:rPr>
            </w:pPr>
          </w:p>
        </w:tc>
        <w:tc>
          <w:tcPr>
            <w:tcW w:w="255" w:type="pct"/>
            <w:noWrap/>
            <w:vAlign w:val="center"/>
          </w:tcPr>
          <w:p w14:paraId="72CC17C7">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12</w:t>
            </w:r>
          </w:p>
        </w:tc>
        <w:tc>
          <w:tcPr>
            <w:tcW w:w="631" w:type="pct"/>
            <w:vAlign w:val="center"/>
          </w:tcPr>
          <w:p w14:paraId="41604463">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新平县大型沼气工程建设项目</w:t>
            </w:r>
          </w:p>
        </w:tc>
        <w:tc>
          <w:tcPr>
            <w:tcW w:w="1816" w:type="pct"/>
            <w:vAlign w:val="center"/>
          </w:tcPr>
          <w:p w14:paraId="6D97C728">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建设反应装置为2000m31座、1500m34座、1000m310座、800m31座。</w:t>
            </w:r>
          </w:p>
        </w:tc>
        <w:tc>
          <w:tcPr>
            <w:tcW w:w="408" w:type="pct"/>
            <w:vAlign w:val="center"/>
          </w:tcPr>
          <w:p w14:paraId="6DA366CC">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kern w:val="0"/>
                <w:sz w:val="21"/>
                <w:szCs w:val="21"/>
                <w:lang w:bidi="ar"/>
              </w:rPr>
              <w:t>2021-2025</w:t>
            </w:r>
          </w:p>
        </w:tc>
        <w:tc>
          <w:tcPr>
            <w:tcW w:w="413" w:type="pct"/>
            <w:vAlign w:val="center"/>
          </w:tcPr>
          <w:p w14:paraId="0B722415">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kern w:val="0"/>
                <w:sz w:val="21"/>
                <w:szCs w:val="21"/>
                <w:lang w:bidi="ar"/>
              </w:rPr>
              <w:t>8000</w:t>
            </w:r>
          </w:p>
        </w:tc>
        <w:tc>
          <w:tcPr>
            <w:tcW w:w="413" w:type="pct"/>
            <w:vAlign w:val="center"/>
          </w:tcPr>
          <w:p w14:paraId="68DA7DB8">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kern w:val="0"/>
                <w:sz w:val="21"/>
                <w:szCs w:val="21"/>
                <w:lang w:bidi="ar"/>
              </w:rPr>
              <w:t>县农业农村局</w:t>
            </w:r>
          </w:p>
        </w:tc>
        <w:tc>
          <w:tcPr>
            <w:tcW w:w="320" w:type="pct"/>
            <w:vAlign w:val="center"/>
          </w:tcPr>
          <w:p w14:paraId="6C281101">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kern w:val="0"/>
                <w:sz w:val="21"/>
                <w:szCs w:val="21"/>
                <w:lang w:bidi="ar"/>
              </w:rPr>
              <w:t>政府投入</w:t>
            </w:r>
          </w:p>
        </w:tc>
        <w:tc>
          <w:tcPr>
            <w:tcW w:w="569" w:type="pct"/>
            <w:vAlign w:val="center"/>
          </w:tcPr>
          <w:p w14:paraId="04502246">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kern w:val="0"/>
                <w:sz w:val="21"/>
                <w:szCs w:val="21"/>
                <w:lang w:bidi="ar"/>
              </w:rPr>
              <w:t>农业废弃物综合利用率</w:t>
            </w:r>
          </w:p>
        </w:tc>
      </w:tr>
      <w:tr w14:paraId="6F513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 w:type="pct"/>
            <w:vMerge w:val="continue"/>
            <w:vAlign w:val="center"/>
          </w:tcPr>
          <w:p w14:paraId="75CC49E1">
            <w:pPr>
              <w:spacing w:line="240" w:lineRule="auto"/>
              <w:jc w:val="center"/>
              <w:rPr>
                <w:rFonts w:ascii="Times New Roman" w:hAnsi="Times New Roman" w:eastAsia="仿宋" w:cs="Times New Roman"/>
                <w:color w:val="auto"/>
                <w:sz w:val="21"/>
                <w:szCs w:val="21"/>
              </w:rPr>
            </w:pPr>
          </w:p>
        </w:tc>
        <w:tc>
          <w:tcPr>
            <w:tcW w:w="255" w:type="pct"/>
            <w:noWrap/>
            <w:vAlign w:val="center"/>
          </w:tcPr>
          <w:p w14:paraId="77AF3F7C">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13</w:t>
            </w:r>
          </w:p>
        </w:tc>
        <w:tc>
          <w:tcPr>
            <w:tcW w:w="631" w:type="pct"/>
            <w:vAlign w:val="center"/>
          </w:tcPr>
          <w:p w14:paraId="68496057">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新平县秸秆资源化利用工程项目</w:t>
            </w:r>
          </w:p>
        </w:tc>
        <w:tc>
          <w:tcPr>
            <w:tcW w:w="1816" w:type="pct"/>
            <w:vAlign w:val="center"/>
          </w:tcPr>
          <w:p w14:paraId="08911AEB">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通过3年时间，推行秸秆资源化利用5万亩。</w:t>
            </w:r>
          </w:p>
        </w:tc>
        <w:tc>
          <w:tcPr>
            <w:tcW w:w="408" w:type="pct"/>
            <w:vAlign w:val="center"/>
          </w:tcPr>
          <w:p w14:paraId="6BC4ED72">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2021-2023</w:t>
            </w:r>
          </w:p>
        </w:tc>
        <w:tc>
          <w:tcPr>
            <w:tcW w:w="413" w:type="pct"/>
            <w:vAlign w:val="center"/>
          </w:tcPr>
          <w:p w14:paraId="05DADE63">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1000</w:t>
            </w:r>
          </w:p>
        </w:tc>
        <w:tc>
          <w:tcPr>
            <w:tcW w:w="413" w:type="pct"/>
            <w:vAlign w:val="center"/>
          </w:tcPr>
          <w:p w14:paraId="11B4005B">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kern w:val="0"/>
                <w:sz w:val="21"/>
                <w:szCs w:val="21"/>
                <w:lang w:bidi="ar"/>
              </w:rPr>
              <w:t>县农业农村局</w:t>
            </w:r>
          </w:p>
        </w:tc>
        <w:tc>
          <w:tcPr>
            <w:tcW w:w="320" w:type="pct"/>
            <w:vAlign w:val="center"/>
          </w:tcPr>
          <w:p w14:paraId="7A29C006">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kern w:val="0"/>
                <w:sz w:val="21"/>
                <w:szCs w:val="21"/>
                <w:lang w:bidi="ar"/>
              </w:rPr>
              <w:t>政府投入</w:t>
            </w:r>
          </w:p>
        </w:tc>
        <w:tc>
          <w:tcPr>
            <w:tcW w:w="569" w:type="pct"/>
            <w:vAlign w:val="center"/>
          </w:tcPr>
          <w:p w14:paraId="71E4749B">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kern w:val="0"/>
                <w:sz w:val="21"/>
                <w:szCs w:val="21"/>
                <w:lang w:bidi="ar"/>
              </w:rPr>
              <w:t>农业废弃物综合利用率</w:t>
            </w:r>
          </w:p>
        </w:tc>
      </w:tr>
      <w:tr w14:paraId="4CDFC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 w:type="pct"/>
            <w:vMerge w:val="continue"/>
            <w:vAlign w:val="center"/>
          </w:tcPr>
          <w:p w14:paraId="4A968C96">
            <w:pPr>
              <w:spacing w:line="240" w:lineRule="auto"/>
              <w:jc w:val="center"/>
              <w:rPr>
                <w:rFonts w:ascii="Times New Roman" w:hAnsi="Times New Roman" w:eastAsia="仿宋" w:cs="Times New Roman"/>
                <w:color w:val="auto"/>
                <w:sz w:val="21"/>
                <w:szCs w:val="21"/>
              </w:rPr>
            </w:pPr>
          </w:p>
        </w:tc>
        <w:tc>
          <w:tcPr>
            <w:tcW w:w="255" w:type="pct"/>
            <w:noWrap/>
            <w:vAlign w:val="center"/>
          </w:tcPr>
          <w:p w14:paraId="4221A500">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14</w:t>
            </w:r>
          </w:p>
        </w:tc>
        <w:tc>
          <w:tcPr>
            <w:tcW w:w="631" w:type="pct"/>
            <w:tcBorders>
              <w:top w:val="nil"/>
              <w:left w:val="single" w:color="auto" w:sz="4" w:space="0"/>
              <w:bottom w:val="single" w:color="auto" w:sz="4" w:space="0"/>
              <w:right w:val="single" w:color="auto" w:sz="4" w:space="0"/>
            </w:tcBorders>
            <w:shd w:val="clear" w:color="auto" w:fill="auto"/>
            <w:vAlign w:val="center"/>
          </w:tcPr>
          <w:p w14:paraId="1BB8230C">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长江经济带面源污染治理项目</w:t>
            </w:r>
          </w:p>
        </w:tc>
        <w:tc>
          <w:tcPr>
            <w:tcW w:w="1816" w:type="pct"/>
            <w:tcBorders>
              <w:top w:val="nil"/>
              <w:left w:val="single" w:color="auto" w:sz="4" w:space="0"/>
              <w:bottom w:val="single" w:color="auto" w:sz="4" w:space="0"/>
              <w:right w:val="single" w:color="auto" w:sz="4" w:space="0"/>
            </w:tcBorders>
            <w:shd w:val="clear" w:color="auto" w:fill="auto"/>
            <w:vAlign w:val="center"/>
          </w:tcPr>
          <w:p w14:paraId="32DD5D51">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红河断面农业面源污染治理（农业尾水截污沟建设、有机肥替代化肥实施、绿色防控实施、高效节水设施建设、推进秸秆综合利用）。</w:t>
            </w:r>
          </w:p>
        </w:tc>
        <w:tc>
          <w:tcPr>
            <w:tcW w:w="408" w:type="pct"/>
            <w:tcBorders>
              <w:top w:val="nil"/>
              <w:left w:val="single" w:color="auto" w:sz="4" w:space="0"/>
              <w:bottom w:val="single" w:color="auto" w:sz="4" w:space="0"/>
              <w:right w:val="single" w:color="auto" w:sz="4" w:space="0"/>
            </w:tcBorders>
            <w:shd w:val="clear" w:color="auto" w:fill="auto"/>
            <w:vAlign w:val="center"/>
          </w:tcPr>
          <w:p w14:paraId="088941ED">
            <w:pPr>
              <w:jc w:val="center"/>
              <w:rPr>
                <w:rFonts w:ascii="Times New Roman" w:hAnsi="Times New Roman" w:cs="Times New Roman"/>
                <w:color w:val="000000"/>
                <w:sz w:val="21"/>
                <w:szCs w:val="21"/>
              </w:rPr>
            </w:pPr>
            <w:r>
              <w:rPr>
                <w:rFonts w:ascii="Times New Roman" w:hAnsi="Times New Roman" w:cs="Times New Roman"/>
                <w:color w:val="000000"/>
                <w:sz w:val="21"/>
                <w:szCs w:val="21"/>
              </w:rPr>
              <w:t>2021-2025</w:t>
            </w:r>
          </w:p>
        </w:tc>
        <w:tc>
          <w:tcPr>
            <w:tcW w:w="413" w:type="pct"/>
            <w:tcBorders>
              <w:top w:val="nil"/>
              <w:left w:val="single" w:color="auto" w:sz="4" w:space="0"/>
              <w:bottom w:val="single" w:color="auto" w:sz="4" w:space="0"/>
              <w:right w:val="single" w:color="auto" w:sz="4" w:space="0"/>
            </w:tcBorders>
            <w:shd w:val="clear" w:color="auto" w:fill="auto"/>
            <w:vAlign w:val="center"/>
          </w:tcPr>
          <w:p w14:paraId="0308DB9C">
            <w:pPr>
              <w:jc w:val="center"/>
              <w:rPr>
                <w:rFonts w:ascii="Times New Roman" w:hAnsi="Times New Roman" w:cs="Times New Roman"/>
                <w:color w:val="000000"/>
                <w:sz w:val="21"/>
                <w:szCs w:val="21"/>
              </w:rPr>
            </w:pPr>
            <w:r>
              <w:rPr>
                <w:rFonts w:ascii="Times New Roman" w:hAnsi="Times New Roman" w:cs="Times New Roman"/>
                <w:color w:val="000000"/>
                <w:sz w:val="21"/>
                <w:szCs w:val="21"/>
              </w:rPr>
              <w:t>5000</w:t>
            </w:r>
          </w:p>
        </w:tc>
        <w:tc>
          <w:tcPr>
            <w:tcW w:w="413" w:type="pct"/>
            <w:vAlign w:val="center"/>
          </w:tcPr>
          <w:p w14:paraId="08563DDD">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kern w:val="0"/>
                <w:sz w:val="21"/>
                <w:szCs w:val="21"/>
                <w:lang w:bidi="ar"/>
              </w:rPr>
              <w:t>县农业农村局</w:t>
            </w:r>
          </w:p>
        </w:tc>
        <w:tc>
          <w:tcPr>
            <w:tcW w:w="320" w:type="pct"/>
            <w:vAlign w:val="center"/>
          </w:tcPr>
          <w:p w14:paraId="0C8CBEEC">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kern w:val="0"/>
                <w:sz w:val="21"/>
                <w:szCs w:val="21"/>
                <w:lang w:bidi="ar"/>
              </w:rPr>
              <w:t>政府投入</w:t>
            </w:r>
          </w:p>
        </w:tc>
        <w:tc>
          <w:tcPr>
            <w:tcW w:w="569" w:type="pct"/>
            <w:vAlign w:val="center"/>
          </w:tcPr>
          <w:p w14:paraId="29165330">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kern w:val="0"/>
                <w:sz w:val="21"/>
                <w:szCs w:val="21"/>
                <w:lang w:bidi="ar"/>
              </w:rPr>
              <w:t>主要粮食作物化肥农药利用率</w:t>
            </w:r>
          </w:p>
        </w:tc>
      </w:tr>
      <w:tr w14:paraId="28E0A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70" w:type="pct"/>
            <w:vMerge w:val="continue"/>
            <w:vAlign w:val="center"/>
          </w:tcPr>
          <w:p w14:paraId="1E8DA5D4">
            <w:pPr>
              <w:spacing w:line="240" w:lineRule="auto"/>
              <w:jc w:val="center"/>
              <w:rPr>
                <w:rFonts w:ascii="Times New Roman" w:hAnsi="Times New Roman" w:eastAsia="仿宋" w:cs="Times New Roman"/>
                <w:color w:val="auto"/>
                <w:sz w:val="21"/>
                <w:szCs w:val="21"/>
              </w:rPr>
            </w:pPr>
          </w:p>
        </w:tc>
        <w:tc>
          <w:tcPr>
            <w:tcW w:w="255" w:type="pct"/>
            <w:vAlign w:val="center"/>
          </w:tcPr>
          <w:p w14:paraId="12C259F1">
            <w:pPr>
              <w:widowControl/>
              <w:spacing w:line="240" w:lineRule="auto"/>
              <w:jc w:val="center"/>
              <w:textAlignment w:val="center"/>
              <w:rPr>
                <w:rFonts w:ascii="Times New Roman" w:hAnsi="Times New Roman" w:eastAsia="仿宋" w:cs="Times New Roman"/>
                <w:color w:val="auto"/>
                <w:sz w:val="21"/>
                <w:szCs w:val="21"/>
              </w:rPr>
            </w:pPr>
          </w:p>
        </w:tc>
        <w:tc>
          <w:tcPr>
            <w:tcW w:w="2856" w:type="pct"/>
            <w:gridSpan w:val="3"/>
            <w:vAlign w:val="center"/>
          </w:tcPr>
          <w:p w14:paraId="00EA99B6">
            <w:pPr>
              <w:widowControl/>
              <w:spacing w:line="240" w:lineRule="auto"/>
              <w:jc w:val="left"/>
              <w:textAlignment w:val="center"/>
              <w:rPr>
                <w:rFonts w:ascii="Times New Roman" w:hAnsi="Times New Roman" w:eastAsia="仿宋" w:cs="Times New Roman"/>
                <w:b/>
                <w:color w:val="auto"/>
                <w:sz w:val="21"/>
                <w:szCs w:val="21"/>
              </w:rPr>
            </w:pPr>
            <w:r>
              <w:rPr>
                <w:rFonts w:ascii="Times New Roman" w:hAnsi="Times New Roman" w:eastAsia="仿宋" w:cs="Times New Roman"/>
                <w:b/>
                <w:color w:val="auto"/>
                <w:kern w:val="0"/>
                <w:sz w:val="21"/>
                <w:szCs w:val="21"/>
                <w:lang w:bidi="ar"/>
              </w:rPr>
              <w:t>小计</w:t>
            </w:r>
          </w:p>
        </w:tc>
        <w:tc>
          <w:tcPr>
            <w:tcW w:w="413" w:type="pct"/>
            <w:vAlign w:val="center"/>
          </w:tcPr>
          <w:p w14:paraId="025D6FC0">
            <w:pPr>
              <w:widowControl/>
              <w:spacing w:line="240" w:lineRule="auto"/>
              <w:jc w:val="center"/>
              <w:textAlignment w:val="center"/>
              <w:rPr>
                <w:rFonts w:ascii="Times New Roman" w:hAnsi="Times New Roman" w:eastAsia="仿宋" w:cs="Times New Roman"/>
                <w:b/>
                <w:color w:val="auto"/>
                <w:sz w:val="21"/>
                <w:szCs w:val="21"/>
              </w:rPr>
            </w:pPr>
            <w:r>
              <w:rPr>
                <w:rFonts w:hint="eastAsia" w:ascii="Times New Roman" w:hAnsi="Times New Roman" w:eastAsia="仿宋" w:cs="Times New Roman"/>
                <w:b/>
                <w:color w:val="auto"/>
                <w:sz w:val="21"/>
                <w:szCs w:val="21"/>
              </w:rPr>
              <w:t>7</w:t>
            </w:r>
            <w:r>
              <w:rPr>
                <w:rFonts w:ascii="Times New Roman" w:hAnsi="Times New Roman" w:eastAsia="仿宋" w:cs="Times New Roman"/>
                <w:b/>
                <w:color w:val="auto"/>
                <w:sz w:val="21"/>
                <w:szCs w:val="21"/>
              </w:rPr>
              <w:t>58594</w:t>
            </w:r>
          </w:p>
        </w:tc>
        <w:tc>
          <w:tcPr>
            <w:tcW w:w="413" w:type="pct"/>
            <w:vAlign w:val="center"/>
          </w:tcPr>
          <w:p w14:paraId="4476AC0C">
            <w:pPr>
              <w:spacing w:line="240" w:lineRule="auto"/>
              <w:jc w:val="center"/>
              <w:rPr>
                <w:rFonts w:ascii="Times New Roman" w:hAnsi="Times New Roman" w:eastAsia="仿宋" w:cs="Times New Roman"/>
                <w:b/>
                <w:color w:val="auto"/>
                <w:sz w:val="21"/>
                <w:szCs w:val="21"/>
              </w:rPr>
            </w:pPr>
          </w:p>
        </w:tc>
        <w:tc>
          <w:tcPr>
            <w:tcW w:w="320" w:type="pct"/>
            <w:vAlign w:val="center"/>
          </w:tcPr>
          <w:p w14:paraId="17DC9F99">
            <w:pPr>
              <w:spacing w:line="240" w:lineRule="auto"/>
              <w:jc w:val="center"/>
              <w:rPr>
                <w:rFonts w:ascii="Times New Roman" w:hAnsi="Times New Roman" w:eastAsia="仿宋" w:cs="Times New Roman"/>
                <w:color w:val="auto"/>
                <w:sz w:val="21"/>
                <w:szCs w:val="21"/>
              </w:rPr>
            </w:pPr>
          </w:p>
        </w:tc>
        <w:tc>
          <w:tcPr>
            <w:tcW w:w="569" w:type="pct"/>
            <w:vAlign w:val="center"/>
          </w:tcPr>
          <w:p w14:paraId="1FE77484">
            <w:pPr>
              <w:spacing w:line="240" w:lineRule="auto"/>
              <w:jc w:val="center"/>
              <w:rPr>
                <w:rFonts w:ascii="Times New Roman" w:hAnsi="Times New Roman" w:eastAsia="仿宋" w:cs="Times New Roman"/>
                <w:color w:val="auto"/>
                <w:sz w:val="21"/>
                <w:szCs w:val="21"/>
              </w:rPr>
            </w:pPr>
          </w:p>
        </w:tc>
      </w:tr>
      <w:tr w14:paraId="7E90A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 w:type="pct"/>
            <w:vMerge w:val="restart"/>
            <w:vAlign w:val="center"/>
          </w:tcPr>
          <w:p w14:paraId="725EF136">
            <w:pPr>
              <w:spacing w:line="240" w:lineRule="auto"/>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生态生活</w:t>
            </w:r>
          </w:p>
        </w:tc>
        <w:tc>
          <w:tcPr>
            <w:tcW w:w="255" w:type="pct"/>
            <w:vAlign w:val="center"/>
          </w:tcPr>
          <w:p w14:paraId="7906C756">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1</w:t>
            </w:r>
          </w:p>
        </w:tc>
        <w:tc>
          <w:tcPr>
            <w:tcW w:w="631" w:type="pct"/>
            <w:vAlign w:val="center"/>
          </w:tcPr>
          <w:p w14:paraId="78E45C9B">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新平县乡镇集中式饮用水水源地环境保护项目（含</w:t>
            </w:r>
            <w:r>
              <w:rPr>
                <w:rFonts w:hint="default" w:ascii="Times New Roman" w:hAnsi="Times New Roman" w:eastAsia="仿宋" w:cs="Times New Roman"/>
                <w:color w:val="auto"/>
                <w:kern w:val="0"/>
                <w:sz w:val="21"/>
                <w:szCs w:val="21"/>
                <w:lang w:val="en-US" w:eastAsia="zh-CN" w:bidi="ar"/>
              </w:rPr>
              <w:t>“</w:t>
            </w:r>
            <w:r>
              <w:rPr>
                <w:rFonts w:ascii="Times New Roman" w:hAnsi="Times New Roman" w:eastAsia="仿宋" w:cs="Times New Roman"/>
                <w:color w:val="auto"/>
                <w:kern w:val="0"/>
                <w:sz w:val="21"/>
                <w:szCs w:val="21"/>
                <w:lang w:val="en-US" w:eastAsia="zh-CN" w:bidi="ar"/>
              </w:rPr>
              <w:t>千吨万人</w:t>
            </w:r>
            <w:r>
              <w:rPr>
                <w:rFonts w:hint="default" w:ascii="Times New Roman" w:hAnsi="Times New Roman" w:eastAsia="仿宋" w:cs="Times New Roman"/>
                <w:color w:val="auto"/>
                <w:kern w:val="0"/>
                <w:sz w:val="21"/>
                <w:szCs w:val="21"/>
                <w:lang w:val="en-US" w:eastAsia="zh-CN" w:bidi="ar"/>
              </w:rPr>
              <w:t>”</w:t>
            </w:r>
            <w:r>
              <w:rPr>
                <w:rFonts w:ascii="Times New Roman" w:hAnsi="Times New Roman" w:eastAsia="仿宋" w:cs="Times New Roman"/>
                <w:color w:val="auto"/>
                <w:kern w:val="0"/>
                <w:sz w:val="21"/>
                <w:szCs w:val="21"/>
                <w:lang w:val="en-US" w:eastAsia="zh-CN" w:bidi="ar"/>
              </w:rPr>
              <w:t>饮用水水源地）</w:t>
            </w:r>
          </w:p>
        </w:tc>
        <w:tc>
          <w:tcPr>
            <w:tcW w:w="1816" w:type="pct"/>
            <w:vAlign w:val="center"/>
          </w:tcPr>
          <w:p w14:paraId="04F7E7AE">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w:t>
            </w:r>
            <w:r>
              <w:rPr>
                <w:rFonts w:hint="default" w:ascii="Times New Roman" w:hAnsi="Times New Roman" w:eastAsia="仿宋" w:cs="Times New Roman"/>
                <w:color w:val="auto"/>
                <w:kern w:val="0"/>
                <w:sz w:val="21"/>
                <w:szCs w:val="21"/>
                <w:lang w:val="en-US" w:eastAsia="zh-CN" w:bidi="ar"/>
              </w:rPr>
              <w:t>1</w:t>
            </w:r>
            <w:r>
              <w:rPr>
                <w:rFonts w:ascii="Times New Roman" w:hAnsi="Times New Roman" w:eastAsia="仿宋" w:cs="Times New Roman"/>
                <w:color w:val="auto"/>
                <w:kern w:val="0"/>
                <w:sz w:val="21"/>
                <w:szCs w:val="21"/>
                <w:lang w:val="en-US" w:eastAsia="zh-CN" w:bidi="ar"/>
              </w:rPr>
              <w:t>）标志与隔离防护工程：界标</w:t>
            </w:r>
            <w:r>
              <w:rPr>
                <w:rFonts w:hint="default" w:ascii="Times New Roman" w:hAnsi="Times New Roman" w:eastAsia="仿宋" w:cs="Times New Roman"/>
                <w:color w:val="auto"/>
                <w:kern w:val="0"/>
                <w:sz w:val="21"/>
                <w:szCs w:val="21"/>
                <w:lang w:val="en-US" w:eastAsia="zh-CN" w:bidi="ar"/>
              </w:rPr>
              <w:t>124</w:t>
            </w:r>
            <w:r>
              <w:rPr>
                <w:rFonts w:ascii="Times New Roman" w:hAnsi="Times New Roman" w:eastAsia="仿宋" w:cs="Times New Roman"/>
                <w:color w:val="auto"/>
                <w:kern w:val="0"/>
                <w:sz w:val="21"/>
                <w:szCs w:val="21"/>
                <w:lang w:val="en-US" w:eastAsia="zh-CN" w:bidi="ar"/>
              </w:rPr>
              <w:t>个，交通警示牌</w:t>
            </w:r>
            <w:r>
              <w:rPr>
                <w:rFonts w:hint="default" w:ascii="Times New Roman" w:hAnsi="Times New Roman" w:eastAsia="仿宋" w:cs="Times New Roman"/>
                <w:color w:val="auto"/>
                <w:kern w:val="0"/>
                <w:sz w:val="21"/>
                <w:szCs w:val="21"/>
                <w:lang w:val="en-US" w:eastAsia="zh-CN" w:bidi="ar"/>
              </w:rPr>
              <w:t>40</w:t>
            </w:r>
            <w:r>
              <w:rPr>
                <w:rFonts w:ascii="Times New Roman" w:hAnsi="Times New Roman" w:eastAsia="仿宋" w:cs="Times New Roman"/>
                <w:color w:val="auto"/>
                <w:kern w:val="0"/>
                <w:sz w:val="21"/>
                <w:szCs w:val="21"/>
                <w:lang w:val="en-US" w:eastAsia="zh-CN" w:bidi="ar"/>
              </w:rPr>
              <w:t>个，宣传牌</w:t>
            </w:r>
            <w:r>
              <w:rPr>
                <w:rFonts w:hint="default" w:ascii="Times New Roman" w:hAnsi="Times New Roman" w:eastAsia="仿宋" w:cs="Times New Roman"/>
                <w:color w:val="auto"/>
                <w:kern w:val="0"/>
                <w:sz w:val="21"/>
                <w:szCs w:val="21"/>
                <w:lang w:val="en-US" w:eastAsia="zh-CN" w:bidi="ar"/>
              </w:rPr>
              <w:t>84</w:t>
            </w:r>
            <w:r>
              <w:rPr>
                <w:rFonts w:ascii="Times New Roman" w:hAnsi="Times New Roman" w:eastAsia="仿宋" w:cs="Times New Roman"/>
                <w:color w:val="auto"/>
                <w:kern w:val="0"/>
                <w:sz w:val="21"/>
                <w:szCs w:val="21"/>
                <w:lang w:val="en-US" w:eastAsia="zh-CN" w:bidi="ar"/>
              </w:rPr>
              <w:t>个，禁止标示牌</w:t>
            </w:r>
            <w:r>
              <w:rPr>
                <w:rFonts w:hint="default" w:ascii="Times New Roman" w:hAnsi="Times New Roman" w:eastAsia="仿宋" w:cs="Times New Roman"/>
                <w:color w:val="auto"/>
                <w:kern w:val="0"/>
                <w:sz w:val="21"/>
                <w:szCs w:val="21"/>
                <w:lang w:val="en-US" w:eastAsia="zh-CN" w:bidi="ar"/>
              </w:rPr>
              <w:t>21</w:t>
            </w:r>
            <w:r>
              <w:rPr>
                <w:rFonts w:ascii="Times New Roman" w:hAnsi="Times New Roman" w:eastAsia="仿宋" w:cs="Times New Roman"/>
                <w:color w:val="auto"/>
                <w:kern w:val="0"/>
                <w:sz w:val="21"/>
                <w:szCs w:val="21"/>
                <w:lang w:val="en-US" w:eastAsia="zh-CN" w:bidi="ar"/>
              </w:rPr>
              <w:t>个；涂塑围网</w:t>
            </w:r>
            <w:r>
              <w:rPr>
                <w:rFonts w:hint="default" w:ascii="Times New Roman" w:hAnsi="Times New Roman" w:eastAsia="仿宋" w:cs="Times New Roman"/>
                <w:color w:val="auto"/>
                <w:kern w:val="0"/>
                <w:sz w:val="21"/>
                <w:szCs w:val="21"/>
                <w:lang w:val="en-US" w:eastAsia="zh-CN" w:bidi="ar"/>
              </w:rPr>
              <w:t>26720m</w:t>
            </w:r>
            <w:r>
              <w:rPr>
                <w:rFonts w:ascii="Times New Roman" w:hAnsi="Times New Roman" w:eastAsia="仿宋" w:cs="Times New Roman"/>
                <w:color w:val="auto"/>
                <w:kern w:val="0"/>
                <w:sz w:val="21"/>
                <w:szCs w:val="21"/>
                <w:lang w:val="en-US" w:eastAsia="zh-CN" w:bidi="ar"/>
              </w:rPr>
              <w:t>，植物篱（青刺果）</w:t>
            </w:r>
            <w:r>
              <w:rPr>
                <w:rFonts w:hint="default" w:ascii="Times New Roman" w:hAnsi="Times New Roman" w:eastAsia="仿宋" w:cs="Times New Roman"/>
                <w:color w:val="auto"/>
                <w:kern w:val="0"/>
                <w:sz w:val="21"/>
                <w:szCs w:val="21"/>
                <w:lang w:val="en-US" w:eastAsia="zh-CN" w:bidi="ar"/>
              </w:rPr>
              <w:t>17755m</w:t>
            </w:r>
            <w:r>
              <w:rPr>
                <w:rFonts w:ascii="Times New Roman" w:hAnsi="Times New Roman" w:eastAsia="仿宋" w:cs="Times New Roman"/>
                <w:color w:val="auto"/>
                <w:kern w:val="0"/>
                <w:sz w:val="21"/>
                <w:szCs w:val="21"/>
                <w:lang w:val="en-US" w:eastAsia="zh-CN" w:bidi="ar"/>
              </w:rPr>
              <w:t>；（2）重要水源地监控能力建设工程：拟对新平县乡（镇）“千吨万人”集中式饮用水水源地：南恩河、达哈河、洋发城水库和光山河水库配备水质自动在线监测站，其中岸壁式自动在线监测站2座，浮标式自动在线监测站2座，共计4座。</w:t>
            </w:r>
          </w:p>
        </w:tc>
        <w:tc>
          <w:tcPr>
            <w:tcW w:w="408" w:type="pct"/>
            <w:vAlign w:val="center"/>
          </w:tcPr>
          <w:p w14:paraId="0938F5BB">
            <w:pPr>
              <w:widowControl/>
              <w:spacing w:line="240" w:lineRule="auto"/>
              <w:jc w:val="center"/>
              <w:textAlignment w:val="center"/>
              <w:rPr>
                <w:rFonts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2022-2023</w:t>
            </w:r>
          </w:p>
        </w:tc>
        <w:tc>
          <w:tcPr>
            <w:tcW w:w="413" w:type="pct"/>
            <w:vAlign w:val="center"/>
          </w:tcPr>
          <w:p w14:paraId="59C35B70">
            <w:pPr>
              <w:widowControl/>
              <w:spacing w:line="240" w:lineRule="auto"/>
              <w:jc w:val="center"/>
              <w:rPr>
                <w:rFonts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2679</w:t>
            </w:r>
          </w:p>
        </w:tc>
        <w:tc>
          <w:tcPr>
            <w:tcW w:w="413" w:type="pct"/>
            <w:vAlign w:val="center"/>
          </w:tcPr>
          <w:p w14:paraId="5650418F">
            <w:pPr>
              <w:widowControl/>
              <w:spacing w:line="240" w:lineRule="auto"/>
              <w:jc w:val="center"/>
              <w:rPr>
                <w:rFonts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市生态环境局新平分局</w:t>
            </w:r>
          </w:p>
        </w:tc>
        <w:tc>
          <w:tcPr>
            <w:tcW w:w="320" w:type="pct"/>
            <w:vAlign w:val="center"/>
          </w:tcPr>
          <w:p w14:paraId="126673A0">
            <w:pPr>
              <w:widowControl/>
              <w:spacing w:line="240" w:lineRule="auto"/>
              <w:jc w:val="center"/>
              <w:rPr>
                <w:rFonts w:hint="eastAsia"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政府投资类</w:t>
            </w:r>
          </w:p>
        </w:tc>
        <w:tc>
          <w:tcPr>
            <w:tcW w:w="569" w:type="pct"/>
            <w:vAlign w:val="center"/>
          </w:tcPr>
          <w:p w14:paraId="12F6FF3E">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kern w:val="0"/>
                <w:sz w:val="21"/>
                <w:szCs w:val="21"/>
                <w:lang w:bidi="ar"/>
              </w:rPr>
              <w:t>集中式饮用水水源地水质优良比例</w:t>
            </w:r>
          </w:p>
        </w:tc>
      </w:tr>
      <w:tr w14:paraId="47ECF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 w:type="pct"/>
            <w:vMerge w:val="continue"/>
            <w:vAlign w:val="center"/>
          </w:tcPr>
          <w:p w14:paraId="2D7A2A4B">
            <w:pPr>
              <w:spacing w:line="240" w:lineRule="auto"/>
              <w:jc w:val="center"/>
              <w:rPr>
                <w:rFonts w:ascii="Times New Roman" w:hAnsi="Times New Roman" w:eastAsia="仿宋" w:cs="Times New Roman"/>
                <w:color w:val="auto"/>
                <w:sz w:val="21"/>
                <w:szCs w:val="21"/>
              </w:rPr>
            </w:pPr>
          </w:p>
        </w:tc>
        <w:tc>
          <w:tcPr>
            <w:tcW w:w="255" w:type="pct"/>
            <w:vAlign w:val="center"/>
          </w:tcPr>
          <w:p w14:paraId="6F70946B">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2</w:t>
            </w:r>
          </w:p>
        </w:tc>
        <w:tc>
          <w:tcPr>
            <w:tcW w:w="631" w:type="pct"/>
            <w:tcBorders>
              <w:top w:val="single" w:color="auto" w:sz="4" w:space="0"/>
              <w:left w:val="single" w:color="auto" w:sz="4" w:space="0"/>
              <w:bottom w:val="single" w:color="auto" w:sz="4" w:space="0"/>
              <w:right w:val="single" w:color="auto" w:sz="4" w:space="0"/>
            </w:tcBorders>
            <w:shd w:val="clear" w:color="auto" w:fill="auto"/>
            <w:vAlign w:val="center"/>
          </w:tcPr>
          <w:p w14:paraId="16F5A97D">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新平县农村供水保障工程</w:t>
            </w:r>
          </w:p>
        </w:tc>
        <w:tc>
          <w:tcPr>
            <w:tcW w:w="1816" w:type="pct"/>
            <w:vAlign w:val="center"/>
          </w:tcPr>
          <w:p w14:paraId="340992D2">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共新建、改造配套各类农村供水工程116处，工程覆盖人口16余万人，其中新增覆盖人口15余万人，新增供水规模19569 m3/d。安装水质净化设备136套，消毒设备136套；管网配套1638km；进、出水厂水计量装置228块；规模化水厂水质化验室建设1处，规模化水厂自动化监控系统建设48处。</w:t>
            </w:r>
          </w:p>
        </w:tc>
        <w:tc>
          <w:tcPr>
            <w:tcW w:w="408" w:type="pct"/>
            <w:vAlign w:val="center"/>
          </w:tcPr>
          <w:p w14:paraId="3177591E">
            <w:pPr>
              <w:widowControl/>
              <w:spacing w:line="240" w:lineRule="auto"/>
              <w:jc w:val="center"/>
              <w:textAlignment w:val="center"/>
              <w:rPr>
                <w:rFonts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2022-2025</w:t>
            </w:r>
          </w:p>
        </w:tc>
        <w:tc>
          <w:tcPr>
            <w:tcW w:w="413" w:type="pct"/>
            <w:vAlign w:val="center"/>
          </w:tcPr>
          <w:p w14:paraId="35ED2783">
            <w:pPr>
              <w:widowControl/>
              <w:spacing w:line="240" w:lineRule="auto"/>
              <w:jc w:val="center"/>
              <w:rPr>
                <w:rFonts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17422</w:t>
            </w:r>
          </w:p>
        </w:tc>
        <w:tc>
          <w:tcPr>
            <w:tcW w:w="413" w:type="pct"/>
            <w:vAlign w:val="center"/>
          </w:tcPr>
          <w:p w14:paraId="531436B5">
            <w:pPr>
              <w:widowControl/>
              <w:spacing w:line="240" w:lineRule="auto"/>
              <w:jc w:val="center"/>
              <w:rPr>
                <w:rFonts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县水利局</w:t>
            </w:r>
          </w:p>
        </w:tc>
        <w:tc>
          <w:tcPr>
            <w:tcW w:w="320" w:type="pct"/>
            <w:vAlign w:val="center"/>
          </w:tcPr>
          <w:p w14:paraId="37D0CD4D">
            <w:pPr>
              <w:widowControl/>
              <w:spacing w:line="240" w:lineRule="auto"/>
              <w:jc w:val="center"/>
              <w:rPr>
                <w:rFonts w:hint="eastAsia"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政府投入</w:t>
            </w:r>
          </w:p>
        </w:tc>
        <w:tc>
          <w:tcPr>
            <w:tcW w:w="569" w:type="pct"/>
            <w:vAlign w:val="center"/>
          </w:tcPr>
          <w:p w14:paraId="6D5BCAE2">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城镇污水处理率</w:t>
            </w:r>
          </w:p>
        </w:tc>
      </w:tr>
      <w:tr w14:paraId="57734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 w:type="pct"/>
            <w:vMerge w:val="continue"/>
            <w:vAlign w:val="center"/>
          </w:tcPr>
          <w:p w14:paraId="72DE9B26">
            <w:pPr>
              <w:spacing w:line="240" w:lineRule="auto"/>
              <w:jc w:val="center"/>
              <w:rPr>
                <w:rFonts w:ascii="Times New Roman" w:hAnsi="Times New Roman" w:eastAsia="仿宋" w:cs="Times New Roman"/>
                <w:color w:val="auto"/>
                <w:sz w:val="21"/>
                <w:szCs w:val="21"/>
              </w:rPr>
            </w:pPr>
          </w:p>
        </w:tc>
        <w:tc>
          <w:tcPr>
            <w:tcW w:w="255" w:type="pct"/>
            <w:vAlign w:val="center"/>
          </w:tcPr>
          <w:p w14:paraId="77E12C1C">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3</w:t>
            </w:r>
          </w:p>
        </w:tc>
        <w:tc>
          <w:tcPr>
            <w:tcW w:w="631" w:type="pct"/>
            <w:tcBorders>
              <w:top w:val="single" w:color="auto" w:sz="4" w:space="0"/>
              <w:left w:val="single" w:color="auto" w:sz="4" w:space="0"/>
              <w:bottom w:val="single" w:color="auto" w:sz="4" w:space="0"/>
              <w:right w:val="single" w:color="auto" w:sz="4" w:space="0"/>
            </w:tcBorders>
            <w:shd w:val="clear" w:color="auto" w:fill="auto"/>
            <w:vAlign w:val="center"/>
          </w:tcPr>
          <w:p w14:paraId="10BF63EC">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新平县扬武集镇生活污水处理厂及配套管网工程</w:t>
            </w:r>
          </w:p>
        </w:tc>
        <w:tc>
          <w:tcPr>
            <w:tcW w:w="1816" w:type="pct"/>
            <w:tcBorders>
              <w:top w:val="single" w:color="auto" w:sz="4" w:space="0"/>
              <w:left w:val="single" w:color="auto" w:sz="4" w:space="0"/>
              <w:bottom w:val="single" w:color="auto" w:sz="4" w:space="0"/>
              <w:right w:val="single" w:color="auto" w:sz="4" w:space="0"/>
            </w:tcBorders>
            <w:shd w:val="clear" w:color="auto" w:fill="auto"/>
            <w:vAlign w:val="center"/>
          </w:tcPr>
          <w:p w14:paraId="0F809262">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近期处理规模</w:t>
            </w:r>
            <w:r>
              <w:rPr>
                <w:rFonts w:hint="default" w:ascii="Times New Roman" w:hAnsi="Times New Roman" w:eastAsia="仿宋" w:cs="Times New Roman"/>
                <w:color w:val="auto"/>
                <w:kern w:val="0"/>
                <w:sz w:val="21"/>
                <w:szCs w:val="21"/>
                <w:lang w:val="en-US" w:eastAsia="zh-CN" w:bidi="ar"/>
              </w:rPr>
              <w:t>1500m³/d</w:t>
            </w:r>
            <w:r>
              <w:rPr>
                <w:rFonts w:ascii="Times New Roman" w:hAnsi="Times New Roman" w:eastAsia="仿宋" w:cs="Times New Roman"/>
                <w:color w:val="auto"/>
                <w:kern w:val="0"/>
                <w:sz w:val="21"/>
                <w:szCs w:val="21"/>
                <w:lang w:val="en-US" w:eastAsia="zh-CN" w:bidi="ar"/>
              </w:rPr>
              <w:t>、远期</w:t>
            </w:r>
            <w:r>
              <w:rPr>
                <w:rFonts w:hint="default" w:ascii="Times New Roman" w:hAnsi="Times New Roman" w:eastAsia="仿宋" w:cs="Times New Roman"/>
                <w:color w:val="auto"/>
                <w:kern w:val="0"/>
                <w:sz w:val="21"/>
                <w:szCs w:val="21"/>
                <w:lang w:val="en-US" w:eastAsia="zh-CN" w:bidi="ar"/>
              </w:rPr>
              <w:t>2500m³/d</w:t>
            </w:r>
            <w:r>
              <w:rPr>
                <w:rFonts w:ascii="Times New Roman" w:hAnsi="Times New Roman" w:eastAsia="仿宋" w:cs="Times New Roman"/>
                <w:color w:val="auto"/>
                <w:kern w:val="0"/>
                <w:sz w:val="21"/>
                <w:szCs w:val="21"/>
                <w:lang w:val="en-US" w:eastAsia="zh-CN" w:bidi="ar"/>
              </w:rPr>
              <w:t>，污水处理采用</w:t>
            </w:r>
            <w:r>
              <w:rPr>
                <w:rFonts w:hint="default" w:ascii="Times New Roman" w:hAnsi="Times New Roman" w:eastAsia="仿宋" w:cs="Times New Roman"/>
                <w:color w:val="auto"/>
                <w:kern w:val="0"/>
                <w:sz w:val="21"/>
                <w:szCs w:val="21"/>
                <w:lang w:val="en-US" w:eastAsia="zh-CN" w:bidi="ar"/>
              </w:rPr>
              <w:t>A2O</w:t>
            </w:r>
            <w:r>
              <w:rPr>
                <w:rFonts w:ascii="Times New Roman" w:hAnsi="Times New Roman" w:eastAsia="仿宋" w:cs="Times New Roman"/>
                <w:color w:val="auto"/>
                <w:kern w:val="0"/>
                <w:sz w:val="21"/>
                <w:szCs w:val="21"/>
                <w:lang w:val="en-US" w:eastAsia="zh-CN" w:bidi="ar"/>
              </w:rPr>
              <w:t>工艺，铺设老城区管网</w:t>
            </w:r>
            <w:r>
              <w:rPr>
                <w:rFonts w:hint="default" w:ascii="Times New Roman" w:hAnsi="Times New Roman" w:eastAsia="仿宋" w:cs="Times New Roman"/>
                <w:color w:val="auto"/>
                <w:kern w:val="0"/>
                <w:sz w:val="21"/>
                <w:szCs w:val="21"/>
                <w:lang w:val="en-US" w:eastAsia="zh-CN" w:bidi="ar"/>
              </w:rPr>
              <w:t>10</w:t>
            </w:r>
            <w:r>
              <w:rPr>
                <w:rFonts w:ascii="Times New Roman" w:hAnsi="Times New Roman" w:eastAsia="仿宋" w:cs="Times New Roman"/>
                <w:color w:val="auto"/>
                <w:kern w:val="0"/>
                <w:sz w:val="21"/>
                <w:szCs w:val="21"/>
                <w:lang w:val="en-US" w:eastAsia="zh-CN" w:bidi="ar"/>
              </w:rPr>
              <w:t>千米</w:t>
            </w:r>
            <w:r>
              <w:rPr>
                <w:rFonts w:hint="eastAsia" w:ascii="Times New Roman" w:hAnsi="Times New Roman" w:eastAsia="仿宋" w:cs="Times New Roman"/>
                <w:color w:val="auto"/>
                <w:kern w:val="0"/>
                <w:sz w:val="21"/>
                <w:szCs w:val="21"/>
                <w:lang w:val="en-US" w:eastAsia="zh-CN" w:bidi="ar"/>
              </w:rPr>
              <w:t>，</w:t>
            </w:r>
            <w:r>
              <w:rPr>
                <w:rFonts w:ascii="Times New Roman" w:hAnsi="Times New Roman" w:eastAsia="仿宋" w:cs="Times New Roman"/>
                <w:color w:val="auto"/>
                <w:kern w:val="0"/>
                <w:sz w:val="21"/>
                <w:szCs w:val="21"/>
                <w:lang w:val="en-US" w:eastAsia="zh-CN" w:bidi="ar"/>
              </w:rPr>
              <w:t>覆盖集镇区域（包括扬武集镇、大开门片区）。</w:t>
            </w:r>
          </w:p>
        </w:tc>
        <w:tc>
          <w:tcPr>
            <w:tcW w:w="408" w:type="pct"/>
            <w:tcBorders>
              <w:top w:val="single" w:color="auto" w:sz="4" w:space="0"/>
              <w:left w:val="single" w:color="auto" w:sz="4" w:space="0"/>
              <w:bottom w:val="single" w:color="auto" w:sz="4" w:space="0"/>
              <w:right w:val="single" w:color="auto" w:sz="4" w:space="0"/>
            </w:tcBorders>
            <w:shd w:val="clear" w:color="auto" w:fill="auto"/>
            <w:vAlign w:val="center"/>
          </w:tcPr>
          <w:p w14:paraId="49993CF5">
            <w:pPr>
              <w:widowControl/>
              <w:spacing w:line="240" w:lineRule="auto"/>
              <w:jc w:val="center"/>
              <w:textAlignment w:val="center"/>
              <w:rPr>
                <w:rFonts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2021-2023</w:t>
            </w:r>
          </w:p>
        </w:tc>
        <w:tc>
          <w:tcPr>
            <w:tcW w:w="413" w:type="pct"/>
            <w:tcBorders>
              <w:top w:val="single" w:color="auto" w:sz="4" w:space="0"/>
              <w:left w:val="single" w:color="auto" w:sz="4" w:space="0"/>
              <w:bottom w:val="single" w:color="auto" w:sz="4" w:space="0"/>
              <w:right w:val="single" w:color="auto" w:sz="4" w:space="0"/>
            </w:tcBorders>
            <w:shd w:val="clear" w:color="auto" w:fill="auto"/>
            <w:vAlign w:val="center"/>
          </w:tcPr>
          <w:p w14:paraId="6BB493C2">
            <w:pPr>
              <w:widowControl/>
              <w:spacing w:line="240" w:lineRule="auto"/>
              <w:jc w:val="center"/>
              <w:rPr>
                <w:rFonts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3373</w:t>
            </w:r>
          </w:p>
        </w:tc>
        <w:tc>
          <w:tcPr>
            <w:tcW w:w="413" w:type="pct"/>
            <w:shd w:val="clear" w:color="auto" w:fill="auto"/>
            <w:vAlign w:val="center"/>
          </w:tcPr>
          <w:p w14:paraId="0B54643A">
            <w:pPr>
              <w:widowControl/>
              <w:spacing w:line="240" w:lineRule="auto"/>
              <w:jc w:val="center"/>
              <w:rPr>
                <w:rFonts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县住建局</w:t>
            </w:r>
          </w:p>
        </w:tc>
        <w:tc>
          <w:tcPr>
            <w:tcW w:w="320" w:type="pct"/>
            <w:shd w:val="clear" w:color="auto" w:fill="auto"/>
            <w:vAlign w:val="center"/>
          </w:tcPr>
          <w:p w14:paraId="4174C1B4">
            <w:pPr>
              <w:widowControl/>
              <w:spacing w:line="240" w:lineRule="auto"/>
              <w:jc w:val="center"/>
              <w:rPr>
                <w:rFonts w:hint="eastAsia"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政府投入</w:t>
            </w:r>
          </w:p>
        </w:tc>
        <w:tc>
          <w:tcPr>
            <w:tcW w:w="569" w:type="pct"/>
            <w:shd w:val="clear" w:color="auto" w:fill="auto"/>
            <w:vAlign w:val="center"/>
          </w:tcPr>
          <w:p w14:paraId="79EA23C1">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城镇污水处理率</w:t>
            </w:r>
          </w:p>
        </w:tc>
      </w:tr>
      <w:tr w14:paraId="72630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 w:type="pct"/>
            <w:vMerge w:val="continue"/>
            <w:vAlign w:val="center"/>
          </w:tcPr>
          <w:p w14:paraId="5718BEB1">
            <w:pPr>
              <w:spacing w:line="240" w:lineRule="auto"/>
              <w:jc w:val="center"/>
              <w:rPr>
                <w:rFonts w:ascii="Times New Roman" w:hAnsi="Times New Roman" w:eastAsia="仿宋" w:cs="Times New Roman"/>
                <w:color w:val="auto"/>
                <w:sz w:val="21"/>
                <w:szCs w:val="21"/>
              </w:rPr>
            </w:pPr>
          </w:p>
        </w:tc>
        <w:tc>
          <w:tcPr>
            <w:tcW w:w="255" w:type="pct"/>
            <w:vAlign w:val="center"/>
          </w:tcPr>
          <w:p w14:paraId="42822814">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4</w:t>
            </w:r>
          </w:p>
        </w:tc>
        <w:tc>
          <w:tcPr>
            <w:tcW w:w="631" w:type="pct"/>
            <w:tcBorders>
              <w:top w:val="nil"/>
              <w:left w:val="single" w:color="auto" w:sz="4" w:space="0"/>
              <w:bottom w:val="single" w:color="auto" w:sz="4" w:space="0"/>
              <w:right w:val="single" w:color="auto" w:sz="4" w:space="0"/>
            </w:tcBorders>
            <w:shd w:val="clear" w:color="auto" w:fill="auto"/>
            <w:vAlign w:val="center"/>
          </w:tcPr>
          <w:p w14:paraId="1AA85856">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新平县老厂乡集镇生活污水和生活垃圾处理设施</w:t>
            </w:r>
          </w:p>
        </w:tc>
        <w:tc>
          <w:tcPr>
            <w:tcW w:w="1816" w:type="pct"/>
            <w:tcBorders>
              <w:top w:val="nil"/>
              <w:left w:val="single" w:color="auto" w:sz="4" w:space="0"/>
              <w:bottom w:val="single" w:color="auto" w:sz="4" w:space="0"/>
              <w:right w:val="single" w:color="auto" w:sz="4" w:space="0"/>
            </w:tcBorders>
            <w:shd w:val="clear" w:color="auto" w:fill="auto"/>
            <w:vAlign w:val="center"/>
          </w:tcPr>
          <w:p w14:paraId="76AB01B9">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建设污水处理站</w:t>
            </w:r>
            <w:r>
              <w:rPr>
                <w:rFonts w:hint="default" w:ascii="Times New Roman" w:hAnsi="Times New Roman" w:eastAsia="仿宋" w:cs="Times New Roman"/>
                <w:color w:val="auto"/>
                <w:kern w:val="0"/>
                <w:sz w:val="21"/>
                <w:szCs w:val="21"/>
                <w:lang w:val="en-US" w:eastAsia="zh-CN" w:bidi="ar"/>
              </w:rPr>
              <w:t>1</w:t>
            </w:r>
            <w:r>
              <w:rPr>
                <w:rFonts w:ascii="Times New Roman" w:hAnsi="Times New Roman" w:eastAsia="仿宋" w:cs="Times New Roman"/>
                <w:color w:val="auto"/>
                <w:kern w:val="0"/>
                <w:sz w:val="21"/>
                <w:szCs w:val="21"/>
                <w:lang w:val="en-US" w:eastAsia="zh-CN" w:bidi="ar"/>
              </w:rPr>
              <w:t>座用地</w:t>
            </w:r>
            <w:r>
              <w:rPr>
                <w:rFonts w:hint="default" w:ascii="Times New Roman" w:hAnsi="Times New Roman" w:eastAsia="仿宋" w:cs="Times New Roman"/>
                <w:color w:val="auto"/>
                <w:kern w:val="0"/>
                <w:sz w:val="21"/>
                <w:szCs w:val="21"/>
                <w:lang w:val="en-US" w:eastAsia="zh-CN" w:bidi="ar"/>
              </w:rPr>
              <w:t>2.1</w:t>
            </w:r>
            <w:r>
              <w:rPr>
                <w:rFonts w:ascii="Times New Roman" w:hAnsi="Times New Roman" w:eastAsia="仿宋" w:cs="Times New Roman"/>
                <w:color w:val="auto"/>
                <w:kern w:val="0"/>
                <w:sz w:val="21"/>
                <w:szCs w:val="21"/>
                <w:lang w:val="en-US" w:eastAsia="zh-CN" w:bidi="ar"/>
              </w:rPr>
              <w:t>亩，日处理能力</w:t>
            </w:r>
            <w:r>
              <w:rPr>
                <w:rFonts w:hint="default" w:ascii="Times New Roman" w:hAnsi="Times New Roman" w:eastAsia="仿宋" w:cs="Times New Roman"/>
                <w:color w:val="auto"/>
                <w:kern w:val="0"/>
                <w:sz w:val="21"/>
                <w:szCs w:val="21"/>
                <w:lang w:val="en-US" w:eastAsia="zh-CN" w:bidi="ar"/>
              </w:rPr>
              <w:t>1440m³</w:t>
            </w:r>
            <w:r>
              <w:rPr>
                <w:rFonts w:ascii="Times New Roman" w:hAnsi="Times New Roman" w:eastAsia="仿宋" w:cs="Times New Roman"/>
                <w:color w:val="auto"/>
                <w:kern w:val="0"/>
                <w:sz w:val="21"/>
                <w:szCs w:val="21"/>
                <w:lang w:val="en-US" w:eastAsia="zh-CN" w:bidi="ar"/>
              </w:rPr>
              <w:t>，污水主干管</w:t>
            </w:r>
            <w:r>
              <w:rPr>
                <w:rFonts w:hint="default" w:ascii="Times New Roman" w:hAnsi="Times New Roman" w:eastAsia="仿宋" w:cs="Times New Roman"/>
                <w:color w:val="auto"/>
                <w:kern w:val="0"/>
                <w:sz w:val="21"/>
                <w:szCs w:val="21"/>
                <w:lang w:val="en-US" w:eastAsia="zh-CN" w:bidi="ar"/>
              </w:rPr>
              <w:t>D400—800</w:t>
            </w:r>
            <w:r>
              <w:rPr>
                <w:rFonts w:ascii="Times New Roman" w:hAnsi="Times New Roman" w:eastAsia="仿宋" w:cs="Times New Roman"/>
                <w:color w:val="auto"/>
                <w:kern w:val="0"/>
                <w:sz w:val="21"/>
                <w:szCs w:val="21"/>
                <w:lang w:val="en-US" w:eastAsia="zh-CN" w:bidi="ar"/>
              </w:rPr>
              <w:t>，支管</w:t>
            </w:r>
            <w:r>
              <w:rPr>
                <w:rFonts w:hint="default" w:ascii="Times New Roman" w:hAnsi="Times New Roman" w:eastAsia="仿宋" w:cs="Times New Roman"/>
                <w:color w:val="auto"/>
                <w:kern w:val="0"/>
                <w:sz w:val="21"/>
                <w:szCs w:val="21"/>
                <w:lang w:val="en-US" w:eastAsia="zh-CN" w:bidi="ar"/>
              </w:rPr>
              <w:t>D200</w:t>
            </w:r>
            <w:r>
              <w:rPr>
                <w:rFonts w:ascii="Times New Roman" w:hAnsi="Times New Roman" w:eastAsia="仿宋" w:cs="Times New Roman"/>
                <w:color w:val="auto"/>
                <w:kern w:val="0"/>
                <w:sz w:val="21"/>
                <w:szCs w:val="21"/>
                <w:lang w:val="en-US" w:eastAsia="zh-CN" w:bidi="ar"/>
              </w:rPr>
              <w:t>，长</w:t>
            </w:r>
            <w:r>
              <w:rPr>
                <w:rFonts w:hint="default" w:ascii="Times New Roman" w:hAnsi="Times New Roman" w:eastAsia="仿宋" w:cs="Times New Roman"/>
                <w:color w:val="auto"/>
                <w:kern w:val="0"/>
                <w:sz w:val="21"/>
                <w:szCs w:val="21"/>
                <w:lang w:val="en-US" w:eastAsia="zh-CN" w:bidi="ar"/>
              </w:rPr>
              <w:t>3km</w:t>
            </w:r>
            <w:r>
              <w:rPr>
                <w:rFonts w:ascii="Times New Roman" w:hAnsi="Times New Roman" w:eastAsia="仿宋" w:cs="Times New Roman"/>
                <w:color w:val="auto"/>
                <w:kern w:val="0"/>
                <w:sz w:val="21"/>
                <w:szCs w:val="21"/>
                <w:lang w:val="en-US" w:eastAsia="zh-CN" w:bidi="ar"/>
              </w:rPr>
              <w:t>。建设垃圾处理站</w:t>
            </w:r>
            <w:r>
              <w:rPr>
                <w:rFonts w:hint="default" w:ascii="Times New Roman" w:hAnsi="Times New Roman" w:eastAsia="仿宋" w:cs="Times New Roman"/>
                <w:color w:val="auto"/>
                <w:kern w:val="0"/>
                <w:sz w:val="21"/>
                <w:szCs w:val="21"/>
                <w:lang w:val="en-US" w:eastAsia="zh-CN" w:bidi="ar"/>
              </w:rPr>
              <w:t>1</w:t>
            </w:r>
            <w:r>
              <w:rPr>
                <w:rFonts w:ascii="Times New Roman" w:hAnsi="Times New Roman" w:eastAsia="仿宋" w:cs="Times New Roman"/>
                <w:color w:val="auto"/>
                <w:kern w:val="0"/>
                <w:sz w:val="21"/>
                <w:szCs w:val="21"/>
                <w:lang w:val="en-US" w:eastAsia="zh-CN" w:bidi="ar"/>
              </w:rPr>
              <w:t>座用地</w:t>
            </w:r>
            <w:r>
              <w:rPr>
                <w:rFonts w:hint="default" w:ascii="Times New Roman" w:hAnsi="Times New Roman" w:eastAsia="仿宋" w:cs="Times New Roman"/>
                <w:color w:val="auto"/>
                <w:kern w:val="0"/>
                <w:sz w:val="21"/>
                <w:szCs w:val="21"/>
                <w:lang w:val="en-US" w:eastAsia="zh-CN" w:bidi="ar"/>
              </w:rPr>
              <w:t>2</w:t>
            </w:r>
            <w:r>
              <w:rPr>
                <w:rFonts w:ascii="Times New Roman" w:hAnsi="Times New Roman" w:eastAsia="仿宋" w:cs="Times New Roman"/>
                <w:color w:val="auto"/>
                <w:kern w:val="0"/>
                <w:sz w:val="21"/>
                <w:szCs w:val="21"/>
                <w:lang w:val="en-US" w:eastAsia="zh-CN" w:bidi="ar"/>
              </w:rPr>
              <w:t>亩，热融解处理，日处理能力</w:t>
            </w:r>
            <w:r>
              <w:rPr>
                <w:rFonts w:hint="default" w:ascii="Times New Roman" w:hAnsi="Times New Roman" w:eastAsia="仿宋" w:cs="Times New Roman"/>
                <w:color w:val="auto"/>
                <w:kern w:val="0"/>
                <w:sz w:val="21"/>
                <w:szCs w:val="21"/>
                <w:lang w:val="en-US" w:eastAsia="zh-CN" w:bidi="ar"/>
              </w:rPr>
              <w:t>70t/d</w:t>
            </w:r>
            <w:r>
              <w:rPr>
                <w:rFonts w:ascii="Times New Roman" w:hAnsi="Times New Roman" w:eastAsia="仿宋" w:cs="Times New Roman"/>
                <w:color w:val="auto"/>
                <w:kern w:val="0"/>
                <w:sz w:val="21"/>
                <w:szCs w:val="21"/>
                <w:lang w:val="en-US" w:eastAsia="zh-CN" w:bidi="ar"/>
              </w:rPr>
              <w:t>。</w:t>
            </w:r>
          </w:p>
        </w:tc>
        <w:tc>
          <w:tcPr>
            <w:tcW w:w="408" w:type="pct"/>
            <w:tcBorders>
              <w:top w:val="nil"/>
              <w:left w:val="single" w:color="auto" w:sz="4" w:space="0"/>
              <w:bottom w:val="single" w:color="auto" w:sz="4" w:space="0"/>
              <w:right w:val="single" w:color="auto" w:sz="4" w:space="0"/>
            </w:tcBorders>
            <w:shd w:val="clear" w:color="auto" w:fill="auto"/>
            <w:vAlign w:val="center"/>
          </w:tcPr>
          <w:p w14:paraId="739D0C9C">
            <w:pPr>
              <w:widowControl/>
              <w:spacing w:line="240" w:lineRule="auto"/>
              <w:jc w:val="center"/>
              <w:textAlignment w:val="center"/>
              <w:rPr>
                <w:rFonts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2020-2025</w:t>
            </w:r>
          </w:p>
        </w:tc>
        <w:tc>
          <w:tcPr>
            <w:tcW w:w="413" w:type="pct"/>
            <w:tcBorders>
              <w:top w:val="nil"/>
              <w:left w:val="single" w:color="auto" w:sz="4" w:space="0"/>
              <w:bottom w:val="single" w:color="auto" w:sz="4" w:space="0"/>
              <w:right w:val="single" w:color="auto" w:sz="4" w:space="0"/>
            </w:tcBorders>
            <w:shd w:val="clear" w:color="auto" w:fill="auto"/>
            <w:vAlign w:val="center"/>
          </w:tcPr>
          <w:p w14:paraId="2C111A08">
            <w:pPr>
              <w:widowControl/>
              <w:spacing w:line="240" w:lineRule="auto"/>
              <w:jc w:val="center"/>
              <w:rPr>
                <w:rFonts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1300</w:t>
            </w:r>
          </w:p>
        </w:tc>
        <w:tc>
          <w:tcPr>
            <w:tcW w:w="413" w:type="pct"/>
            <w:shd w:val="clear" w:color="auto" w:fill="auto"/>
            <w:vAlign w:val="center"/>
          </w:tcPr>
          <w:p w14:paraId="46CD29A7">
            <w:pPr>
              <w:widowControl/>
              <w:spacing w:line="240" w:lineRule="auto"/>
              <w:jc w:val="center"/>
              <w:rPr>
                <w:rFonts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县住建局</w:t>
            </w:r>
          </w:p>
        </w:tc>
        <w:tc>
          <w:tcPr>
            <w:tcW w:w="320" w:type="pct"/>
            <w:shd w:val="clear" w:color="auto" w:fill="auto"/>
            <w:vAlign w:val="center"/>
          </w:tcPr>
          <w:p w14:paraId="4B4C0A63">
            <w:pPr>
              <w:widowControl/>
              <w:spacing w:line="240" w:lineRule="auto"/>
              <w:jc w:val="center"/>
              <w:rPr>
                <w:rFonts w:hint="eastAsia"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政府投入</w:t>
            </w:r>
          </w:p>
        </w:tc>
        <w:tc>
          <w:tcPr>
            <w:tcW w:w="569" w:type="pct"/>
            <w:shd w:val="clear" w:color="auto" w:fill="auto"/>
            <w:vAlign w:val="center"/>
          </w:tcPr>
          <w:p w14:paraId="373E143F">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城镇污水处理率</w:t>
            </w:r>
          </w:p>
        </w:tc>
      </w:tr>
      <w:tr w14:paraId="33F2E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 w:type="pct"/>
            <w:vMerge w:val="continue"/>
            <w:vAlign w:val="center"/>
          </w:tcPr>
          <w:p w14:paraId="3C0B3300">
            <w:pPr>
              <w:spacing w:line="240" w:lineRule="auto"/>
              <w:jc w:val="center"/>
              <w:rPr>
                <w:rFonts w:ascii="Times New Roman" w:hAnsi="Times New Roman" w:eastAsia="仿宋" w:cs="Times New Roman"/>
                <w:color w:val="auto"/>
                <w:sz w:val="21"/>
                <w:szCs w:val="21"/>
              </w:rPr>
            </w:pPr>
          </w:p>
        </w:tc>
        <w:tc>
          <w:tcPr>
            <w:tcW w:w="255" w:type="pct"/>
            <w:vAlign w:val="center"/>
          </w:tcPr>
          <w:p w14:paraId="7F16FA3D">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5</w:t>
            </w:r>
          </w:p>
        </w:tc>
        <w:tc>
          <w:tcPr>
            <w:tcW w:w="631" w:type="pct"/>
            <w:tcBorders>
              <w:top w:val="nil"/>
              <w:left w:val="single" w:color="auto" w:sz="4" w:space="0"/>
              <w:bottom w:val="single" w:color="auto" w:sz="4" w:space="0"/>
              <w:right w:val="single" w:color="auto" w:sz="4" w:space="0"/>
            </w:tcBorders>
            <w:shd w:val="clear" w:color="auto" w:fill="auto"/>
            <w:vAlign w:val="center"/>
          </w:tcPr>
          <w:p w14:paraId="7F6A21E6">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新平县建兴乡生活垃圾处理工程合建项目</w:t>
            </w:r>
          </w:p>
        </w:tc>
        <w:tc>
          <w:tcPr>
            <w:tcW w:w="1816" w:type="pct"/>
            <w:tcBorders>
              <w:top w:val="nil"/>
              <w:left w:val="single" w:color="auto" w:sz="4" w:space="0"/>
              <w:bottom w:val="single" w:color="auto" w:sz="4" w:space="0"/>
              <w:right w:val="single" w:color="auto" w:sz="4" w:space="0"/>
            </w:tcBorders>
            <w:shd w:val="clear" w:color="auto" w:fill="auto"/>
            <w:vAlign w:val="center"/>
          </w:tcPr>
          <w:p w14:paraId="13F03E47">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建设生活垃圾处理工程及转运体系，包含居民生活垃圾分类丢弃点、垃圾转运车、垃圾处理站及配套设施。</w:t>
            </w:r>
          </w:p>
        </w:tc>
        <w:tc>
          <w:tcPr>
            <w:tcW w:w="408" w:type="pct"/>
            <w:tcBorders>
              <w:top w:val="nil"/>
              <w:left w:val="single" w:color="auto" w:sz="4" w:space="0"/>
              <w:bottom w:val="single" w:color="auto" w:sz="4" w:space="0"/>
              <w:right w:val="single" w:color="auto" w:sz="4" w:space="0"/>
            </w:tcBorders>
            <w:shd w:val="clear" w:color="auto" w:fill="auto"/>
            <w:vAlign w:val="center"/>
          </w:tcPr>
          <w:p w14:paraId="78A9DFE4">
            <w:pPr>
              <w:widowControl/>
              <w:spacing w:line="240" w:lineRule="auto"/>
              <w:jc w:val="center"/>
              <w:textAlignment w:val="center"/>
              <w:rPr>
                <w:rFonts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2021-2023</w:t>
            </w:r>
          </w:p>
        </w:tc>
        <w:tc>
          <w:tcPr>
            <w:tcW w:w="413" w:type="pct"/>
            <w:tcBorders>
              <w:top w:val="nil"/>
              <w:left w:val="single" w:color="auto" w:sz="4" w:space="0"/>
              <w:bottom w:val="single" w:color="auto" w:sz="4" w:space="0"/>
              <w:right w:val="single" w:color="auto" w:sz="4" w:space="0"/>
            </w:tcBorders>
            <w:shd w:val="clear" w:color="auto" w:fill="auto"/>
            <w:vAlign w:val="center"/>
          </w:tcPr>
          <w:p w14:paraId="1B62F0FA">
            <w:pPr>
              <w:widowControl/>
              <w:spacing w:line="240" w:lineRule="auto"/>
              <w:jc w:val="center"/>
              <w:rPr>
                <w:rFonts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2500</w:t>
            </w:r>
          </w:p>
        </w:tc>
        <w:tc>
          <w:tcPr>
            <w:tcW w:w="413" w:type="pct"/>
            <w:shd w:val="clear" w:color="auto" w:fill="auto"/>
            <w:vAlign w:val="center"/>
          </w:tcPr>
          <w:p w14:paraId="019090C2">
            <w:pPr>
              <w:widowControl/>
              <w:spacing w:line="240" w:lineRule="auto"/>
              <w:jc w:val="center"/>
              <w:rPr>
                <w:rFonts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县住建局</w:t>
            </w:r>
          </w:p>
        </w:tc>
        <w:tc>
          <w:tcPr>
            <w:tcW w:w="320" w:type="pct"/>
            <w:shd w:val="clear" w:color="auto" w:fill="auto"/>
            <w:vAlign w:val="center"/>
          </w:tcPr>
          <w:p w14:paraId="1C0D0975">
            <w:pPr>
              <w:widowControl/>
              <w:spacing w:line="240" w:lineRule="auto"/>
              <w:jc w:val="center"/>
              <w:rPr>
                <w:rFonts w:hint="eastAsia"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政府投入</w:t>
            </w:r>
          </w:p>
        </w:tc>
        <w:tc>
          <w:tcPr>
            <w:tcW w:w="569" w:type="pct"/>
            <w:shd w:val="clear" w:color="auto" w:fill="auto"/>
            <w:vAlign w:val="center"/>
          </w:tcPr>
          <w:p w14:paraId="52C3263E">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kern w:val="0"/>
                <w:sz w:val="21"/>
                <w:szCs w:val="21"/>
                <w:lang w:bidi="ar"/>
              </w:rPr>
              <w:t>城镇污水处理率</w:t>
            </w:r>
          </w:p>
        </w:tc>
      </w:tr>
      <w:tr w14:paraId="25E83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 w:type="pct"/>
            <w:vMerge w:val="continue"/>
            <w:vAlign w:val="center"/>
          </w:tcPr>
          <w:p w14:paraId="4D56D74D">
            <w:pPr>
              <w:spacing w:line="240" w:lineRule="auto"/>
              <w:jc w:val="center"/>
              <w:rPr>
                <w:rFonts w:ascii="Times New Roman" w:hAnsi="Times New Roman" w:eastAsia="仿宋" w:cs="Times New Roman"/>
                <w:color w:val="auto"/>
                <w:sz w:val="21"/>
                <w:szCs w:val="21"/>
              </w:rPr>
            </w:pPr>
          </w:p>
        </w:tc>
        <w:tc>
          <w:tcPr>
            <w:tcW w:w="255" w:type="pct"/>
            <w:vAlign w:val="center"/>
          </w:tcPr>
          <w:p w14:paraId="3128A0DE">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6</w:t>
            </w:r>
          </w:p>
        </w:tc>
        <w:tc>
          <w:tcPr>
            <w:tcW w:w="631" w:type="pct"/>
            <w:tcBorders>
              <w:top w:val="nil"/>
              <w:left w:val="single" w:color="auto" w:sz="4" w:space="0"/>
              <w:bottom w:val="single" w:color="auto" w:sz="4" w:space="0"/>
              <w:right w:val="single" w:color="auto" w:sz="4" w:space="0"/>
            </w:tcBorders>
            <w:shd w:val="clear" w:color="auto" w:fill="auto"/>
            <w:vAlign w:val="center"/>
          </w:tcPr>
          <w:p w14:paraId="65ABB142">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新平县水塘镇集镇污水排放处理及人工湿地处理系统建设项目</w:t>
            </w:r>
          </w:p>
        </w:tc>
        <w:tc>
          <w:tcPr>
            <w:tcW w:w="1816" w:type="pct"/>
            <w:tcBorders>
              <w:top w:val="nil"/>
              <w:left w:val="single" w:color="auto" w:sz="4" w:space="0"/>
              <w:bottom w:val="single" w:color="auto" w:sz="4" w:space="0"/>
              <w:right w:val="single" w:color="auto" w:sz="4" w:space="0"/>
            </w:tcBorders>
            <w:shd w:val="clear" w:color="auto" w:fill="auto"/>
            <w:vAlign w:val="center"/>
          </w:tcPr>
          <w:p w14:paraId="6E0CD4D7">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污水处理厂</w:t>
            </w:r>
            <w:r>
              <w:rPr>
                <w:rFonts w:hint="default" w:ascii="Times New Roman" w:hAnsi="Times New Roman" w:eastAsia="仿宋" w:cs="Times New Roman"/>
                <w:color w:val="auto"/>
                <w:kern w:val="0"/>
                <w:sz w:val="21"/>
                <w:szCs w:val="21"/>
                <w:lang w:val="en-US" w:eastAsia="zh-CN" w:bidi="ar"/>
              </w:rPr>
              <w:t>1</w:t>
            </w:r>
            <w:r>
              <w:rPr>
                <w:rFonts w:ascii="Times New Roman" w:hAnsi="Times New Roman" w:eastAsia="仿宋" w:cs="Times New Roman"/>
                <w:color w:val="auto"/>
                <w:kern w:val="0"/>
                <w:sz w:val="21"/>
                <w:szCs w:val="21"/>
                <w:lang w:val="en-US" w:eastAsia="zh-CN" w:bidi="ar"/>
              </w:rPr>
              <w:t>座占地</w:t>
            </w:r>
            <w:r>
              <w:rPr>
                <w:rFonts w:hint="default" w:ascii="Times New Roman" w:hAnsi="Times New Roman" w:eastAsia="仿宋" w:cs="Times New Roman"/>
                <w:color w:val="auto"/>
                <w:kern w:val="0"/>
                <w:sz w:val="21"/>
                <w:szCs w:val="21"/>
                <w:lang w:val="en-US" w:eastAsia="zh-CN" w:bidi="ar"/>
              </w:rPr>
              <w:t>10</w:t>
            </w:r>
            <w:r>
              <w:rPr>
                <w:rFonts w:ascii="Times New Roman" w:hAnsi="Times New Roman" w:eastAsia="仿宋" w:cs="Times New Roman"/>
                <w:color w:val="auto"/>
                <w:kern w:val="0"/>
                <w:sz w:val="21"/>
                <w:szCs w:val="21"/>
                <w:lang w:val="en-US" w:eastAsia="zh-CN" w:bidi="ar"/>
              </w:rPr>
              <w:t>亩，管网</w:t>
            </w:r>
            <w:r>
              <w:rPr>
                <w:rFonts w:hint="default" w:ascii="Times New Roman" w:hAnsi="Times New Roman" w:eastAsia="仿宋" w:cs="Times New Roman"/>
                <w:color w:val="auto"/>
                <w:kern w:val="0"/>
                <w:sz w:val="21"/>
                <w:szCs w:val="21"/>
                <w:lang w:val="en-US" w:eastAsia="zh-CN" w:bidi="ar"/>
              </w:rPr>
              <w:t>10000m</w:t>
            </w:r>
            <w:r>
              <w:rPr>
                <w:rFonts w:ascii="Times New Roman" w:hAnsi="Times New Roman" w:eastAsia="仿宋" w:cs="Times New Roman"/>
                <w:color w:val="auto"/>
                <w:kern w:val="0"/>
                <w:sz w:val="21"/>
                <w:szCs w:val="21"/>
                <w:lang w:val="en-US" w:eastAsia="zh-CN" w:bidi="ar"/>
              </w:rPr>
              <w:t>。</w:t>
            </w:r>
          </w:p>
        </w:tc>
        <w:tc>
          <w:tcPr>
            <w:tcW w:w="408" w:type="pct"/>
            <w:tcBorders>
              <w:top w:val="nil"/>
              <w:left w:val="single" w:color="auto" w:sz="4" w:space="0"/>
              <w:bottom w:val="single" w:color="auto" w:sz="4" w:space="0"/>
              <w:right w:val="single" w:color="auto" w:sz="4" w:space="0"/>
            </w:tcBorders>
            <w:shd w:val="clear" w:color="auto" w:fill="auto"/>
            <w:vAlign w:val="center"/>
          </w:tcPr>
          <w:p w14:paraId="584CA7C5">
            <w:pPr>
              <w:widowControl/>
              <w:spacing w:line="240" w:lineRule="auto"/>
              <w:jc w:val="center"/>
              <w:textAlignment w:val="center"/>
              <w:rPr>
                <w:rFonts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2023-2024</w:t>
            </w:r>
          </w:p>
        </w:tc>
        <w:tc>
          <w:tcPr>
            <w:tcW w:w="413" w:type="pct"/>
            <w:tcBorders>
              <w:top w:val="nil"/>
              <w:left w:val="single" w:color="auto" w:sz="4" w:space="0"/>
              <w:bottom w:val="single" w:color="auto" w:sz="4" w:space="0"/>
              <w:right w:val="single" w:color="auto" w:sz="4" w:space="0"/>
            </w:tcBorders>
            <w:shd w:val="clear" w:color="auto" w:fill="auto"/>
            <w:vAlign w:val="center"/>
          </w:tcPr>
          <w:p w14:paraId="0DE8DD26">
            <w:pPr>
              <w:widowControl/>
              <w:spacing w:line="240" w:lineRule="auto"/>
              <w:jc w:val="center"/>
              <w:rPr>
                <w:rFonts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1000</w:t>
            </w:r>
          </w:p>
        </w:tc>
        <w:tc>
          <w:tcPr>
            <w:tcW w:w="413" w:type="pct"/>
            <w:shd w:val="clear" w:color="auto" w:fill="auto"/>
            <w:vAlign w:val="center"/>
          </w:tcPr>
          <w:p w14:paraId="041D8841">
            <w:pPr>
              <w:widowControl/>
              <w:spacing w:line="240" w:lineRule="auto"/>
              <w:jc w:val="center"/>
              <w:rPr>
                <w:rFonts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县住建局</w:t>
            </w:r>
          </w:p>
        </w:tc>
        <w:tc>
          <w:tcPr>
            <w:tcW w:w="320" w:type="pct"/>
            <w:shd w:val="clear" w:color="auto" w:fill="auto"/>
            <w:vAlign w:val="center"/>
          </w:tcPr>
          <w:p w14:paraId="56D59F27">
            <w:pPr>
              <w:widowControl/>
              <w:spacing w:line="240" w:lineRule="auto"/>
              <w:jc w:val="center"/>
              <w:rPr>
                <w:rFonts w:hint="eastAsia"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政府投入</w:t>
            </w:r>
          </w:p>
        </w:tc>
        <w:tc>
          <w:tcPr>
            <w:tcW w:w="569" w:type="pct"/>
            <w:shd w:val="clear" w:color="auto" w:fill="auto"/>
            <w:vAlign w:val="center"/>
          </w:tcPr>
          <w:p w14:paraId="2245E93F">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kern w:val="0"/>
                <w:sz w:val="21"/>
                <w:szCs w:val="21"/>
                <w:lang w:bidi="ar"/>
              </w:rPr>
              <w:t>城镇污水处理率</w:t>
            </w:r>
          </w:p>
        </w:tc>
      </w:tr>
      <w:tr w14:paraId="506EE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 w:type="pct"/>
            <w:vMerge w:val="continue"/>
            <w:vAlign w:val="center"/>
          </w:tcPr>
          <w:p w14:paraId="6C47B681">
            <w:pPr>
              <w:spacing w:line="240" w:lineRule="auto"/>
              <w:jc w:val="center"/>
              <w:rPr>
                <w:rFonts w:ascii="Times New Roman" w:hAnsi="Times New Roman" w:eastAsia="仿宋" w:cs="Times New Roman"/>
                <w:color w:val="auto"/>
                <w:sz w:val="21"/>
                <w:szCs w:val="21"/>
              </w:rPr>
            </w:pPr>
          </w:p>
        </w:tc>
        <w:tc>
          <w:tcPr>
            <w:tcW w:w="255" w:type="pct"/>
            <w:vAlign w:val="center"/>
          </w:tcPr>
          <w:p w14:paraId="4F913F3C">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7</w:t>
            </w:r>
          </w:p>
        </w:tc>
        <w:tc>
          <w:tcPr>
            <w:tcW w:w="631" w:type="pct"/>
            <w:tcBorders>
              <w:top w:val="nil"/>
              <w:left w:val="single" w:color="auto" w:sz="4" w:space="0"/>
              <w:bottom w:val="single" w:color="auto" w:sz="4" w:space="0"/>
              <w:right w:val="single" w:color="auto" w:sz="4" w:space="0"/>
            </w:tcBorders>
            <w:shd w:val="clear" w:color="auto" w:fill="auto"/>
            <w:vAlign w:val="center"/>
          </w:tcPr>
          <w:p w14:paraId="3DF149AE">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新平县城市污水管网改造提升建设项目</w:t>
            </w:r>
          </w:p>
        </w:tc>
        <w:tc>
          <w:tcPr>
            <w:tcW w:w="1816" w:type="pct"/>
            <w:tcBorders>
              <w:top w:val="nil"/>
              <w:left w:val="single" w:color="auto" w:sz="4" w:space="0"/>
              <w:bottom w:val="single" w:color="auto" w:sz="4" w:space="0"/>
              <w:right w:val="single" w:color="auto" w:sz="4" w:space="0"/>
            </w:tcBorders>
            <w:shd w:val="clear" w:color="auto" w:fill="auto"/>
            <w:vAlign w:val="center"/>
          </w:tcPr>
          <w:p w14:paraId="2B8B37E9">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该项目包括两部分：现建成区管网实施雨污分流，工程内容为改造雨水管网</w:t>
            </w:r>
            <w:r>
              <w:rPr>
                <w:rFonts w:hint="default" w:ascii="Times New Roman" w:hAnsi="Times New Roman" w:eastAsia="仿宋" w:cs="Times New Roman"/>
                <w:color w:val="auto"/>
                <w:kern w:val="0"/>
                <w:sz w:val="21"/>
                <w:szCs w:val="21"/>
                <w:lang w:val="en-US" w:eastAsia="zh-CN" w:bidi="ar"/>
              </w:rPr>
              <w:t>80km</w:t>
            </w:r>
            <w:r>
              <w:rPr>
                <w:rFonts w:ascii="Times New Roman" w:hAnsi="Times New Roman" w:eastAsia="仿宋" w:cs="Times New Roman"/>
                <w:color w:val="auto"/>
                <w:kern w:val="0"/>
                <w:sz w:val="21"/>
                <w:szCs w:val="21"/>
                <w:lang w:val="en-US" w:eastAsia="zh-CN" w:bidi="ar"/>
              </w:rPr>
              <w:t>，改造污水管网</w:t>
            </w:r>
            <w:r>
              <w:rPr>
                <w:rFonts w:hint="default" w:ascii="Times New Roman" w:hAnsi="Times New Roman" w:eastAsia="仿宋" w:cs="Times New Roman"/>
                <w:color w:val="auto"/>
                <w:kern w:val="0"/>
                <w:sz w:val="21"/>
                <w:szCs w:val="21"/>
                <w:lang w:val="en-US" w:eastAsia="zh-CN" w:bidi="ar"/>
              </w:rPr>
              <w:t>60km</w:t>
            </w:r>
            <w:r>
              <w:rPr>
                <w:rFonts w:ascii="Times New Roman" w:hAnsi="Times New Roman" w:eastAsia="仿宋" w:cs="Times New Roman"/>
                <w:color w:val="auto"/>
                <w:kern w:val="0"/>
                <w:sz w:val="21"/>
                <w:szCs w:val="21"/>
                <w:lang w:val="en-US" w:eastAsia="zh-CN" w:bidi="ar"/>
              </w:rPr>
              <w:t>，补建中途提升泵</w:t>
            </w:r>
            <w:r>
              <w:rPr>
                <w:rFonts w:hint="default" w:ascii="Times New Roman" w:hAnsi="Times New Roman" w:eastAsia="仿宋" w:cs="Times New Roman"/>
                <w:color w:val="auto"/>
                <w:kern w:val="0"/>
                <w:sz w:val="21"/>
                <w:szCs w:val="21"/>
                <w:lang w:val="en-US" w:eastAsia="zh-CN" w:bidi="ar"/>
              </w:rPr>
              <w:t>10</w:t>
            </w:r>
            <w:r>
              <w:rPr>
                <w:rFonts w:ascii="Times New Roman" w:hAnsi="Times New Roman" w:eastAsia="仿宋" w:cs="Times New Roman"/>
                <w:color w:val="auto"/>
                <w:kern w:val="0"/>
                <w:sz w:val="21"/>
                <w:szCs w:val="21"/>
                <w:lang w:val="en-US" w:eastAsia="zh-CN" w:bidi="ar"/>
              </w:rPr>
              <w:t>座；县城规划区范围内雨污分流管网补全，工程内容包括：新建雨水管网</w:t>
            </w:r>
            <w:r>
              <w:rPr>
                <w:rFonts w:hint="default" w:ascii="Times New Roman" w:hAnsi="Times New Roman" w:eastAsia="仿宋" w:cs="Times New Roman"/>
                <w:color w:val="auto"/>
                <w:kern w:val="0"/>
                <w:sz w:val="21"/>
                <w:szCs w:val="21"/>
                <w:lang w:val="en-US" w:eastAsia="zh-CN" w:bidi="ar"/>
              </w:rPr>
              <w:t>60km</w:t>
            </w:r>
            <w:r>
              <w:rPr>
                <w:rFonts w:ascii="Times New Roman" w:hAnsi="Times New Roman" w:eastAsia="仿宋" w:cs="Times New Roman"/>
                <w:color w:val="auto"/>
                <w:kern w:val="0"/>
                <w:sz w:val="21"/>
                <w:szCs w:val="21"/>
                <w:lang w:val="en-US" w:eastAsia="zh-CN" w:bidi="ar"/>
              </w:rPr>
              <w:t>，新建污水管网</w:t>
            </w:r>
            <w:r>
              <w:rPr>
                <w:rFonts w:hint="default" w:ascii="Times New Roman" w:hAnsi="Times New Roman" w:eastAsia="仿宋" w:cs="Times New Roman"/>
                <w:color w:val="auto"/>
                <w:kern w:val="0"/>
                <w:sz w:val="21"/>
                <w:szCs w:val="21"/>
                <w:lang w:val="en-US" w:eastAsia="zh-CN" w:bidi="ar"/>
              </w:rPr>
              <w:t>50km</w:t>
            </w:r>
            <w:r>
              <w:rPr>
                <w:rFonts w:ascii="Times New Roman" w:hAnsi="Times New Roman" w:eastAsia="仿宋" w:cs="Times New Roman"/>
                <w:color w:val="auto"/>
                <w:kern w:val="0"/>
                <w:sz w:val="21"/>
                <w:szCs w:val="21"/>
                <w:lang w:val="en-US" w:eastAsia="zh-CN" w:bidi="ar"/>
              </w:rPr>
              <w:t>。合计雨水管网</w:t>
            </w:r>
            <w:r>
              <w:rPr>
                <w:rFonts w:hint="default" w:ascii="Times New Roman" w:hAnsi="Times New Roman" w:eastAsia="仿宋" w:cs="Times New Roman"/>
                <w:color w:val="auto"/>
                <w:kern w:val="0"/>
                <w:sz w:val="21"/>
                <w:szCs w:val="21"/>
                <w:lang w:val="en-US" w:eastAsia="zh-CN" w:bidi="ar"/>
              </w:rPr>
              <w:t>140km</w:t>
            </w:r>
            <w:r>
              <w:rPr>
                <w:rFonts w:ascii="Times New Roman" w:hAnsi="Times New Roman" w:eastAsia="仿宋" w:cs="Times New Roman"/>
                <w:color w:val="auto"/>
                <w:kern w:val="0"/>
                <w:sz w:val="21"/>
                <w:szCs w:val="21"/>
                <w:lang w:val="en-US" w:eastAsia="zh-CN" w:bidi="ar"/>
              </w:rPr>
              <w:t>，污水管网</w:t>
            </w:r>
            <w:r>
              <w:rPr>
                <w:rFonts w:hint="default" w:ascii="Times New Roman" w:hAnsi="Times New Roman" w:eastAsia="仿宋" w:cs="Times New Roman"/>
                <w:color w:val="auto"/>
                <w:kern w:val="0"/>
                <w:sz w:val="21"/>
                <w:szCs w:val="21"/>
                <w:lang w:val="en-US" w:eastAsia="zh-CN" w:bidi="ar"/>
              </w:rPr>
              <w:t>110km</w:t>
            </w:r>
            <w:r>
              <w:rPr>
                <w:rFonts w:ascii="Times New Roman" w:hAnsi="Times New Roman" w:eastAsia="仿宋" w:cs="Times New Roman"/>
                <w:color w:val="auto"/>
                <w:kern w:val="0"/>
                <w:sz w:val="21"/>
                <w:szCs w:val="21"/>
                <w:lang w:val="en-US" w:eastAsia="zh-CN" w:bidi="ar"/>
              </w:rPr>
              <w:t>，中途提升泵</w:t>
            </w:r>
            <w:r>
              <w:rPr>
                <w:rFonts w:hint="default" w:ascii="Times New Roman" w:hAnsi="Times New Roman" w:eastAsia="仿宋" w:cs="Times New Roman"/>
                <w:color w:val="auto"/>
                <w:kern w:val="0"/>
                <w:sz w:val="21"/>
                <w:szCs w:val="21"/>
                <w:lang w:val="en-US" w:eastAsia="zh-CN" w:bidi="ar"/>
              </w:rPr>
              <w:t>10</w:t>
            </w:r>
            <w:r>
              <w:rPr>
                <w:rFonts w:ascii="Times New Roman" w:hAnsi="Times New Roman" w:eastAsia="仿宋" w:cs="Times New Roman"/>
                <w:color w:val="auto"/>
                <w:kern w:val="0"/>
                <w:sz w:val="21"/>
                <w:szCs w:val="21"/>
                <w:lang w:val="en-US" w:eastAsia="zh-CN" w:bidi="ar"/>
              </w:rPr>
              <w:t>座。</w:t>
            </w:r>
          </w:p>
        </w:tc>
        <w:tc>
          <w:tcPr>
            <w:tcW w:w="408" w:type="pct"/>
            <w:tcBorders>
              <w:top w:val="nil"/>
              <w:left w:val="single" w:color="auto" w:sz="4" w:space="0"/>
              <w:bottom w:val="single" w:color="auto" w:sz="4" w:space="0"/>
              <w:right w:val="single" w:color="auto" w:sz="4" w:space="0"/>
            </w:tcBorders>
            <w:shd w:val="clear" w:color="auto" w:fill="auto"/>
            <w:vAlign w:val="center"/>
          </w:tcPr>
          <w:p w14:paraId="40E664E4">
            <w:pPr>
              <w:widowControl/>
              <w:spacing w:line="240" w:lineRule="auto"/>
              <w:jc w:val="center"/>
              <w:textAlignment w:val="center"/>
              <w:rPr>
                <w:rFonts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2023-2025</w:t>
            </w:r>
          </w:p>
        </w:tc>
        <w:tc>
          <w:tcPr>
            <w:tcW w:w="413" w:type="pct"/>
            <w:tcBorders>
              <w:top w:val="nil"/>
              <w:left w:val="single" w:color="auto" w:sz="4" w:space="0"/>
              <w:bottom w:val="single" w:color="auto" w:sz="4" w:space="0"/>
              <w:right w:val="single" w:color="auto" w:sz="4" w:space="0"/>
            </w:tcBorders>
            <w:shd w:val="clear" w:color="auto" w:fill="auto"/>
            <w:vAlign w:val="center"/>
          </w:tcPr>
          <w:p w14:paraId="099881DD">
            <w:pPr>
              <w:widowControl/>
              <w:spacing w:line="240" w:lineRule="auto"/>
              <w:jc w:val="center"/>
              <w:rPr>
                <w:rFonts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150000</w:t>
            </w:r>
          </w:p>
        </w:tc>
        <w:tc>
          <w:tcPr>
            <w:tcW w:w="413" w:type="pct"/>
            <w:shd w:val="clear" w:color="auto" w:fill="auto"/>
            <w:vAlign w:val="center"/>
          </w:tcPr>
          <w:p w14:paraId="695B2359">
            <w:pPr>
              <w:widowControl/>
              <w:spacing w:line="240" w:lineRule="auto"/>
              <w:jc w:val="center"/>
              <w:rPr>
                <w:rFonts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县住建局</w:t>
            </w:r>
          </w:p>
        </w:tc>
        <w:tc>
          <w:tcPr>
            <w:tcW w:w="320" w:type="pct"/>
            <w:shd w:val="clear" w:color="auto" w:fill="auto"/>
            <w:vAlign w:val="center"/>
          </w:tcPr>
          <w:p w14:paraId="79AF080E">
            <w:pPr>
              <w:widowControl/>
              <w:spacing w:line="240" w:lineRule="auto"/>
              <w:jc w:val="center"/>
              <w:rPr>
                <w:rFonts w:hint="eastAsia"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政府投入</w:t>
            </w:r>
          </w:p>
        </w:tc>
        <w:tc>
          <w:tcPr>
            <w:tcW w:w="569" w:type="pct"/>
            <w:shd w:val="clear" w:color="auto" w:fill="auto"/>
            <w:vAlign w:val="center"/>
          </w:tcPr>
          <w:p w14:paraId="72D1A825">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城镇生活垃圾无害化处理率</w:t>
            </w:r>
          </w:p>
        </w:tc>
      </w:tr>
      <w:tr w14:paraId="091ED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170" w:type="pct"/>
            <w:vMerge w:val="continue"/>
            <w:vAlign w:val="center"/>
          </w:tcPr>
          <w:p w14:paraId="48F74751">
            <w:pPr>
              <w:spacing w:line="240" w:lineRule="auto"/>
              <w:jc w:val="center"/>
              <w:rPr>
                <w:rFonts w:ascii="Times New Roman" w:hAnsi="Times New Roman" w:eastAsia="仿宋" w:cs="Times New Roman"/>
                <w:color w:val="auto"/>
                <w:sz w:val="21"/>
                <w:szCs w:val="21"/>
              </w:rPr>
            </w:pPr>
          </w:p>
        </w:tc>
        <w:tc>
          <w:tcPr>
            <w:tcW w:w="255" w:type="pct"/>
            <w:vAlign w:val="center"/>
          </w:tcPr>
          <w:p w14:paraId="7D03559F">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8</w:t>
            </w:r>
          </w:p>
        </w:tc>
        <w:tc>
          <w:tcPr>
            <w:tcW w:w="631" w:type="pct"/>
            <w:vAlign w:val="center"/>
          </w:tcPr>
          <w:p w14:paraId="5E7FE7CE">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新平县生活垃圾焚烧建设项目</w:t>
            </w:r>
          </w:p>
        </w:tc>
        <w:tc>
          <w:tcPr>
            <w:tcW w:w="1816" w:type="pct"/>
            <w:vAlign w:val="center"/>
          </w:tcPr>
          <w:p w14:paraId="55DE84E3">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该项目主要由生产及辅助工程、公用工程、环保工程等内容组成，包括新建垃圾接收系统、储存系统、运输系统、焚烧系统、烟气处理系统、垃圾热能利用系统等。</w:t>
            </w:r>
          </w:p>
        </w:tc>
        <w:tc>
          <w:tcPr>
            <w:tcW w:w="408" w:type="pct"/>
            <w:vAlign w:val="center"/>
          </w:tcPr>
          <w:p w14:paraId="2337EAC1">
            <w:pPr>
              <w:widowControl/>
              <w:spacing w:line="240" w:lineRule="auto"/>
              <w:jc w:val="center"/>
              <w:textAlignment w:val="center"/>
              <w:rPr>
                <w:rFonts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2022-2023</w:t>
            </w:r>
          </w:p>
        </w:tc>
        <w:tc>
          <w:tcPr>
            <w:tcW w:w="413" w:type="pct"/>
            <w:vAlign w:val="center"/>
          </w:tcPr>
          <w:p w14:paraId="32D5D390">
            <w:pPr>
              <w:widowControl/>
              <w:spacing w:line="240" w:lineRule="auto"/>
              <w:jc w:val="center"/>
              <w:rPr>
                <w:rFonts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5000</w:t>
            </w:r>
          </w:p>
        </w:tc>
        <w:tc>
          <w:tcPr>
            <w:tcW w:w="413" w:type="pct"/>
            <w:vAlign w:val="center"/>
          </w:tcPr>
          <w:p w14:paraId="2BB12838">
            <w:pPr>
              <w:widowControl/>
              <w:spacing w:line="240" w:lineRule="auto"/>
              <w:jc w:val="center"/>
              <w:rPr>
                <w:rFonts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县住建局</w:t>
            </w:r>
          </w:p>
        </w:tc>
        <w:tc>
          <w:tcPr>
            <w:tcW w:w="320" w:type="pct"/>
            <w:vAlign w:val="center"/>
          </w:tcPr>
          <w:p w14:paraId="2C94A5A0">
            <w:pPr>
              <w:widowControl/>
              <w:spacing w:line="240" w:lineRule="auto"/>
              <w:jc w:val="center"/>
              <w:rPr>
                <w:rFonts w:hint="eastAsia"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政府投入</w:t>
            </w:r>
          </w:p>
        </w:tc>
        <w:tc>
          <w:tcPr>
            <w:tcW w:w="569" w:type="pct"/>
            <w:vAlign w:val="center"/>
          </w:tcPr>
          <w:p w14:paraId="48BD6083">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城镇生活垃圾分类减量化行动</w:t>
            </w:r>
          </w:p>
        </w:tc>
      </w:tr>
      <w:tr w14:paraId="6EC61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170" w:type="pct"/>
            <w:vMerge w:val="continue"/>
            <w:vAlign w:val="center"/>
          </w:tcPr>
          <w:p w14:paraId="3A8304AF">
            <w:pPr>
              <w:spacing w:line="240" w:lineRule="auto"/>
              <w:jc w:val="center"/>
              <w:rPr>
                <w:rFonts w:ascii="Times New Roman" w:hAnsi="Times New Roman" w:eastAsia="仿宋" w:cs="Times New Roman"/>
                <w:color w:val="auto"/>
                <w:sz w:val="21"/>
                <w:szCs w:val="21"/>
              </w:rPr>
            </w:pPr>
          </w:p>
        </w:tc>
        <w:tc>
          <w:tcPr>
            <w:tcW w:w="255" w:type="pct"/>
            <w:vAlign w:val="center"/>
          </w:tcPr>
          <w:p w14:paraId="670786E0">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9</w:t>
            </w:r>
          </w:p>
        </w:tc>
        <w:tc>
          <w:tcPr>
            <w:tcW w:w="631" w:type="pct"/>
            <w:tcBorders>
              <w:top w:val="single" w:color="auto" w:sz="4" w:space="0"/>
              <w:left w:val="single" w:color="auto" w:sz="4" w:space="0"/>
              <w:bottom w:val="single" w:color="auto" w:sz="4" w:space="0"/>
              <w:right w:val="single" w:color="auto" w:sz="4" w:space="0"/>
            </w:tcBorders>
            <w:shd w:val="clear" w:color="auto" w:fill="auto"/>
            <w:vAlign w:val="center"/>
          </w:tcPr>
          <w:p w14:paraId="000E11BC">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新平县厨余垃圾末端处理二期项目</w:t>
            </w:r>
          </w:p>
        </w:tc>
        <w:tc>
          <w:tcPr>
            <w:tcW w:w="1816" w:type="pct"/>
            <w:tcBorders>
              <w:top w:val="single" w:color="auto" w:sz="4" w:space="0"/>
              <w:left w:val="single" w:color="auto" w:sz="4" w:space="0"/>
              <w:bottom w:val="single" w:color="auto" w:sz="4" w:space="0"/>
              <w:right w:val="single" w:color="auto" w:sz="4" w:space="0"/>
            </w:tcBorders>
            <w:shd w:val="clear" w:color="auto" w:fill="auto"/>
            <w:vAlign w:val="center"/>
          </w:tcPr>
          <w:p w14:paraId="5392FA59">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扩大厨余垃圾末端处理规模至</w:t>
            </w:r>
            <w:r>
              <w:rPr>
                <w:rFonts w:hint="default" w:ascii="Times New Roman" w:hAnsi="Times New Roman" w:eastAsia="仿宋" w:cs="Times New Roman"/>
                <w:color w:val="auto"/>
                <w:kern w:val="0"/>
                <w:sz w:val="21"/>
                <w:szCs w:val="21"/>
                <w:lang w:val="en-US" w:eastAsia="zh-CN" w:bidi="ar"/>
              </w:rPr>
              <w:t>40</w:t>
            </w:r>
            <w:r>
              <w:rPr>
                <w:rFonts w:ascii="Times New Roman" w:hAnsi="Times New Roman" w:eastAsia="仿宋" w:cs="Times New Roman"/>
                <w:color w:val="auto"/>
                <w:kern w:val="0"/>
                <w:sz w:val="21"/>
                <w:szCs w:val="21"/>
                <w:lang w:val="en-US" w:eastAsia="zh-CN" w:bidi="ar"/>
              </w:rPr>
              <w:t>吨</w:t>
            </w:r>
            <w:r>
              <w:rPr>
                <w:rFonts w:hint="default" w:ascii="Times New Roman" w:hAnsi="Times New Roman" w:eastAsia="仿宋" w:cs="Times New Roman"/>
                <w:color w:val="auto"/>
                <w:kern w:val="0"/>
                <w:sz w:val="21"/>
                <w:szCs w:val="21"/>
                <w:lang w:val="en-US" w:eastAsia="zh-CN" w:bidi="ar"/>
              </w:rPr>
              <w:t>/</w:t>
            </w:r>
            <w:r>
              <w:rPr>
                <w:rFonts w:ascii="Times New Roman" w:hAnsi="Times New Roman" w:eastAsia="仿宋" w:cs="Times New Roman"/>
                <w:color w:val="auto"/>
                <w:kern w:val="0"/>
                <w:sz w:val="21"/>
                <w:szCs w:val="21"/>
                <w:lang w:val="en-US" w:eastAsia="zh-CN" w:bidi="ar"/>
              </w:rPr>
              <w:t>天，增设处理生产线一条，增加专业运输车辆</w:t>
            </w:r>
            <w:r>
              <w:rPr>
                <w:rFonts w:hint="default" w:ascii="Times New Roman" w:hAnsi="Times New Roman" w:eastAsia="仿宋" w:cs="Times New Roman"/>
                <w:color w:val="auto"/>
                <w:kern w:val="0"/>
                <w:sz w:val="21"/>
                <w:szCs w:val="21"/>
                <w:lang w:val="en-US" w:eastAsia="zh-CN" w:bidi="ar"/>
              </w:rPr>
              <w:t>2</w:t>
            </w:r>
            <w:r>
              <w:rPr>
                <w:rFonts w:ascii="Times New Roman" w:hAnsi="Times New Roman" w:eastAsia="仿宋" w:cs="Times New Roman"/>
                <w:color w:val="auto"/>
                <w:kern w:val="0"/>
                <w:sz w:val="21"/>
                <w:szCs w:val="21"/>
                <w:lang w:val="en-US" w:eastAsia="zh-CN" w:bidi="ar"/>
              </w:rPr>
              <w:t>辆，增设厨余垃圾处理宣教用房一座。</w:t>
            </w:r>
          </w:p>
        </w:tc>
        <w:tc>
          <w:tcPr>
            <w:tcW w:w="408" w:type="pct"/>
            <w:tcBorders>
              <w:top w:val="single" w:color="auto" w:sz="4" w:space="0"/>
              <w:left w:val="single" w:color="auto" w:sz="4" w:space="0"/>
              <w:bottom w:val="single" w:color="auto" w:sz="4" w:space="0"/>
              <w:right w:val="single" w:color="auto" w:sz="4" w:space="0"/>
            </w:tcBorders>
            <w:shd w:val="clear" w:color="auto" w:fill="auto"/>
            <w:vAlign w:val="center"/>
          </w:tcPr>
          <w:p w14:paraId="17734D60">
            <w:pPr>
              <w:widowControl/>
              <w:spacing w:line="240" w:lineRule="auto"/>
              <w:jc w:val="center"/>
              <w:textAlignment w:val="center"/>
              <w:rPr>
                <w:rFonts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2024-2025</w:t>
            </w:r>
          </w:p>
        </w:tc>
        <w:tc>
          <w:tcPr>
            <w:tcW w:w="413" w:type="pct"/>
            <w:tcBorders>
              <w:top w:val="single" w:color="auto" w:sz="4" w:space="0"/>
              <w:left w:val="single" w:color="auto" w:sz="4" w:space="0"/>
              <w:bottom w:val="single" w:color="auto" w:sz="4" w:space="0"/>
              <w:right w:val="single" w:color="auto" w:sz="4" w:space="0"/>
            </w:tcBorders>
            <w:shd w:val="clear" w:color="auto" w:fill="auto"/>
            <w:vAlign w:val="center"/>
          </w:tcPr>
          <w:p w14:paraId="10CCAA4C">
            <w:pPr>
              <w:widowControl/>
              <w:spacing w:line="240" w:lineRule="auto"/>
              <w:jc w:val="center"/>
              <w:rPr>
                <w:rFonts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1400</w:t>
            </w:r>
          </w:p>
        </w:tc>
        <w:tc>
          <w:tcPr>
            <w:tcW w:w="413" w:type="pct"/>
            <w:shd w:val="clear" w:color="auto" w:fill="auto"/>
            <w:vAlign w:val="center"/>
          </w:tcPr>
          <w:p w14:paraId="264BB8A5">
            <w:pPr>
              <w:widowControl/>
              <w:spacing w:line="240" w:lineRule="auto"/>
              <w:jc w:val="center"/>
              <w:rPr>
                <w:rFonts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县城市管理局</w:t>
            </w:r>
          </w:p>
        </w:tc>
        <w:tc>
          <w:tcPr>
            <w:tcW w:w="320" w:type="pct"/>
            <w:shd w:val="clear" w:color="auto" w:fill="auto"/>
            <w:vAlign w:val="center"/>
          </w:tcPr>
          <w:p w14:paraId="370EE79F">
            <w:pPr>
              <w:widowControl/>
              <w:spacing w:line="240" w:lineRule="auto"/>
              <w:jc w:val="center"/>
              <w:rPr>
                <w:rFonts w:hint="eastAsia"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政府投入</w:t>
            </w:r>
          </w:p>
        </w:tc>
        <w:tc>
          <w:tcPr>
            <w:tcW w:w="569" w:type="pct"/>
            <w:shd w:val="clear" w:color="auto" w:fill="auto"/>
            <w:vAlign w:val="center"/>
          </w:tcPr>
          <w:p w14:paraId="550A5A0F">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城镇生活垃圾无害化处理率</w:t>
            </w:r>
          </w:p>
        </w:tc>
      </w:tr>
      <w:tr w14:paraId="19513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170" w:type="pct"/>
            <w:vMerge w:val="continue"/>
            <w:vAlign w:val="center"/>
          </w:tcPr>
          <w:p w14:paraId="74119E4D">
            <w:pPr>
              <w:spacing w:line="240" w:lineRule="auto"/>
              <w:jc w:val="center"/>
              <w:rPr>
                <w:rFonts w:ascii="Times New Roman" w:hAnsi="Times New Roman" w:eastAsia="仿宋" w:cs="Times New Roman"/>
                <w:color w:val="auto"/>
                <w:sz w:val="21"/>
                <w:szCs w:val="21"/>
              </w:rPr>
            </w:pPr>
          </w:p>
        </w:tc>
        <w:tc>
          <w:tcPr>
            <w:tcW w:w="255" w:type="pct"/>
            <w:vAlign w:val="center"/>
          </w:tcPr>
          <w:p w14:paraId="60C976C1">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10</w:t>
            </w:r>
          </w:p>
        </w:tc>
        <w:tc>
          <w:tcPr>
            <w:tcW w:w="631" w:type="pct"/>
            <w:tcBorders>
              <w:top w:val="nil"/>
              <w:left w:val="single" w:color="auto" w:sz="4" w:space="0"/>
              <w:bottom w:val="single" w:color="auto" w:sz="4" w:space="0"/>
              <w:right w:val="single" w:color="auto" w:sz="4" w:space="0"/>
            </w:tcBorders>
            <w:shd w:val="clear" w:color="auto" w:fill="auto"/>
            <w:vAlign w:val="center"/>
          </w:tcPr>
          <w:p w14:paraId="5D2AF406">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新平县农村人居环境治理PPP项目</w:t>
            </w:r>
          </w:p>
        </w:tc>
        <w:tc>
          <w:tcPr>
            <w:tcW w:w="1816" w:type="pct"/>
            <w:tcBorders>
              <w:top w:val="nil"/>
              <w:left w:val="single" w:color="auto" w:sz="4" w:space="0"/>
              <w:bottom w:val="single" w:color="auto" w:sz="4" w:space="0"/>
              <w:right w:val="single" w:color="auto" w:sz="4" w:space="0"/>
            </w:tcBorders>
            <w:shd w:val="clear" w:color="auto" w:fill="auto"/>
            <w:vAlign w:val="center"/>
          </w:tcPr>
          <w:p w14:paraId="67046EB3">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1、村镇污水处理设施建设：项目范围涉及全县 12 个乡镇 40 个社区（村委会）共 91 个自然村，10022户，共敷设截、排污管道123954米，修筑雨水沟57512米，增设集中式污水处理设施70套，分户式污水处理设施68套。项目建成后乡镇镇区污水收集和处理覆盖率将达到100%。2、村镇生活垃圾处理：项目范围涉及全县 12 个乡镇（街道办）共 123 个社区（村委会），1461 个村民小组、1584 个自然村。通过查缺补漏，新建11座垃圾转运站，垃圾处理设施15座，3m³车厢可卸式垃圾车137辆，压缩车（后压）6辆，电动三轮车57辆，果皮箱736只，3m³垃圾箱1559只。项目建成后基本实现县域各村镇生活垃圾得到有效治理。3、村镇公厕建设：按照每个乡镇政府所在地平均建成 2 座以上公厕、每个建制村村委会所在地建成 1 座以上公厕的要求，共新建公厕63座。项目建成后达到乡镇、建制村公厕覆盖率达 100%的目标。</w:t>
            </w:r>
          </w:p>
        </w:tc>
        <w:tc>
          <w:tcPr>
            <w:tcW w:w="408" w:type="pct"/>
            <w:tcBorders>
              <w:top w:val="nil"/>
              <w:left w:val="single" w:color="auto" w:sz="4" w:space="0"/>
              <w:bottom w:val="single" w:color="auto" w:sz="4" w:space="0"/>
              <w:right w:val="single" w:color="auto" w:sz="4" w:space="0"/>
            </w:tcBorders>
            <w:shd w:val="clear" w:color="auto" w:fill="auto"/>
            <w:vAlign w:val="center"/>
          </w:tcPr>
          <w:p w14:paraId="635A7CF2">
            <w:pPr>
              <w:widowControl/>
              <w:spacing w:line="240" w:lineRule="auto"/>
              <w:jc w:val="center"/>
              <w:textAlignment w:val="center"/>
              <w:rPr>
                <w:rFonts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2022-2025</w:t>
            </w:r>
          </w:p>
        </w:tc>
        <w:tc>
          <w:tcPr>
            <w:tcW w:w="413" w:type="pct"/>
            <w:tcBorders>
              <w:top w:val="nil"/>
              <w:left w:val="single" w:color="auto" w:sz="4" w:space="0"/>
              <w:bottom w:val="single" w:color="auto" w:sz="4" w:space="0"/>
              <w:right w:val="single" w:color="auto" w:sz="4" w:space="0"/>
            </w:tcBorders>
            <w:shd w:val="clear" w:color="auto" w:fill="auto"/>
            <w:vAlign w:val="center"/>
          </w:tcPr>
          <w:p w14:paraId="4DB9016D">
            <w:pPr>
              <w:widowControl/>
              <w:spacing w:line="240" w:lineRule="auto"/>
              <w:jc w:val="center"/>
              <w:rPr>
                <w:rFonts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51433</w:t>
            </w:r>
          </w:p>
        </w:tc>
        <w:tc>
          <w:tcPr>
            <w:tcW w:w="413" w:type="pct"/>
            <w:shd w:val="clear" w:color="auto" w:fill="auto"/>
            <w:vAlign w:val="center"/>
          </w:tcPr>
          <w:p w14:paraId="1A807548">
            <w:pPr>
              <w:widowControl/>
              <w:spacing w:line="240" w:lineRule="auto"/>
              <w:jc w:val="center"/>
              <w:rPr>
                <w:rFonts w:hint="default"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县住建局</w:t>
            </w:r>
          </w:p>
        </w:tc>
        <w:tc>
          <w:tcPr>
            <w:tcW w:w="320" w:type="pct"/>
            <w:shd w:val="clear" w:color="auto" w:fill="auto"/>
            <w:vAlign w:val="center"/>
          </w:tcPr>
          <w:p w14:paraId="6BB280F0">
            <w:pPr>
              <w:widowControl/>
              <w:spacing w:line="240" w:lineRule="auto"/>
              <w:jc w:val="center"/>
              <w:rPr>
                <w:rFonts w:hint="eastAsia"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企业自筹、政府投入</w:t>
            </w:r>
          </w:p>
        </w:tc>
        <w:tc>
          <w:tcPr>
            <w:tcW w:w="569" w:type="pct"/>
            <w:shd w:val="clear" w:color="auto" w:fill="auto"/>
            <w:vAlign w:val="center"/>
          </w:tcPr>
          <w:p w14:paraId="11167E57">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城镇生活垃圾分类减量化行动</w:t>
            </w:r>
          </w:p>
        </w:tc>
      </w:tr>
      <w:tr w14:paraId="566B6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170" w:type="pct"/>
            <w:vMerge w:val="continue"/>
            <w:vAlign w:val="center"/>
          </w:tcPr>
          <w:p w14:paraId="50D21311">
            <w:pPr>
              <w:spacing w:line="240" w:lineRule="auto"/>
              <w:jc w:val="center"/>
              <w:rPr>
                <w:rFonts w:ascii="Times New Roman" w:hAnsi="Times New Roman" w:eastAsia="仿宋" w:cs="Times New Roman"/>
                <w:color w:val="auto"/>
                <w:sz w:val="21"/>
                <w:szCs w:val="21"/>
              </w:rPr>
            </w:pPr>
          </w:p>
        </w:tc>
        <w:tc>
          <w:tcPr>
            <w:tcW w:w="255" w:type="pct"/>
            <w:vAlign w:val="center"/>
          </w:tcPr>
          <w:p w14:paraId="65D388EF">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11</w:t>
            </w:r>
          </w:p>
        </w:tc>
        <w:tc>
          <w:tcPr>
            <w:tcW w:w="631" w:type="pct"/>
            <w:tcBorders>
              <w:top w:val="nil"/>
              <w:left w:val="single" w:color="auto" w:sz="4" w:space="0"/>
              <w:bottom w:val="single" w:color="auto" w:sz="4" w:space="0"/>
              <w:right w:val="single" w:color="auto" w:sz="4" w:space="0"/>
            </w:tcBorders>
            <w:shd w:val="clear" w:color="auto" w:fill="auto"/>
            <w:vAlign w:val="center"/>
          </w:tcPr>
          <w:p w14:paraId="6732721C">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美丽乡村创建项目</w:t>
            </w:r>
          </w:p>
        </w:tc>
        <w:tc>
          <w:tcPr>
            <w:tcW w:w="1816" w:type="pct"/>
            <w:tcBorders>
              <w:top w:val="nil"/>
              <w:left w:val="single" w:color="auto" w:sz="4" w:space="0"/>
              <w:bottom w:val="single" w:color="auto" w:sz="4" w:space="0"/>
              <w:right w:val="single" w:color="auto" w:sz="4" w:space="0"/>
            </w:tcBorders>
            <w:shd w:val="clear" w:color="auto" w:fill="auto"/>
            <w:vAlign w:val="center"/>
          </w:tcPr>
          <w:p w14:paraId="0BA5F215">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创建</w:t>
            </w:r>
            <w:r>
              <w:rPr>
                <w:rFonts w:hint="default" w:ascii="Times New Roman" w:hAnsi="Times New Roman" w:eastAsia="仿宋" w:cs="Times New Roman"/>
                <w:color w:val="auto"/>
                <w:kern w:val="0"/>
                <w:sz w:val="21"/>
                <w:szCs w:val="21"/>
                <w:lang w:val="en-US" w:eastAsia="zh-CN" w:bidi="ar"/>
              </w:rPr>
              <w:t>100</w:t>
            </w:r>
            <w:r>
              <w:rPr>
                <w:rFonts w:hint="eastAsia" w:ascii="Times New Roman" w:hAnsi="Times New Roman" w:eastAsia="仿宋" w:cs="Times New Roman"/>
                <w:color w:val="auto"/>
                <w:kern w:val="0"/>
                <w:sz w:val="21"/>
                <w:szCs w:val="21"/>
                <w:lang w:val="en-US" w:eastAsia="zh-CN" w:bidi="ar"/>
              </w:rPr>
              <w:t>个美丽乡村，每个村庄投资</w:t>
            </w:r>
            <w:r>
              <w:rPr>
                <w:rFonts w:hint="default" w:ascii="Times New Roman" w:hAnsi="Times New Roman" w:eastAsia="仿宋" w:cs="Times New Roman"/>
                <w:color w:val="auto"/>
                <w:kern w:val="0"/>
                <w:sz w:val="21"/>
                <w:szCs w:val="21"/>
                <w:lang w:val="en-US" w:eastAsia="zh-CN" w:bidi="ar"/>
              </w:rPr>
              <w:t>600</w:t>
            </w:r>
            <w:r>
              <w:rPr>
                <w:rFonts w:hint="eastAsia" w:ascii="Times New Roman" w:hAnsi="Times New Roman" w:eastAsia="仿宋" w:cs="Times New Roman"/>
                <w:color w:val="auto"/>
                <w:kern w:val="0"/>
                <w:sz w:val="21"/>
                <w:szCs w:val="21"/>
                <w:lang w:val="en-US" w:eastAsia="zh-CN" w:bidi="ar"/>
              </w:rPr>
              <w:t>万元。围绕美丽乡村评定的</w:t>
            </w:r>
            <w:r>
              <w:rPr>
                <w:rFonts w:hint="default" w:ascii="Times New Roman" w:hAnsi="Times New Roman" w:eastAsia="仿宋" w:cs="Times New Roman"/>
                <w:color w:val="auto"/>
                <w:kern w:val="0"/>
                <w:sz w:val="21"/>
                <w:szCs w:val="21"/>
                <w:lang w:val="en-US" w:eastAsia="zh-CN" w:bidi="ar"/>
              </w:rPr>
              <w:t>36</w:t>
            </w:r>
            <w:r>
              <w:rPr>
                <w:rFonts w:hint="eastAsia" w:ascii="Times New Roman" w:hAnsi="Times New Roman" w:eastAsia="仿宋" w:cs="Times New Roman"/>
                <w:color w:val="auto"/>
                <w:kern w:val="0"/>
                <w:sz w:val="21"/>
                <w:szCs w:val="21"/>
                <w:lang w:val="en-US" w:eastAsia="zh-CN" w:bidi="ar"/>
              </w:rPr>
              <w:t>项目标任务，补短板、强弱项，结合各村实际补齐在基础设施、人居环境、公共服务等方面的短板，通过提升产业发展、强化生态保护、促进乡风文明、完善乡村治理、打造生态宜居美丽家园。年度任务划分为：</w:t>
            </w:r>
            <w:r>
              <w:rPr>
                <w:rFonts w:hint="default" w:ascii="Times New Roman" w:hAnsi="Times New Roman" w:eastAsia="仿宋" w:cs="Times New Roman"/>
                <w:color w:val="auto"/>
                <w:kern w:val="0"/>
                <w:sz w:val="21"/>
                <w:szCs w:val="21"/>
                <w:lang w:val="en-US" w:eastAsia="zh-CN" w:bidi="ar"/>
              </w:rPr>
              <w:t>2021</w:t>
            </w:r>
            <w:r>
              <w:rPr>
                <w:rFonts w:hint="eastAsia" w:ascii="Times New Roman" w:hAnsi="Times New Roman" w:eastAsia="仿宋" w:cs="Times New Roman"/>
                <w:color w:val="auto"/>
                <w:kern w:val="0"/>
                <w:sz w:val="21"/>
                <w:szCs w:val="21"/>
                <w:lang w:val="en-US" w:eastAsia="zh-CN" w:bidi="ar"/>
              </w:rPr>
              <w:t>年</w:t>
            </w:r>
            <w:r>
              <w:rPr>
                <w:rFonts w:hint="default" w:ascii="Times New Roman" w:hAnsi="Times New Roman" w:eastAsia="仿宋" w:cs="Times New Roman"/>
                <w:color w:val="auto"/>
                <w:kern w:val="0"/>
                <w:sz w:val="21"/>
                <w:szCs w:val="21"/>
                <w:lang w:val="en-US" w:eastAsia="zh-CN" w:bidi="ar"/>
              </w:rPr>
              <w:t>20</w:t>
            </w:r>
            <w:r>
              <w:rPr>
                <w:rFonts w:hint="eastAsia" w:ascii="Times New Roman" w:hAnsi="Times New Roman" w:eastAsia="仿宋" w:cs="Times New Roman"/>
                <w:color w:val="auto"/>
                <w:kern w:val="0"/>
                <w:sz w:val="21"/>
                <w:szCs w:val="21"/>
                <w:lang w:val="en-US" w:eastAsia="zh-CN" w:bidi="ar"/>
              </w:rPr>
              <w:t>个，</w:t>
            </w:r>
            <w:r>
              <w:rPr>
                <w:rFonts w:hint="default" w:ascii="Times New Roman" w:hAnsi="Times New Roman" w:eastAsia="仿宋" w:cs="Times New Roman"/>
                <w:color w:val="auto"/>
                <w:kern w:val="0"/>
                <w:sz w:val="21"/>
                <w:szCs w:val="21"/>
                <w:lang w:val="en-US" w:eastAsia="zh-CN" w:bidi="ar"/>
              </w:rPr>
              <w:t>2022</w:t>
            </w:r>
            <w:r>
              <w:rPr>
                <w:rFonts w:hint="eastAsia" w:ascii="Times New Roman" w:hAnsi="Times New Roman" w:eastAsia="仿宋" w:cs="Times New Roman"/>
                <w:color w:val="auto"/>
                <w:kern w:val="0"/>
                <w:sz w:val="21"/>
                <w:szCs w:val="21"/>
                <w:lang w:val="en-US" w:eastAsia="zh-CN" w:bidi="ar"/>
              </w:rPr>
              <w:t>年</w:t>
            </w:r>
            <w:r>
              <w:rPr>
                <w:rFonts w:hint="default" w:ascii="Times New Roman" w:hAnsi="Times New Roman" w:eastAsia="仿宋" w:cs="Times New Roman"/>
                <w:color w:val="auto"/>
                <w:kern w:val="0"/>
                <w:sz w:val="21"/>
                <w:szCs w:val="21"/>
                <w:lang w:val="en-US" w:eastAsia="zh-CN" w:bidi="ar"/>
              </w:rPr>
              <w:t>20</w:t>
            </w:r>
            <w:r>
              <w:rPr>
                <w:rFonts w:hint="eastAsia" w:ascii="Times New Roman" w:hAnsi="Times New Roman" w:eastAsia="仿宋" w:cs="Times New Roman"/>
                <w:color w:val="auto"/>
                <w:kern w:val="0"/>
                <w:sz w:val="21"/>
                <w:szCs w:val="21"/>
                <w:lang w:val="en-US" w:eastAsia="zh-CN" w:bidi="ar"/>
              </w:rPr>
              <w:t>个，</w:t>
            </w:r>
            <w:r>
              <w:rPr>
                <w:rFonts w:hint="default" w:ascii="Times New Roman" w:hAnsi="Times New Roman" w:eastAsia="仿宋" w:cs="Times New Roman"/>
                <w:color w:val="auto"/>
                <w:kern w:val="0"/>
                <w:sz w:val="21"/>
                <w:szCs w:val="21"/>
                <w:lang w:val="en-US" w:eastAsia="zh-CN" w:bidi="ar"/>
              </w:rPr>
              <w:t>2023</w:t>
            </w:r>
            <w:r>
              <w:rPr>
                <w:rFonts w:hint="eastAsia" w:ascii="Times New Roman" w:hAnsi="Times New Roman" w:eastAsia="仿宋" w:cs="Times New Roman"/>
                <w:color w:val="auto"/>
                <w:kern w:val="0"/>
                <w:sz w:val="21"/>
                <w:szCs w:val="21"/>
                <w:lang w:val="en-US" w:eastAsia="zh-CN" w:bidi="ar"/>
              </w:rPr>
              <w:t>年</w:t>
            </w:r>
            <w:r>
              <w:rPr>
                <w:rFonts w:hint="default" w:ascii="Times New Roman" w:hAnsi="Times New Roman" w:eastAsia="仿宋" w:cs="Times New Roman"/>
                <w:color w:val="auto"/>
                <w:kern w:val="0"/>
                <w:sz w:val="21"/>
                <w:szCs w:val="21"/>
                <w:lang w:val="en-US" w:eastAsia="zh-CN" w:bidi="ar"/>
              </w:rPr>
              <w:t>20</w:t>
            </w:r>
            <w:r>
              <w:rPr>
                <w:rFonts w:hint="eastAsia" w:ascii="Times New Roman" w:hAnsi="Times New Roman" w:eastAsia="仿宋" w:cs="Times New Roman"/>
                <w:color w:val="auto"/>
                <w:kern w:val="0"/>
                <w:sz w:val="21"/>
                <w:szCs w:val="21"/>
                <w:lang w:val="en-US" w:eastAsia="zh-CN" w:bidi="ar"/>
              </w:rPr>
              <w:t>个，</w:t>
            </w:r>
            <w:r>
              <w:rPr>
                <w:rFonts w:hint="default" w:ascii="Times New Roman" w:hAnsi="Times New Roman" w:eastAsia="仿宋" w:cs="Times New Roman"/>
                <w:color w:val="auto"/>
                <w:kern w:val="0"/>
                <w:sz w:val="21"/>
                <w:szCs w:val="21"/>
                <w:lang w:val="en-US" w:eastAsia="zh-CN" w:bidi="ar"/>
              </w:rPr>
              <w:t>2024</w:t>
            </w:r>
            <w:r>
              <w:rPr>
                <w:rFonts w:hint="eastAsia" w:ascii="Times New Roman" w:hAnsi="Times New Roman" w:eastAsia="仿宋" w:cs="Times New Roman"/>
                <w:color w:val="auto"/>
                <w:kern w:val="0"/>
                <w:sz w:val="21"/>
                <w:szCs w:val="21"/>
                <w:lang w:val="en-US" w:eastAsia="zh-CN" w:bidi="ar"/>
              </w:rPr>
              <w:t>年</w:t>
            </w:r>
            <w:r>
              <w:rPr>
                <w:rFonts w:hint="default" w:ascii="Times New Roman" w:hAnsi="Times New Roman" w:eastAsia="仿宋" w:cs="Times New Roman"/>
                <w:color w:val="auto"/>
                <w:kern w:val="0"/>
                <w:sz w:val="21"/>
                <w:szCs w:val="21"/>
                <w:lang w:val="en-US" w:eastAsia="zh-CN" w:bidi="ar"/>
              </w:rPr>
              <w:t>20</w:t>
            </w:r>
            <w:r>
              <w:rPr>
                <w:rFonts w:hint="eastAsia" w:ascii="Times New Roman" w:hAnsi="Times New Roman" w:eastAsia="仿宋" w:cs="Times New Roman"/>
                <w:color w:val="auto"/>
                <w:kern w:val="0"/>
                <w:sz w:val="21"/>
                <w:szCs w:val="21"/>
                <w:lang w:val="en-US" w:eastAsia="zh-CN" w:bidi="ar"/>
              </w:rPr>
              <w:t>个，</w:t>
            </w:r>
            <w:r>
              <w:rPr>
                <w:rFonts w:hint="default" w:ascii="Times New Roman" w:hAnsi="Times New Roman" w:eastAsia="仿宋" w:cs="Times New Roman"/>
                <w:color w:val="auto"/>
                <w:kern w:val="0"/>
                <w:sz w:val="21"/>
                <w:szCs w:val="21"/>
                <w:lang w:val="en-US" w:eastAsia="zh-CN" w:bidi="ar"/>
              </w:rPr>
              <w:t>2025</w:t>
            </w:r>
            <w:r>
              <w:rPr>
                <w:rFonts w:hint="eastAsia" w:ascii="Times New Roman" w:hAnsi="Times New Roman" w:eastAsia="仿宋" w:cs="Times New Roman"/>
                <w:color w:val="auto"/>
                <w:kern w:val="0"/>
                <w:sz w:val="21"/>
                <w:szCs w:val="21"/>
                <w:lang w:val="en-US" w:eastAsia="zh-CN" w:bidi="ar"/>
              </w:rPr>
              <w:t>年</w:t>
            </w:r>
            <w:r>
              <w:rPr>
                <w:rFonts w:hint="default" w:ascii="Times New Roman" w:hAnsi="Times New Roman" w:eastAsia="仿宋" w:cs="Times New Roman"/>
                <w:color w:val="auto"/>
                <w:kern w:val="0"/>
                <w:sz w:val="21"/>
                <w:szCs w:val="21"/>
                <w:lang w:val="en-US" w:eastAsia="zh-CN" w:bidi="ar"/>
              </w:rPr>
              <w:t>20</w:t>
            </w:r>
            <w:r>
              <w:rPr>
                <w:rFonts w:hint="eastAsia" w:ascii="Times New Roman" w:hAnsi="Times New Roman" w:eastAsia="仿宋" w:cs="Times New Roman"/>
                <w:color w:val="auto"/>
                <w:kern w:val="0"/>
                <w:sz w:val="21"/>
                <w:szCs w:val="21"/>
                <w:lang w:val="en-US" w:eastAsia="zh-CN" w:bidi="ar"/>
              </w:rPr>
              <w:t>个。</w:t>
            </w:r>
          </w:p>
        </w:tc>
        <w:tc>
          <w:tcPr>
            <w:tcW w:w="408" w:type="pct"/>
            <w:tcBorders>
              <w:top w:val="nil"/>
              <w:left w:val="single" w:color="auto" w:sz="4" w:space="0"/>
              <w:bottom w:val="single" w:color="auto" w:sz="4" w:space="0"/>
              <w:right w:val="single" w:color="auto" w:sz="4" w:space="0"/>
            </w:tcBorders>
            <w:shd w:val="clear" w:color="auto" w:fill="auto"/>
            <w:vAlign w:val="center"/>
          </w:tcPr>
          <w:p w14:paraId="7FD4FB7E">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2021-2025</w:t>
            </w:r>
          </w:p>
        </w:tc>
        <w:tc>
          <w:tcPr>
            <w:tcW w:w="413" w:type="pct"/>
            <w:tcBorders>
              <w:top w:val="nil"/>
              <w:left w:val="single" w:color="auto" w:sz="4" w:space="0"/>
              <w:bottom w:val="single" w:color="auto" w:sz="4" w:space="0"/>
              <w:right w:val="single" w:color="auto" w:sz="4" w:space="0"/>
            </w:tcBorders>
            <w:shd w:val="clear" w:color="auto" w:fill="auto"/>
            <w:vAlign w:val="center"/>
          </w:tcPr>
          <w:p w14:paraId="45A1E61B">
            <w:pPr>
              <w:widowControl/>
              <w:spacing w:line="240" w:lineRule="auto"/>
              <w:jc w:val="center"/>
              <w:rPr>
                <w:rFonts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60000</w:t>
            </w:r>
          </w:p>
        </w:tc>
        <w:tc>
          <w:tcPr>
            <w:tcW w:w="413" w:type="pct"/>
            <w:shd w:val="clear" w:color="auto" w:fill="auto"/>
            <w:vAlign w:val="center"/>
          </w:tcPr>
          <w:p w14:paraId="15E39300">
            <w:pPr>
              <w:widowControl/>
              <w:spacing w:line="240" w:lineRule="auto"/>
              <w:jc w:val="center"/>
              <w:rPr>
                <w:rFonts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县工业园区管理委员会</w:t>
            </w:r>
          </w:p>
        </w:tc>
        <w:tc>
          <w:tcPr>
            <w:tcW w:w="320" w:type="pct"/>
            <w:shd w:val="clear" w:color="auto" w:fill="auto"/>
            <w:vAlign w:val="center"/>
          </w:tcPr>
          <w:p w14:paraId="2F15378B">
            <w:pPr>
              <w:widowControl/>
              <w:spacing w:line="240" w:lineRule="auto"/>
              <w:jc w:val="center"/>
              <w:rPr>
                <w:rFonts w:hint="eastAsia"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政府投入</w:t>
            </w:r>
          </w:p>
        </w:tc>
        <w:tc>
          <w:tcPr>
            <w:tcW w:w="569" w:type="pct"/>
            <w:shd w:val="clear" w:color="auto" w:fill="auto"/>
            <w:vAlign w:val="center"/>
          </w:tcPr>
          <w:p w14:paraId="30E0D37B">
            <w:pPr>
              <w:widowControl/>
              <w:spacing w:line="240" w:lineRule="auto"/>
              <w:jc w:val="center"/>
              <w:textAlignment w:val="center"/>
              <w:rPr>
                <w:rFonts w:ascii="Times New Roman" w:hAnsi="Times New Roman" w:eastAsia="仿宋" w:cs="Times New Roman"/>
                <w:color w:val="auto"/>
                <w:kern w:val="0"/>
                <w:sz w:val="21"/>
                <w:szCs w:val="21"/>
                <w:lang w:bidi="ar"/>
              </w:rPr>
            </w:pPr>
          </w:p>
        </w:tc>
      </w:tr>
      <w:tr w14:paraId="42F88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70" w:type="pct"/>
            <w:vMerge w:val="continue"/>
            <w:vAlign w:val="center"/>
          </w:tcPr>
          <w:p w14:paraId="3F4BB680">
            <w:pPr>
              <w:spacing w:line="240" w:lineRule="auto"/>
              <w:jc w:val="center"/>
              <w:rPr>
                <w:rFonts w:ascii="Times New Roman" w:hAnsi="Times New Roman" w:eastAsia="仿宋" w:cs="Times New Roman"/>
                <w:color w:val="auto"/>
                <w:sz w:val="21"/>
                <w:szCs w:val="21"/>
              </w:rPr>
            </w:pPr>
          </w:p>
        </w:tc>
        <w:tc>
          <w:tcPr>
            <w:tcW w:w="255" w:type="pct"/>
            <w:vAlign w:val="center"/>
          </w:tcPr>
          <w:p w14:paraId="5A0D2915">
            <w:pPr>
              <w:widowControl/>
              <w:spacing w:line="240" w:lineRule="auto"/>
              <w:jc w:val="center"/>
              <w:textAlignment w:val="center"/>
              <w:rPr>
                <w:rFonts w:ascii="Times New Roman" w:hAnsi="Times New Roman" w:eastAsia="仿宋" w:cs="Times New Roman"/>
                <w:color w:val="auto"/>
                <w:sz w:val="21"/>
                <w:szCs w:val="21"/>
              </w:rPr>
            </w:pPr>
          </w:p>
        </w:tc>
        <w:tc>
          <w:tcPr>
            <w:tcW w:w="2856" w:type="pct"/>
            <w:gridSpan w:val="3"/>
            <w:vAlign w:val="center"/>
          </w:tcPr>
          <w:p w14:paraId="0426AF3B">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小计</w:t>
            </w:r>
          </w:p>
        </w:tc>
        <w:tc>
          <w:tcPr>
            <w:tcW w:w="413" w:type="pct"/>
            <w:vAlign w:val="center"/>
          </w:tcPr>
          <w:p w14:paraId="40FA403F">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b/>
                <w:bCs/>
                <w:color w:val="auto"/>
                <w:kern w:val="0"/>
                <w:sz w:val="21"/>
                <w:szCs w:val="21"/>
                <w:lang w:val="en-US" w:eastAsia="zh-CN" w:bidi="ar"/>
              </w:rPr>
              <w:t>296107</w:t>
            </w:r>
          </w:p>
        </w:tc>
        <w:tc>
          <w:tcPr>
            <w:tcW w:w="413" w:type="pct"/>
            <w:vAlign w:val="center"/>
          </w:tcPr>
          <w:p w14:paraId="09FC0FAA">
            <w:pPr>
              <w:spacing w:line="240" w:lineRule="auto"/>
              <w:jc w:val="center"/>
              <w:rPr>
                <w:rFonts w:ascii="Times New Roman" w:hAnsi="Times New Roman" w:eastAsia="仿宋" w:cs="Times New Roman"/>
                <w:b/>
                <w:color w:val="auto"/>
                <w:sz w:val="21"/>
                <w:szCs w:val="21"/>
              </w:rPr>
            </w:pPr>
          </w:p>
        </w:tc>
        <w:tc>
          <w:tcPr>
            <w:tcW w:w="320" w:type="pct"/>
            <w:vAlign w:val="center"/>
          </w:tcPr>
          <w:p w14:paraId="4AC00DC3">
            <w:pPr>
              <w:widowControl/>
              <w:spacing w:line="240" w:lineRule="auto"/>
              <w:jc w:val="center"/>
              <w:rPr>
                <w:rFonts w:hint="eastAsia" w:ascii="Times New Roman" w:hAnsi="Times New Roman" w:eastAsia="仿宋" w:cs="Times New Roman"/>
                <w:color w:val="auto"/>
                <w:kern w:val="0"/>
                <w:sz w:val="21"/>
                <w:szCs w:val="21"/>
                <w:lang w:val="en-US" w:eastAsia="zh-CN"/>
              </w:rPr>
            </w:pPr>
          </w:p>
        </w:tc>
        <w:tc>
          <w:tcPr>
            <w:tcW w:w="569" w:type="pct"/>
            <w:vAlign w:val="center"/>
          </w:tcPr>
          <w:p w14:paraId="7B12C15B">
            <w:pPr>
              <w:spacing w:line="240" w:lineRule="auto"/>
              <w:jc w:val="center"/>
              <w:rPr>
                <w:rFonts w:ascii="Times New Roman" w:hAnsi="Times New Roman" w:eastAsia="仿宋" w:cs="Times New Roman"/>
                <w:b/>
                <w:color w:val="auto"/>
                <w:sz w:val="21"/>
                <w:szCs w:val="21"/>
              </w:rPr>
            </w:pPr>
          </w:p>
        </w:tc>
      </w:tr>
      <w:tr w14:paraId="24CD6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4" w:hRule="atLeast"/>
          <w:jc w:val="center"/>
        </w:trPr>
        <w:tc>
          <w:tcPr>
            <w:tcW w:w="170" w:type="pct"/>
            <w:vMerge w:val="restart"/>
            <w:vAlign w:val="center"/>
          </w:tcPr>
          <w:p w14:paraId="2F826078">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kern w:val="0"/>
                <w:sz w:val="21"/>
                <w:szCs w:val="21"/>
                <w:lang w:bidi="ar"/>
              </w:rPr>
              <w:t>生态文化</w:t>
            </w:r>
          </w:p>
        </w:tc>
        <w:tc>
          <w:tcPr>
            <w:tcW w:w="255" w:type="pct"/>
            <w:vAlign w:val="center"/>
          </w:tcPr>
          <w:p w14:paraId="407F0A7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1</w:t>
            </w:r>
          </w:p>
        </w:tc>
        <w:tc>
          <w:tcPr>
            <w:tcW w:w="631" w:type="pct"/>
            <w:vAlign w:val="center"/>
          </w:tcPr>
          <w:p w14:paraId="79FEBD4D">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eastAsia="仿宋" w:cs="Times New Roman"/>
                <w:color w:val="auto"/>
                <w:kern w:val="0"/>
                <w:sz w:val="21"/>
                <w:szCs w:val="21"/>
                <w:lang w:val="en-US" w:eastAsia="zh-CN" w:bidi="ar"/>
              </w:rPr>
            </w:pPr>
            <w:r>
              <w:rPr>
                <w:rFonts w:ascii="Times New Roman" w:hAnsi="Times New Roman" w:eastAsia="仿宋" w:cs="Times New Roman"/>
                <w:color w:val="auto"/>
                <w:kern w:val="0"/>
                <w:sz w:val="21"/>
                <w:szCs w:val="21"/>
                <w:lang w:bidi="ar"/>
              </w:rPr>
              <w:t>党政干部开展生态文明培训</w:t>
            </w:r>
          </w:p>
        </w:tc>
        <w:tc>
          <w:tcPr>
            <w:tcW w:w="1816" w:type="pct"/>
            <w:vAlign w:val="center"/>
          </w:tcPr>
          <w:p w14:paraId="1EA82FE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Times New Roman" w:hAnsi="Times New Roman" w:eastAsia="仿宋" w:cs="Times New Roman"/>
                <w:color w:val="auto"/>
                <w:kern w:val="0"/>
                <w:sz w:val="21"/>
                <w:szCs w:val="21"/>
                <w:lang w:val="en-US" w:eastAsia="zh-CN" w:bidi="ar"/>
              </w:rPr>
            </w:pPr>
            <w:r>
              <w:rPr>
                <w:rFonts w:ascii="Times New Roman" w:hAnsi="Times New Roman" w:eastAsia="仿宋" w:cs="Times New Roman"/>
                <w:color w:val="auto"/>
                <w:kern w:val="0"/>
                <w:sz w:val="21"/>
                <w:szCs w:val="21"/>
                <w:lang w:bidi="ar"/>
              </w:rPr>
              <w:t>组织部定期组织副科级以上在职党政领导干部以生态文明现场培训、辅导报告、网络培训等形式开展生态文明培训。</w:t>
            </w:r>
          </w:p>
        </w:tc>
        <w:tc>
          <w:tcPr>
            <w:tcW w:w="408" w:type="pct"/>
            <w:vAlign w:val="center"/>
          </w:tcPr>
          <w:p w14:paraId="20346F8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kern w:val="0"/>
                <w:sz w:val="21"/>
                <w:szCs w:val="21"/>
                <w:lang w:val="en-US" w:eastAsia="zh-CN" w:bidi="ar"/>
              </w:rPr>
            </w:pPr>
            <w:r>
              <w:rPr>
                <w:rFonts w:ascii="Times New Roman" w:hAnsi="Times New Roman" w:eastAsia="仿宋" w:cs="Times New Roman"/>
                <w:color w:val="auto"/>
                <w:kern w:val="0"/>
                <w:sz w:val="21"/>
                <w:szCs w:val="21"/>
                <w:lang w:bidi="ar"/>
              </w:rPr>
              <w:t>2022-20</w:t>
            </w:r>
            <w:r>
              <w:rPr>
                <w:rFonts w:hint="eastAsia" w:ascii="Times New Roman" w:hAnsi="Times New Roman" w:eastAsia="仿宋" w:cs="Times New Roman"/>
                <w:color w:val="auto"/>
                <w:kern w:val="0"/>
                <w:sz w:val="21"/>
                <w:szCs w:val="21"/>
                <w:lang w:val="en-US" w:eastAsia="zh-CN" w:bidi="ar"/>
              </w:rPr>
              <w:t>30</w:t>
            </w:r>
          </w:p>
        </w:tc>
        <w:tc>
          <w:tcPr>
            <w:tcW w:w="413" w:type="pct"/>
            <w:vAlign w:val="center"/>
          </w:tcPr>
          <w:p w14:paraId="1D7B6FE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300</w:t>
            </w:r>
          </w:p>
        </w:tc>
        <w:tc>
          <w:tcPr>
            <w:tcW w:w="413" w:type="pct"/>
            <w:vAlign w:val="center"/>
          </w:tcPr>
          <w:p w14:paraId="4BA8166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 w:cs="Times New Roman"/>
                <w:color w:val="auto"/>
                <w:kern w:val="0"/>
                <w:sz w:val="21"/>
                <w:szCs w:val="21"/>
                <w:lang w:val="en-US" w:eastAsia="zh-CN" w:bidi="ar"/>
              </w:rPr>
            </w:pPr>
            <w:r>
              <w:rPr>
                <w:rFonts w:ascii="Times New Roman" w:hAnsi="Times New Roman" w:eastAsia="仿宋" w:cs="Times New Roman"/>
                <w:color w:val="auto"/>
                <w:kern w:val="0"/>
                <w:sz w:val="21"/>
                <w:szCs w:val="21"/>
                <w:lang w:bidi="ar"/>
              </w:rPr>
              <w:t>县委组织部</w:t>
            </w:r>
          </w:p>
        </w:tc>
        <w:tc>
          <w:tcPr>
            <w:tcW w:w="320" w:type="pct"/>
            <w:vAlign w:val="center"/>
          </w:tcPr>
          <w:p w14:paraId="4CCC947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 w:cs="Times New Roman"/>
                <w:color w:val="auto"/>
                <w:kern w:val="0"/>
                <w:sz w:val="21"/>
                <w:szCs w:val="21"/>
                <w:lang w:val="en-US" w:eastAsia="zh-CN" w:bidi="ar"/>
              </w:rPr>
            </w:pPr>
            <w:r>
              <w:rPr>
                <w:rFonts w:ascii="Times New Roman" w:hAnsi="Times New Roman" w:eastAsia="仿宋" w:cs="Times New Roman"/>
                <w:color w:val="auto"/>
                <w:kern w:val="0"/>
                <w:sz w:val="21"/>
                <w:szCs w:val="21"/>
                <w:lang w:bidi="ar"/>
              </w:rPr>
              <w:t>政府投入</w:t>
            </w:r>
          </w:p>
        </w:tc>
        <w:tc>
          <w:tcPr>
            <w:tcW w:w="569" w:type="pct"/>
            <w:vAlign w:val="center"/>
          </w:tcPr>
          <w:p w14:paraId="3E13319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 w:cs="Times New Roman"/>
                <w:color w:val="auto"/>
                <w:kern w:val="0"/>
                <w:sz w:val="21"/>
                <w:szCs w:val="21"/>
                <w:lang w:val="en-US" w:eastAsia="zh-CN" w:bidi="ar"/>
              </w:rPr>
            </w:pPr>
            <w:r>
              <w:rPr>
                <w:rFonts w:ascii="Times New Roman" w:hAnsi="Times New Roman" w:eastAsia="仿宋" w:cs="Times New Roman"/>
                <w:color w:val="auto"/>
                <w:kern w:val="0"/>
                <w:sz w:val="21"/>
                <w:szCs w:val="21"/>
                <w:lang w:bidi="ar"/>
              </w:rPr>
              <w:t>党政领导干部参加生态文明培训的人数比例</w:t>
            </w:r>
          </w:p>
        </w:tc>
      </w:tr>
      <w:tr w14:paraId="29714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170" w:type="pct"/>
            <w:vMerge w:val="continue"/>
            <w:vAlign w:val="center"/>
          </w:tcPr>
          <w:p w14:paraId="41882FA8">
            <w:pPr>
              <w:widowControl/>
              <w:spacing w:line="240" w:lineRule="auto"/>
              <w:jc w:val="center"/>
              <w:textAlignment w:val="center"/>
              <w:rPr>
                <w:rFonts w:ascii="Times New Roman" w:hAnsi="Times New Roman" w:eastAsia="仿宋" w:cs="Times New Roman"/>
                <w:color w:val="auto"/>
                <w:kern w:val="0"/>
                <w:sz w:val="21"/>
                <w:szCs w:val="21"/>
                <w:lang w:bidi="ar"/>
              </w:rPr>
            </w:pPr>
          </w:p>
        </w:tc>
        <w:tc>
          <w:tcPr>
            <w:tcW w:w="255" w:type="pct"/>
            <w:vAlign w:val="center"/>
          </w:tcPr>
          <w:p w14:paraId="27111B8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w:t>
            </w:r>
          </w:p>
        </w:tc>
        <w:tc>
          <w:tcPr>
            <w:tcW w:w="631" w:type="pct"/>
            <w:vAlign w:val="center"/>
          </w:tcPr>
          <w:p w14:paraId="28104A59">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eastAsia="仿宋" w:cs="Times New Roman"/>
                <w:color w:val="auto"/>
                <w:kern w:val="0"/>
                <w:sz w:val="21"/>
                <w:szCs w:val="21"/>
                <w:lang w:val="en-US" w:eastAsia="zh-CN" w:bidi="ar"/>
              </w:rPr>
            </w:pPr>
            <w:r>
              <w:rPr>
                <w:rFonts w:ascii="Times New Roman" w:hAnsi="Times New Roman" w:eastAsia="仿宋" w:cs="Times New Roman"/>
                <w:color w:val="auto"/>
                <w:kern w:val="0"/>
                <w:sz w:val="21"/>
                <w:szCs w:val="21"/>
                <w:lang w:bidi="ar"/>
              </w:rPr>
              <w:t>生态文明科普宣传</w:t>
            </w:r>
          </w:p>
        </w:tc>
        <w:tc>
          <w:tcPr>
            <w:tcW w:w="1816" w:type="pct"/>
            <w:vAlign w:val="center"/>
          </w:tcPr>
          <w:p w14:paraId="4107BAF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Times New Roman" w:hAnsi="Times New Roman" w:eastAsia="仿宋" w:cs="Times New Roman"/>
                <w:color w:val="auto"/>
                <w:kern w:val="0"/>
                <w:sz w:val="21"/>
                <w:szCs w:val="21"/>
                <w:lang w:val="en-US" w:eastAsia="zh-CN" w:bidi="ar"/>
              </w:rPr>
            </w:pPr>
            <w:r>
              <w:rPr>
                <w:rFonts w:ascii="Times New Roman" w:hAnsi="Times New Roman" w:eastAsia="仿宋" w:cs="Times New Roman"/>
                <w:color w:val="auto"/>
                <w:kern w:val="0"/>
                <w:sz w:val="21"/>
                <w:szCs w:val="21"/>
                <w:lang w:bidi="ar"/>
              </w:rPr>
              <w:t>开展各种生态文明宣传，宣传资料印制、设备购置、开展活动。</w:t>
            </w:r>
          </w:p>
        </w:tc>
        <w:tc>
          <w:tcPr>
            <w:tcW w:w="408" w:type="pct"/>
            <w:vAlign w:val="center"/>
          </w:tcPr>
          <w:p w14:paraId="2A3BE54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 w:cs="Times New Roman"/>
                <w:color w:val="auto"/>
                <w:kern w:val="0"/>
                <w:sz w:val="21"/>
                <w:szCs w:val="21"/>
                <w:lang w:val="en-US" w:eastAsia="zh-CN" w:bidi="ar"/>
              </w:rPr>
            </w:pPr>
            <w:r>
              <w:rPr>
                <w:rFonts w:ascii="Times New Roman" w:hAnsi="Times New Roman" w:eastAsia="仿宋" w:cs="Times New Roman"/>
                <w:color w:val="auto"/>
                <w:kern w:val="0"/>
                <w:sz w:val="21"/>
                <w:szCs w:val="21"/>
                <w:lang w:bidi="ar"/>
              </w:rPr>
              <w:t>2022-20</w:t>
            </w:r>
            <w:r>
              <w:rPr>
                <w:rFonts w:hint="eastAsia" w:ascii="Times New Roman" w:hAnsi="Times New Roman" w:eastAsia="仿宋" w:cs="Times New Roman"/>
                <w:color w:val="auto"/>
                <w:kern w:val="0"/>
                <w:sz w:val="21"/>
                <w:szCs w:val="21"/>
                <w:lang w:val="en-US" w:eastAsia="zh-CN" w:bidi="ar"/>
              </w:rPr>
              <w:t>30</w:t>
            </w:r>
          </w:p>
        </w:tc>
        <w:tc>
          <w:tcPr>
            <w:tcW w:w="413" w:type="pct"/>
            <w:vAlign w:val="center"/>
          </w:tcPr>
          <w:p w14:paraId="5261EC3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400</w:t>
            </w:r>
          </w:p>
        </w:tc>
        <w:tc>
          <w:tcPr>
            <w:tcW w:w="413" w:type="pct"/>
            <w:vAlign w:val="center"/>
          </w:tcPr>
          <w:p w14:paraId="3F072B7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市生态环境局新平分局</w:t>
            </w:r>
          </w:p>
        </w:tc>
        <w:tc>
          <w:tcPr>
            <w:tcW w:w="320" w:type="pct"/>
            <w:vAlign w:val="center"/>
          </w:tcPr>
          <w:p w14:paraId="55B8EB5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政府投入</w:t>
            </w:r>
          </w:p>
        </w:tc>
        <w:tc>
          <w:tcPr>
            <w:tcW w:w="569" w:type="pct"/>
            <w:vAlign w:val="center"/>
          </w:tcPr>
          <w:p w14:paraId="75A00D0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公众对生态文明建设的满意度、公众对生态文明建设的参与度</w:t>
            </w:r>
          </w:p>
        </w:tc>
      </w:tr>
      <w:tr w14:paraId="22420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 w:type="pct"/>
            <w:vMerge w:val="continue"/>
            <w:vAlign w:val="center"/>
          </w:tcPr>
          <w:p w14:paraId="59B7C1F7">
            <w:pPr>
              <w:spacing w:line="240" w:lineRule="auto"/>
              <w:jc w:val="center"/>
              <w:rPr>
                <w:rFonts w:ascii="Times New Roman" w:hAnsi="Times New Roman" w:eastAsia="仿宋" w:cs="Times New Roman"/>
                <w:color w:val="auto"/>
                <w:sz w:val="21"/>
                <w:szCs w:val="21"/>
              </w:rPr>
            </w:pPr>
          </w:p>
        </w:tc>
        <w:tc>
          <w:tcPr>
            <w:tcW w:w="255" w:type="pct"/>
            <w:vAlign w:val="center"/>
          </w:tcPr>
          <w:p w14:paraId="45BC9AE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bidi="ar"/>
              </w:rPr>
              <w:t>3</w:t>
            </w:r>
          </w:p>
        </w:tc>
        <w:tc>
          <w:tcPr>
            <w:tcW w:w="631" w:type="pct"/>
            <w:vAlign w:val="center"/>
          </w:tcPr>
          <w:p w14:paraId="0AFD525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公众对生态文明建设满意度和参与度调查</w:t>
            </w:r>
          </w:p>
        </w:tc>
        <w:tc>
          <w:tcPr>
            <w:tcW w:w="1816" w:type="pct"/>
            <w:vAlign w:val="center"/>
          </w:tcPr>
          <w:p w14:paraId="2C7C03B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每年通过问卷调查或独立机构抽样调查的方式开展生态文明建设满意度和参与度调查。</w:t>
            </w:r>
          </w:p>
        </w:tc>
        <w:tc>
          <w:tcPr>
            <w:tcW w:w="408" w:type="pct"/>
            <w:vAlign w:val="center"/>
          </w:tcPr>
          <w:p w14:paraId="16A6519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2022-2030</w:t>
            </w:r>
          </w:p>
        </w:tc>
        <w:tc>
          <w:tcPr>
            <w:tcW w:w="413" w:type="pct"/>
            <w:vAlign w:val="center"/>
          </w:tcPr>
          <w:p w14:paraId="2F01E1A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20</w:t>
            </w:r>
          </w:p>
        </w:tc>
        <w:tc>
          <w:tcPr>
            <w:tcW w:w="413" w:type="pct"/>
            <w:vAlign w:val="center"/>
          </w:tcPr>
          <w:p w14:paraId="40994AF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县统计局</w:t>
            </w:r>
          </w:p>
        </w:tc>
        <w:tc>
          <w:tcPr>
            <w:tcW w:w="320" w:type="pct"/>
            <w:vAlign w:val="center"/>
          </w:tcPr>
          <w:p w14:paraId="3D9CF12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政府投入</w:t>
            </w:r>
          </w:p>
        </w:tc>
        <w:tc>
          <w:tcPr>
            <w:tcW w:w="569" w:type="pct"/>
            <w:vAlign w:val="center"/>
          </w:tcPr>
          <w:p w14:paraId="7AE3500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公众对生态文明建设的满意度、公众对生态文明建设的参与度</w:t>
            </w:r>
          </w:p>
        </w:tc>
      </w:tr>
      <w:tr w14:paraId="2718E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170" w:type="pct"/>
            <w:vMerge w:val="continue"/>
            <w:vAlign w:val="center"/>
          </w:tcPr>
          <w:p w14:paraId="4A19DAA7">
            <w:pPr>
              <w:spacing w:line="240" w:lineRule="auto"/>
              <w:jc w:val="center"/>
              <w:rPr>
                <w:rFonts w:ascii="Times New Roman" w:hAnsi="Times New Roman" w:eastAsia="仿宋" w:cs="Times New Roman"/>
                <w:color w:val="auto"/>
                <w:sz w:val="21"/>
                <w:szCs w:val="21"/>
              </w:rPr>
            </w:pPr>
          </w:p>
        </w:tc>
        <w:tc>
          <w:tcPr>
            <w:tcW w:w="255" w:type="pct"/>
            <w:vAlign w:val="center"/>
          </w:tcPr>
          <w:p w14:paraId="41FA718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4</w:t>
            </w:r>
          </w:p>
        </w:tc>
        <w:tc>
          <w:tcPr>
            <w:tcW w:w="631" w:type="pct"/>
            <w:vAlign w:val="center"/>
          </w:tcPr>
          <w:p w14:paraId="615D9C8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民族生态文化宣传</w:t>
            </w:r>
          </w:p>
        </w:tc>
        <w:tc>
          <w:tcPr>
            <w:tcW w:w="1816" w:type="pct"/>
            <w:vAlign w:val="center"/>
          </w:tcPr>
          <w:p w14:paraId="23EEEB3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花腰傣、彝族等民族生态文化的研究，宣传。</w:t>
            </w:r>
          </w:p>
        </w:tc>
        <w:tc>
          <w:tcPr>
            <w:tcW w:w="408" w:type="pct"/>
            <w:vAlign w:val="center"/>
          </w:tcPr>
          <w:p w14:paraId="3286028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2022-2030</w:t>
            </w:r>
          </w:p>
        </w:tc>
        <w:tc>
          <w:tcPr>
            <w:tcW w:w="413" w:type="pct"/>
            <w:vAlign w:val="center"/>
          </w:tcPr>
          <w:p w14:paraId="66F7A05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400</w:t>
            </w:r>
          </w:p>
        </w:tc>
        <w:tc>
          <w:tcPr>
            <w:tcW w:w="413" w:type="pct"/>
            <w:vAlign w:val="center"/>
          </w:tcPr>
          <w:p w14:paraId="7D26FEF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县文旅局</w:t>
            </w:r>
          </w:p>
        </w:tc>
        <w:tc>
          <w:tcPr>
            <w:tcW w:w="320" w:type="pct"/>
            <w:vAlign w:val="center"/>
          </w:tcPr>
          <w:p w14:paraId="460983C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政府投入</w:t>
            </w:r>
          </w:p>
        </w:tc>
        <w:tc>
          <w:tcPr>
            <w:tcW w:w="569" w:type="pct"/>
            <w:vAlign w:val="center"/>
          </w:tcPr>
          <w:p w14:paraId="7483C6A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公众对生态文明建设的满意度、公众对生态文明建设的参与度</w:t>
            </w:r>
          </w:p>
        </w:tc>
      </w:tr>
      <w:tr w14:paraId="1187B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70" w:type="pct"/>
            <w:vMerge w:val="continue"/>
            <w:vAlign w:val="center"/>
          </w:tcPr>
          <w:p w14:paraId="05190015">
            <w:pPr>
              <w:spacing w:line="240" w:lineRule="auto"/>
              <w:jc w:val="center"/>
              <w:rPr>
                <w:rFonts w:ascii="Times New Roman" w:hAnsi="Times New Roman" w:eastAsia="仿宋" w:cs="Times New Roman"/>
                <w:color w:val="auto"/>
                <w:sz w:val="21"/>
                <w:szCs w:val="21"/>
              </w:rPr>
            </w:pPr>
          </w:p>
        </w:tc>
        <w:tc>
          <w:tcPr>
            <w:tcW w:w="255" w:type="pct"/>
            <w:vAlign w:val="center"/>
          </w:tcPr>
          <w:p w14:paraId="0A456372">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kern w:val="0"/>
                <w:sz w:val="21"/>
                <w:szCs w:val="21"/>
                <w:lang w:bidi="ar"/>
              </w:rPr>
              <w:t>小计</w:t>
            </w:r>
          </w:p>
        </w:tc>
        <w:tc>
          <w:tcPr>
            <w:tcW w:w="2856" w:type="pct"/>
            <w:gridSpan w:val="3"/>
            <w:vAlign w:val="center"/>
          </w:tcPr>
          <w:p w14:paraId="07B35D60">
            <w:pPr>
              <w:spacing w:line="240" w:lineRule="auto"/>
              <w:jc w:val="left"/>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w:t>
            </w:r>
          </w:p>
        </w:tc>
        <w:tc>
          <w:tcPr>
            <w:tcW w:w="413" w:type="pct"/>
            <w:vAlign w:val="center"/>
          </w:tcPr>
          <w:p w14:paraId="15B9559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 w:cs="Times New Roman"/>
                <w:b/>
                <w:bCs/>
                <w:color w:val="auto"/>
                <w:kern w:val="0"/>
                <w:sz w:val="21"/>
                <w:szCs w:val="21"/>
                <w:lang w:val="en-US" w:eastAsia="zh-CN" w:bidi="ar"/>
              </w:rPr>
            </w:pPr>
            <w:r>
              <w:rPr>
                <w:rFonts w:hint="eastAsia" w:ascii="Times New Roman" w:hAnsi="Times New Roman" w:eastAsia="仿宋" w:cs="Times New Roman"/>
                <w:b/>
                <w:bCs/>
                <w:color w:val="auto"/>
                <w:kern w:val="0"/>
                <w:sz w:val="21"/>
                <w:szCs w:val="21"/>
                <w:lang w:val="en-US" w:eastAsia="zh-CN" w:bidi="ar"/>
              </w:rPr>
              <w:t>1120</w:t>
            </w:r>
          </w:p>
        </w:tc>
        <w:tc>
          <w:tcPr>
            <w:tcW w:w="413" w:type="pct"/>
            <w:vAlign w:val="center"/>
          </w:tcPr>
          <w:p w14:paraId="2015DF0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 w:cs="Times New Roman"/>
                <w:color w:val="auto"/>
                <w:kern w:val="0"/>
                <w:sz w:val="21"/>
                <w:szCs w:val="21"/>
                <w:lang w:val="en-US" w:eastAsia="zh-CN" w:bidi="ar"/>
              </w:rPr>
            </w:pPr>
          </w:p>
        </w:tc>
        <w:tc>
          <w:tcPr>
            <w:tcW w:w="320" w:type="pct"/>
            <w:vAlign w:val="center"/>
          </w:tcPr>
          <w:p w14:paraId="33623B40">
            <w:pPr>
              <w:spacing w:line="240" w:lineRule="auto"/>
              <w:jc w:val="center"/>
              <w:rPr>
                <w:rFonts w:ascii="Times New Roman" w:hAnsi="Times New Roman" w:eastAsia="仿宋" w:cs="Times New Roman"/>
                <w:color w:val="auto"/>
                <w:sz w:val="21"/>
                <w:szCs w:val="21"/>
              </w:rPr>
            </w:pPr>
          </w:p>
        </w:tc>
        <w:tc>
          <w:tcPr>
            <w:tcW w:w="569" w:type="pct"/>
            <w:vAlign w:val="center"/>
          </w:tcPr>
          <w:p w14:paraId="5AE3FB3A">
            <w:pPr>
              <w:spacing w:line="240" w:lineRule="auto"/>
              <w:jc w:val="center"/>
              <w:rPr>
                <w:rFonts w:ascii="Times New Roman" w:hAnsi="Times New Roman" w:eastAsia="仿宋" w:cs="Times New Roman"/>
                <w:color w:val="auto"/>
                <w:sz w:val="21"/>
                <w:szCs w:val="21"/>
              </w:rPr>
            </w:pPr>
          </w:p>
        </w:tc>
      </w:tr>
      <w:tr w14:paraId="75DA0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282" w:type="pct"/>
            <w:gridSpan w:val="5"/>
            <w:vAlign w:val="center"/>
          </w:tcPr>
          <w:p w14:paraId="2E853B8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 w:cs="Times New Roman"/>
                <w:b/>
                <w:bCs/>
                <w:color w:val="auto"/>
                <w:kern w:val="0"/>
                <w:sz w:val="21"/>
                <w:szCs w:val="21"/>
                <w:lang w:val="en-US" w:eastAsia="zh-CN" w:bidi="ar"/>
              </w:rPr>
            </w:pPr>
            <w:r>
              <w:rPr>
                <w:rFonts w:hint="eastAsia" w:ascii="Times New Roman" w:hAnsi="Times New Roman" w:eastAsia="仿宋" w:cs="Times New Roman"/>
                <w:b/>
                <w:bCs/>
                <w:color w:val="auto"/>
                <w:kern w:val="0"/>
                <w:sz w:val="21"/>
                <w:szCs w:val="21"/>
                <w:lang w:val="en-US" w:eastAsia="zh-CN" w:bidi="ar"/>
              </w:rPr>
              <w:t>总计</w:t>
            </w:r>
          </w:p>
        </w:tc>
        <w:tc>
          <w:tcPr>
            <w:tcW w:w="413" w:type="pct"/>
            <w:vAlign w:val="center"/>
          </w:tcPr>
          <w:p w14:paraId="3858EC9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 w:cs="Times New Roman"/>
                <w:b/>
                <w:bCs/>
                <w:color w:val="auto"/>
                <w:kern w:val="0"/>
                <w:sz w:val="21"/>
                <w:szCs w:val="21"/>
                <w:lang w:val="en-US" w:eastAsia="zh-CN" w:bidi="ar"/>
              </w:rPr>
            </w:pPr>
            <w:r>
              <w:rPr>
                <w:rFonts w:hint="default" w:ascii="Times New Roman" w:hAnsi="Times New Roman" w:eastAsia="仿宋" w:cs="Times New Roman"/>
                <w:b/>
                <w:bCs/>
                <w:color w:val="auto"/>
                <w:kern w:val="0"/>
                <w:sz w:val="21"/>
                <w:szCs w:val="21"/>
                <w:lang w:val="en-US" w:eastAsia="zh-CN" w:bidi="ar"/>
              </w:rPr>
              <w:t>1119993</w:t>
            </w:r>
          </w:p>
        </w:tc>
        <w:tc>
          <w:tcPr>
            <w:tcW w:w="413" w:type="pct"/>
            <w:vAlign w:val="center"/>
          </w:tcPr>
          <w:p w14:paraId="31936C6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 w:cs="Times New Roman"/>
                <w:b/>
                <w:bCs/>
                <w:color w:val="auto"/>
                <w:kern w:val="0"/>
                <w:sz w:val="21"/>
                <w:szCs w:val="21"/>
                <w:lang w:val="en-US" w:eastAsia="zh-CN" w:bidi="ar"/>
              </w:rPr>
            </w:pPr>
          </w:p>
        </w:tc>
        <w:tc>
          <w:tcPr>
            <w:tcW w:w="320" w:type="pct"/>
            <w:noWrap/>
            <w:vAlign w:val="center"/>
          </w:tcPr>
          <w:p w14:paraId="1F995384">
            <w:pPr>
              <w:spacing w:line="240" w:lineRule="auto"/>
              <w:jc w:val="center"/>
              <w:rPr>
                <w:rFonts w:ascii="Times New Roman" w:hAnsi="Times New Roman" w:eastAsia="仿宋" w:cs="Times New Roman"/>
                <w:color w:val="auto"/>
                <w:sz w:val="21"/>
                <w:szCs w:val="21"/>
              </w:rPr>
            </w:pPr>
          </w:p>
        </w:tc>
        <w:tc>
          <w:tcPr>
            <w:tcW w:w="569" w:type="pct"/>
            <w:noWrap/>
            <w:vAlign w:val="center"/>
          </w:tcPr>
          <w:p w14:paraId="17BA10A0">
            <w:pPr>
              <w:spacing w:line="240" w:lineRule="auto"/>
              <w:jc w:val="center"/>
              <w:rPr>
                <w:rFonts w:ascii="Times New Roman" w:hAnsi="Times New Roman" w:eastAsia="仿宋" w:cs="Times New Roman"/>
                <w:color w:val="auto"/>
                <w:sz w:val="21"/>
                <w:szCs w:val="21"/>
              </w:rPr>
            </w:pPr>
          </w:p>
        </w:tc>
      </w:tr>
    </w:tbl>
    <w:p w14:paraId="127B155F">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eastAsia="仿宋" w:cs="Times New Roman"/>
          <w:color w:val="auto"/>
          <w:kern w:val="0"/>
          <w:sz w:val="21"/>
          <w:szCs w:val="21"/>
          <w:lang w:bidi="ar"/>
        </w:rPr>
      </w:pPr>
    </w:p>
    <w:p w14:paraId="61A8DAD1">
      <w:pPr>
        <w:keepNext w:val="0"/>
        <w:keepLines w:val="0"/>
        <w:pageBreakBefore w:val="0"/>
        <w:widowControl w:val="0"/>
        <w:kinsoku/>
        <w:wordWrap/>
        <w:overflowPunct/>
        <w:topLinePunct w:val="0"/>
        <w:autoSpaceDE/>
        <w:autoSpaceDN/>
        <w:bidi w:val="0"/>
        <w:adjustRightInd/>
        <w:snapToGrid/>
        <w:spacing w:line="400" w:lineRule="exact"/>
        <w:textAlignment w:val="auto"/>
        <w:sectPr>
          <w:headerReference r:id="rId15" w:type="default"/>
          <w:footerReference r:id="rId16" w:type="default"/>
          <w:footerReference r:id="rId17" w:type="even"/>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linePitch="312" w:charSpace="0"/>
        </w:sectPr>
      </w:pPr>
    </w:p>
    <w:p w14:paraId="074B81CE">
      <w:pPr>
        <w:pStyle w:val="4"/>
        <w:pageBreakBefore w:val="0"/>
        <w:kinsoku/>
        <w:wordWrap/>
        <w:overflowPunct/>
        <w:topLinePunct w:val="0"/>
        <w:autoSpaceDE/>
        <w:autoSpaceDN/>
        <w:bidi w:val="0"/>
        <w:adjustRightInd/>
        <w:snapToGrid/>
        <w:spacing w:before="260" w:after="260" w:line="500" w:lineRule="exact"/>
        <w:ind w:firstLine="0"/>
        <w:textAlignment w:val="auto"/>
        <w:rPr>
          <w:rFonts w:hint="default" w:ascii="Times New Roman" w:hAnsi="Times New Roman" w:eastAsia="仿宋" w:cs="Times New Roman"/>
          <w:color w:val="auto"/>
          <w:sz w:val="32"/>
          <w:lang w:val="zh-CN" w:eastAsia="zh-CN"/>
        </w:rPr>
      </w:pPr>
      <w:bookmarkStart w:id="726" w:name="_Toc3618"/>
      <w:r>
        <w:rPr>
          <w:rFonts w:hint="default" w:ascii="Times New Roman" w:hAnsi="Times New Roman" w:eastAsia="仿宋" w:cs="Times New Roman"/>
          <w:color w:val="auto"/>
          <w:sz w:val="32"/>
          <w:lang w:val="zh-CN" w:eastAsia="zh-CN"/>
        </w:rPr>
        <w:t>11.2规划效益分析</w:t>
      </w:r>
      <w:bookmarkEnd w:id="726"/>
    </w:p>
    <w:p w14:paraId="222A6CF0">
      <w:pPr>
        <w:pStyle w:val="5"/>
        <w:pageBreakBefore w:val="0"/>
        <w:kinsoku/>
        <w:wordWrap/>
        <w:overflowPunct/>
        <w:topLinePunct w:val="0"/>
        <w:autoSpaceDE/>
        <w:autoSpaceDN/>
        <w:bidi w:val="0"/>
        <w:adjustRightInd/>
        <w:snapToGrid/>
        <w:spacing w:before="120" w:after="120" w:line="500" w:lineRule="exact"/>
        <w:ind w:firstLine="0" w:firstLineChars="0"/>
        <w:textAlignment w:val="auto"/>
        <w:rPr>
          <w:rFonts w:eastAsia="仿宋"/>
          <w:snapToGrid w:val="0"/>
          <w:color w:val="auto"/>
          <w:sz w:val="28"/>
        </w:rPr>
      </w:pPr>
      <w:bookmarkStart w:id="727" w:name="_Toc29215"/>
      <w:r>
        <w:rPr>
          <w:rFonts w:eastAsia="仿宋"/>
          <w:snapToGrid w:val="0"/>
          <w:color w:val="auto"/>
          <w:sz w:val="28"/>
        </w:rPr>
        <w:t>11.2.1环境效益</w:t>
      </w:r>
      <w:bookmarkEnd w:id="727"/>
    </w:p>
    <w:p w14:paraId="273B34F8">
      <w:pPr>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规划实施后改善生态环境质量、提升生态服务功能，提升水、大气、土壤污染防治能力，有效削减水、大气和重金属污染物，显著改善区域范围内的地表水环境、土壤环境质量、大气环境质量，乡镇和农村的生态环境也将逐步改善。规划实施后还能缓解区域水资源、土地资源等资源利用水平，实现资源向优势产业的集中，实现资源的高效、合理利用，促进新平县整体生态环境质量显著提升，为新平县生态环境的改善，城乡人居环境的美化提供保障。</w:t>
      </w:r>
    </w:p>
    <w:p w14:paraId="4253320E">
      <w:pPr>
        <w:pStyle w:val="5"/>
        <w:pageBreakBefore w:val="0"/>
        <w:kinsoku/>
        <w:wordWrap/>
        <w:overflowPunct/>
        <w:topLinePunct w:val="0"/>
        <w:autoSpaceDE/>
        <w:autoSpaceDN/>
        <w:bidi w:val="0"/>
        <w:adjustRightInd/>
        <w:snapToGrid/>
        <w:spacing w:before="120" w:after="120" w:line="500" w:lineRule="exact"/>
        <w:ind w:firstLine="0" w:firstLineChars="0"/>
        <w:textAlignment w:val="auto"/>
        <w:rPr>
          <w:rFonts w:eastAsia="仿宋"/>
          <w:color w:val="auto"/>
          <w:sz w:val="24"/>
          <w:szCs w:val="24"/>
        </w:rPr>
      </w:pPr>
      <w:bookmarkStart w:id="728" w:name="_Toc6089"/>
      <w:r>
        <w:rPr>
          <w:rFonts w:eastAsia="仿宋"/>
          <w:snapToGrid w:val="0"/>
          <w:color w:val="auto"/>
          <w:sz w:val="28"/>
        </w:rPr>
        <w:t>11.2.2经济效益</w:t>
      </w:r>
      <w:bookmarkEnd w:id="728"/>
    </w:p>
    <w:p w14:paraId="3CC4CB01">
      <w:pPr>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优化产业结构，促进经济快速发展。根据生态文明建设理念，优化三产比例、调整产业结构，引入清洁生产、循环经济等先进技术手段与管理方法，通过生态工业、生态农业项目建设，转变新平县经济增长方式，提高单位工业用地工业增加值，减少单位地区生产总值能耗，减少资源与能源浪费、降低消耗、提高效率，形成有利于节约资源的生产方式和发展模式，实现经济快速、健康、持续发展。</w:t>
      </w:r>
    </w:p>
    <w:p w14:paraId="04DC3F48">
      <w:pPr>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改善投资环境，增加引资力度。规划在生态生活、生态环境和生态制度等建设工程，促进新平县生态环境质量改善，美化人居环境，提高资源利用效率。将提升新平县形象、改善投资环境，将不断吸引外来资金的投入，吸引更多投资商入驻，从而带动区域经济的发展。</w:t>
      </w:r>
    </w:p>
    <w:p w14:paraId="5DAAC836">
      <w:pPr>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扩大就业机会，提高居民收入。经济发展、资金引入将带动生态工业、生态农业和生态旅游的全面快速发展，而这又将为剩余劳动力提供更多的就业机会和发展空间，扩大居民收入的途径，从而增加当地居民的收入。</w:t>
      </w:r>
    </w:p>
    <w:p w14:paraId="257D67CB">
      <w:pPr>
        <w:pStyle w:val="5"/>
        <w:pageBreakBefore w:val="0"/>
        <w:kinsoku/>
        <w:wordWrap/>
        <w:overflowPunct/>
        <w:topLinePunct w:val="0"/>
        <w:autoSpaceDE/>
        <w:autoSpaceDN/>
        <w:bidi w:val="0"/>
        <w:adjustRightInd/>
        <w:snapToGrid/>
        <w:spacing w:before="120" w:after="120" w:line="500" w:lineRule="exact"/>
        <w:ind w:firstLine="0" w:firstLineChars="0"/>
        <w:textAlignment w:val="auto"/>
        <w:rPr>
          <w:rFonts w:eastAsia="仿宋"/>
          <w:snapToGrid w:val="0"/>
          <w:color w:val="auto"/>
          <w:sz w:val="28"/>
        </w:rPr>
        <w:sectPr>
          <w:headerReference r:id="rId18" w:type="default"/>
          <w:footerReference r:id="rId19" w:type="default"/>
          <w:pgSz w:w="11906" w:h="16838"/>
          <w:pgMar w:top="1440" w:right="1800" w:bottom="1440" w:left="1800" w:header="851" w:footer="992" w:gutter="0"/>
          <w:pgNumType w:fmt="decimal"/>
          <w:cols w:space="425" w:num="1"/>
          <w:docGrid w:linePitch="312" w:charSpace="0"/>
        </w:sectPr>
      </w:pPr>
      <w:bookmarkStart w:id="729" w:name="_Toc3928"/>
      <w:bookmarkStart w:id="730" w:name="_Toc27628"/>
      <w:bookmarkStart w:id="731" w:name="_Toc18781"/>
      <w:bookmarkStart w:id="732" w:name="_Toc88223300"/>
    </w:p>
    <w:p w14:paraId="44EE3EA2">
      <w:pPr>
        <w:pStyle w:val="5"/>
        <w:pageBreakBefore w:val="0"/>
        <w:kinsoku/>
        <w:wordWrap/>
        <w:overflowPunct/>
        <w:topLinePunct w:val="0"/>
        <w:autoSpaceDE/>
        <w:autoSpaceDN/>
        <w:bidi w:val="0"/>
        <w:adjustRightInd/>
        <w:snapToGrid/>
        <w:spacing w:before="120" w:after="120" w:line="500" w:lineRule="exact"/>
        <w:ind w:firstLine="0" w:firstLineChars="0"/>
        <w:textAlignment w:val="auto"/>
        <w:rPr>
          <w:rFonts w:eastAsia="仿宋"/>
          <w:snapToGrid w:val="0"/>
          <w:color w:val="auto"/>
          <w:sz w:val="28"/>
        </w:rPr>
      </w:pPr>
      <w:r>
        <w:rPr>
          <w:rFonts w:eastAsia="仿宋"/>
          <w:snapToGrid w:val="0"/>
          <w:color w:val="auto"/>
          <w:sz w:val="28"/>
        </w:rPr>
        <w:t>11.2.3社会效益</w:t>
      </w:r>
      <w:bookmarkEnd w:id="729"/>
      <w:bookmarkEnd w:id="730"/>
      <w:bookmarkEnd w:id="731"/>
      <w:bookmarkEnd w:id="732"/>
    </w:p>
    <w:p w14:paraId="1D9E3C34">
      <w:pPr>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规划的实施可以有效推动全区域生态文明建设，通过生态建设项目工程的实施，生态环境面貌将得到进一步改善。新平河等水体保护成效明显，居民居住环境更为舒适与优美。同时，通过一系列生态文化教育宣传，绿色文明生活方式的倡导，促使居民生态理念、绿色消费理念不断增强，有利于推动全社会对资源循环利用和能源高效利用、生活节能节水的认识，培养民众的良好生态文明意识。同时，随着规划项目的建设实施，区域环境污染将得到有效控制，生态环境质量明显改善，建立起环境友好、资源高效、系统和谐的城市生态体系，为区域健康、持续、平稳发展提供必要的环境支持保障，公众对环境的满意率维持在较高水平。</w:t>
      </w:r>
    </w:p>
    <w:p w14:paraId="6392588E">
      <w:pPr>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通过树立生态文明理念，大力发展社会文化、社区文化、企业文化，使人们对体制认知、自然认知、生态认知不断加强，这将促进居民生态文明理念、人口素质不断提高。同时通过一系列生态文化的宣传工程，绿色文明生活方式的倡导，使得居民生态理念、绿色消费理念不断提高，这将有利于推动资源的循环利用和能源的高效节约使用，促进居民提高环保意识、消费品位，从而实现全社会的可持续发展。</w:t>
      </w:r>
    </w:p>
    <w:p w14:paraId="38BC504C">
      <w:pPr>
        <w:pageBreakBefore w:val="0"/>
        <w:kinsoku/>
        <w:wordWrap/>
        <w:overflowPunct/>
        <w:topLinePunct w:val="0"/>
        <w:autoSpaceDE/>
        <w:autoSpaceDN/>
        <w:bidi w:val="0"/>
        <w:adjustRightInd/>
        <w:snapToGrid/>
        <w:spacing w:before="120" w:beforeLines="50" w:after="120" w:afterLines="50" w:line="500" w:lineRule="exact"/>
        <w:ind w:firstLine="482" w:firstLineChars="200"/>
        <w:jc w:val="left"/>
        <w:textAlignment w:val="auto"/>
        <w:rPr>
          <w:rFonts w:ascii="Times New Roman" w:hAnsi="Times New Roman" w:eastAsia="仿宋" w:cs="Times New Roman"/>
          <w:b/>
          <w:color w:val="FF0000"/>
          <w:sz w:val="24"/>
        </w:rPr>
      </w:pPr>
    </w:p>
    <w:p w14:paraId="4D53D2B9">
      <w:pPr>
        <w:pageBreakBefore w:val="0"/>
        <w:kinsoku/>
        <w:wordWrap/>
        <w:overflowPunct/>
        <w:topLinePunct w:val="0"/>
        <w:autoSpaceDE/>
        <w:autoSpaceDN/>
        <w:bidi w:val="0"/>
        <w:adjustRightInd/>
        <w:snapToGrid/>
        <w:spacing w:line="500" w:lineRule="exact"/>
        <w:textAlignment w:val="auto"/>
        <w:rPr>
          <w:rFonts w:ascii="Times New Roman" w:hAnsi="Times New Roman" w:eastAsia="仿宋" w:cs="Times New Roman"/>
          <w:color w:val="FF0000"/>
        </w:rPr>
        <w:sectPr>
          <w:footerReference r:id="rId20" w:type="default"/>
          <w:pgSz w:w="11906" w:h="16838"/>
          <w:pgMar w:top="1440" w:right="1800" w:bottom="1440" w:left="1800" w:header="851" w:footer="992" w:gutter="0"/>
          <w:pgNumType w:fmt="decimal"/>
          <w:cols w:space="425" w:num="1"/>
          <w:docGrid w:linePitch="312" w:charSpace="0"/>
        </w:sectPr>
      </w:pPr>
      <w:bookmarkStart w:id="733" w:name="_Toc514661346"/>
    </w:p>
    <w:bookmarkEnd w:id="733"/>
    <w:p w14:paraId="2F701689">
      <w:pPr>
        <w:pStyle w:val="3"/>
        <w:pageBreakBefore w:val="0"/>
        <w:kinsoku/>
        <w:wordWrap/>
        <w:overflowPunct/>
        <w:topLinePunct w:val="0"/>
        <w:autoSpaceDE/>
        <w:autoSpaceDN/>
        <w:bidi w:val="0"/>
        <w:adjustRightInd/>
        <w:snapToGrid/>
        <w:spacing w:before="0" w:after="0" w:line="500" w:lineRule="exact"/>
        <w:jc w:val="center"/>
        <w:textAlignment w:val="auto"/>
        <w:rPr>
          <w:rFonts w:hint="default" w:ascii="Times New Roman" w:hAnsi="Times New Roman" w:eastAsia="仿宋" w:cs="Times New Roman"/>
          <w:color w:val="auto"/>
          <w:sz w:val="44"/>
          <w:lang w:val="en-US" w:eastAsia="zh-CN"/>
        </w:rPr>
      </w:pPr>
      <w:bookmarkStart w:id="734" w:name="_Toc31757"/>
      <w:bookmarkStart w:id="735" w:name="_Toc18073"/>
      <w:r>
        <w:rPr>
          <w:rFonts w:hint="default" w:ascii="Times New Roman" w:hAnsi="Times New Roman" w:eastAsia="仿宋" w:cs="Times New Roman"/>
          <w:color w:val="auto"/>
          <w:sz w:val="44"/>
          <w:lang w:val="en-US" w:eastAsia="zh-CN"/>
        </w:rPr>
        <w:t>12保障措施</w:t>
      </w:r>
      <w:bookmarkEnd w:id="734"/>
      <w:bookmarkEnd w:id="735"/>
    </w:p>
    <w:p w14:paraId="5E4EF9B6">
      <w:pPr>
        <w:pStyle w:val="4"/>
        <w:pageBreakBefore w:val="0"/>
        <w:kinsoku/>
        <w:wordWrap/>
        <w:overflowPunct/>
        <w:topLinePunct w:val="0"/>
        <w:autoSpaceDE/>
        <w:autoSpaceDN/>
        <w:bidi w:val="0"/>
        <w:adjustRightInd/>
        <w:snapToGrid/>
        <w:spacing w:before="260" w:after="260" w:line="500" w:lineRule="exact"/>
        <w:ind w:firstLine="0"/>
        <w:textAlignment w:val="auto"/>
        <w:rPr>
          <w:rFonts w:hint="default" w:ascii="Times New Roman" w:hAnsi="Times New Roman" w:eastAsia="仿宋" w:cs="Times New Roman"/>
          <w:color w:val="auto"/>
          <w:sz w:val="32"/>
          <w:lang w:val="zh-CN" w:eastAsia="zh-CN"/>
        </w:rPr>
      </w:pPr>
      <w:bookmarkStart w:id="736" w:name="_Toc27627"/>
      <w:bookmarkStart w:id="737" w:name="_Toc12525"/>
      <w:bookmarkStart w:id="738" w:name="_Hlk62650942"/>
      <w:r>
        <w:rPr>
          <w:rFonts w:hint="default" w:ascii="Times New Roman" w:hAnsi="Times New Roman" w:eastAsia="仿宋" w:cs="Times New Roman"/>
          <w:color w:val="auto"/>
          <w:sz w:val="32"/>
          <w:lang w:val="zh-CN" w:eastAsia="zh-CN"/>
        </w:rPr>
        <w:t>12.</w:t>
      </w:r>
      <w:bookmarkStart w:id="739" w:name="_Toc77160446"/>
      <w:bookmarkStart w:id="740" w:name="_Toc70480128"/>
      <w:bookmarkStart w:id="741" w:name="_Toc70492485"/>
      <w:bookmarkStart w:id="742" w:name="_Toc9516192"/>
      <w:bookmarkStart w:id="743" w:name="_Toc74127508"/>
      <w:bookmarkStart w:id="744" w:name="_Toc33973880"/>
      <w:bookmarkStart w:id="745" w:name="_Toc514661351"/>
      <w:bookmarkStart w:id="746" w:name="_Toc502147246"/>
      <w:bookmarkStart w:id="747" w:name="_Toc70994065"/>
      <w:r>
        <w:rPr>
          <w:rFonts w:hint="eastAsia" w:ascii="Times New Roman" w:hAnsi="Times New Roman" w:eastAsia="仿宋" w:cs="Times New Roman"/>
          <w:color w:val="auto"/>
          <w:sz w:val="32"/>
          <w:lang w:val="en-US" w:eastAsia="zh-CN"/>
        </w:rPr>
        <w:t>1</w:t>
      </w:r>
      <w:r>
        <w:rPr>
          <w:rFonts w:hint="default" w:ascii="Times New Roman" w:hAnsi="Times New Roman" w:eastAsia="仿宋" w:cs="Times New Roman"/>
          <w:color w:val="auto"/>
          <w:sz w:val="32"/>
          <w:lang w:val="zh-CN" w:eastAsia="zh-CN"/>
        </w:rPr>
        <w:t>组织领导</w:t>
      </w:r>
      <w:bookmarkEnd w:id="736"/>
      <w:bookmarkEnd w:id="737"/>
    </w:p>
    <w:p w14:paraId="7C783392">
      <w:pPr>
        <w:pStyle w:val="5"/>
        <w:pageBreakBefore w:val="0"/>
        <w:kinsoku/>
        <w:wordWrap/>
        <w:overflowPunct/>
        <w:topLinePunct w:val="0"/>
        <w:autoSpaceDE/>
        <w:autoSpaceDN/>
        <w:bidi w:val="0"/>
        <w:adjustRightInd/>
        <w:snapToGrid/>
        <w:spacing w:before="120" w:after="120" w:line="500" w:lineRule="exact"/>
        <w:ind w:firstLine="0" w:firstLineChars="0"/>
        <w:textAlignment w:val="auto"/>
        <w:rPr>
          <w:rFonts w:eastAsia="仿宋"/>
          <w:snapToGrid w:val="0"/>
          <w:color w:val="auto"/>
          <w:sz w:val="28"/>
        </w:rPr>
      </w:pPr>
      <w:bookmarkStart w:id="748" w:name="_Toc6603"/>
      <w:bookmarkStart w:id="749" w:name="_Toc27661"/>
      <w:r>
        <w:rPr>
          <w:rFonts w:eastAsia="仿宋"/>
          <w:snapToGrid w:val="0"/>
          <w:color w:val="auto"/>
          <w:sz w:val="28"/>
        </w:rPr>
        <w:t>12.</w:t>
      </w:r>
      <w:r>
        <w:rPr>
          <w:rFonts w:hint="eastAsia" w:eastAsia="仿宋"/>
          <w:snapToGrid w:val="0"/>
          <w:color w:val="auto"/>
          <w:sz w:val="28"/>
          <w:lang w:val="en-US" w:eastAsia="zh-CN"/>
        </w:rPr>
        <w:t>1</w:t>
      </w:r>
      <w:r>
        <w:rPr>
          <w:rFonts w:eastAsia="仿宋"/>
          <w:snapToGrid w:val="0"/>
          <w:color w:val="auto"/>
          <w:sz w:val="28"/>
        </w:rPr>
        <w:t>.1加强组织领导</w:t>
      </w:r>
      <w:bookmarkEnd w:id="748"/>
      <w:bookmarkEnd w:id="749"/>
    </w:p>
    <w:bookmarkEnd w:id="739"/>
    <w:bookmarkEnd w:id="740"/>
    <w:bookmarkEnd w:id="741"/>
    <w:bookmarkEnd w:id="742"/>
    <w:bookmarkEnd w:id="743"/>
    <w:bookmarkEnd w:id="744"/>
    <w:bookmarkEnd w:id="745"/>
    <w:bookmarkEnd w:id="746"/>
    <w:bookmarkEnd w:id="747"/>
    <w:p w14:paraId="6F368697">
      <w:pPr>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bookmarkStart w:id="750" w:name="_Toc514661352"/>
      <w:bookmarkStart w:id="751" w:name="_Toc502147247"/>
      <w:bookmarkStart w:id="752" w:name="_Toc191452348"/>
      <w:bookmarkStart w:id="753" w:name="_Toc9516193"/>
      <w:bookmarkStart w:id="754" w:name="_Toc33973881"/>
      <w:r>
        <w:rPr>
          <w:rFonts w:hint="eastAsia" w:ascii="Times New Roman" w:hAnsi="Times New Roman" w:eastAsia="方正仿宋_GBK" w:cs="方正仿宋_GBK"/>
          <w:b w:val="0"/>
          <w:bCs w:val="0"/>
          <w:color w:val="auto"/>
          <w:kern w:val="2"/>
          <w:sz w:val="28"/>
          <w:szCs w:val="28"/>
          <w:lang w:val="en-US" w:eastAsia="zh-CN" w:bidi="ar-SA"/>
        </w:rPr>
        <w:t>建立生态文明建设工作领导小组，强化在全县生态文明建设的规划落实、统筹协调、资金筹集等方面核心作用，形成整体推进生态文明建设工作的合力。完善新平县生态文明建设联席会议制度，对新平县生态文明示范区创建工作进行再动员、再部署。理顺部门权责，加强部门协作，形成各部门相互协调、上下良性互动的生态文明建设机制。</w:t>
      </w:r>
      <w:bookmarkEnd w:id="750"/>
      <w:bookmarkEnd w:id="751"/>
      <w:bookmarkEnd w:id="752"/>
      <w:bookmarkEnd w:id="753"/>
      <w:bookmarkEnd w:id="754"/>
    </w:p>
    <w:p w14:paraId="29D4FC4A">
      <w:pPr>
        <w:pStyle w:val="5"/>
        <w:pageBreakBefore w:val="0"/>
        <w:kinsoku/>
        <w:wordWrap/>
        <w:overflowPunct/>
        <w:topLinePunct w:val="0"/>
        <w:autoSpaceDE/>
        <w:autoSpaceDN/>
        <w:bidi w:val="0"/>
        <w:adjustRightInd/>
        <w:snapToGrid/>
        <w:spacing w:before="120" w:after="120" w:line="500" w:lineRule="exact"/>
        <w:ind w:firstLine="0" w:firstLineChars="0"/>
        <w:textAlignment w:val="auto"/>
        <w:rPr>
          <w:rFonts w:eastAsia="仿宋"/>
          <w:snapToGrid w:val="0"/>
          <w:color w:val="auto"/>
          <w:sz w:val="28"/>
        </w:rPr>
      </w:pPr>
      <w:bookmarkStart w:id="755" w:name="_Toc1488"/>
      <w:bookmarkStart w:id="756" w:name="_Toc1638"/>
      <w:r>
        <w:rPr>
          <w:rFonts w:eastAsia="仿宋"/>
          <w:snapToGrid w:val="0"/>
          <w:color w:val="auto"/>
          <w:sz w:val="28"/>
        </w:rPr>
        <w:t>12.</w:t>
      </w:r>
      <w:r>
        <w:rPr>
          <w:rFonts w:hint="eastAsia" w:eastAsia="仿宋"/>
          <w:snapToGrid w:val="0"/>
          <w:color w:val="auto"/>
          <w:sz w:val="28"/>
          <w:lang w:val="en-US" w:eastAsia="zh-CN"/>
        </w:rPr>
        <w:t>1</w:t>
      </w:r>
      <w:r>
        <w:rPr>
          <w:rFonts w:eastAsia="仿宋"/>
          <w:snapToGrid w:val="0"/>
          <w:color w:val="auto"/>
          <w:sz w:val="28"/>
        </w:rPr>
        <w:t>.2建立健全目标责任制</w:t>
      </w:r>
      <w:bookmarkEnd w:id="755"/>
      <w:bookmarkEnd w:id="756"/>
    </w:p>
    <w:p w14:paraId="34F5BB78">
      <w:pPr>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落实党政主体责任。落实领导干部生态文明建设责任制，严格实行党政同责、一岗双责，各乡镇、街道主要负责人是本行政区域生态环境保护第一责任人，对本行政区域的生态环境保护工作及生态环境质量负总责。其他有关领导成员在职责范围内承担相应责任。区直和乡镇各相关部门要落实“一岗双责”要求，抓发展的必须管环保、抓生产的必须管环保、管行业的也必须管环保，使各部门分工协作、共同发力。</w:t>
      </w:r>
    </w:p>
    <w:p w14:paraId="2FFA1BA3">
      <w:pPr>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根据生态环境保护责任清单，把任务分解落实到有关部门。完善生态文明责任落实机制。各乡镇、街道主要负责人至少每季度研究一次生态环境保护工作。出台《新平县县级有关部门和单位生态环境保护责任清单》，严格落实生态环境保护“党政同责”“一岗双责”。各乡镇和区直相关部门制定生态环境保护年度工作计划和措施。</w:t>
      </w:r>
    </w:p>
    <w:p w14:paraId="4E36E721">
      <w:pPr>
        <w:pStyle w:val="4"/>
        <w:pageBreakBefore w:val="0"/>
        <w:kinsoku/>
        <w:wordWrap/>
        <w:overflowPunct/>
        <w:topLinePunct w:val="0"/>
        <w:autoSpaceDE/>
        <w:autoSpaceDN/>
        <w:bidi w:val="0"/>
        <w:adjustRightInd/>
        <w:snapToGrid/>
        <w:spacing w:before="260" w:after="260" w:line="500" w:lineRule="exact"/>
        <w:ind w:firstLine="0"/>
        <w:textAlignment w:val="auto"/>
        <w:rPr>
          <w:rFonts w:hint="default" w:ascii="Times New Roman" w:hAnsi="Times New Roman" w:eastAsia="仿宋" w:cs="Times New Roman"/>
          <w:color w:val="auto"/>
          <w:sz w:val="32"/>
          <w:lang w:val="zh-CN" w:eastAsia="zh-CN"/>
        </w:rPr>
      </w:pPr>
      <w:bookmarkStart w:id="757" w:name="_Toc27325"/>
      <w:bookmarkStart w:id="758" w:name="_Toc2917"/>
      <w:r>
        <w:rPr>
          <w:rFonts w:hint="default" w:ascii="Times New Roman" w:hAnsi="Times New Roman" w:eastAsia="仿宋" w:cs="Times New Roman"/>
          <w:color w:val="auto"/>
          <w:sz w:val="32"/>
          <w:lang w:val="zh-CN" w:eastAsia="zh-CN"/>
        </w:rPr>
        <w:t>12.</w:t>
      </w:r>
      <w:r>
        <w:rPr>
          <w:rFonts w:hint="eastAsia" w:ascii="Times New Roman" w:hAnsi="Times New Roman" w:eastAsia="仿宋" w:cs="Times New Roman"/>
          <w:color w:val="auto"/>
          <w:sz w:val="32"/>
          <w:lang w:val="en-US" w:eastAsia="zh-CN"/>
        </w:rPr>
        <w:t>2</w:t>
      </w:r>
      <w:r>
        <w:rPr>
          <w:rFonts w:hint="default" w:ascii="Times New Roman" w:hAnsi="Times New Roman" w:eastAsia="仿宋" w:cs="Times New Roman"/>
          <w:color w:val="auto"/>
          <w:sz w:val="32"/>
          <w:lang w:val="zh-CN" w:eastAsia="zh-CN"/>
        </w:rPr>
        <w:t>监督考核</w:t>
      </w:r>
      <w:bookmarkEnd w:id="757"/>
      <w:bookmarkEnd w:id="758"/>
    </w:p>
    <w:p w14:paraId="17C3BE04">
      <w:pPr>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（1）加大督导督查</w:t>
      </w:r>
    </w:p>
    <w:p w14:paraId="22BDC3D2">
      <w:pPr>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sectPr>
          <w:footerReference r:id="rId21" w:type="default"/>
          <w:pgSz w:w="11906" w:h="16838"/>
          <w:pgMar w:top="1440" w:right="1800" w:bottom="1440" w:left="1800" w:header="851" w:footer="992" w:gutter="0"/>
          <w:pgNumType w:fmt="decimal"/>
          <w:cols w:space="425" w:num="1"/>
          <w:docGrid w:type="lines" w:linePitch="312" w:charSpace="0"/>
        </w:sectPr>
      </w:pPr>
    </w:p>
    <w:p w14:paraId="7E2064F8">
      <w:pPr>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将生态文明建设规划项目按年度分阶段纳入政府重点项目，建立工作督办制度，加快推进实施。任务分解、明确责任，把生态文明建设重点项目和重要工程纳入责任考核范围。</w:t>
      </w:r>
    </w:p>
    <w:p w14:paraId="544A8366">
      <w:pPr>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（2）强化考核问责</w:t>
      </w:r>
    </w:p>
    <w:p w14:paraId="076C308B">
      <w:pPr>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对生态文明年度目标任务未完成、不顾生态环境盲目决策、违法违规的情况及时通报。加强对在生态环境方面造成严重破坏负有责任的干部问责力度，不得提拔使用或者转任重要职务。对不顾生态环境盲目决策、违法违规审批开发利用规划和建设项目的，对造成生态环境质量恶化、生态严重破坏的，对生态环境事件多发高发、应对不力、群众反映强烈的，对生态环境保护责任不及时履行、没有落实、推诿无担当、没有完成工作任务的，依法依纪问责制、终身追责并及时通报。</w:t>
      </w:r>
    </w:p>
    <w:p w14:paraId="2AFC8A93">
      <w:pPr>
        <w:pStyle w:val="4"/>
        <w:pageBreakBefore w:val="0"/>
        <w:kinsoku/>
        <w:wordWrap/>
        <w:overflowPunct/>
        <w:topLinePunct w:val="0"/>
        <w:autoSpaceDE/>
        <w:autoSpaceDN/>
        <w:bidi w:val="0"/>
        <w:adjustRightInd/>
        <w:snapToGrid/>
        <w:spacing w:before="260" w:after="260" w:line="500" w:lineRule="exact"/>
        <w:ind w:firstLine="0"/>
        <w:textAlignment w:val="auto"/>
        <w:rPr>
          <w:rFonts w:hint="default" w:ascii="Times New Roman" w:hAnsi="Times New Roman" w:eastAsia="仿宋" w:cs="Times New Roman"/>
          <w:color w:val="auto"/>
          <w:sz w:val="32"/>
          <w:lang w:val="zh-CN" w:eastAsia="zh-CN"/>
        </w:rPr>
      </w:pPr>
      <w:bookmarkStart w:id="759" w:name="_Toc25410"/>
      <w:bookmarkStart w:id="760" w:name="_Toc6822"/>
      <w:r>
        <w:rPr>
          <w:rFonts w:hint="default" w:ascii="Times New Roman" w:hAnsi="Times New Roman" w:eastAsia="仿宋" w:cs="Times New Roman"/>
          <w:color w:val="auto"/>
          <w:sz w:val="32"/>
          <w:lang w:val="zh-CN" w:eastAsia="zh-CN"/>
        </w:rPr>
        <w:t>12.</w:t>
      </w:r>
      <w:r>
        <w:rPr>
          <w:rFonts w:hint="eastAsia" w:ascii="Times New Roman" w:hAnsi="Times New Roman" w:eastAsia="仿宋" w:cs="Times New Roman"/>
          <w:color w:val="auto"/>
          <w:sz w:val="32"/>
          <w:lang w:val="en-US" w:eastAsia="zh-CN"/>
        </w:rPr>
        <w:t>3</w:t>
      </w:r>
      <w:r>
        <w:rPr>
          <w:rFonts w:hint="default" w:ascii="Times New Roman" w:hAnsi="Times New Roman" w:eastAsia="仿宋" w:cs="Times New Roman"/>
          <w:color w:val="auto"/>
          <w:sz w:val="32"/>
          <w:lang w:val="zh-CN" w:eastAsia="zh-CN"/>
        </w:rPr>
        <w:t>资金保障</w:t>
      </w:r>
      <w:bookmarkEnd w:id="759"/>
      <w:bookmarkEnd w:id="760"/>
    </w:p>
    <w:p w14:paraId="39F0AC45">
      <w:pPr>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多渠道筹措生态文明建设资金。通过政府引导和直接支持，深化完善社会投融资体系，拓展融资渠道，发挥新平县创投资金聚集优势，鼓励和支持社会资金转向生态文明建设领域。增加财政支出中生态文明建设的财政支出比例，逐步加大生态环保投资。积极申请国家和省市专项建设资金，重点建设符合新平生态文明建设的经济结构调整和转型升级、环境保护和生态建设、污染治理和废弃资源再生利用等项目。增加财政支出中生态文明建设的财政支出比例，把生态文明建设作为预算保障的重点，确保生态文明建设资金的稳定投入。</w:t>
      </w:r>
    </w:p>
    <w:p w14:paraId="6B4363C3">
      <w:pPr>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严格生态文明建设资金管理。设立生态文明建设专项资金管理小组，完善资金审批和监管机制，提高资金使用效率，统筹建设资金，确保建设目标和重点项目按计划推进。</w:t>
      </w:r>
    </w:p>
    <w:p w14:paraId="33B68A06">
      <w:pPr>
        <w:pStyle w:val="4"/>
        <w:pageBreakBefore w:val="0"/>
        <w:kinsoku/>
        <w:wordWrap/>
        <w:overflowPunct/>
        <w:topLinePunct w:val="0"/>
        <w:autoSpaceDE/>
        <w:autoSpaceDN/>
        <w:bidi w:val="0"/>
        <w:adjustRightInd/>
        <w:snapToGrid/>
        <w:spacing w:before="260" w:after="260" w:line="500" w:lineRule="exact"/>
        <w:ind w:firstLine="0"/>
        <w:textAlignment w:val="auto"/>
        <w:rPr>
          <w:rFonts w:hint="default" w:ascii="Times New Roman" w:hAnsi="Times New Roman" w:eastAsia="仿宋" w:cs="Times New Roman"/>
          <w:color w:val="auto"/>
          <w:sz w:val="32"/>
          <w:lang w:val="zh-CN" w:eastAsia="zh-CN"/>
        </w:rPr>
      </w:pPr>
      <w:bookmarkStart w:id="761" w:name="_Toc22034"/>
      <w:bookmarkStart w:id="762" w:name="_Toc2560"/>
      <w:r>
        <w:rPr>
          <w:rFonts w:hint="default" w:ascii="Times New Roman" w:hAnsi="Times New Roman" w:eastAsia="仿宋" w:cs="Times New Roman"/>
          <w:color w:val="auto"/>
          <w:sz w:val="32"/>
          <w:lang w:val="zh-CN" w:eastAsia="zh-CN"/>
        </w:rPr>
        <w:t>12.</w:t>
      </w:r>
      <w:r>
        <w:rPr>
          <w:rFonts w:hint="eastAsia" w:ascii="Times New Roman" w:hAnsi="Times New Roman" w:eastAsia="仿宋" w:cs="Times New Roman"/>
          <w:color w:val="auto"/>
          <w:sz w:val="32"/>
          <w:lang w:val="en-US" w:eastAsia="zh-CN"/>
        </w:rPr>
        <w:t>4</w:t>
      </w:r>
      <w:r>
        <w:rPr>
          <w:rFonts w:hint="default" w:ascii="Times New Roman" w:hAnsi="Times New Roman" w:eastAsia="仿宋" w:cs="Times New Roman"/>
          <w:color w:val="auto"/>
          <w:sz w:val="32"/>
          <w:lang w:val="zh-CN" w:eastAsia="zh-CN"/>
        </w:rPr>
        <w:t>科技</w:t>
      </w:r>
      <w:bookmarkEnd w:id="761"/>
      <w:r>
        <w:rPr>
          <w:rFonts w:hint="default" w:ascii="Times New Roman" w:hAnsi="Times New Roman" w:eastAsia="仿宋" w:cs="Times New Roman"/>
          <w:color w:val="auto"/>
          <w:sz w:val="32"/>
          <w:lang w:val="zh-CN" w:eastAsia="zh-CN"/>
        </w:rPr>
        <w:t>支撑</w:t>
      </w:r>
      <w:bookmarkEnd w:id="762"/>
    </w:p>
    <w:p w14:paraId="249D10ED">
      <w:pPr>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en-US" w:eastAsia="zh-CN" w:bidi="ar-SA"/>
        </w:rPr>
        <w:t>（1）</w:t>
      </w:r>
      <w:r>
        <w:rPr>
          <w:rFonts w:hint="eastAsia" w:ascii="Times New Roman" w:hAnsi="Times New Roman" w:eastAsia="方正仿宋_GBK" w:cs="方正仿宋_GBK"/>
          <w:b w:val="0"/>
          <w:bCs w:val="0"/>
          <w:color w:val="auto"/>
          <w:kern w:val="2"/>
          <w:sz w:val="28"/>
          <w:szCs w:val="28"/>
          <w:lang w:val="zh-CN" w:eastAsia="zh-CN" w:bidi="ar-SA"/>
        </w:rPr>
        <w:t>培养生态文明建设的人才队伍</w:t>
      </w:r>
    </w:p>
    <w:p w14:paraId="69A20067">
      <w:pPr>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拓宽人才引进机制，抓实人才引进。积极对接云南省和玉溪市“百千万人才计划”等专项人才政策，深入实施“兴玉英才”人才培养工程，开展企业家“菜单式”培训，培养具有较高科技素养、善于开拓市场、引领转型升级的优秀企业家及后备人才队伍。支持企业引进院士、专家到新平建立工作站。探索实施“产业基金+孵化器+专业团队”的引才模式，盘活人才存量、做大人才总量、做优人才增量，培养引进高端人才和人才团队。优化人才教育培训。搭建高技能人才训练公共服务平台，对支柱产业和战略性新兴产业紧缺的高技能人才提供培训资助。政府资金补贴，整合全</w:t>
      </w:r>
      <w:r>
        <w:rPr>
          <w:rFonts w:hint="eastAsia" w:ascii="Times New Roman" w:hAnsi="Times New Roman" w:eastAsia="方正仿宋_GBK" w:cs="方正仿宋_GBK"/>
          <w:b w:val="0"/>
          <w:bCs w:val="0"/>
          <w:color w:val="auto"/>
          <w:kern w:val="2"/>
          <w:sz w:val="28"/>
          <w:szCs w:val="28"/>
          <w:lang w:val="en-US" w:eastAsia="zh-CN" w:bidi="ar-SA"/>
        </w:rPr>
        <w:t>县</w:t>
      </w:r>
      <w:r>
        <w:rPr>
          <w:rFonts w:hint="eastAsia" w:ascii="Times New Roman" w:hAnsi="Times New Roman" w:eastAsia="方正仿宋_GBK" w:cs="方正仿宋_GBK"/>
          <w:b w:val="0"/>
          <w:bCs w:val="0"/>
          <w:color w:val="auto"/>
          <w:kern w:val="2"/>
          <w:sz w:val="28"/>
          <w:szCs w:val="28"/>
          <w:lang w:val="zh-CN" w:eastAsia="zh-CN" w:bidi="ar-SA"/>
        </w:rPr>
        <w:t>职业教育和各类培训资源，支持有条件的龙头企业建立培训机构，鼓励和资助企业员工参加技术再培训。</w:t>
      </w:r>
    </w:p>
    <w:p w14:paraId="663994A9">
      <w:pPr>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建立人才激励机制。扩展专家骨干待遇提升空间，保护并发挥好现有人才的积极性和专业性。设立创新奖励制度，完善辖区人才认定、培养和管理办法，组建科技专家库，开展科技人才评选活动，落实对科技人才的各项激励机制，对有突出贡献的专业人才给予奖励。深化国内外科技合作，充分利用区位和政策优势，积极开展技术、人才、管理等领域方面的国际交流与合作。</w:t>
      </w:r>
    </w:p>
    <w:p w14:paraId="24CA3475">
      <w:pPr>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en-US" w:eastAsia="zh-CN" w:bidi="ar-SA"/>
        </w:rPr>
        <w:t>（2）</w:t>
      </w:r>
      <w:r>
        <w:rPr>
          <w:rFonts w:hint="eastAsia" w:ascii="Times New Roman" w:hAnsi="Times New Roman" w:eastAsia="方正仿宋_GBK" w:cs="方正仿宋_GBK"/>
          <w:b w:val="0"/>
          <w:bCs w:val="0"/>
          <w:color w:val="auto"/>
          <w:kern w:val="2"/>
          <w:sz w:val="28"/>
          <w:szCs w:val="28"/>
          <w:lang w:val="zh-CN" w:eastAsia="zh-CN" w:bidi="ar-SA"/>
        </w:rPr>
        <w:t>加强技术创新</w:t>
      </w:r>
    </w:p>
    <w:p w14:paraId="449EEA81">
      <w:pPr>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加大科技支撑力度，优先支持大气污染防治、污水深度处理、垃圾处置、固体废物资源化利用、园区循环化改造、绿色能源、绿色建筑等节能环保关键技术的研发、示范与推广。强化科技创新，高标准打造电动工具产业创新服务综合体；实施行业共性关键技术攻关项目。</w:t>
      </w:r>
    </w:p>
    <w:p w14:paraId="49F51925">
      <w:pPr>
        <w:pStyle w:val="4"/>
        <w:pageBreakBefore w:val="0"/>
        <w:kinsoku/>
        <w:wordWrap/>
        <w:overflowPunct/>
        <w:topLinePunct w:val="0"/>
        <w:autoSpaceDE/>
        <w:autoSpaceDN/>
        <w:bidi w:val="0"/>
        <w:adjustRightInd/>
        <w:snapToGrid/>
        <w:spacing w:before="260" w:after="260" w:line="500" w:lineRule="exact"/>
        <w:ind w:firstLine="0"/>
        <w:textAlignment w:val="auto"/>
        <w:rPr>
          <w:rFonts w:hint="default" w:ascii="Times New Roman" w:hAnsi="Times New Roman" w:eastAsia="仿宋" w:cs="Times New Roman"/>
          <w:color w:val="auto"/>
          <w:sz w:val="32"/>
          <w:lang w:val="zh-CN" w:eastAsia="zh-CN"/>
        </w:rPr>
      </w:pPr>
      <w:bookmarkStart w:id="763" w:name="_Toc4690"/>
      <w:bookmarkStart w:id="764" w:name="_Toc23664"/>
      <w:r>
        <w:rPr>
          <w:rFonts w:hint="default" w:ascii="Times New Roman" w:hAnsi="Times New Roman" w:eastAsia="仿宋" w:cs="Times New Roman"/>
          <w:color w:val="auto"/>
          <w:sz w:val="32"/>
          <w:lang w:val="zh-CN" w:eastAsia="zh-CN"/>
        </w:rPr>
        <w:t>12.</w:t>
      </w:r>
      <w:r>
        <w:rPr>
          <w:rFonts w:hint="eastAsia" w:ascii="Times New Roman" w:hAnsi="Times New Roman" w:eastAsia="仿宋" w:cs="Times New Roman"/>
          <w:color w:val="auto"/>
          <w:sz w:val="32"/>
          <w:lang w:val="en-US" w:eastAsia="zh-CN"/>
        </w:rPr>
        <w:t>5</w:t>
      </w:r>
      <w:r>
        <w:rPr>
          <w:rFonts w:hint="default" w:ascii="Times New Roman" w:hAnsi="Times New Roman" w:eastAsia="仿宋" w:cs="Times New Roman"/>
          <w:color w:val="auto"/>
          <w:sz w:val="32"/>
          <w:lang w:val="zh-CN" w:eastAsia="zh-CN"/>
        </w:rPr>
        <w:t>社会参与</w:t>
      </w:r>
      <w:bookmarkEnd w:id="763"/>
      <w:bookmarkEnd w:id="764"/>
    </w:p>
    <w:p w14:paraId="1ED4EDDC">
      <w:pPr>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着力环境信息公开，扩大公开范围，完善公开方式，确保环境信息公开率达到100%。建立完善政府环境管理信息公开制度、公众听证制度，健全举报制度，加强社会监督。环保部门设置专门的污染源环境监管信息公开栏目；推动建立企业环境信息公开化制度，监督企业按规定公开污染物排放自行监测信息。</w:t>
      </w:r>
    </w:p>
    <w:p w14:paraId="01C376B0">
      <w:pPr>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zh-CN" w:eastAsia="zh-CN" w:bidi="ar-SA"/>
        </w:rPr>
        <w:sectPr>
          <w:footerReference r:id="rId22" w:type="default"/>
          <w:pgSz w:w="11906" w:h="16838"/>
          <w:pgMar w:top="1440" w:right="1800" w:bottom="1440" w:left="1800" w:header="851" w:footer="992" w:gutter="0"/>
          <w:pgNumType w:fmt="decimal"/>
          <w:cols w:space="425" w:num="1"/>
          <w:docGrid w:type="lines" w:linePitch="312" w:charSpace="0"/>
        </w:sectPr>
      </w:pPr>
      <w:r>
        <w:rPr>
          <w:rFonts w:hint="eastAsia" w:ascii="Times New Roman" w:hAnsi="Times New Roman" w:eastAsia="方正仿宋_GBK" w:cs="方正仿宋_GBK"/>
          <w:b w:val="0"/>
          <w:bCs w:val="0"/>
          <w:color w:val="auto"/>
          <w:kern w:val="2"/>
          <w:sz w:val="28"/>
          <w:szCs w:val="28"/>
          <w:lang w:val="zh-CN" w:eastAsia="zh-CN" w:bidi="ar-SA"/>
        </w:rPr>
        <w:t>健全举报制度，完善公众参与机制。全面实施环保举报投诉热线畅通工程，健全环境污染有奖举报制度。加快培育民间环保组织，充分发挥民间环保组织、公众、新闻媒体监督作用，构建全民参与的社会行动体系。推行环保监督员制度，形成网格化管理，借助全社会的力量对环境污染违法行为进行监督举报。积极探索公众参与环保的新途径、新方式，建立企业、街道、社区、居民交流平台，增强政府、企业和公众的互动沟通。建立全民参与的社会行动体系。推行环保监督员制度，形成网格化、公开化制度，监督企业按规定公开重点污染物排放情况。</w:t>
      </w:r>
    </w:p>
    <w:bookmarkEnd w:id="738"/>
    <w:p w14:paraId="0062B099">
      <w:pPr>
        <w:pStyle w:val="11"/>
        <w:rPr>
          <w:rFonts w:ascii="Times New Roman" w:hAnsi="Times New Roman" w:eastAsia="仿宋" w:cs="Times New Roman"/>
          <w:color w:val="FF0000"/>
          <w:sz w:val="24"/>
        </w:rPr>
      </w:pPr>
    </w:p>
    <w:sectPr>
      <w:footerReference r:id="rId23" w:type="default"/>
      <w:pgSz w:w="11906" w:h="16838"/>
      <w:pgMar w:top="1440" w:right="1800" w:bottom="1440"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1" w:fontKey="{69C92178-9861-41CA-9AA1-12D5113848B5}"/>
  </w:font>
  <w:font w:name="仿宋_GB2312">
    <w:panose1 w:val="02010609030101010101"/>
    <w:charset w:val="86"/>
    <w:family w:val="auto"/>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auto"/>
    <w:pitch w:val="default"/>
    <w:sig w:usb0="800002BF" w:usb1="38CF7CFA" w:usb2="00000016" w:usb3="00000000" w:csb0="00040001" w:csb1="00000000"/>
    <w:embedRegular r:id="rId2" w:fontKey="{74FD4500-EABA-485E-B385-C7AC90164037}"/>
  </w:font>
  <w:font w:name="Consolas">
    <w:panose1 w:val="020B0609020204030204"/>
    <w:charset w:val="00"/>
    <w:family w:val="modern"/>
    <w:pitch w:val="default"/>
    <w:sig w:usb0="E10002FF" w:usb1="4000FCFF" w:usb2="00000009" w:usb3="00000000" w:csb0="6000019F" w:csb1="DFD70000"/>
  </w:font>
  <w:font w:name="Tahoma">
    <w:panose1 w:val="020B0604030504040204"/>
    <w:charset w:val="00"/>
    <w:family w:val="swiss"/>
    <w:pitch w:val="default"/>
    <w:sig w:usb0="E1002EFF" w:usb1="C000605B" w:usb2="00000029" w:usb3="00000000" w:csb0="200101FF" w:csb1="20280000"/>
  </w:font>
  <w:font w:name="MingLiU">
    <w:panose1 w:val="02020509000000000000"/>
    <w:charset w:val="88"/>
    <w:family w:val="modern"/>
    <w:pitch w:val="default"/>
    <w:sig w:usb0="A00002FF" w:usb1="28CFFCFA" w:usb2="00000016" w:usb3="00000000" w:csb0="00100001" w:csb1="00000000"/>
  </w:font>
  <w:font w:name="方正黑体_GBK">
    <w:panose1 w:val="03000509000000000000"/>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方正仿宋_GBK">
    <w:panose1 w:val="03000509000000000000"/>
    <w:charset w:val="86"/>
    <w:family w:val="script"/>
    <w:pitch w:val="default"/>
    <w:sig w:usb0="00000001" w:usb1="080E0000" w:usb2="00000000" w:usb3="00000000" w:csb0="00040000" w:csb1="00000000"/>
    <w:embedRegular r:id="rId3" w:fontKey="{07535B0A-8193-4924-B96B-B0C7ABF00E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AF887E">
    <w:pPr>
      <w:pStyle w:val="18"/>
    </w:pPr>
    <w:r>
      <w:rPr>
        <w:rFonts w:hint="eastAsia"/>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B4CB7C">
    <w:pPr>
      <w:pStyle w:val="18"/>
      <w:jc w:val="cente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72E545">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5A72E545">
                    <w:pPr>
                      <w:pStyle w:val="18"/>
                    </w:pPr>
                    <w:r>
                      <w:fldChar w:fldCharType="begin"/>
                    </w:r>
                    <w:r>
                      <w:instrText xml:space="preserve"> PAGE  \* MERGEFORMAT </w:instrText>
                    </w:r>
                    <w:r>
                      <w:fldChar w:fldCharType="separate"/>
                    </w:r>
                    <w:r>
                      <w:t>1</w:t>
                    </w:r>
                    <w:r>
                      <w:fldChar w:fldCharType="end"/>
                    </w:r>
                  </w:p>
                </w:txbxContent>
              </v:textbox>
            </v:shape>
          </w:pict>
        </mc:Fallback>
      </mc:AlternateContent>
    </w:r>
  </w:p>
  <w:p w14:paraId="13C6A3E3">
    <w:pPr>
      <w:pStyle w:val="18"/>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197ECC">
    <w:pPr>
      <w:pStyle w:val="18"/>
      <w:jc w:val="cente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F847E0">
                          <w:pPr>
                            <w:pStyle w:val="18"/>
                          </w:pPr>
                          <w:r>
                            <w:fldChar w:fldCharType="begin"/>
                          </w:r>
                          <w:r>
                            <w:instrText xml:space="preserve"> PAGE  \* MERGEFORMAT </w:instrText>
                          </w:r>
                          <w:r>
                            <w:fldChar w:fldCharType="separate"/>
                          </w:r>
                          <w:r>
                            <w:t>211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7AF847E0">
                    <w:pPr>
                      <w:pStyle w:val="18"/>
                    </w:pPr>
                    <w:r>
                      <w:fldChar w:fldCharType="begin"/>
                    </w:r>
                    <w:r>
                      <w:instrText xml:space="preserve"> PAGE  \* MERGEFORMAT </w:instrText>
                    </w:r>
                    <w:r>
                      <w:fldChar w:fldCharType="separate"/>
                    </w:r>
                    <w:r>
                      <w:t>211</w:t>
                    </w:r>
                    <w:r>
                      <w:fldChar w:fldCharType="end"/>
                    </w:r>
                  </w:p>
                </w:txbxContent>
              </v:textbox>
            </v:shape>
          </w:pict>
        </mc:Fallback>
      </mc:AlternateContent>
    </w:r>
  </w:p>
  <w:p w14:paraId="40170F1F">
    <w:pPr>
      <w:pStyle w:val="18"/>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7536C3">
    <w:pPr>
      <w:pStyle w:val="18"/>
      <w:jc w:val="cente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3F0B39">
                          <w:pPr>
                            <w:pStyle w:val="18"/>
                          </w:pPr>
                          <w:r>
                            <w:fldChar w:fldCharType="begin"/>
                          </w:r>
                          <w:r>
                            <w:instrText xml:space="preserve"> PAGE  \* MERGEFORMAT </w:instrText>
                          </w:r>
                          <w:r>
                            <w:fldChar w:fldCharType="separate"/>
                          </w:r>
                          <w:r>
                            <w:t>212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0B3F0B39">
                    <w:pPr>
                      <w:pStyle w:val="18"/>
                    </w:pPr>
                    <w:r>
                      <w:fldChar w:fldCharType="begin"/>
                    </w:r>
                    <w:r>
                      <w:instrText xml:space="preserve"> PAGE  \* MERGEFORMAT </w:instrText>
                    </w:r>
                    <w:r>
                      <w:fldChar w:fldCharType="separate"/>
                    </w:r>
                    <w:r>
                      <w:t>212</w:t>
                    </w:r>
                    <w:r>
                      <w:fldChar w:fldCharType="end"/>
                    </w:r>
                  </w:p>
                </w:txbxContent>
              </v:textbox>
            </v:shape>
          </w:pict>
        </mc:Fallback>
      </mc:AlternateContent>
    </w:r>
  </w:p>
  <w:p w14:paraId="6D36FFD4">
    <w:pPr>
      <w:pStyle w:val="18"/>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FB7E02">
    <w:pPr>
      <w:pStyle w:val="18"/>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95DD12">
                          <w:pPr>
                            <w:pStyle w:val="18"/>
                          </w:pPr>
                          <w:r>
                            <w:fldChar w:fldCharType="begin"/>
                          </w:r>
                          <w:r>
                            <w:instrText xml:space="preserve"> PAGE  \* MERGEFORMAT </w:instrText>
                          </w:r>
                          <w:r>
                            <w:fldChar w:fldCharType="separate"/>
                          </w:r>
                          <w:r>
                            <w:t>215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5895DD12">
                    <w:pPr>
                      <w:pStyle w:val="18"/>
                    </w:pPr>
                    <w:r>
                      <w:fldChar w:fldCharType="begin"/>
                    </w:r>
                    <w:r>
                      <w:instrText xml:space="preserve"> PAGE  \* MERGEFORMAT </w:instrText>
                    </w:r>
                    <w:r>
                      <w:fldChar w:fldCharType="separate"/>
                    </w:r>
                    <w:r>
                      <w:t>215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23C156">
    <w:pPr>
      <w:pStyle w:val="18"/>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2105FE"/>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u0uKUt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q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u0uKUtAgAAVwQAAA4AAAAAAAAAAQAgAAAAHwEAAGRycy9lMm9Eb2MueG1sUEsFBgAAAAAG&#10;AAYAWQEAAL4FAAAAAA==&#10;">
              <v:fill on="f" focussize="0,0"/>
              <v:stroke on="f" weight="0.5pt"/>
              <v:imagedata o:title=""/>
              <o:lock v:ext="edit" aspectratio="f"/>
              <v:textbox inset="0mm,0mm,0mm,0mm" style="mso-fit-shape-to-text:t;">
                <w:txbxContent>
                  <w:p w14:paraId="222105FE"/>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4DC396">
    <w:pPr>
      <w:pStyle w:val="18"/>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1E6B09">
                          <w:pPr>
                            <w:pStyle w:val="18"/>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A1E6B09">
                    <w:pPr>
                      <w:pStyle w:val="18"/>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567958">
    <w:pPr>
      <w:pStyle w:val="18"/>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495B8A">
                          <w:pPr>
                            <w:pStyle w:val="18"/>
                          </w:pPr>
                          <w:r>
                            <w:fldChar w:fldCharType="begin"/>
                          </w:r>
                          <w:r>
                            <w:instrText xml:space="preserve"> PAGE  \* MERGEFORMAT </w:instrText>
                          </w:r>
                          <w:r>
                            <w:fldChar w:fldCharType="separate"/>
                          </w:r>
                          <w:r>
                            <w:t>81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47495B8A">
                    <w:pPr>
                      <w:pStyle w:val="18"/>
                    </w:pPr>
                    <w:r>
                      <w:fldChar w:fldCharType="begin"/>
                    </w:r>
                    <w:r>
                      <w:instrText xml:space="preserve"> PAGE  \* MERGEFORMAT </w:instrText>
                    </w:r>
                    <w:r>
                      <w:fldChar w:fldCharType="separate"/>
                    </w:r>
                    <w:r>
                      <w:t>81</w:t>
                    </w:r>
                    <w:r>
                      <w:fldChar w:fldCharType="end"/>
                    </w:r>
                  </w:p>
                </w:txbxContent>
              </v:textbox>
            </v:shape>
          </w:pict>
        </mc:Fallback>
      </mc:AlternateContent>
    </w:r>
  </w:p>
  <w:p w14:paraId="0D954B58">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E4E9F6">
    <w:pPr>
      <w:pStyle w:val="18"/>
      <w:jc w:val="cente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C329E9">
                          <w:pPr>
                            <w:pStyle w:val="18"/>
                          </w:pPr>
                          <w:r>
                            <w:fldChar w:fldCharType="begin"/>
                          </w:r>
                          <w:r>
                            <w:instrText xml:space="preserve"> PAGE  \* MERGEFORMAT </w:instrText>
                          </w:r>
                          <w:r>
                            <w:fldChar w:fldCharType="separate"/>
                          </w:r>
                          <w:r>
                            <w:t>144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37C329E9">
                    <w:pPr>
                      <w:pStyle w:val="18"/>
                    </w:pPr>
                    <w:r>
                      <w:fldChar w:fldCharType="begin"/>
                    </w:r>
                    <w:r>
                      <w:instrText xml:space="preserve"> PAGE  \* MERGEFORMAT </w:instrText>
                    </w:r>
                    <w:r>
                      <w:fldChar w:fldCharType="separate"/>
                    </w:r>
                    <w:r>
                      <w:t>144</w:t>
                    </w:r>
                    <w:r>
                      <w:fldChar w:fldCharType="end"/>
                    </w:r>
                  </w:p>
                </w:txbxContent>
              </v:textbox>
            </v:shape>
          </w:pict>
        </mc:Fallback>
      </mc:AlternateContent>
    </w:r>
  </w:p>
  <w:p w14:paraId="7EBEEB3B">
    <w:pPr>
      <w:pStyle w:val="1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3058FF">
    <w:pPr>
      <w:pStyle w:val="18"/>
      <w:jc w:val="cente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24F5CF">
                          <w:pPr>
                            <w:pStyle w:val="18"/>
                          </w:pPr>
                          <w:r>
                            <w:fldChar w:fldCharType="begin"/>
                          </w:r>
                          <w:r>
                            <w:instrText xml:space="preserve"> PAGE  \* MERGEFORMAT </w:instrText>
                          </w:r>
                          <w:r>
                            <w:fldChar w:fldCharType="separate"/>
                          </w:r>
                          <w:r>
                            <w:t>191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6D24F5CF">
                    <w:pPr>
                      <w:pStyle w:val="18"/>
                    </w:pPr>
                    <w:r>
                      <w:fldChar w:fldCharType="begin"/>
                    </w:r>
                    <w:r>
                      <w:instrText xml:space="preserve"> PAGE  \* MERGEFORMAT </w:instrText>
                    </w:r>
                    <w:r>
                      <w:fldChar w:fldCharType="separate"/>
                    </w:r>
                    <w:r>
                      <w:t>191</w:t>
                    </w:r>
                    <w:r>
                      <w:fldChar w:fldCharType="end"/>
                    </w:r>
                  </w:p>
                </w:txbxContent>
              </v:textbox>
            </v:shape>
          </w:pict>
        </mc:Fallback>
      </mc:AlternateContent>
    </w:r>
  </w:p>
  <w:p w14:paraId="7607F25D">
    <w:pPr>
      <w:pStyle w:val="1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EEAF7C">
    <w:pPr>
      <w:pStyle w:val="18"/>
      <w:jc w:val="cente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702438">
                          <w:pPr>
                            <w:pStyle w:val="18"/>
                          </w:pPr>
                          <w:r>
                            <w:fldChar w:fldCharType="begin"/>
                          </w:r>
                          <w:r>
                            <w:instrText xml:space="preserve"> PAGE  \* MERGEFORMAT </w:instrText>
                          </w:r>
                          <w:r>
                            <w:fldChar w:fldCharType="separate"/>
                          </w:r>
                          <w:r>
                            <w:t>201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28702438">
                    <w:pPr>
                      <w:pStyle w:val="18"/>
                    </w:pPr>
                    <w:r>
                      <w:fldChar w:fldCharType="begin"/>
                    </w:r>
                    <w:r>
                      <w:instrText xml:space="preserve"> PAGE  \* MERGEFORMAT </w:instrText>
                    </w:r>
                    <w:r>
                      <w:fldChar w:fldCharType="separate"/>
                    </w:r>
                    <w:r>
                      <w:t>201</w:t>
                    </w:r>
                    <w:r>
                      <w:fldChar w:fldCharType="end"/>
                    </w:r>
                  </w:p>
                </w:txbxContent>
              </v:textbox>
            </v:shape>
          </w:pict>
        </mc:Fallback>
      </mc:AlternateContent>
    </w:r>
  </w:p>
  <w:p w14:paraId="6785642B">
    <w:pPr>
      <w:pStyle w:val="18"/>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435123">
    <w:pPr>
      <w:pStyle w:val="18"/>
      <w:framePr w:wrap="around" w:vAnchor="text" w:hAnchor="margin" w:xAlign="center" w:y="1"/>
      <w:rPr>
        <w:rStyle w:val="29"/>
      </w:rPr>
    </w:pPr>
    <w:r>
      <w:rPr>
        <w:rStyle w:val="29"/>
      </w:rPr>
      <w:fldChar w:fldCharType="begin"/>
    </w:r>
    <w:r>
      <w:rPr>
        <w:rStyle w:val="29"/>
      </w:rPr>
      <w:instrText xml:space="preserve">PAGE  </w:instrText>
    </w:r>
    <w:r>
      <w:rPr>
        <w:rStyle w:val="29"/>
      </w:rPr>
      <w:fldChar w:fldCharType="end"/>
    </w:r>
  </w:p>
  <w:p w14:paraId="5E4BCFEA">
    <w:pPr>
      <w:pStyle w:val="18"/>
    </w:pPr>
  </w:p>
  <w:p w14:paraId="4288BAB1"/>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94A98B">
    <w:pPr>
      <w:pStyle w:val="18"/>
      <w:jc w:val="cente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1DB5E9">
                          <w:pPr>
                            <w:pStyle w:val="18"/>
                          </w:pPr>
                          <w:r>
                            <w:fldChar w:fldCharType="begin"/>
                          </w:r>
                          <w:r>
                            <w:instrText xml:space="preserve"> PAGE  \* MERGEFORMAT </w:instrText>
                          </w:r>
                          <w:r>
                            <w:fldChar w:fldCharType="separate"/>
                          </w:r>
                          <w:r>
                            <w:t>209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4A1DB5E9">
                    <w:pPr>
                      <w:pStyle w:val="18"/>
                    </w:pPr>
                    <w:r>
                      <w:fldChar w:fldCharType="begin"/>
                    </w:r>
                    <w:r>
                      <w:instrText xml:space="preserve"> PAGE  \* MERGEFORMAT </w:instrText>
                    </w:r>
                    <w:r>
                      <w:fldChar w:fldCharType="separate"/>
                    </w:r>
                    <w:r>
                      <w:t>209</w:t>
                    </w:r>
                    <w:r>
                      <w:fldChar w:fldCharType="end"/>
                    </w:r>
                  </w:p>
                </w:txbxContent>
              </v:textbox>
            </v:shape>
          </w:pict>
        </mc:Fallback>
      </mc:AlternateContent>
    </w:r>
  </w:p>
  <w:p w14:paraId="062C3271">
    <w:pPr>
      <w:pStyle w:val="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CA7D91">
    <w:pPr>
      <w:pStyle w:val="19"/>
      <w:snapToGrid/>
      <w:spacing w:line="560" w:lineRule="exact"/>
      <w:jc w:val="center"/>
      <w:rPr>
        <w:color w:val="auto"/>
        <w:sz w:val="28"/>
        <w:szCs w:val="28"/>
      </w:rPr>
    </w:pPr>
    <w:r>
      <w:rPr>
        <w:sz w:val="28"/>
        <w:szCs w:val="28"/>
      </w:rPr>
      <mc:AlternateContent>
        <mc:Choice Requires="wps">
          <w:drawing>
            <wp:anchor distT="0" distB="0" distL="114300" distR="114300" simplePos="0" relativeHeight="251663360" behindDoc="0" locked="0" layoutInCell="1" allowOverlap="1">
              <wp:simplePos x="0" y="0"/>
              <wp:positionH relativeFrom="column">
                <wp:posOffset>-1777365</wp:posOffset>
              </wp:positionH>
              <wp:positionV relativeFrom="paragraph">
                <wp:posOffset>1040940895</wp:posOffset>
              </wp:positionV>
              <wp:extent cx="8865235" cy="0"/>
              <wp:effectExtent l="0" t="0" r="0" b="0"/>
              <wp:wrapNone/>
              <wp:docPr id="21" name="直接连接符 21"/>
              <wp:cNvGraphicFramePr/>
              <a:graphic xmlns:a="http://schemas.openxmlformats.org/drawingml/2006/main">
                <a:graphicData uri="http://schemas.microsoft.com/office/word/2010/wordprocessingShape">
                  <wps:wsp>
                    <wps:cNvCnPr/>
                    <wps:spPr>
                      <a:xfrm>
                        <a:off x="1160145" y="929640"/>
                        <a:ext cx="88652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39.95pt;margin-top:81963.85pt;height:0pt;width:698.05pt;z-index:251663360;mso-width-relative:page;mso-height-relative:page;" filled="f" stroked="t" coordsize="21600,21600" o:gfxdata="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HxFA0dkAAAATAQAADwAAAAAAAAABACAAAAAiAAAAZHJzL2Rvd25yZXYueG1sUEsBAhQA&#10;FAAAAAgAh07iQFSUIjPxAQAAvgMAAA4AAAAAAAAAAQAgAAAAKAEAAGRycy9lMm9Eb2MueG1sUEsF&#10;BgAAAAAGAAYAWQEAAIsFAAAAAA==&#10;">
              <v:fill on="f" focussize="0,0"/>
              <v:stroke weight="0.5pt" color="#000000 [3200]" miterlimit="8" joinstyle="miter"/>
              <v:imagedata o:title=""/>
              <o:lock v:ext="edit" aspectratio="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B6C7E6">
    <w:pPr>
      <w:pStyle w:val="1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BE0B02">
    <w:pPr>
      <w:pStyle w:val="1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E9F102">
    <w:pPr>
      <w:pStyle w:val="19"/>
      <w:tabs>
        <w:tab w:val="left" w:pos="6299"/>
      </w:tabs>
      <w:spacing w:line="360" w:lineRule="auto"/>
      <w:rPr>
        <w:rFonts w:ascii="仿宋" w:hAnsi="仿宋" w:eastAsia="仿宋" w:cs="仿宋"/>
        <w:color w:val="auto"/>
        <w:sz w:val="28"/>
        <w:szCs w:val="2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167678">
    <w:pPr>
      <w:pStyle w:val="19"/>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C03478">
    <w:pPr>
      <w:pStyle w:val="19"/>
      <w:tabs>
        <w:tab w:val="left" w:pos="6299"/>
      </w:tabs>
      <w:spacing w:line="360" w:lineRule="auto"/>
      <w:rPr>
        <w:rFonts w:ascii="仿宋" w:hAnsi="仿宋" w:eastAsia="仿宋" w:cs="仿宋"/>
        <w:color w:val="auto"/>
        <w:sz w:val="28"/>
        <w:szCs w:val="28"/>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507163"/>
    <w:multiLevelType w:val="singleLevel"/>
    <w:tmpl w:val="91507163"/>
    <w:lvl w:ilvl="0" w:tentative="0">
      <w:start w:val="1"/>
      <w:numFmt w:val="decimal"/>
      <w:lvlText w:val="%1."/>
      <w:lvlJc w:val="left"/>
      <w:pPr>
        <w:tabs>
          <w:tab w:val="left" w:pos="312"/>
        </w:tabs>
      </w:pPr>
    </w:lvl>
  </w:abstractNum>
  <w:abstractNum w:abstractNumId="1">
    <w:nsid w:val="94C507B2"/>
    <w:multiLevelType w:val="singleLevel"/>
    <w:tmpl w:val="94C507B2"/>
    <w:lvl w:ilvl="0" w:tentative="0">
      <w:start w:val="1"/>
      <w:numFmt w:val="decimal"/>
      <w:lvlText w:val="%1."/>
      <w:lvlJc w:val="left"/>
      <w:pPr>
        <w:tabs>
          <w:tab w:val="left" w:pos="312"/>
        </w:tabs>
      </w:pPr>
    </w:lvl>
  </w:abstractNum>
  <w:abstractNum w:abstractNumId="2">
    <w:nsid w:val="A97A7353"/>
    <w:multiLevelType w:val="singleLevel"/>
    <w:tmpl w:val="A97A7353"/>
    <w:lvl w:ilvl="0" w:tentative="0">
      <w:start w:val="1"/>
      <w:numFmt w:val="decimal"/>
      <w:lvlText w:val="%1."/>
      <w:lvlJc w:val="left"/>
      <w:pPr>
        <w:tabs>
          <w:tab w:val="left" w:pos="312"/>
        </w:tabs>
      </w:pPr>
    </w:lvl>
  </w:abstractNum>
  <w:abstractNum w:abstractNumId="3">
    <w:nsid w:val="C2A1EDF0"/>
    <w:multiLevelType w:val="singleLevel"/>
    <w:tmpl w:val="C2A1EDF0"/>
    <w:lvl w:ilvl="0" w:tentative="0">
      <w:start w:val="1"/>
      <w:numFmt w:val="decimal"/>
      <w:lvlText w:val="%1."/>
      <w:lvlJc w:val="left"/>
      <w:pPr>
        <w:tabs>
          <w:tab w:val="left" w:pos="312"/>
        </w:tabs>
      </w:pPr>
    </w:lvl>
  </w:abstractNum>
  <w:abstractNum w:abstractNumId="4">
    <w:nsid w:val="D259D1D0"/>
    <w:multiLevelType w:val="singleLevel"/>
    <w:tmpl w:val="D259D1D0"/>
    <w:lvl w:ilvl="0" w:tentative="0">
      <w:start w:val="1"/>
      <w:numFmt w:val="decimal"/>
      <w:lvlText w:val="%1."/>
      <w:lvlJc w:val="left"/>
      <w:pPr>
        <w:tabs>
          <w:tab w:val="left" w:pos="312"/>
        </w:tabs>
      </w:pPr>
    </w:lvl>
  </w:abstractNum>
  <w:abstractNum w:abstractNumId="5">
    <w:nsid w:val="DB5DDBEB"/>
    <w:multiLevelType w:val="singleLevel"/>
    <w:tmpl w:val="DB5DDBEB"/>
    <w:lvl w:ilvl="0" w:tentative="0">
      <w:start w:val="1"/>
      <w:numFmt w:val="decimal"/>
      <w:lvlText w:val="%1."/>
      <w:lvlJc w:val="left"/>
      <w:pPr>
        <w:tabs>
          <w:tab w:val="left" w:pos="312"/>
        </w:tabs>
      </w:pPr>
    </w:lvl>
  </w:abstractNum>
  <w:abstractNum w:abstractNumId="6">
    <w:nsid w:val="DF9B2C43"/>
    <w:multiLevelType w:val="singleLevel"/>
    <w:tmpl w:val="DF9B2C43"/>
    <w:lvl w:ilvl="0" w:tentative="0">
      <w:start w:val="1"/>
      <w:numFmt w:val="decimal"/>
      <w:lvlText w:val="%1."/>
      <w:lvlJc w:val="left"/>
      <w:pPr>
        <w:tabs>
          <w:tab w:val="left" w:pos="312"/>
        </w:tabs>
      </w:pPr>
    </w:lvl>
  </w:abstractNum>
  <w:abstractNum w:abstractNumId="7">
    <w:nsid w:val="03E5FF8C"/>
    <w:multiLevelType w:val="singleLevel"/>
    <w:tmpl w:val="03E5FF8C"/>
    <w:lvl w:ilvl="0" w:tentative="0">
      <w:start w:val="1"/>
      <w:numFmt w:val="decimal"/>
      <w:lvlText w:val="%1."/>
      <w:lvlJc w:val="left"/>
      <w:pPr>
        <w:tabs>
          <w:tab w:val="left" w:pos="312"/>
        </w:tabs>
      </w:pPr>
    </w:lvl>
  </w:abstractNum>
  <w:abstractNum w:abstractNumId="8">
    <w:nsid w:val="0A3D50C6"/>
    <w:multiLevelType w:val="singleLevel"/>
    <w:tmpl w:val="0A3D50C6"/>
    <w:lvl w:ilvl="0" w:tentative="0">
      <w:start w:val="1"/>
      <w:numFmt w:val="decimal"/>
      <w:lvlText w:val="%1."/>
      <w:lvlJc w:val="left"/>
      <w:pPr>
        <w:tabs>
          <w:tab w:val="left" w:pos="312"/>
        </w:tabs>
      </w:pPr>
    </w:lvl>
  </w:abstractNum>
  <w:abstractNum w:abstractNumId="9">
    <w:nsid w:val="114EC527"/>
    <w:multiLevelType w:val="singleLevel"/>
    <w:tmpl w:val="114EC527"/>
    <w:lvl w:ilvl="0" w:tentative="0">
      <w:start w:val="1"/>
      <w:numFmt w:val="decimal"/>
      <w:lvlText w:val="%1."/>
      <w:lvlJc w:val="left"/>
      <w:pPr>
        <w:tabs>
          <w:tab w:val="left" w:pos="312"/>
        </w:tabs>
      </w:pPr>
    </w:lvl>
  </w:abstractNum>
  <w:abstractNum w:abstractNumId="10">
    <w:nsid w:val="20328687"/>
    <w:multiLevelType w:val="singleLevel"/>
    <w:tmpl w:val="20328687"/>
    <w:lvl w:ilvl="0" w:tentative="0">
      <w:start w:val="1"/>
      <w:numFmt w:val="decimal"/>
      <w:lvlText w:val="%1."/>
      <w:lvlJc w:val="left"/>
      <w:pPr>
        <w:tabs>
          <w:tab w:val="left" w:pos="312"/>
        </w:tabs>
      </w:pPr>
    </w:lvl>
  </w:abstractNum>
  <w:abstractNum w:abstractNumId="11">
    <w:nsid w:val="2FAFB63C"/>
    <w:multiLevelType w:val="singleLevel"/>
    <w:tmpl w:val="2FAFB63C"/>
    <w:lvl w:ilvl="0" w:tentative="0">
      <w:start w:val="1"/>
      <w:numFmt w:val="decimal"/>
      <w:lvlText w:val="%1."/>
      <w:lvlJc w:val="left"/>
      <w:pPr>
        <w:tabs>
          <w:tab w:val="left" w:pos="312"/>
        </w:tabs>
      </w:pPr>
    </w:lvl>
  </w:abstractNum>
  <w:abstractNum w:abstractNumId="12">
    <w:nsid w:val="63C4EA74"/>
    <w:multiLevelType w:val="singleLevel"/>
    <w:tmpl w:val="63C4EA74"/>
    <w:lvl w:ilvl="0" w:tentative="0">
      <w:start w:val="1"/>
      <w:numFmt w:val="decimal"/>
      <w:lvlText w:val="%1."/>
      <w:lvlJc w:val="left"/>
      <w:pPr>
        <w:tabs>
          <w:tab w:val="left" w:pos="312"/>
        </w:tabs>
      </w:pPr>
    </w:lvl>
  </w:abstractNum>
  <w:num w:numId="1">
    <w:abstractNumId w:val="1"/>
  </w:num>
  <w:num w:numId="2">
    <w:abstractNumId w:val="8"/>
  </w:num>
  <w:num w:numId="3">
    <w:abstractNumId w:val="11"/>
  </w:num>
  <w:num w:numId="4">
    <w:abstractNumId w:val="9"/>
  </w:num>
  <w:num w:numId="5">
    <w:abstractNumId w:val="5"/>
  </w:num>
  <w:num w:numId="6">
    <w:abstractNumId w:val="6"/>
  </w:num>
  <w:num w:numId="7">
    <w:abstractNumId w:val="7"/>
  </w:num>
  <w:num w:numId="8">
    <w:abstractNumId w:val="10"/>
  </w:num>
  <w:num w:numId="9">
    <w:abstractNumId w:val="3"/>
  </w:num>
  <w:num w:numId="10">
    <w:abstractNumId w:val="12"/>
  </w:num>
  <w:num w:numId="11">
    <w:abstractNumId w:val="4"/>
  </w:num>
  <w:num w:numId="12">
    <w:abstractNumId w:val="2"/>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hiM2FlZGE1NDU2MDZkMmIyNDdmM2MxMzE0MDk0N2YifQ=="/>
    <w:docVar w:name="KSO_WPS_MARK_KEY" w:val="4f261d36-1822-4a65-995d-0427915e3e2c"/>
  </w:docVars>
  <w:rsids>
    <w:rsidRoot w:val="6B057169"/>
    <w:rsid w:val="00064F95"/>
    <w:rsid w:val="000A3A78"/>
    <w:rsid w:val="000F1E3D"/>
    <w:rsid w:val="001A3431"/>
    <w:rsid w:val="002A0B1A"/>
    <w:rsid w:val="00327C78"/>
    <w:rsid w:val="00362403"/>
    <w:rsid w:val="003D30B4"/>
    <w:rsid w:val="004F4F6A"/>
    <w:rsid w:val="005319D6"/>
    <w:rsid w:val="00581A2E"/>
    <w:rsid w:val="00721897"/>
    <w:rsid w:val="00732078"/>
    <w:rsid w:val="007875EE"/>
    <w:rsid w:val="007C3667"/>
    <w:rsid w:val="00806C45"/>
    <w:rsid w:val="00826C48"/>
    <w:rsid w:val="00847E22"/>
    <w:rsid w:val="00853489"/>
    <w:rsid w:val="009F5555"/>
    <w:rsid w:val="00A5776C"/>
    <w:rsid w:val="00A62285"/>
    <w:rsid w:val="00A765BD"/>
    <w:rsid w:val="00B174BD"/>
    <w:rsid w:val="00B36808"/>
    <w:rsid w:val="00B91538"/>
    <w:rsid w:val="00B96BEB"/>
    <w:rsid w:val="00C43ED8"/>
    <w:rsid w:val="00C5457C"/>
    <w:rsid w:val="00C72441"/>
    <w:rsid w:val="00C821F3"/>
    <w:rsid w:val="00CA2739"/>
    <w:rsid w:val="00CC30BA"/>
    <w:rsid w:val="00CE6BC3"/>
    <w:rsid w:val="00D05490"/>
    <w:rsid w:val="00D64BEF"/>
    <w:rsid w:val="00D77E3E"/>
    <w:rsid w:val="00DB609E"/>
    <w:rsid w:val="00E97D31"/>
    <w:rsid w:val="00EA19FE"/>
    <w:rsid w:val="00F12B58"/>
    <w:rsid w:val="00F17387"/>
    <w:rsid w:val="00FF3E99"/>
    <w:rsid w:val="01126803"/>
    <w:rsid w:val="01407ED5"/>
    <w:rsid w:val="017A1F2C"/>
    <w:rsid w:val="01823FE2"/>
    <w:rsid w:val="01B84E94"/>
    <w:rsid w:val="01B85F94"/>
    <w:rsid w:val="01B94A29"/>
    <w:rsid w:val="01DA4C00"/>
    <w:rsid w:val="01F109DD"/>
    <w:rsid w:val="021B6523"/>
    <w:rsid w:val="022027BB"/>
    <w:rsid w:val="026706B4"/>
    <w:rsid w:val="026871D4"/>
    <w:rsid w:val="02BD1AD7"/>
    <w:rsid w:val="02D565BA"/>
    <w:rsid w:val="02DD1837"/>
    <w:rsid w:val="02DF23A6"/>
    <w:rsid w:val="02FF175A"/>
    <w:rsid w:val="030C3469"/>
    <w:rsid w:val="03187850"/>
    <w:rsid w:val="032000D3"/>
    <w:rsid w:val="033D09EE"/>
    <w:rsid w:val="03566554"/>
    <w:rsid w:val="036B7672"/>
    <w:rsid w:val="0382197C"/>
    <w:rsid w:val="03856C72"/>
    <w:rsid w:val="039912E1"/>
    <w:rsid w:val="039B3D07"/>
    <w:rsid w:val="03B45673"/>
    <w:rsid w:val="03CD43C8"/>
    <w:rsid w:val="041B6CAE"/>
    <w:rsid w:val="04381755"/>
    <w:rsid w:val="0456282D"/>
    <w:rsid w:val="04631B14"/>
    <w:rsid w:val="047B363F"/>
    <w:rsid w:val="04802351"/>
    <w:rsid w:val="048B6677"/>
    <w:rsid w:val="04C2570D"/>
    <w:rsid w:val="04CD7396"/>
    <w:rsid w:val="04EC28B6"/>
    <w:rsid w:val="0518787F"/>
    <w:rsid w:val="05264766"/>
    <w:rsid w:val="05300538"/>
    <w:rsid w:val="0530678A"/>
    <w:rsid w:val="0580256B"/>
    <w:rsid w:val="058A44C9"/>
    <w:rsid w:val="05C81792"/>
    <w:rsid w:val="05E0482F"/>
    <w:rsid w:val="05F0706B"/>
    <w:rsid w:val="05FC5931"/>
    <w:rsid w:val="061B1DF9"/>
    <w:rsid w:val="06283519"/>
    <w:rsid w:val="062E5A8F"/>
    <w:rsid w:val="06642CF7"/>
    <w:rsid w:val="066F38ED"/>
    <w:rsid w:val="06741D5B"/>
    <w:rsid w:val="068163D0"/>
    <w:rsid w:val="068C37F6"/>
    <w:rsid w:val="06F37214"/>
    <w:rsid w:val="07642AE0"/>
    <w:rsid w:val="079B29CE"/>
    <w:rsid w:val="07A27C72"/>
    <w:rsid w:val="07C54001"/>
    <w:rsid w:val="07CD57FA"/>
    <w:rsid w:val="07EA2C20"/>
    <w:rsid w:val="07FD6B81"/>
    <w:rsid w:val="08101EC8"/>
    <w:rsid w:val="081A2CF8"/>
    <w:rsid w:val="083E5EC8"/>
    <w:rsid w:val="08803584"/>
    <w:rsid w:val="088D459F"/>
    <w:rsid w:val="089201C5"/>
    <w:rsid w:val="089A5798"/>
    <w:rsid w:val="08C46ADC"/>
    <w:rsid w:val="08D67E85"/>
    <w:rsid w:val="08EB079B"/>
    <w:rsid w:val="08F240BB"/>
    <w:rsid w:val="090441B5"/>
    <w:rsid w:val="09305EBB"/>
    <w:rsid w:val="0941345A"/>
    <w:rsid w:val="09433AF8"/>
    <w:rsid w:val="0970184A"/>
    <w:rsid w:val="097D642D"/>
    <w:rsid w:val="09927CEB"/>
    <w:rsid w:val="099F1451"/>
    <w:rsid w:val="099F5C8C"/>
    <w:rsid w:val="09D22998"/>
    <w:rsid w:val="09D724F3"/>
    <w:rsid w:val="0A063A31"/>
    <w:rsid w:val="0A075F99"/>
    <w:rsid w:val="0A1D552E"/>
    <w:rsid w:val="0A214196"/>
    <w:rsid w:val="0A373FEA"/>
    <w:rsid w:val="0A38379E"/>
    <w:rsid w:val="0A3B59B5"/>
    <w:rsid w:val="0A3F61BF"/>
    <w:rsid w:val="0A434AEC"/>
    <w:rsid w:val="0A464836"/>
    <w:rsid w:val="0A465F35"/>
    <w:rsid w:val="0A5C66E4"/>
    <w:rsid w:val="0A863104"/>
    <w:rsid w:val="0A8E14AD"/>
    <w:rsid w:val="0AA71064"/>
    <w:rsid w:val="0ADE2457"/>
    <w:rsid w:val="0B08273A"/>
    <w:rsid w:val="0B334308"/>
    <w:rsid w:val="0B694FDC"/>
    <w:rsid w:val="0B761B0A"/>
    <w:rsid w:val="0B9A55E0"/>
    <w:rsid w:val="0BC45472"/>
    <w:rsid w:val="0BF8413F"/>
    <w:rsid w:val="0BFC6A8C"/>
    <w:rsid w:val="0C027479"/>
    <w:rsid w:val="0C112E71"/>
    <w:rsid w:val="0C3C61A6"/>
    <w:rsid w:val="0C440B6E"/>
    <w:rsid w:val="0C761F72"/>
    <w:rsid w:val="0C8838DF"/>
    <w:rsid w:val="0CD13905"/>
    <w:rsid w:val="0CDA6140"/>
    <w:rsid w:val="0D066333"/>
    <w:rsid w:val="0D1D513E"/>
    <w:rsid w:val="0D605A69"/>
    <w:rsid w:val="0D79298D"/>
    <w:rsid w:val="0D80358F"/>
    <w:rsid w:val="0D8642E2"/>
    <w:rsid w:val="0D871E0A"/>
    <w:rsid w:val="0D9127A0"/>
    <w:rsid w:val="0D971CA1"/>
    <w:rsid w:val="0DCD23B9"/>
    <w:rsid w:val="0DE63E89"/>
    <w:rsid w:val="0DEC02B3"/>
    <w:rsid w:val="0DF62C9E"/>
    <w:rsid w:val="0E042561"/>
    <w:rsid w:val="0E060087"/>
    <w:rsid w:val="0E3333AB"/>
    <w:rsid w:val="0E5D50B1"/>
    <w:rsid w:val="0E63721A"/>
    <w:rsid w:val="0E6C476D"/>
    <w:rsid w:val="0E8F6A62"/>
    <w:rsid w:val="0E9B2EC6"/>
    <w:rsid w:val="0EA66E91"/>
    <w:rsid w:val="0EBC0CE4"/>
    <w:rsid w:val="0EC91B2F"/>
    <w:rsid w:val="0EFE0230"/>
    <w:rsid w:val="0EFE1E48"/>
    <w:rsid w:val="0F113D78"/>
    <w:rsid w:val="0F120191"/>
    <w:rsid w:val="0F256DF0"/>
    <w:rsid w:val="0F3C26C9"/>
    <w:rsid w:val="0F4B0ED0"/>
    <w:rsid w:val="0F6D291A"/>
    <w:rsid w:val="0F8047F1"/>
    <w:rsid w:val="0F864216"/>
    <w:rsid w:val="0F882289"/>
    <w:rsid w:val="0FD4602A"/>
    <w:rsid w:val="0FFA00C0"/>
    <w:rsid w:val="100F4FF6"/>
    <w:rsid w:val="104666EA"/>
    <w:rsid w:val="10624891"/>
    <w:rsid w:val="10663D0F"/>
    <w:rsid w:val="107B78AA"/>
    <w:rsid w:val="10A80FA0"/>
    <w:rsid w:val="10B13C11"/>
    <w:rsid w:val="10B722AA"/>
    <w:rsid w:val="10CF4FC4"/>
    <w:rsid w:val="10D37A5C"/>
    <w:rsid w:val="10E4481F"/>
    <w:rsid w:val="10EA22DE"/>
    <w:rsid w:val="1109680C"/>
    <w:rsid w:val="112C4CE6"/>
    <w:rsid w:val="114809B7"/>
    <w:rsid w:val="115714A5"/>
    <w:rsid w:val="11B42401"/>
    <w:rsid w:val="11EF78E3"/>
    <w:rsid w:val="120A26F9"/>
    <w:rsid w:val="122A07E9"/>
    <w:rsid w:val="123C01CE"/>
    <w:rsid w:val="124A70DD"/>
    <w:rsid w:val="12506DE6"/>
    <w:rsid w:val="12625BD7"/>
    <w:rsid w:val="127C37F7"/>
    <w:rsid w:val="12815172"/>
    <w:rsid w:val="129154D7"/>
    <w:rsid w:val="12D007DB"/>
    <w:rsid w:val="12F222CD"/>
    <w:rsid w:val="12F37D96"/>
    <w:rsid w:val="12F86B39"/>
    <w:rsid w:val="13060E45"/>
    <w:rsid w:val="130E3CEE"/>
    <w:rsid w:val="13127B03"/>
    <w:rsid w:val="131328D2"/>
    <w:rsid w:val="1325246F"/>
    <w:rsid w:val="134E6E28"/>
    <w:rsid w:val="1361062F"/>
    <w:rsid w:val="136E5E3F"/>
    <w:rsid w:val="1379000D"/>
    <w:rsid w:val="13AE595E"/>
    <w:rsid w:val="13CA1200"/>
    <w:rsid w:val="13D22AC9"/>
    <w:rsid w:val="13EC095F"/>
    <w:rsid w:val="13F34521"/>
    <w:rsid w:val="14051D7D"/>
    <w:rsid w:val="14316CB7"/>
    <w:rsid w:val="1435582B"/>
    <w:rsid w:val="144D0304"/>
    <w:rsid w:val="146E4F80"/>
    <w:rsid w:val="149F3192"/>
    <w:rsid w:val="14A67452"/>
    <w:rsid w:val="14B306DF"/>
    <w:rsid w:val="14DE5AA5"/>
    <w:rsid w:val="14EB1DEC"/>
    <w:rsid w:val="14F82356"/>
    <w:rsid w:val="15127414"/>
    <w:rsid w:val="151969B7"/>
    <w:rsid w:val="15294D08"/>
    <w:rsid w:val="154577D5"/>
    <w:rsid w:val="15892EDB"/>
    <w:rsid w:val="160F5937"/>
    <w:rsid w:val="16135A37"/>
    <w:rsid w:val="164478A7"/>
    <w:rsid w:val="16A61FB3"/>
    <w:rsid w:val="16E05E69"/>
    <w:rsid w:val="17045380"/>
    <w:rsid w:val="17080899"/>
    <w:rsid w:val="171C6B6E"/>
    <w:rsid w:val="172B260C"/>
    <w:rsid w:val="173E2CC5"/>
    <w:rsid w:val="17514FCE"/>
    <w:rsid w:val="17555285"/>
    <w:rsid w:val="175E2FA2"/>
    <w:rsid w:val="176B0541"/>
    <w:rsid w:val="177E2280"/>
    <w:rsid w:val="17906E6D"/>
    <w:rsid w:val="17F95A9C"/>
    <w:rsid w:val="18021331"/>
    <w:rsid w:val="183D5983"/>
    <w:rsid w:val="1842284E"/>
    <w:rsid w:val="184363CF"/>
    <w:rsid w:val="186A15D6"/>
    <w:rsid w:val="1870080C"/>
    <w:rsid w:val="187358E4"/>
    <w:rsid w:val="18787DD4"/>
    <w:rsid w:val="18876269"/>
    <w:rsid w:val="18AA31C4"/>
    <w:rsid w:val="18B315D7"/>
    <w:rsid w:val="18C65228"/>
    <w:rsid w:val="18E46484"/>
    <w:rsid w:val="18F41ADC"/>
    <w:rsid w:val="18F74D47"/>
    <w:rsid w:val="191261D7"/>
    <w:rsid w:val="191F467A"/>
    <w:rsid w:val="19323813"/>
    <w:rsid w:val="194B1EF9"/>
    <w:rsid w:val="196546C8"/>
    <w:rsid w:val="19991F05"/>
    <w:rsid w:val="19A62445"/>
    <w:rsid w:val="19CD7DCE"/>
    <w:rsid w:val="19D55865"/>
    <w:rsid w:val="1A664DF1"/>
    <w:rsid w:val="1A8975D9"/>
    <w:rsid w:val="1AAD31A2"/>
    <w:rsid w:val="1AAD7DEF"/>
    <w:rsid w:val="1AB177C1"/>
    <w:rsid w:val="1AB711A7"/>
    <w:rsid w:val="1AC51DBA"/>
    <w:rsid w:val="1AC67053"/>
    <w:rsid w:val="1AD80537"/>
    <w:rsid w:val="1ADC6E66"/>
    <w:rsid w:val="1ADD075A"/>
    <w:rsid w:val="1AE8206E"/>
    <w:rsid w:val="1AE94802"/>
    <w:rsid w:val="1AF71484"/>
    <w:rsid w:val="1B203F05"/>
    <w:rsid w:val="1B2C19B6"/>
    <w:rsid w:val="1B2D6FD2"/>
    <w:rsid w:val="1B462398"/>
    <w:rsid w:val="1B4A4141"/>
    <w:rsid w:val="1B74762D"/>
    <w:rsid w:val="1B7A01B6"/>
    <w:rsid w:val="1B924899"/>
    <w:rsid w:val="1BA945CC"/>
    <w:rsid w:val="1BBC13A9"/>
    <w:rsid w:val="1BBE2176"/>
    <w:rsid w:val="1BD25876"/>
    <w:rsid w:val="1C1B73F4"/>
    <w:rsid w:val="1C261290"/>
    <w:rsid w:val="1C271C13"/>
    <w:rsid w:val="1C457997"/>
    <w:rsid w:val="1C56042C"/>
    <w:rsid w:val="1C664D10"/>
    <w:rsid w:val="1C6D64B0"/>
    <w:rsid w:val="1C7D30E1"/>
    <w:rsid w:val="1CA64E9F"/>
    <w:rsid w:val="1CA91663"/>
    <w:rsid w:val="1CB533A4"/>
    <w:rsid w:val="1CC01D49"/>
    <w:rsid w:val="1CC22665"/>
    <w:rsid w:val="1CC65454"/>
    <w:rsid w:val="1CD16CB8"/>
    <w:rsid w:val="1CDD0FEF"/>
    <w:rsid w:val="1D0936F0"/>
    <w:rsid w:val="1D0B003F"/>
    <w:rsid w:val="1D0B31E5"/>
    <w:rsid w:val="1D0D3DEE"/>
    <w:rsid w:val="1D142F91"/>
    <w:rsid w:val="1D1B500C"/>
    <w:rsid w:val="1D1B6C8D"/>
    <w:rsid w:val="1D422E91"/>
    <w:rsid w:val="1D4A7A2F"/>
    <w:rsid w:val="1D5B35DF"/>
    <w:rsid w:val="1D674C76"/>
    <w:rsid w:val="1D8E5C59"/>
    <w:rsid w:val="1D983A66"/>
    <w:rsid w:val="1DB71F0E"/>
    <w:rsid w:val="1DE729AA"/>
    <w:rsid w:val="1E0B5246"/>
    <w:rsid w:val="1E386282"/>
    <w:rsid w:val="1E397B74"/>
    <w:rsid w:val="1E3D3742"/>
    <w:rsid w:val="1E421ED3"/>
    <w:rsid w:val="1E4C43E2"/>
    <w:rsid w:val="1E5C0FBA"/>
    <w:rsid w:val="1E8709B9"/>
    <w:rsid w:val="1E9D2342"/>
    <w:rsid w:val="1EB80577"/>
    <w:rsid w:val="1EBC725D"/>
    <w:rsid w:val="1EC03899"/>
    <w:rsid w:val="1EC86BC8"/>
    <w:rsid w:val="1F042F17"/>
    <w:rsid w:val="1F4A5F8A"/>
    <w:rsid w:val="1F4B7C83"/>
    <w:rsid w:val="1FAF1F32"/>
    <w:rsid w:val="1FB02BAF"/>
    <w:rsid w:val="1FBA6F24"/>
    <w:rsid w:val="1FCC4F34"/>
    <w:rsid w:val="20036440"/>
    <w:rsid w:val="201411DC"/>
    <w:rsid w:val="201C4DC2"/>
    <w:rsid w:val="201C5C56"/>
    <w:rsid w:val="202645B9"/>
    <w:rsid w:val="203D5CD3"/>
    <w:rsid w:val="205F6FCB"/>
    <w:rsid w:val="2082681F"/>
    <w:rsid w:val="20987E8B"/>
    <w:rsid w:val="209E3B45"/>
    <w:rsid w:val="21042B4C"/>
    <w:rsid w:val="211617D0"/>
    <w:rsid w:val="21205427"/>
    <w:rsid w:val="21397CA5"/>
    <w:rsid w:val="218477E9"/>
    <w:rsid w:val="21870053"/>
    <w:rsid w:val="21A84623"/>
    <w:rsid w:val="21E01F0E"/>
    <w:rsid w:val="21EB022B"/>
    <w:rsid w:val="21FC03EB"/>
    <w:rsid w:val="22641DC5"/>
    <w:rsid w:val="229A620D"/>
    <w:rsid w:val="22A95748"/>
    <w:rsid w:val="22CE23FE"/>
    <w:rsid w:val="22D37012"/>
    <w:rsid w:val="22E741F3"/>
    <w:rsid w:val="22F47AB3"/>
    <w:rsid w:val="22FA2D2F"/>
    <w:rsid w:val="230D4342"/>
    <w:rsid w:val="230D74D0"/>
    <w:rsid w:val="232021A4"/>
    <w:rsid w:val="232D091E"/>
    <w:rsid w:val="23443C2E"/>
    <w:rsid w:val="236456B2"/>
    <w:rsid w:val="236B5023"/>
    <w:rsid w:val="2387261C"/>
    <w:rsid w:val="238B37FC"/>
    <w:rsid w:val="238B5B9A"/>
    <w:rsid w:val="23BF004B"/>
    <w:rsid w:val="23C70700"/>
    <w:rsid w:val="23D8410C"/>
    <w:rsid w:val="23F41021"/>
    <w:rsid w:val="2416596E"/>
    <w:rsid w:val="242B219E"/>
    <w:rsid w:val="2444463F"/>
    <w:rsid w:val="245B442C"/>
    <w:rsid w:val="24744498"/>
    <w:rsid w:val="249B1CDE"/>
    <w:rsid w:val="24A85AA4"/>
    <w:rsid w:val="24E76A0D"/>
    <w:rsid w:val="24F0314B"/>
    <w:rsid w:val="24F660CF"/>
    <w:rsid w:val="255C11C3"/>
    <w:rsid w:val="255F4807"/>
    <w:rsid w:val="256B37F7"/>
    <w:rsid w:val="256C0158"/>
    <w:rsid w:val="258D3384"/>
    <w:rsid w:val="25C74930"/>
    <w:rsid w:val="25CF3820"/>
    <w:rsid w:val="25E00192"/>
    <w:rsid w:val="25ED0053"/>
    <w:rsid w:val="25FB6965"/>
    <w:rsid w:val="26294189"/>
    <w:rsid w:val="262E1574"/>
    <w:rsid w:val="26573A95"/>
    <w:rsid w:val="269C1F13"/>
    <w:rsid w:val="26AB0E96"/>
    <w:rsid w:val="26C96AF7"/>
    <w:rsid w:val="26D3449D"/>
    <w:rsid w:val="26ED1F01"/>
    <w:rsid w:val="27042835"/>
    <w:rsid w:val="270C269B"/>
    <w:rsid w:val="270F26C2"/>
    <w:rsid w:val="273C05D8"/>
    <w:rsid w:val="276460F3"/>
    <w:rsid w:val="277B0C31"/>
    <w:rsid w:val="2786250D"/>
    <w:rsid w:val="278F33F1"/>
    <w:rsid w:val="2799071E"/>
    <w:rsid w:val="27B66E96"/>
    <w:rsid w:val="27B9615F"/>
    <w:rsid w:val="27CC40F5"/>
    <w:rsid w:val="27DA78C8"/>
    <w:rsid w:val="27DC21C6"/>
    <w:rsid w:val="27EC4B47"/>
    <w:rsid w:val="27FD5767"/>
    <w:rsid w:val="280168BA"/>
    <w:rsid w:val="28655366"/>
    <w:rsid w:val="28734BB1"/>
    <w:rsid w:val="28813D28"/>
    <w:rsid w:val="289655AD"/>
    <w:rsid w:val="28B00FB2"/>
    <w:rsid w:val="28B50505"/>
    <w:rsid w:val="28BA7FD6"/>
    <w:rsid w:val="28D80DD1"/>
    <w:rsid w:val="28D813F4"/>
    <w:rsid w:val="28DC7F0B"/>
    <w:rsid w:val="28E65517"/>
    <w:rsid w:val="290A4360"/>
    <w:rsid w:val="29215BA4"/>
    <w:rsid w:val="292D5607"/>
    <w:rsid w:val="292E5E31"/>
    <w:rsid w:val="29362034"/>
    <w:rsid w:val="2962576B"/>
    <w:rsid w:val="297C6A62"/>
    <w:rsid w:val="298B3E0F"/>
    <w:rsid w:val="2996630C"/>
    <w:rsid w:val="29987AD7"/>
    <w:rsid w:val="29C54E43"/>
    <w:rsid w:val="29D05AD9"/>
    <w:rsid w:val="29D224AF"/>
    <w:rsid w:val="29F80B81"/>
    <w:rsid w:val="29FA6F61"/>
    <w:rsid w:val="2A1E657F"/>
    <w:rsid w:val="2A3C5E8A"/>
    <w:rsid w:val="2A655A8C"/>
    <w:rsid w:val="2A975C19"/>
    <w:rsid w:val="2A9B4409"/>
    <w:rsid w:val="2AA9206F"/>
    <w:rsid w:val="2AB25322"/>
    <w:rsid w:val="2AC44373"/>
    <w:rsid w:val="2AC96135"/>
    <w:rsid w:val="2AD202FB"/>
    <w:rsid w:val="2B192588"/>
    <w:rsid w:val="2B7663F5"/>
    <w:rsid w:val="2B810C2A"/>
    <w:rsid w:val="2B921D32"/>
    <w:rsid w:val="2BA54C4C"/>
    <w:rsid w:val="2BB84077"/>
    <w:rsid w:val="2BCC02BB"/>
    <w:rsid w:val="2C0C49E1"/>
    <w:rsid w:val="2C954FA0"/>
    <w:rsid w:val="2CB46C59"/>
    <w:rsid w:val="2D034831"/>
    <w:rsid w:val="2D183579"/>
    <w:rsid w:val="2D2F32AF"/>
    <w:rsid w:val="2D6E2A3E"/>
    <w:rsid w:val="2D761025"/>
    <w:rsid w:val="2D8127E1"/>
    <w:rsid w:val="2D85057C"/>
    <w:rsid w:val="2DA07CD7"/>
    <w:rsid w:val="2DA74F3A"/>
    <w:rsid w:val="2DCD244D"/>
    <w:rsid w:val="2DE34168"/>
    <w:rsid w:val="2E3F33C3"/>
    <w:rsid w:val="2E4569DF"/>
    <w:rsid w:val="2E6F58A4"/>
    <w:rsid w:val="2E8D1409"/>
    <w:rsid w:val="2E9D20C0"/>
    <w:rsid w:val="2EB21E3A"/>
    <w:rsid w:val="2EC77CCD"/>
    <w:rsid w:val="2F0F26C5"/>
    <w:rsid w:val="2F1D13EE"/>
    <w:rsid w:val="2F2D3092"/>
    <w:rsid w:val="2F4E5CF5"/>
    <w:rsid w:val="2F696028"/>
    <w:rsid w:val="2F736B8A"/>
    <w:rsid w:val="2F7449B5"/>
    <w:rsid w:val="2F8D6D16"/>
    <w:rsid w:val="2FAF583F"/>
    <w:rsid w:val="2FEB3764"/>
    <w:rsid w:val="2FFD6603"/>
    <w:rsid w:val="301C4448"/>
    <w:rsid w:val="30393179"/>
    <w:rsid w:val="305332AD"/>
    <w:rsid w:val="306B6CA3"/>
    <w:rsid w:val="307C0256"/>
    <w:rsid w:val="308913B7"/>
    <w:rsid w:val="308E752F"/>
    <w:rsid w:val="309F0BB2"/>
    <w:rsid w:val="30B0401B"/>
    <w:rsid w:val="30B32CF4"/>
    <w:rsid w:val="30EF0430"/>
    <w:rsid w:val="31213444"/>
    <w:rsid w:val="313D13A6"/>
    <w:rsid w:val="31403CC5"/>
    <w:rsid w:val="315C0B20"/>
    <w:rsid w:val="318B109F"/>
    <w:rsid w:val="31975317"/>
    <w:rsid w:val="31C7491E"/>
    <w:rsid w:val="31E06CF4"/>
    <w:rsid w:val="31E64A69"/>
    <w:rsid w:val="322101DC"/>
    <w:rsid w:val="323719D7"/>
    <w:rsid w:val="323E38BD"/>
    <w:rsid w:val="3258433F"/>
    <w:rsid w:val="32631699"/>
    <w:rsid w:val="32A76BC9"/>
    <w:rsid w:val="32B81E89"/>
    <w:rsid w:val="32BC571C"/>
    <w:rsid w:val="32BF4804"/>
    <w:rsid w:val="33075753"/>
    <w:rsid w:val="331222A9"/>
    <w:rsid w:val="33364E3E"/>
    <w:rsid w:val="3340780C"/>
    <w:rsid w:val="33467074"/>
    <w:rsid w:val="338B4A07"/>
    <w:rsid w:val="33903DAB"/>
    <w:rsid w:val="33A64D5A"/>
    <w:rsid w:val="33C02D8A"/>
    <w:rsid w:val="33DB616C"/>
    <w:rsid w:val="33F416A8"/>
    <w:rsid w:val="3439429F"/>
    <w:rsid w:val="34767B94"/>
    <w:rsid w:val="349071C4"/>
    <w:rsid w:val="34A07070"/>
    <w:rsid w:val="34A15FE6"/>
    <w:rsid w:val="34AE0505"/>
    <w:rsid w:val="34D10202"/>
    <w:rsid w:val="34FD46A6"/>
    <w:rsid w:val="35035002"/>
    <w:rsid w:val="352E651E"/>
    <w:rsid w:val="35414FEB"/>
    <w:rsid w:val="356B2D42"/>
    <w:rsid w:val="357F234A"/>
    <w:rsid w:val="35B007E3"/>
    <w:rsid w:val="35B55F05"/>
    <w:rsid w:val="35B83714"/>
    <w:rsid w:val="35D54292"/>
    <w:rsid w:val="35D63FAC"/>
    <w:rsid w:val="35D71A8C"/>
    <w:rsid w:val="35E2289C"/>
    <w:rsid w:val="35F36953"/>
    <w:rsid w:val="36017A6B"/>
    <w:rsid w:val="360E6E76"/>
    <w:rsid w:val="361A2073"/>
    <w:rsid w:val="363526E3"/>
    <w:rsid w:val="364838BE"/>
    <w:rsid w:val="36715C68"/>
    <w:rsid w:val="36AA1648"/>
    <w:rsid w:val="36E940CD"/>
    <w:rsid w:val="36EB69D4"/>
    <w:rsid w:val="36F05E72"/>
    <w:rsid w:val="36FB6FF4"/>
    <w:rsid w:val="370520A6"/>
    <w:rsid w:val="3709370B"/>
    <w:rsid w:val="3723232B"/>
    <w:rsid w:val="37461371"/>
    <w:rsid w:val="376661D2"/>
    <w:rsid w:val="377B4AEB"/>
    <w:rsid w:val="37816915"/>
    <w:rsid w:val="378B10D4"/>
    <w:rsid w:val="37B51F70"/>
    <w:rsid w:val="37D5265A"/>
    <w:rsid w:val="37E22F59"/>
    <w:rsid w:val="37E9458E"/>
    <w:rsid w:val="37F0752F"/>
    <w:rsid w:val="382D0783"/>
    <w:rsid w:val="384B5964"/>
    <w:rsid w:val="387C0A5E"/>
    <w:rsid w:val="38AD0855"/>
    <w:rsid w:val="38B90E89"/>
    <w:rsid w:val="38C052FF"/>
    <w:rsid w:val="38C61FBE"/>
    <w:rsid w:val="3911596D"/>
    <w:rsid w:val="391D3B07"/>
    <w:rsid w:val="39337578"/>
    <w:rsid w:val="395D30A0"/>
    <w:rsid w:val="3973174C"/>
    <w:rsid w:val="397558D3"/>
    <w:rsid w:val="397F636E"/>
    <w:rsid w:val="398324D7"/>
    <w:rsid w:val="399F120C"/>
    <w:rsid w:val="39A35FB9"/>
    <w:rsid w:val="39B04D56"/>
    <w:rsid w:val="39B06694"/>
    <w:rsid w:val="39C82211"/>
    <w:rsid w:val="39CC0C92"/>
    <w:rsid w:val="39DA6A6C"/>
    <w:rsid w:val="3A0909B7"/>
    <w:rsid w:val="3A2E54CE"/>
    <w:rsid w:val="3A3555AE"/>
    <w:rsid w:val="3A4B64C6"/>
    <w:rsid w:val="3A561FD2"/>
    <w:rsid w:val="3A5A27E8"/>
    <w:rsid w:val="3A5B15D7"/>
    <w:rsid w:val="3A5C691C"/>
    <w:rsid w:val="3A7E2CEB"/>
    <w:rsid w:val="3AC5203A"/>
    <w:rsid w:val="3ACA6986"/>
    <w:rsid w:val="3B00745B"/>
    <w:rsid w:val="3B0721AD"/>
    <w:rsid w:val="3B1F062E"/>
    <w:rsid w:val="3B221D05"/>
    <w:rsid w:val="3B2F5A92"/>
    <w:rsid w:val="3B443E1A"/>
    <w:rsid w:val="3B7C28DF"/>
    <w:rsid w:val="3B8639FF"/>
    <w:rsid w:val="3BA57145"/>
    <w:rsid w:val="3BBE3E01"/>
    <w:rsid w:val="3BCB0097"/>
    <w:rsid w:val="3BD518F2"/>
    <w:rsid w:val="3BE13D5E"/>
    <w:rsid w:val="3BF26318"/>
    <w:rsid w:val="3BFE5686"/>
    <w:rsid w:val="3C035F2D"/>
    <w:rsid w:val="3C096E79"/>
    <w:rsid w:val="3C263DBE"/>
    <w:rsid w:val="3C291871"/>
    <w:rsid w:val="3C395105"/>
    <w:rsid w:val="3C3A58C7"/>
    <w:rsid w:val="3C455B7B"/>
    <w:rsid w:val="3C507483"/>
    <w:rsid w:val="3C5250A5"/>
    <w:rsid w:val="3C8171CA"/>
    <w:rsid w:val="3C8230F4"/>
    <w:rsid w:val="3CA1529C"/>
    <w:rsid w:val="3CA43741"/>
    <w:rsid w:val="3CAB4351"/>
    <w:rsid w:val="3CAC4C2B"/>
    <w:rsid w:val="3CD41126"/>
    <w:rsid w:val="3D17585C"/>
    <w:rsid w:val="3D1A4712"/>
    <w:rsid w:val="3D2362B7"/>
    <w:rsid w:val="3D4225DB"/>
    <w:rsid w:val="3D4F6AA6"/>
    <w:rsid w:val="3D5C44F1"/>
    <w:rsid w:val="3D681545"/>
    <w:rsid w:val="3DA16294"/>
    <w:rsid w:val="3DB531D5"/>
    <w:rsid w:val="3DCE0312"/>
    <w:rsid w:val="3E0D061D"/>
    <w:rsid w:val="3E2B2052"/>
    <w:rsid w:val="3E2D4DCE"/>
    <w:rsid w:val="3E3364F8"/>
    <w:rsid w:val="3E6204C9"/>
    <w:rsid w:val="3E813244"/>
    <w:rsid w:val="3E834632"/>
    <w:rsid w:val="3E977C1B"/>
    <w:rsid w:val="3EA12B26"/>
    <w:rsid w:val="3EDD4196"/>
    <w:rsid w:val="3EF51CD6"/>
    <w:rsid w:val="3F535B7D"/>
    <w:rsid w:val="3F6B39EF"/>
    <w:rsid w:val="3F7B4576"/>
    <w:rsid w:val="3F852A43"/>
    <w:rsid w:val="3FB84DD6"/>
    <w:rsid w:val="3FCA312E"/>
    <w:rsid w:val="3FD6353F"/>
    <w:rsid w:val="3FEA2F5A"/>
    <w:rsid w:val="3FEF4D46"/>
    <w:rsid w:val="3FF32EFC"/>
    <w:rsid w:val="4002773F"/>
    <w:rsid w:val="401C5365"/>
    <w:rsid w:val="40496550"/>
    <w:rsid w:val="40581976"/>
    <w:rsid w:val="406026DA"/>
    <w:rsid w:val="407C6265"/>
    <w:rsid w:val="40863AAE"/>
    <w:rsid w:val="40A14F35"/>
    <w:rsid w:val="40C3161B"/>
    <w:rsid w:val="40CB087C"/>
    <w:rsid w:val="40CE0C35"/>
    <w:rsid w:val="40E22CE0"/>
    <w:rsid w:val="40E606E6"/>
    <w:rsid w:val="40E8529C"/>
    <w:rsid w:val="40F72C63"/>
    <w:rsid w:val="41217F66"/>
    <w:rsid w:val="4124222C"/>
    <w:rsid w:val="41270465"/>
    <w:rsid w:val="413469BC"/>
    <w:rsid w:val="41384D70"/>
    <w:rsid w:val="416D4B50"/>
    <w:rsid w:val="41744D2D"/>
    <w:rsid w:val="41764F49"/>
    <w:rsid w:val="419F78C7"/>
    <w:rsid w:val="41C414F3"/>
    <w:rsid w:val="41D074A4"/>
    <w:rsid w:val="42343F31"/>
    <w:rsid w:val="423767A9"/>
    <w:rsid w:val="425F7BCF"/>
    <w:rsid w:val="427827A1"/>
    <w:rsid w:val="42A8200F"/>
    <w:rsid w:val="42F6576F"/>
    <w:rsid w:val="42F84A5F"/>
    <w:rsid w:val="42FC7205"/>
    <w:rsid w:val="436658FA"/>
    <w:rsid w:val="43AD4B38"/>
    <w:rsid w:val="43C83EB2"/>
    <w:rsid w:val="43E77A38"/>
    <w:rsid w:val="442E5667"/>
    <w:rsid w:val="44A27907"/>
    <w:rsid w:val="44AC36C6"/>
    <w:rsid w:val="44AE49FA"/>
    <w:rsid w:val="44B75E21"/>
    <w:rsid w:val="44BE50C6"/>
    <w:rsid w:val="44C311B3"/>
    <w:rsid w:val="44E52D55"/>
    <w:rsid w:val="44FA44A4"/>
    <w:rsid w:val="450F11B4"/>
    <w:rsid w:val="452706D9"/>
    <w:rsid w:val="452C7CC7"/>
    <w:rsid w:val="45836C6E"/>
    <w:rsid w:val="45837C34"/>
    <w:rsid w:val="45922C97"/>
    <w:rsid w:val="45973606"/>
    <w:rsid w:val="45E71F71"/>
    <w:rsid w:val="45EA72AB"/>
    <w:rsid w:val="460153C4"/>
    <w:rsid w:val="4611161A"/>
    <w:rsid w:val="46243172"/>
    <w:rsid w:val="463119FB"/>
    <w:rsid w:val="46445561"/>
    <w:rsid w:val="46476EB4"/>
    <w:rsid w:val="46530A72"/>
    <w:rsid w:val="465848CC"/>
    <w:rsid w:val="46771827"/>
    <w:rsid w:val="46821CC1"/>
    <w:rsid w:val="469B1E35"/>
    <w:rsid w:val="46D02A05"/>
    <w:rsid w:val="46D54C5F"/>
    <w:rsid w:val="46F641A4"/>
    <w:rsid w:val="46F838A8"/>
    <w:rsid w:val="46FD715E"/>
    <w:rsid w:val="47090FEF"/>
    <w:rsid w:val="470F6F45"/>
    <w:rsid w:val="474927B8"/>
    <w:rsid w:val="476436FE"/>
    <w:rsid w:val="47677D27"/>
    <w:rsid w:val="477D4A6B"/>
    <w:rsid w:val="478F5933"/>
    <w:rsid w:val="47972DEE"/>
    <w:rsid w:val="47CA56A6"/>
    <w:rsid w:val="47E25D5F"/>
    <w:rsid w:val="47F91F17"/>
    <w:rsid w:val="483D49AD"/>
    <w:rsid w:val="485A01FF"/>
    <w:rsid w:val="4862036A"/>
    <w:rsid w:val="487764A8"/>
    <w:rsid w:val="488242CB"/>
    <w:rsid w:val="48A530A3"/>
    <w:rsid w:val="48AE3BA5"/>
    <w:rsid w:val="48B22715"/>
    <w:rsid w:val="48EE7ABB"/>
    <w:rsid w:val="48F03285"/>
    <w:rsid w:val="48FD385A"/>
    <w:rsid w:val="48FE6C7F"/>
    <w:rsid w:val="48FF72C9"/>
    <w:rsid w:val="4901603E"/>
    <w:rsid w:val="492535C9"/>
    <w:rsid w:val="49277981"/>
    <w:rsid w:val="49375678"/>
    <w:rsid w:val="49635ED4"/>
    <w:rsid w:val="49703F35"/>
    <w:rsid w:val="49C72F2A"/>
    <w:rsid w:val="49CA4084"/>
    <w:rsid w:val="4A1C1F54"/>
    <w:rsid w:val="4A595D90"/>
    <w:rsid w:val="4AA30828"/>
    <w:rsid w:val="4AAB4B00"/>
    <w:rsid w:val="4AB41918"/>
    <w:rsid w:val="4ABA40F8"/>
    <w:rsid w:val="4ABB4B30"/>
    <w:rsid w:val="4AE23BC8"/>
    <w:rsid w:val="4AE62735"/>
    <w:rsid w:val="4AFB5E89"/>
    <w:rsid w:val="4B05505D"/>
    <w:rsid w:val="4B0C4228"/>
    <w:rsid w:val="4B0D58B8"/>
    <w:rsid w:val="4B182C26"/>
    <w:rsid w:val="4B583721"/>
    <w:rsid w:val="4B936F99"/>
    <w:rsid w:val="4BA3255E"/>
    <w:rsid w:val="4BBC67F8"/>
    <w:rsid w:val="4BF21670"/>
    <w:rsid w:val="4BF64AE2"/>
    <w:rsid w:val="4C002C44"/>
    <w:rsid w:val="4C0C0983"/>
    <w:rsid w:val="4C1C66ED"/>
    <w:rsid w:val="4C4978A4"/>
    <w:rsid w:val="4C644EC6"/>
    <w:rsid w:val="4C704C96"/>
    <w:rsid w:val="4C8B6C2D"/>
    <w:rsid w:val="4CCA336F"/>
    <w:rsid w:val="4CD045EB"/>
    <w:rsid w:val="4CDB1514"/>
    <w:rsid w:val="4D296DA3"/>
    <w:rsid w:val="4D5A7486"/>
    <w:rsid w:val="4D7F697F"/>
    <w:rsid w:val="4DA02B49"/>
    <w:rsid w:val="4DB01399"/>
    <w:rsid w:val="4DB258D2"/>
    <w:rsid w:val="4DBF74B7"/>
    <w:rsid w:val="4DC26A90"/>
    <w:rsid w:val="4DC34CC0"/>
    <w:rsid w:val="4DCB4BC5"/>
    <w:rsid w:val="4E0D2791"/>
    <w:rsid w:val="4E19598E"/>
    <w:rsid w:val="4E206AF8"/>
    <w:rsid w:val="4E6B2ED6"/>
    <w:rsid w:val="4E8050A2"/>
    <w:rsid w:val="4EB951C9"/>
    <w:rsid w:val="4EC1245F"/>
    <w:rsid w:val="4ED361A3"/>
    <w:rsid w:val="4EF13E61"/>
    <w:rsid w:val="4F0A1FF5"/>
    <w:rsid w:val="4F166785"/>
    <w:rsid w:val="4F275AD4"/>
    <w:rsid w:val="4F381A8F"/>
    <w:rsid w:val="4F42141D"/>
    <w:rsid w:val="4F4742A1"/>
    <w:rsid w:val="4F6E3703"/>
    <w:rsid w:val="4F786F62"/>
    <w:rsid w:val="4F8934C3"/>
    <w:rsid w:val="4F934FE2"/>
    <w:rsid w:val="4FAB5CBB"/>
    <w:rsid w:val="4FAD28F1"/>
    <w:rsid w:val="4FB02191"/>
    <w:rsid w:val="4FB64B8F"/>
    <w:rsid w:val="4FD36FA5"/>
    <w:rsid w:val="4FD86E1E"/>
    <w:rsid w:val="4FDB1068"/>
    <w:rsid w:val="4FE2572C"/>
    <w:rsid w:val="4FF663FF"/>
    <w:rsid w:val="50062273"/>
    <w:rsid w:val="50460874"/>
    <w:rsid w:val="505E6FA5"/>
    <w:rsid w:val="50936F77"/>
    <w:rsid w:val="5100038B"/>
    <w:rsid w:val="511F2394"/>
    <w:rsid w:val="511F2D7A"/>
    <w:rsid w:val="512015FF"/>
    <w:rsid w:val="51321A00"/>
    <w:rsid w:val="51385360"/>
    <w:rsid w:val="51660B5F"/>
    <w:rsid w:val="516C7D38"/>
    <w:rsid w:val="5185140A"/>
    <w:rsid w:val="51BD2EC4"/>
    <w:rsid w:val="51DD2B83"/>
    <w:rsid w:val="52094397"/>
    <w:rsid w:val="520C6A29"/>
    <w:rsid w:val="521B1732"/>
    <w:rsid w:val="521F6F37"/>
    <w:rsid w:val="52616CDB"/>
    <w:rsid w:val="52714C53"/>
    <w:rsid w:val="52A554A0"/>
    <w:rsid w:val="52B86EE9"/>
    <w:rsid w:val="52C0638C"/>
    <w:rsid w:val="52D85640"/>
    <w:rsid w:val="53250777"/>
    <w:rsid w:val="53387573"/>
    <w:rsid w:val="53464D17"/>
    <w:rsid w:val="535A122D"/>
    <w:rsid w:val="538E51F6"/>
    <w:rsid w:val="53B3782D"/>
    <w:rsid w:val="53BB7414"/>
    <w:rsid w:val="53C30FA1"/>
    <w:rsid w:val="53D556B7"/>
    <w:rsid w:val="53DC03E6"/>
    <w:rsid w:val="53F752E8"/>
    <w:rsid w:val="540B32CF"/>
    <w:rsid w:val="540D04F8"/>
    <w:rsid w:val="54124A29"/>
    <w:rsid w:val="54211511"/>
    <w:rsid w:val="543F45CB"/>
    <w:rsid w:val="544B16E6"/>
    <w:rsid w:val="54505AE7"/>
    <w:rsid w:val="54841680"/>
    <w:rsid w:val="548862BE"/>
    <w:rsid w:val="548A60A8"/>
    <w:rsid w:val="54AD6A7C"/>
    <w:rsid w:val="54B12A74"/>
    <w:rsid w:val="54D20FEB"/>
    <w:rsid w:val="54E27E22"/>
    <w:rsid w:val="550E1801"/>
    <w:rsid w:val="55192D14"/>
    <w:rsid w:val="55BA17D6"/>
    <w:rsid w:val="55BA358E"/>
    <w:rsid w:val="55C91693"/>
    <w:rsid w:val="55C91FBB"/>
    <w:rsid w:val="55F952D6"/>
    <w:rsid w:val="5601592B"/>
    <w:rsid w:val="561B32E9"/>
    <w:rsid w:val="56225CEE"/>
    <w:rsid w:val="56477E00"/>
    <w:rsid w:val="565D373A"/>
    <w:rsid w:val="5660148C"/>
    <w:rsid w:val="567F1715"/>
    <w:rsid w:val="56C5176A"/>
    <w:rsid w:val="56EE1355"/>
    <w:rsid w:val="57006FEE"/>
    <w:rsid w:val="575647A8"/>
    <w:rsid w:val="575F1533"/>
    <w:rsid w:val="577B5F89"/>
    <w:rsid w:val="57833F47"/>
    <w:rsid w:val="57EA584B"/>
    <w:rsid w:val="57ED5C62"/>
    <w:rsid w:val="58115946"/>
    <w:rsid w:val="5818721B"/>
    <w:rsid w:val="583B1BF1"/>
    <w:rsid w:val="58436D08"/>
    <w:rsid w:val="58564828"/>
    <w:rsid w:val="5889438C"/>
    <w:rsid w:val="589C1ABE"/>
    <w:rsid w:val="58AE755B"/>
    <w:rsid w:val="58BD19EA"/>
    <w:rsid w:val="590649AC"/>
    <w:rsid w:val="591744C4"/>
    <w:rsid w:val="592913B4"/>
    <w:rsid w:val="59480B21"/>
    <w:rsid w:val="595B3162"/>
    <w:rsid w:val="598A1C1A"/>
    <w:rsid w:val="59953056"/>
    <w:rsid w:val="59CB4F0B"/>
    <w:rsid w:val="5A2562F0"/>
    <w:rsid w:val="5A44100C"/>
    <w:rsid w:val="5A4532B2"/>
    <w:rsid w:val="5A6776CD"/>
    <w:rsid w:val="5A680C51"/>
    <w:rsid w:val="5A690D4F"/>
    <w:rsid w:val="5A6B2D19"/>
    <w:rsid w:val="5AC16286"/>
    <w:rsid w:val="5AC75B60"/>
    <w:rsid w:val="5ACE3CFD"/>
    <w:rsid w:val="5ACE6099"/>
    <w:rsid w:val="5AD21C13"/>
    <w:rsid w:val="5AEB076E"/>
    <w:rsid w:val="5B0C39B8"/>
    <w:rsid w:val="5B2E6949"/>
    <w:rsid w:val="5B435F4B"/>
    <w:rsid w:val="5B453752"/>
    <w:rsid w:val="5B4A789B"/>
    <w:rsid w:val="5B637E94"/>
    <w:rsid w:val="5B6529E7"/>
    <w:rsid w:val="5B8B1294"/>
    <w:rsid w:val="5B8F1E8D"/>
    <w:rsid w:val="5B9067AF"/>
    <w:rsid w:val="5BB52455"/>
    <w:rsid w:val="5BBA7A00"/>
    <w:rsid w:val="5BD60438"/>
    <w:rsid w:val="5BFB00CD"/>
    <w:rsid w:val="5C105B7D"/>
    <w:rsid w:val="5C145949"/>
    <w:rsid w:val="5C2069FD"/>
    <w:rsid w:val="5C2C472A"/>
    <w:rsid w:val="5C363BC4"/>
    <w:rsid w:val="5C5617A7"/>
    <w:rsid w:val="5C9B584D"/>
    <w:rsid w:val="5CD5165E"/>
    <w:rsid w:val="5CE23BEF"/>
    <w:rsid w:val="5CF16E9D"/>
    <w:rsid w:val="5CF64EA8"/>
    <w:rsid w:val="5D093894"/>
    <w:rsid w:val="5D2C0F20"/>
    <w:rsid w:val="5D4C60DA"/>
    <w:rsid w:val="5D7202AB"/>
    <w:rsid w:val="5D980944"/>
    <w:rsid w:val="5D984A13"/>
    <w:rsid w:val="5D9F2A3D"/>
    <w:rsid w:val="5DB82CFF"/>
    <w:rsid w:val="5DC93333"/>
    <w:rsid w:val="5E216371"/>
    <w:rsid w:val="5E417485"/>
    <w:rsid w:val="5EB56C59"/>
    <w:rsid w:val="5ED82947"/>
    <w:rsid w:val="5EE9107A"/>
    <w:rsid w:val="5EF01840"/>
    <w:rsid w:val="5F1A373D"/>
    <w:rsid w:val="5F1F2489"/>
    <w:rsid w:val="5F592AFE"/>
    <w:rsid w:val="5F891AA0"/>
    <w:rsid w:val="5F8A7A9B"/>
    <w:rsid w:val="5FA21AD6"/>
    <w:rsid w:val="5FA97E40"/>
    <w:rsid w:val="5FE768B3"/>
    <w:rsid w:val="5FFD3967"/>
    <w:rsid w:val="601843AD"/>
    <w:rsid w:val="601F2E6C"/>
    <w:rsid w:val="60271064"/>
    <w:rsid w:val="60315B9B"/>
    <w:rsid w:val="603D4709"/>
    <w:rsid w:val="603E01B7"/>
    <w:rsid w:val="60443FB8"/>
    <w:rsid w:val="6068727C"/>
    <w:rsid w:val="607262C7"/>
    <w:rsid w:val="60847A10"/>
    <w:rsid w:val="6088190A"/>
    <w:rsid w:val="6089022C"/>
    <w:rsid w:val="608A4555"/>
    <w:rsid w:val="608D44FE"/>
    <w:rsid w:val="60A81A5A"/>
    <w:rsid w:val="60B16FEC"/>
    <w:rsid w:val="60CC05DC"/>
    <w:rsid w:val="60DC0C4E"/>
    <w:rsid w:val="60E6633F"/>
    <w:rsid w:val="60FF637F"/>
    <w:rsid w:val="61164317"/>
    <w:rsid w:val="61345DF2"/>
    <w:rsid w:val="617309B0"/>
    <w:rsid w:val="61932FE1"/>
    <w:rsid w:val="61BE1A5C"/>
    <w:rsid w:val="61D94FD1"/>
    <w:rsid w:val="61DA2118"/>
    <w:rsid w:val="61DA5DEA"/>
    <w:rsid w:val="61DC7944"/>
    <w:rsid w:val="61E146B4"/>
    <w:rsid w:val="620C65CE"/>
    <w:rsid w:val="621F2587"/>
    <w:rsid w:val="625B488E"/>
    <w:rsid w:val="62600C4F"/>
    <w:rsid w:val="62634C1E"/>
    <w:rsid w:val="62683FC2"/>
    <w:rsid w:val="626A7CA0"/>
    <w:rsid w:val="627A19DB"/>
    <w:rsid w:val="628A2CAF"/>
    <w:rsid w:val="62930949"/>
    <w:rsid w:val="62A045EE"/>
    <w:rsid w:val="62AF6A97"/>
    <w:rsid w:val="62D43F09"/>
    <w:rsid w:val="62E16861"/>
    <w:rsid w:val="63035AB9"/>
    <w:rsid w:val="630708A1"/>
    <w:rsid w:val="631D301E"/>
    <w:rsid w:val="633B763F"/>
    <w:rsid w:val="635F3325"/>
    <w:rsid w:val="636079AA"/>
    <w:rsid w:val="63621228"/>
    <w:rsid w:val="636E3C01"/>
    <w:rsid w:val="63840111"/>
    <w:rsid w:val="63A85E64"/>
    <w:rsid w:val="63AA1992"/>
    <w:rsid w:val="63FE062B"/>
    <w:rsid w:val="640406F8"/>
    <w:rsid w:val="64047D3A"/>
    <w:rsid w:val="64095351"/>
    <w:rsid w:val="64191377"/>
    <w:rsid w:val="64195594"/>
    <w:rsid w:val="64313DBA"/>
    <w:rsid w:val="64371EBE"/>
    <w:rsid w:val="64426454"/>
    <w:rsid w:val="644327AC"/>
    <w:rsid w:val="64780178"/>
    <w:rsid w:val="647F3A61"/>
    <w:rsid w:val="648115A0"/>
    <w:rsid w:val="648669A1"/>
    <w:rsid w:val="648D7D30"/>
    <w:rsid w:val="649E1D86"/>
    <w:rsid w:val="64DF6D0B"/>
    <w:rsid w:val="64E63462"/>
    <w:rsid w:val="64EA053C"/>
    <w:rsid w:val="64FA1446"/>
    <w:rsid w:val="6505215C"/>
    <w:rsid w:val="653414D1"/>
    <w:rsid w:val="656F0784"/>
    <w:rsid w:val="65862D33"/>
    <w:rsid w:val="65BF660F"/>
    <w:rsid w:val="65D0263B"/>
    <w:rsid w:val="65F57F95"/>
    <w:rsid w:val="662B0AAA"/>
    <w:rsid w:val="663237D5"/>
    <w:rsid w:val="663808CC"/>
    <w:rsid w:val="664221AF"/>
    <w:rsid w:val="66B03550"/>
    <w:rsid w:val="66D84682"/>
    <w:rsid w:val="66DE6C8C"/>
    <w:rsid w:val="66DF3741"/>
    <w:rsid w:val="66F807A5"/>
    <w:rsid w:val="67086B75"/>
    <w:rsid w:val="67290C64"/>
    <w:rsid w:val="672D3448"/>
    <w:rsid w:val="676E42F8"/>
    <w:rsid w:val="67733E9F"/>
    <w:rsid w:val="6786774B"/>
    <w:rsid w:val="678B06FE"/>
    <w:rsid w:val="6791604A"/>
    <w:rsid w:val="679E3484"/>
    <w:rsid w:val="67BF46A4"/>
    <w:rsid w:val="67D13E9E"/>
    <w:rsid w:val="67D5211A"/>
    <w:rsid w:val="67EB36EB"/>
    <w:rsid w:val="68005401"/>
    <w:rsid w:val="680D70CB"/>
    <w:rsid w:val="68111148"/>
    <w:rsid w:val="682036CF"/>
    <w:rsid w:val="682824FA"/>
    <w:rsid w:val="685478FC"/>
    <w:rsid w:val="686243CF"/>
    <w:rsid w:val="688A38A9"/>
    <w:rsid w:val="68925915"/>
    <w:rsid w:val="68CB4D90"/>
    <w:rsid w:val="68EA4777"/>
    <w:rsid w:val="68F62B3F"/>
    <w:rsid w:val="6906412D"/>
    <w:rsid w:val="69421AFC"/>
    <w:rsid w:val="69591A89"/>
    <w:rsid w:val="697A1606"/>
    <w:rsid w:val="697A28D0"/>
    <w:rsid w:val="697A5E90"/>
    <w:rsid w:val="697E2CE7"/>
    <w:rsid w:val="698B7EE6"/>
    <w:rsid w:val="698E654E"/>
    <w:rsid w:val="69A34939"/>
    <w:rsid w:val="69BB6034"/>
    <w:rsid w:val="69BE2739"/>
    <w:rsid w:val="69BE3564"/>
    <w:rsid w:val="69C85992"/>
    <w:rsid w:val="69D14E52"/>
    <w:rsid w:val="69DE262F"/>
    <w:rsid w:val="6A014D71"/>
    <w:rsid w:val="6A0429A0"/>
    <w:rsid w:val="6A125764"/>
    <w:rsid w:val="6A1F1B6A"/>
    <w:rsid w:val="6A23573F"/>
    <w:rsid w:val="6A3E6FA1"/>
    <w:rsid w:val="6A4115E1"/>
    <w:rsid w:val="6A7639E9"/>
    <w:rsid w:val="6A867923"/>
    <w:rsid w:val="6A95793E"/>
    <w:rsid w:val="6ACF57D1"/>
    <w:rsid w:val="6AF17B4C"/>
    <w:rsid w:val="6B057169"/>
    <w:rsid w:val="6B274F03"/>
    <w:rsid w:val="6B2A554D"/>
    <w:rsid w:val="6B3373AD"/>
    <w:rsid w:val="6B4A48F6"/>
    <w:rsid w:val="6B5E4BD5"/>
    <w:rsid w:val="6B600921"/>
    <w:rsid w:val="6B7C465A"/>
    <w:rsid w:val="6B7F0DC6"/>
    <w:rsid w:val="6B7F7933"/>
    <w:rsid w:val="6B9A4005"/>
    <w:rsid w:val="6BB109A0"/>
    <w:rsid w:val="6BC70F99"/>
    <w:rsid w:val="6BE93D6D"/>
    <w:rsid w:val="6C1457E2"/>
    <w:rsid w:val="6C1D6FBB"/>
    <w:rsid w:val="6C272818"/>
    <w:rsid w:val="6C2E7759"/>
    <w:rsid w:val="6C494F37"/>
    <w:rsid w:val="6C5C6D44"/>
    <w:rsid w:val="6C5E0930"/>
    <w:rsid w:val="6C82360E"/>
    <w:rsid w:val="6C837C4C"/>
    <w:rsid w:val="6C8A6EE3"/>
    <w:rsid w:val="6C8F6511"/>
    <w:rsid w:val="6CAB45A0"/>
    <w:rsid w:val="6CB625AF"/>
    <w:rsid w:val="6CD469F7"/>
    <w:rsid w:val="6CF440B2"/>
    <w:rsid w:val="6D132990"/>
    <w:rsid w:val="6D226159"/>
    <w:rsid w:val="6D4B3523"/>
    <w:rsid w:val="6D4F1B57"/>
    <w:rsid w:val="6D6936F9"/>
    <w:rsid w:val="6D8819DC"/>
    <w:rsid w:val="6D8C00B5"/>
    <w:rsid w:val="6D8F0127"/>
    <w:rsid w:val="6DB91B96"/>
    <w:rsid w:val="6DC06F2A"/>
    <w:rsid w:val="6DEA24E6"/>
    <w:rsid w:val="6E14501E"/>
    <w:rsid w:val="6E2B2A93"/>
    <w:rsid w:val="6E3820EA"/>
    <w:rsid w:val="6E3F02ED"/>
    <w:rsid w:val="6E4C4DFD"/>
    <w:rsid w:val="6E5D5FF6"/>
    <w:rsid w:val="6E6D1C2E"/>
    <w:rsid w:val="6E7012D4"/>
    <w:rsid w:val="6E7D0909"/>
    <w:rsid w:val="6EAC6992"/>
    <w:rsid w:val="6F0A2C5E"/>
    <w:rsid w:val="6F322620"/>
    <w:rsid w:val="6F3419FB"/>
    <w:rsid w:val="6F416A7B"/>
    <w:rsid w:val="6F4F4ABA"/>
    <w:rsid w:val="6F514076"/>
    <w:rsid w:val="6F867D89"/>
    <w:rsid w:val="6FAB2F0B"/>
    <w:rsid w:val="6FC13A8B"/>
    <w:rsid w:val="6FD11419"/>
    <w:rsid w:val="6FFA009A"/>
    <w:rsid w:val="70017DBD"/>
    <w:rsid w:val="701647A6"/>
    <w:rsid w:val="7021134A"/>
    <w:rsid w:val="7076304A"/>
    <w:rsid w:val="7080548A"/>
    <w:rsid w:val="70DA254F"/>
    <w:rsid w:val="70E832F7"/>
    <w:rsid w:val="71031A43"/>
    <w:rsid w:val="710733A9"/>
    <w:rsid w:val="710B6E62"/>
    <w:rsid w:val="711545FD"/>
    <w:rsid w:val="71186749"/>
    <w:rsid w:val="711970D2"/>
    <w:rsid w:val="71281229"/>
    <w:rsid w:val="712B2E5B"/>
    <w:rsid w:val="7136051F"/>
    <w:rsid w:val="714A76D4"/>
    <w:rsid w:val="71AC6E24"/>
    <w:rsid w:val="71B614F5"/>
    <w:rsid w:val="71CB0C87"/>
    <w:rsid w:val="71CF3736"/>
    <w:rsid w:val="71D40827"/>
    <w:rsid w:val="71DC0A0B"/>
    <w:rsid w:val="71FC1A24"/>
    <w:rsid w:val="71FE4A65"/>
    <w:rsid w:val="72171289"/>
    <w:rsid w:val="723540CF"/>
    <w:rsid w:val="726E4BE1"/>
    <w:rsid w:val="7270142D"/>
    <w:rsid w:val="727268E0"/>
    <w:rsid w:val="729B5940"/>
    <w:rsid w:val="72C80DA9"/>
    <w:rsid w:val="72DB0CEA"/>
    <w:rsid w:val="72DE53E2"/>
    <w:rsid w:val="731955B0"/>
    <w:rsid w:val="732803A5"/>
    <w:rsid w:val="735E3B6D"/>
    <w:rsid w:val="735F0249"/>
    <w:rsid w:val="736F55F8"/>
    <w:rsid w:val="73797FE1"/>
    <w:rsid w:val="73850212"/>
    <w:rsid w:val="73B653AA"/>
    <w:rsid w:val="73BD54D3"/>
    <w:rsid w:val="73C80D84"/>
    <w:rsid w:val="73CA6B75"/>
    <w:rsid w:val="73F3740F"/>
    <w:rsid w:val="74416441"/>
    <w:rsid w:val="746B0426"/>
    <w:rsid w:val="74780551"/>
    <w:rsid w:val="74BF6315"/>
    <w:rsid w:val="74BF6EB5"/>
    <w:rsid w:val="74D80D6C"/>
    <w:rsid w:val="753419B2"/>
    <w:rsid w:val="753B6F5F"/>
    <w:rsid w:val="755B4F7E"/>
    <w:rsid w:val="757E1582"/>
    <w:rsid w:val="75894246"/>
    <w:rsid w:val="75B72E94"/>
    <w:rsid w:val="75BE06D4"/>
    <w:rsid w:val="75C90738"/>
    <w:rsid w:val="75CF01A8"/>
    <w:rsid w:val="760F4B0E"/>
    <w:rsid w:val="76124539"/>
    <w:rsid w:val="762628D8"/>
    <w:rsid w:val="762A57AA"/>
    <w:rsid w:val="7640342A"/>
    <w:rsid w:val="764068D9"/>
    <w:rsid w:val="765B4E6C"/>
    <w:rsid w:val="76606EC5"/>
    <w:rsid w:val="766C564F"/>
    <w:rsid w:val="767119C5"/>
    <w:rsid w:val="76877F89"/>
    <w:rsid w:val="76AB142F"/>
    <w:rsid w:val="76AB67CC"/>
    <w:rsid w:val="76B15B00"/>
    <w:rsid w:val="76C84BF7"/>
    <w:rsid w:val="76CA6BC2"/>
    <w:rsid w:val="76E25CB9"/>
    <w:rsid w:val="76E6308B"/>
    <w:rsid w:val="76F878A0"/>
    <w:rsid w:val="76FD03F6"/>
    <w:rsid w:val="77092FA1"/>
    <w:rsid w:val="77151511"/>
    <w:rsid w:val="77173054"/>
    <w:rsid w:val="771F0101"/>
    <w:rsid w:val="773579AE"/>
    <w:rsid w:val="773E3D34"/>
    <w:rsid w:val="77564344"/>
    <w:rsid w:val="77574B3F"/>
    <w:rsid w:val="77AF496B"/>
    <w:rsid w:val="77F32138"/>
    <w:rsid w:val="77FE6B23"/>
    <w:rsid w:val="78143855"/>
    <w:rsid w:val="782D634A"/>
    <w:rsid w:val="7844416F"/>
    <w:rsid w:val="7851372E"/>
    <w:rsid w:val="7871357B"/>
    <w:rsid w:val="787C3EEC"/>
    <w:rsid w:val="78993FAD"/>
    <w:rsid w:val="78B578A6"/>
    <w:rsid w:val="78BE386B"/>
    <w:rsid w:val="78C707A1"/>
    <w:rsid w:val="78CE3644"/>
    <w:rsid w:val="78D46D79"/>
    <w:rsid w:val="78F840C0"/>
    <w:rsid w:val="792B7DB1"/>
    <w:rsid w:val="7944148A"/>
    <w:rsid w:val="794B3FEA"/>
    <w:rsid w:val="797B2758"/>
    <w:rsid w:val="79997EC5"/>
    <w:rsid w:val="79A05224"/>
    <w:rsid w:val="79AE27CB"/>
    <w:rsid w:val="79C210C4"/>
    <w:rsid w:val="79D744BA"/>
    <w:rsid w:val="79E82189"/>
    <w:rsid w:val="79FB1332"/>
    <w:rsid w:val="7A042F4C"/>
    <w:rsid w:val="7A0D5EC0"/>
    <w:rsid w:val="7A2300E7"/>
    <w:rsid w:val="7A4B2197"/>
    <w:rsid w:val="7A6758E3"/>
    <w:rsid w:val="7A744123"/>
    <w:rsid w:val="7A756CD2"/>
    <w:rsid w:val="7A7C4FC9"/>
    <w:rsid w:val="7A9C4BB3"/>
    <w:rsid w:val="7AAC2DEA"/>
    <w:rsid w:val="7AF10738"/>
    <w:rsid w:val="7B01674D"/>
    <w:rsid w:val="7B0A3A31"/>
    <w:rsid w:val="7B0C0E0C"/>
    <w:rsid w:val="7B1D28A1"/>
    <w:rsid w:val="7B23727C"/>
    <w:rsid w:val="7B4A3390"/>
    <w:rsid w:val="7B733AD2"/>
    <w:rsid w:val="7B956415"/>
    <w:rsid w:val="7BAB6FC2"/>
    <w:rsid w:val="7BF67D1A"/>
    <w:rsid w:val="7C29279E"/>
    <w:rsid w:val="7C2A0DE7"/>
    <w:rsid w:val="7C345209"/>
    <w:rsid w:val="7C535805"/>
    <w:rsid w:val="7C8E7B52"/>
    <w:rsid w:val="7CB14B8C"/>
    <w:rsid w:val="7CC31B3D"/>
    <w:rsid w:val="7CCE2930"/>
    <w:rsid w:val="7CE23AF4"/>
    <w:rsid w:val="7CF766B2"/>
    <w:rsid w:val="7D017254"/>
    <w:rsid w:val="7D0E737F"/>
    <w:rsid w:val="7D1961AD"/>
    <w:rsid w:val="7D3E772C"/>
    <w:rsid w:val="7DA07278"/>
    <w:rsid w:val="7DB06B11"/>
    <w:rsid w:val="7DB43620"/>
    <w:rsid w:val="7DBB7C43"/>
    <w:rsid w:val="7DBF30E4"/>
    <w:rsid w:val="7DD669CF"/>
    <w:rsid w:val="7E357016"/>
    <w:rsid w:val="7E4163EA"/>
    <w:rsid w:val="7E586DBC"/>
    <w:rsid w:val="7E687AF0"/>
    <w:rsid w:val="7E891110"/>
    <w:rsid w:val="7E8D5E34"/>
    <w:rsid w:val="7E90249F"/>
    <w:rsid w:val="7EAB410B"/>
    <w:rsid w:val="7EC918F9"/>
    <w:rsid w:val="7EE10D70"/>
    <w:rsid w:val="7EE66563"/>
    <w:rsid w:val="7EFE453C"/>
    <w:rsid w:val="7F1D22C7"/>
    <w:rsid w:val="7F45694D"/>
    <w:rsid w:val="7F4C1176"/>
    <w:rsid w:val="7F5B485B"/>
    <w:rsid w:val="7F6018DF"/>
    <w:rsid w:val="7F882526"/>
    <w:rsid w:val="7F97131B"/>
    <w:rsid w:val="7FBF128D"/>
    <w:rsid w:val="7FC304C1"/>
    <w:rsid w:val="7FD8671F"/>
    <w:rsid w:val="7FE728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nhideWhenUsed="0" w:uiPriority="0" w:semiHidden="0" w:name="toc 2"/>
    <w:lsdException w:qFormat="1" w:unhideWhenUsed="0" w:uiPriority="0" w:semiHidden="0" w:name="toc 3"/>
    <w:lsdException w:unhideWhenUsed="0" w:uiPriority="0" w:semiHidden="0" w:name="toc 4"/>
    <w:lsdException w:qFormat="1" w:uiPriority="39"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qFormat="1" w:unhideWhenUsed="0" w:uiPriority="0" w:semiHidden="0" w:name="endnote text"/>
    <w:lsdException w:qFormat="1" w:unhideWhenUsed="0" w:uiPriority="0" w:semiHidden="0" w:name="table of authorities"/>
    <w:lsdException w:unhideWhenUsed="0" w:uiPriority="0" w:semiHidden="0" w:name="macro"/>
    <w:lsdException w:qFormat="1" w:uiPriority="99"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iPriority="99"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ascii="Calibri" w:hAnsi="Calibri" w:eastAsia="仿宋_GB2312" w:cs="宋体"/>
      <w:color w:val="0815B8"/>
      <w:kern w:val="2"/>
      <w:sz w:val="32"/>
      <w:szCs w:val="22"/>
      <w:lang w:val="en-US" w:eastAsia="zh-CN" w:bidi="ar-SA"/>
    </w:rPr>
  </w:style>
  <w:style w:type="paragraph" w:styleId="3">
    <w:name w:val="heading 1"/>
    <w:basedOn w:val="1"/>
    <w:next w:val="1"/>
    <w:qFormat/>
    <w:uiPriority w:val="0"/>
    <w:pPr>
      <w:keepNext/>
      <w:keepLines/>
      <w:spacing w:before="120" w:after="120"/>
      <w:outlineLvl w:val="0"/>
    </w:pPr>
    <w:rPr>
      <w:b/>
      <w:bCs/>
      <w:kern w:val="44"/>
      <w:szCs w:val="44"/>
    </w:rPr>
  </w:style>
  <w:style w:type="paragraph" w:styleId="4">
    <w:name w:val="heading 2"/>
    <w:basedOn w:val="1"/>
    <w:next w:val="1"/>
    <w:unhideWhenUsed/>
    <w:qFormat/>
    <w:uiPriority w:val="0"/>
    <w:pPr>
      <w:keepNext/>
      <w:keepLines/>
      <w:spacing w:before="120" w:after="120"/>
      <w:ind w:firstLine="200"/>
      <w:outlineLvl w:val="1"/>
    </w:pPr>
    <w:rPr>
      <w:rFonts w:ascii="Cambria" w:hAnsi="Cambria"/>
      <w:b/>
      <w:bCs/>
      <w:sz w:val="30"/>
      <w:szCs w:val="32"/>
    </w:rPr>
  </w:style>
  <w:style w:type="paragraph" w:styleId="5">
    <w:name w:val="heading 3"/>
    <w:basedOn w:val="1"/>
    <w:next w:val="1"/>
    <w:unhideWhenUsed/>
    <w:qFormat/>
    <w:uiPriority w:val="0"/>
    <w:pPr>
      <w:keepNext/>
      <w:keepLines/>
      <w:spacing w:before="260" w:after="260" w:line="415" w:lineRule="auto"/>
      <w:ind w:firstLine="200" w:firstLineChars="200"/>
      <w:outlineLvl w:val="2"/>
    </w:pPr>
    <w:rPr>
      <w:rFonts w:ascii="Times New Roman" w:hAnsi="Times New Roman" w:cs="Times New Roman"/>
      <w:b/>
      <w:bCs/>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2">
    <w:name w:val="endnote text"/>
    <w:basedOn w:val="1"/>
    <w:qFormat/>
    <w:uiPriority w:val="0"/>
    <w:pPr>
      <w:snapToGrid w:val="0"/>
      <w:jc w:val="left"/>
    </w:pPr>
  </w:style>
  <w:style w:type="paragraph" w:styleId="7">
    <w:name w:val="table of authorities"/>
    <w:basedOn w:val="1"/>
    <w:next w:val="1"/>
    <w:qFormat/>
    <w:uiPriority w:val="0"/>
    <w:pPr>
      <w:ind w:left="200" w:leftChars="200"/>
    </w:pPr>
  </w:style>
  <w:style w:type="paragraph" w:styleId="8">
    <w:name w:val="Normal Indent"/>
    <w:basedOn w:val="1"/>
    <w:next w:val="1"/>
    <w:qFormat/>
    <w:uiPriority w:val="0"/>
    <w:pPr>
      <w:ind w:firstLine="420" w:firstLineChars="200"/>
    </w:pPr>
  </w:style>
  <w:style w:type="paragraph" w:styleId="9">
    <w:name w:val="toa heading"/>
    <w:basedOn w:val="1"/>
    <w:next w:val="1"/>
    <w:unhideWhenUsed/>
    <w:qFormat/>
    <w:uiPriority w:val="99"/>
    <w:pPr>
      <w:spacing w:before="120"/>
    </w:pPr>
    <w:rPr>
      <w:rFonts w:ascii="Cambria" w:hAnsi="Cambria"/>
      <w:sz w:val="24"/>
    </w:rPr>
  </w:style>
  <w:style w:type="paragraph" w:styleId="10">
    <w:name w:val="annotation text"/>
    <w:basedOn w:val="1"/>
    <w:unhideWhenUsed/>
    <w:qFormat/>
    <w:uiPriority w:val="99"/>
    <w:pPr>
      <w:jc w:val="left"/>
    </w:pPr>
  </w:style>
  <w:style w:type="paragraph" w:styleId="11">
    <w:name w:val="Body Text"/>
    <w:basedOn w:val="1"/>
    <w:next w:val="1"/>
    <w:qFormat/>
    <w:uiPriority w:val="99"/>
    <w:pPr>
      <w:spacing w:after="120" w:line="240" w:lineRule="auto"/>
    </w:pPr>
    <w:rPr>
      <w:rFonts w:asciiTheme="minorHAnsi" w:hAnsiTheme="minorHAnsi" w:eastAsiaTheme="minorEastAsia" w:cstheme="minorBidi"/>
      <w:sz w:val="21"/>
      <w:szCs w:val="24"/>
    </w:rPr>
  </w:style>
  <w:style w:type="paragraph" w:styleId="12">
    <w:name w:val="Body Text Indent"/>
    <w:basedOn w:val="1"/>
    <w:next w:val="13"/>
    <w:unhideWhenUsed/>
    <w:qFormat/>
    <w:uiPriority w:val="99"/>
    <w:pPr>
      <w:spacing w:after="120"/>
      <w:ind w:left="420" w:leftChars="200"/>
    </w:pPr>
    <w:rPr>
      <w:rFonts w:ascii="Times New Roman" w:hAnsi="Times New Roman" w:eastAsia="仿宋" w:cs="Times New Roman"/>
    </w:rPr>
  </w:style>
  <w:style w:type="paragraph" w:styleId="13">
    <w:name w:val="Body Text First Indent 2"/>
    <w:basedOn w:val="12"/>
    <w:next w:val="1"/>
    <w:unhideWhenUsed/>
    <w:qFormat/>
    <w:uiPriority w:val="99"/>
    <w:pPr>
      <w:ind w:firstLine="420" w:firstLineChars="200"/>
    </w:pPr>
  </w:style>
  <w:style w:type="paragraph" w:styleId="14">
    <w:name w:val="toc 5"/>
    <w:basedOn w:val="1"/>
    <w:next w:val="1"/>
    <w:unhideWhenUsed/>
    <w:qFormat/>
    <w:uiPriority w:val="39"/>
    <w:pPr>
      <w:ind w:left="1680" w:leftChars="800"/>
    </w:pPr>
  </w:style>
  <w:style w:type="paragraph" w:styleId="15">
    <w:name w:val="toc 3"/>
    <w:basedOn w:val="1"/>
    <w:next w:val="1"/>
    <w:qFormat/>
    <w:uiPriority w:val="0"/>
    <w:pPr>
      <w:ind w:left="840" w:leftChars="400"/>
    </w:pPr>
  </w:style>
  <w:style w:type="paragraph" w:styleId="16">
    <w:name w:val="Plain Text"/>
    <w:basedOn w:val="1"/>
    <w:next w:val="1"/>
    <w:qFormat/>
    <w:uiPriority w:val="0"/>
    <w:rPr>
      <w:rFonts w:ascii="宋体" w:hAnsi="Courier New" w:cs="Courier New"/>
      <w:szCs w:val="21"/>
    </w:rPr>
  </w:style>
  <w:style w:type="paragraph" w:styleId="17">
    <w:name w:val="Body Text Indent 2"/>
    <w:basedOn w:val="1"/>
    <w:unhideWhenUsed/>
    <w:qFormat/>
    <w:uiPriority w:val="99"/>
    <w:pPr>
      <w:ind w:firstLine="480" w:firstLineChars="200"/>
    </w:pPr>
    <w:rPr>
      <w:rFonts w:hint="eastAsia"/>
      <w:sz w:val="24"/>
    </w:rPr>
  </w:style>
  <w:style w:type="paragraph" w:styleId="18">
    <w:name w:val="footer"/>
    <w:basedOn w:val="1"/>
    <w:qFormat/>
    <w:uiPriority w:val="99"/>
    <w:pPr>
      <w:tabs>
        <w:tab w:val="center" w:pos="4153"/>
        <w:tab w:val="right" w:pos="8306"/>
      </w:tabs>
      <w:snapToGrid w:val="0"/>
      <w:jc w:val="left"/>
    </w:pPr>
    <w:rPr>
      <w:sz w:val="18"/>
      <w:szCs w:val="18"/>
    </w:rPr>
  </w:style>
  <w:style w:type="paragraph" w:styleId="19">
    <w:name w:val="header"/>
    <w:basedOn w:val="1"/>
    <w:next w:val="18"/>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20">
    <w:name w:val="toc 1"/>
    <w:basedOn w:val="1"/>
    <w:next w:val="1"/>
    <w:unhideWhenUsed/>
    <w:qFormat/>
    <w:uiPriority w:val="39"/>
    <w:pPr>
      <w:tabs>
        <w:tab w:val="right" w:leader="hyphen" w:pos="8296"/>
      </w:tabs>
      <w:outlineLvl w:val="0"/>
    </w:pPr>
    <w:rPr>
      <w:rFonts w:ascii="黑体" w:hAnsi="黑体" w:eastAsia="黑体"/>
      <w:sz w:val="28"/>
      <w:szCs w:val="20"/>
    </w:rPr>
  </w:style>
  <w:style w:type="paragraph" w:styleId="21">
    <w:name w:val="toc 2"/>
    <w:basedOn w:val="1"/>
    <w:next w:val="1"/>
    <w:qFormat/>
    <w:uiPriority w:val="0"/>
    <w:pPr>
      <w:ind w:left="420" w:leftChars="200"/>
    </w:pPr>
  </w:style>
  <w:style w:type="paragraph" w:styleId="22">
    <w:name w:val="Body Text 2"/>
    <w:basedOn w:val="1"/>
    <w:qFormat/>
    <w:uiPriority w:val="0"/>
    <w:pPr>
      <w:spacing w:after="120" w:line="480" w:lineRule="auto"/>
    </w:pPr>
  </w:style>
  <w:style w:type="paragraph" w:styleId="23">
    <w:name w:val="Normal (Web)"/>
    <w:basedOn w:val="1"/>
    <w:qFormat/>
    <w:uiPriority w:val="0"/>
    <w:pPr>
      <w:spacing w:beforeAutospacing="1" w:afterAutospacing="1"/>
      <w:jc w:val="left"/>
    </w:pPr>
    <w:rPr>
      <w:rFonts w:cs="Times New Roman"/>
      <w:kern w:val="0"/>
      <w:sz w:val="24"/>
    </w:rPr>
  </w:style>
  <w:style w:type="paragraph" w:styleId="24">
    <w:name w:val="Body Text First Indent"/>
    <w:basedOn w:val="11"/>
    <w:qFormat/>
    <w:uiPriority w:val="0"/>
    <w:pPr>
      <w:ind w:firstLine="420" w:firstLineChars="100"/>
    </w:pPr>
  </w:style>
  <w:style w:type="table" w:styleId="26">
    <w:name w:val="Table Grid"/>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uiPriority w:val="0"/>
    <w:rPr>
      <w:b/>
      <w:bCs/>
    </w:rPr>
  </w:style>
  <w:style w:type="character" w:styleId="29">
    <w:name w:val="page number"/>
    <w:basedOn w:val="27"/>
    <w:qFormat/>
    <w:uiPriority w:val="0"/>
  </w:style>
  <w:style w:type="character" w:styleId="30">
    <w:name w:val="FollowedHyperlink"/>
    <w:basedOn w:val="27"/>
    <w:qFormat/>
    <w:uiPriority w:val="0"/>
    <w:rPr>
      <w:color w:val="800080"/>
      <w:u w:val="none"/>
    </w:rPr>
  </w:style>
  <w:style w:type="character" w:styleId="31">
    <w:name w:val="Emphasis"/>
    <w:basedOn w:val="27"/>
    <w:qFormat/>
    <w:uiPriority w:val="0"/>
  </w:style>
  <w:style w:type="character" w:styleId="32">
    <w:name w:val="HTML Definition"/>
    <w:basedOn w:val="27"/>
    <w:qFormat/>
    <w:uiPriority w:val="0"/>
  </w:style>
  <w:style w:type="character" w:styleId="33">
    <w:name w:val="HTML Acronym"/>
    <w:basedOn w:val="27"/>
    <w:qFormat/>
    <w:uiPriority w:val="0"/>
  </w:style>
  <w:style w:type="character" w:styleId="34">
    <w:name w:val="HTML Variable"/>
    <w:basedOn w:val="27"/>
    <w:qFormat/>
    <w:uiPriority w:val="0"/>
  </w:style>
  <w:style w:type="character" w:styleId="35">
    <w:name w:val="Hyperlink"/>
    <w:basedOn w:val="27"/>
    <w:qFormat/>
    <w:uiPriority w:val="0"/>
    <w:rPr>
      <w:color w:val="0000FF"/>
      <w:u w:val="none"/>
    </w:rPr>
  </w:style>
  <w:style w:type="character" w:styleId="36">
    <w:name w:val="HTML Code"/>
    <w:basedOn w:val="27"/>
    <w:qFormat/>
    <w:uiPriority w:val="0"/>
    <w:rPr>
      <w:rFonts w:hint="default" w:ascii="Consolas" w:hAnsi="Consolas" w:eastAsia="Consolas" w:cs="Consolas"/>
      <w:color w:val="C7254E"/>
      <w:sz w:val="21"/>
      <w:szCs w:val="21"/>
      <w:shd w:val="clear" w:color="auto" w:fill="F9F2F4"/>
    </w:rPr>
  </w:style>
  <w:style w:type="character" w:styleId="37">
    <w:name w:val="annotation reference"/>
    <w:basedOn w:val="27"/>
    <w:qFormat/>
    <w:uiPriority w:val="0"/>
    <w:rPr>
      <w:rFonts w:ascii="Tahoma" w:hAnsi="Tahoma"/>
      <w:sz w:val="21"/>
      <w:szCs w:val="21"/>
    </w:rPr>
  </w:style>
  <w:style w:type="character" w:styleId="38">
    <w:name w:val="HTML Cite"/>
    <w:basedOn w:val="27"/>
    <w:qFormat/>
    <w:uiPriority w:val="0"/>
  </w:style>
  <w:style w:type="character" w:styleId="39">
    <w:name w:val="HTML Keyboard"/>
    <w:basedOn w:val="27"/>
    <w:qFormat/>
    <w:uiPriority w:val="0"/>
    <w:rPr>
      <w:rFonts w:hint="default" w:ascii="Consolas" w:hAnsi="Consolas" w:eastAsia="Consolas" w:cs="Consolas"/>
      <w:color w:val="FFFFFF"/>
      <w:sz w:val="21"/>
      <w:szCs w:val="21"/>
      <w:shd w:val="clear" w:color="auto" w:fill="333333"/>
    </w:rPr>
  </w:style>
  <w:style w:type="character" w:styleId="40">
    <w:name w:val="HTML Sample"/>
    <w:basedOn w:val="27"/>
    <w:qFormat/>
    <w:uiPriority w:val="0"/>
    <w:rPr>
      <w:rFonts w:ascii="Consolas" w:hAnsi="Consolas" w:eastAsia="Consolas" w:cs="Consolas"/>
      <w:sz w:val="21"/>
      <w:szCs w:val="21"/>
    </w:rPr>
  </w:style>
  <w:style w:type="paragraph" w:customStyle="1" w:styleId="41">
    <w:name w:val="正文缩进1"/>
    <w:basedOn w:val="1"/>
    <w:qFormat/>
    <w:uiPriority w:val="0"/>
    <w:pPr>
      <w:ind w:firstLine="420" w:firstLineChars="200"/>
    </w:pPr>
  </w:style>
  <w:style w:type="paragraph" w:customStyle="1" w:styleId="42">
    <w:name w:val="Normal Indent1"/>
    <w:basedOn w:val="43"/>
    <w:next w:val="16"/>
    <w:qFormat/>
    <w:uiPriority w:val="0"/>
    <w:pPr>
      <w:ind w:firstLine="420" w:firstLineChars="200"/>
    </w:pPr>
    <w:rPr>
      <w:rFonts w:ascii="Calibri" w:hAnsi="Calibri"/>
      <w:szCs w:val="21"/>
    </w:rPr>
  </w:style>
  <w:style w:type="paragraph" w:customStyle="1" w:styleId="43">
    <w:name w:val="正文 New New New"/>
    <w:next w:val="4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4">
    <w:name w:val="Body Text First Indent 21"/>
    <w:basedOn w:val="45"/>
    <w:qFormat/>
    <w:uiPriority w:val="0"/>
    <w:pPr>
      <w:ind w:firstLine="420" w:firstLineChars="200"/>
    </w:pPr>
  </w:style>
  <w:style w:type="paragraph" w:customStyle="1" w:styleId="45">
    <w:name w:val="Body Text Indent1"/>
    <w:basedOn w:val="1"/>
    <w:qFormat/>
    <w:uiPriority w:val="0"/>
    <w:pPr>
      <w:ind w:left="420" w:leftChars="200"/>
    </w:pPr>
  </w:style>
  <w:style w:type="character" w:customStyle="1" w:styleId="46">
    <w:name w:val="lable"/>
    <w:basedOn w:val="27"/>
    <w:qFormat/>
    <w:uiPriority w:val="0"/>
    <w:rPr>
      <w:sz w:val="24"/>
      <w:szCs w:val="24"/>
    </w:rPr>
  </w:style>
  <w:style w:type="character" w:customStyle="1" w:styleId="47">
    <w:name w:val="xkrs"/>
    <w:basedOn w:val="27"/>
    <w:qFormat/>
    <w:uiPriority w:val="0"/>
  </w:style>
  <w:style w:type="character" w:customStyle="1" w:styleId="48">
    <w:name w:val="xss"/>
    <w:basedOn w:val="27"/>
    <w:qFormat/>
    <w:uiPriority w:val="0"/>
  </w:style>
  <w:style w:type="character" w:customStyle="1" w:styleId="49">
    <w:name w:val="desc"/>
    <w:basedOn w:val="27"/>
    <w:qFormat/>
    <w:uiPriority w:val="0"/>
    <w:rPr>
      <w:color w:val="FC0606"/>
      <w:sz w:val="24"/>
      <w:szCs w:val="24"/>
    </w:rPr>
  </w:style>
  <w:style w:type="character" w:customStyle="1" w:styleId="50">
    <w:name w:val="bszn"/>
    <w:basedOn w:val="27"/>
    <w:qFormat/>
    <w:uiPriority w:val="0"/>
    <w:rPr>
      <w:vanish/>
    </w:rPr>
  </w:style>
  <w:style w:type="character" w:customStyle="1" w:styleId="51">
    <w:name w:val="bszn1"/>
    <w:basedOn w:val="27"/>
    <w:qFormat/>
    <w:uiPriority w:val="0"/>
  </w:style>
  <w:style w:type="character" w:customStyle="1" w:styleId="52">
    <w:name w:val="bszn2"/>
    <w:basedOn w:val="27"/>
    <w:qFormat/>
    <w:uiPriority w:val="0"/>
    <w:rPr>
      <w:vanish/>
    </w:rPr>
  </w:style>
  <w:style w:type="character" w:customStyle="1" w:styleId="53">
    <w:name w:val="bszn3"/>
    <w:basedOn w:val="27"/>
    <w:qFormat/>
    <w:uiPriority w:val="0"/>
  </w:style>
  <w:style w:type="character" w:customStyle="1" w:styleId="54">
    <w:name w:val="o2"/>
    <w:basedOn w:val="27"/>
    <w:qFormat/>
    <w:uiPriority w:val="0"/>
    <w:rPr>
      <w:sz w:val="0"/>
      <w:szCs w:val="0"/>
    </w:rPr>
  </w:style>
  <w:style w:type="character" w:customStyle="1" w:styleId="55">
    <w:name w:val="tab"/>
    <w:basedOn w:val="27"/>
    <w:qFormat/>
    <w:uiPriority w:val="0"/>
    <w:rPr>
      <w:color w:val="A4BCD6"/>
    </w:rPr>
  </w:style>
  <w:style w:type="character" w:customStyle="1" w:styleId="56">
    <w:name w:val="o4"/>
    <w:basedOn w:val="27"/>
    <w:qFormat/>
    <w:uiPriority w:val="0"/>
    <w:rPr>
      <w:sz w:val="0"/>
      <w:szCs w:val="0"/>
    </w:rPr>
  </w:style>
  <w:style w:type="character" w:customStyle="1" w:styleId="57">
    <w:name w:val="o1"/>
    <w:basedOn w:val="27"/>
    <w:qFormat/>
    <w:uiPriority w:val="0"/>
    <w:rPr>
      <w:sz w:val="0"/>
      <w:szCs w:val="0"/>
    </w:rPr>
  </w:style>
  <w:style w:type="character" w:customStyle="1" w:styleId="58">
    <w:name w:val="o3"/>
    <w:basedOn w:val="27"/>
    <w:qFormat/>
    <w:uiPriority w:val="0"/>
    <w:rPr>
      <w:sz w:val="0"/>
      <w:szCs w:val="0"/>
    </w:rPr>
  </w:style>
  <w:style w:type="character" w:customStyle="1" w:styleId="59">
    <w:name w:val="zy_fdq"/>
    <w:basedOn w:val="27"/>
    <w:qFormat/>
    <w:uiPriority w:val="0"/>
  </w:style>
  <w:style w:type="character" w:customStyle="1" w:styleId="60">
    <w:name w:val="left-cap"/>
    <w:basedOn w:val="27"/>
    <w:qFormat/>
    <w:uiPriority w:val="0"/>
  </w:style>
  <w:style w:type="character" w:customStyle="1" w:styleId="61">
    <w:name w:val="last-child"/>
    <w:basedOn w:val="27"/>
    <w:qFormat/>
    <w:uiPriority w:val="0"/>
  </w:style>
  <w:style w:type="character" w:customStyle="1" w:styleId="62">
    <w:name w:val="right-cap"/>
    <w:basedOn w:val="27"/>
    <w:qFormat/>
    <w:uiPriority w:val="0"/>
  </w:style>
  <w:style w:type="character" w:customStyle="1" w:styleId="63">
    <w:name w:val="first-child"/>
    <w:basedOn w:val="27"/>
    <w:qFormat/>
    <w:uiPriority w:val="0"/>
    <w:rPr>
      <w:sz w:val="21"/>
      <w:szCs w:val="21"/>
    </w:rPr>
  </w:style>
  <w:style w:type="character" w:customStyle="1" w:styleId="64">
    <w:name w:val="subt"/>
    <w:basedOn w:val="27"/>
    <w:qFormat/>
    <w:uiPriority w:val="0"/>
    <w:rPr>
      <w:rFonts w:ascii="宋体" w:hAnsi="宋体" w:eastAsia="宋体" w:cs="宋体"/>
      <w:color w:val="333333"/>
      <w:sz w:val="39"/>
      <w:szCs w:val="39"/>
    </w:rPr>
  </w:style>
  <w:style w:type="character" w:customStyle="1" w:styleId="65">
    <w:name w:val="rm"/>
    <w:basedOn w:val="27"/>
    <w:qFormat/>
    <w:uiPriority w:val="0"/>
    <w:rPr>
      <w:color w:val="D86C1D"/>
      <w:sz w:val="18"/>
      <w:szCs w:val="18"/>
    </w:rPr>
  </w:style>
  <w:style w:type="character" w:customStyle="1" w:styleId="66">
    <w:name w:val="la"/>
    <w:basedOn w:val="27"/>
    <w:qFormat/>
    <w:uiPriority w:val="0"/>
    <w:rPr>
      <w:color w:val="FFFFFF"/>
      <w:sz w:val="27"/>
      <w:szCs w:val="27"/>
      <w:shd w:val="clear" w:color="auto" w:fill="4062C1"/>
    </w:rPr>
  </w:style>
  <w:style w:type="character" w:customStyle="1" w:styleId="67">
    <w:name w:val="t"/>
    <w:basedOn w:val="27"/>
    <w:qFormat/>
    <w:uiPriority w:val="0"/>
    <w:rPr>
      <w:b/>
      <w:bCs/>
    </w:rPr>
  </w:style>
  <w:style w:type="character" w:customStyle="1" w:styleId="68">
    <w:name w:val="t1"/>
    <w:basedOn w:val="27"/>
    <w:qFormat/>
    <w:uiPriority w:val="0"/>
    <w:rPr>
      <w:sz w:val="27"/>
      <w:szCs w:val="27"/>
    </w:rPr>
  </w:style>
  <w:style w:type="character" w:customStyle="1" w:styleId="69">
    <w:name w:val="t2"/>
    <w:basedOn w:val="27"/>
    <w:qFormat/>
    <w:uiPriority w:val="0"/>
    <w:rPr>
      <w:color w:val="1C3E9D"/>
      <w:sz w:val="27"/>
      <w:szCs w:val="27"/>
    </w:rPr>
  </w:style>
  <w:style w:type="character" w:customStyle="1" w:styleId="70">
    <w:name w:val="t3"/>
    <w:basedOn w:val="27"/>
    <w:qFormat/>
    <w:uiPriority w:val="0"/>
    <w:rPr>
      <w:color w:val="207393"/>
      <w:sz w:val="24"/>
      <w:szCs w:val="24"/>
    </w:rPr>
  </w:style>
  <w:style w:type="character" w:customStyle="1" w:styleId="71">
    <w:name w:val="t4"/>
    <w:basedOn w:val="27"/>
    <w:qFormat/>
    <w:uiPriority w:val="0"/>
    <w:rPr>
      <w:sz w:val="27"/>
      <w:szCs w:val="27"/>
    </w:rPr>
  </w:style>
  <w:style w:type="character" w:customStyle="1" w:styleId="72">
    <w:name w:val="t5"/>
    <w:basedOn w:val="27"/>
    <w:qFormat/>
    <w:uiPriority w:val="0"/>
    <w:rPr>
      <w:sz w:val="27"/>
      <w:szCs w:val="27"/>
    </w:rPr>
  </w:style>
  <w:style w:type="character" w:customStyle="1" w:styleId="73">
    <w:name w:val="t6"/>
    <w:basedOn w:val="27"/>
    <w:qFormat/>
    <w:uiPriority w:val="0"/>
    <w:rPr>
      <w:color w:val="213F93"/>
      <w:sz w:val="42"/>
      <w:szCs w:val="42"/>
    </w:rPr>
  </w:style>
  <w:style w:type="character" w:customStyle="1" w:styleId="74">
    <w:name w:val="t7"/>
    <w:basedOn w:val="27"/>
    <w:qFormat/>
    <w:uiPriority w:val="0"/>
    <w:rPr>
      <w:sz w:val="27"/>
      <w:szCs w:val="27"/>
    </w:rPr>
  </w:style>
  <w:style w:type="character" w:customStyle="1" w:styleId="75">
    <w:name w:val="t8"/>
    <w:basedOn w:val="27"/>
    <w:qFormat/>
    <w:uiPriority w:val="0"/>
  </w:style>
  <w:style w:type="character" w:customStyle="1" w:styleId="76">
    <w:name w:val="t9"/>
    <w:basedOn w:val="27"/>
    <w:qFormat/>
    <w:uiPriority w:val="0"/>
    <w:rPr>
      <w:color w:val="FFFFFF"/>
      <w:spacing w:val="75"/>
      <w:sz w:val="48"/>
      <w:szCs w:val="48"/>
    </w:rPr>
  </w:style>
  <w:style w:type="character" w:customStyle="1" w:styleId="77">
    <w:name w:val="active"/>
    <w:basedOn w:val="27"/>
    <w:qFormat/>
    <w:uiPriority w:val="0"/>
    <w:rPr>
      <w:color w:val="FFFFFF"/>
      <w:shd w:val="clear" w:color="auto" w:fill="547EC2"/>
    </w:rPr>
  </w:style>
  <w:style w:type="character" w:customStyle="1" w:styleId="78">
    <w:name w:val="active1"/>
    <w:basedOn w:val="27"/>
    <w:qFormat/>
    <w:uiPriority w:val="0"/>
    <w:rPr>
      <w:color w:val="FFFFFF"/>
      <w:bdr w:val="single" w:color="FFFFFF" w:sz="6" w:space="0"/>
      <w:shd w:val="clear" w:color="auto" w:fill="244FAC"/>
    </w:rPr>
  </w:style>
  <w:style w:type="character" w:customStyle="1" w:styleId="79">
    <w:name w:val="active2"/>
    <w:basedOn w:val="27"/>
    <w:qFormat/>
    <w:uiPriority w:val="0"/>
    <w:rPr>
      <w:shd w:val="clear" w:color="auto" w:fill="527DC4"/>
    </w:rPr>
  </w:style>
  <w:style w:type="character" w:customStyle="1" w:styleId="80">
    <w:name w:val="fr2"/>
    <w:basedOn w:val="27"/>
    <w:qFormat/>
    <w:uiPriority w:val="0"/>
    <w:rPr>
      <w:color w:val="999999"/>
    </w:rPr>
  </w:style>
  <w:style w:type="character" w:customStyle="1" w:styleId="81">
    <w:name w:val="a_p_1"/>
    <w:basedOn w:val="27"/>
    <w:qFormat/>
    <w:uiPriority w:val="0"/>
    <w:rPr>
      <w:sz w:val="27"/>
      <w:szCs w:val="27"/>
    </w:rPr>
  </w:style>
  <w:style w:type="character" w:customStyle="1" w:styleId="82">
    <w:name w:val="bsharetext"/>
    <w:basedOn w:val="27"/>
    <w:qFormat/>
    <w:uiPriority w:val="0"/>
  </w:style>
  <w:style w:type="character" w:customStyle="1" w:styleId="83">
    <w:name w:val="ly"/>
    <w:basedOn w:val="27"/>
    <w:qFormat/>
    <w:uiPriority w:val="0"/>
    <w:rPr>
      <w:color w:val="999999"/>
    </w:rPr>
  </w:style>
  <w:style w:type="character" w:customStyle="1" w:styleId="84">
    <w:name w:val="a_p_3"/>
    <w:basedOn w:val="27"/>
    <w:qFormat/>
    <w:uiPriority w:val="0"/>
    <w:rPr>
      <w:sz w:val="27"/>
      <w:szCs w:val="27"/>
    </w:rPr>
  </w:style>
  <w:style w:type="character" w:customStyle="1" w:styleId="85">
    <w:name w:val="a_p_2"/>
    <w:basedOn w:val="27"/>
    <w:qFormat/>
    <w:uiPriority w:val="0"/>
  </w:style>
  <w:style w:type="character" w:customStyle="1" w:styleId="86">
    <w:name w:val="a_p_21"/>
    <w:basedOn w:val="27"/>
    <w:qFormat/>
    <w:uiPriority w:val="0"/>
    <w:rPr>
      <w:sz w:val="27"/>
      <w:szCs w:val="27"/>
    </w:rPr>
  </w:style>
  <w:style w:type="character" w:customStyle="1" w:styleId="87">
    <w:name w:val="tm"/>
    <w:basedOn w:val="27"/>
    <w:qFormat/>
    <w:uiPriority w:val="0"/>
    <w:rPr>
      <w:color w:val="999999"/>
    </w:rPr>
  </w:style>
  <w:style w:type="character" w:customStyle="1" w:styleId="88">
    <w:name w:val="rt"/>
    <w:basedOn w:val="27"/>
    <w:qFormat/>
    <w:uiPriority w:val="0"/>
    <w:rPr>
      <w:color w:val="999999"/>
    </w:rPr>
  </w:style>
  <w:style w:type="character" w:customStyle="1" w:styleId="89">
    <w:name w:val="qw"/>
    <w:basedOn w:val="27"/>
    <w:qFormat/>
    <w:uiPriority w:val="0"/>
    <w:rPr>
      <w:color w:val="5786C8"/>
      <w:sz w:val="21"/>
      <w:szCs w:val="21"/>
    </w:rPr>
  </w:style>
  <w:style w:type="character" w:customStyle="1" w:styleId="90">
    <w:name w:val="zj"/>
    <w:basedOn w:val="27"/>
    <w:qFormat/>
    <w:uiPriority w:val="0"/>
    <w:rPr>
      <w:color w:val="FFFFFF"/>
      <w:sz w:val="18"/>
      <w:szCs w:val="18"/>
      <w:shd w:val="clear" w:color="auto" w:fill="C33B51"/>
    </w:rPr>
  </w:style>
  <w:style w:type="character" w:customStyle="1" w:styleId="91">
    <w:name w:val="ti"/>
    <w:basedOn w:val="27"/>
    <w:qFormat/>
    <w:uiPriority w:val="0"/>
    <w:rPr>
      <w:sz w:val="18"/>
      <w:szCs w:val="18"/>
    </w:rPr>
  </w:style>
  <w:style w:type="character" w:customStyle="1" w:styleId="92">
    <w:name w:val="ul_li_a_1"/>
    <w:basedOn w:val="27"/>
    <w:qFormat/>
    <w:uiPriority w:val="0"/>
    <w:rPr>
      <w:b/>
      <w:bCs/>
      <w:color w:val="FFFFFF"/>
    </w:rPr>
  </w:style>
  <w:style w:type="character" w:customStyle="1" w:styleId="93">
    <w:name w:val="exap"/>
    <w:basedOn w:val="27"/>
    <w:qFormat/>
    <w:uiPriority w:val="0"/>
    <w:rPr>
      <w:sz w:val="27"/>
      <w:szCs w:val="27"/>
    </w:rPr>
  </w:style>
  <w:style w:type="character" w:customStyle="1" w:styleId="94">
    <w:name w:val="time"/>
    <w:basedOn w:val="27"/>
    <w:qFormat/>
    <w:uiPriority w:val="0"/>
    <w:rPr>
      <w:rFonts w:ascii="Arial" w:hAnsi="Arial" w:cs="Arial"/>
    </w:rPr>
  </w:style>
  <w:style w:type="character" w:customStyle="1" w:styleId="95">
    <w:name w:val="before"/>
    <w:basedOn w:val="27"/>
    <w:qFormat/>
    <w:uiPriority w:val="0"/>
  </w:style>
  <w:style w:type="character" w:customStyle="1" w:styleId="96">
    <w:name w:val="select2-selection__rendered"/>
    <w:basedOn w:val="27"/>
    <w:qFormat/>
    <w:uiPriority w:val="0"/>
    <w:rPr>
      <w:sz w:val="18"/>
      <w:szCs w:val="18"/>
    </w:rPr>
  </w:style>
  <w:style w:type="character" w:customStyle="1" w:styleId="97">
    <w:name w:val="after2"/>
    <w:basedOn w:val="27"/>
    <w:qFormat/>
    <w:uiPriority w:val="0"/>
    <w:rPr>
      <w:bdr w:val="single" w:color="auto" w:sz="36" w:space="0"/>
    </w:rPr>
  </w:style>
  <w:style w:type="character" w:customStyle="1" w:styleId="98">
    <w:name w:val="last-child4"/>
    <w:basedOn w:val="27"/>
    <w:qFormat/>
    <w:uiPriority w:val="0"/>
  </w:style>
  <w:style w:type="character" w:customStyle="1" w:styleId="99">
    <w:name w:val="after"/>
    <w:basedOn w:val="27"/>
    <w:qFormat/>
    <w:uiPriority w:val="0"/>
    <w:rPr>
      <w:bdr w:val="single" w:color="auto" w:sz="36" w:space="0"/>
    </w:rPr>
  </w:style>
  <w:style w:type="character" w:customStyle="1" w:styleId="100">
    <w:name w:val="before4"/>
    <w:basedOn w:val="27"/>
    <w:qFormat/>
    <w:uiPriority w:val="0"/>
  </w:style>
  <w:style w:type="character" w:customStyle="1" w:styleId="101">
    <w:name w:val="buvis"/>
    <w:basedOn w:val="27"/>
    <w:qFormat/>
    <w:uiPriority w:val="0"/>
    <w:rPr>
      <w:color w:val="999999"/>
    </w:rPr>
  </w:style>
  <w:style w:type="character" w:customStyle="1" w:styleId="102">
    <w:name w:val="buvis1"/>
    <w:basedOn w:val="27"/>
    <w:qFormat/>
    <w:uiPriority w:val="0"/>
    <w:rPr>
      <w:color w:val="CC0000"/>
    </w:rPr>
  </w:style>
  <w:style w:type="character" w:customStyle="1" w:styleId="103">
    <w:name w:val="datetime"/>
    <w:basedOn w:val="27"/>
    <w:qFormat/>
    <w:uiPriority w:val="0"/>
    <w:rPr>
      <w:rFonts w:hint="default" w:ascii="Arial" w:hAnsi="Arial" w:cs="Arial"/>
      <w:color w:val="999999"/>
      <w:sz w:val="21"/>
      <w:szCs w:val="21"/>
    </w:rPr>
  </w:style>
  <w:style w:type="character" w:customStyle="1" w:styleId="104">
    <w:name w:val="fr"/>
    <w:basedOn w:val="27"/>
    <w:qFormat/>
    <w:uiPriority w:val="0"/>
    <w:rPr>
      <w:color w:val="999999"/>
    </w:rPr>
  </w:style>
  <w:style w:type="character" w:customStyle="1" w:styleId="105">
    <w:name w:val="num"/>
    <w:basedOn w:val="27"/>
    <w:qFormat/>
    <w:uiPriority w:val="0"/>
  </w:style>
  <w:style w:type="character" w:customStyle="1" w:styleId="106">
    <w:name w:val="unit"/>
    <w:basedOn w:val="27"/>
    <w:qFormat/>
    <w:uiPriority w:val="0"/>
  </w:style>
  <w:style w:type="character" w:customStyle="1" w:styleId="107">
    <w:name w:val="unit1"/>
    <w:basedOn w:val="27"/>
    <w:qFormat/>
    <w:uiPriority w:val="0"/>
  </w:style>
  <w:style w:type="character" w:customStyle="1" w:styleId="108">
    <w:name w:val="count1"/>
    <w:basedOn w:val="27"/>
    <w:qFormat/>
    <w:uiPriority w:val="0"/>
  </w:style>
  <w:style w:type="character" w:customStyle="1" w:styleId="109">
    <w:name w:val="count11"/>
    <w:basedOn w:val="27"/>
    <w:qFormat/>
    <w:uiPriority w:val="0"/>
  </w:style>
  <w:style w:type="character" w:customStyle="1" w:styleId="110">
    <w:name w:val="chart"/>
    <w:basedOn w:val="27"/>
    <w:qFormat/>
    <w:uiPriority w:val="0"/>
  </w:style>
  <w:style w:type="character" w:customStyle="1" w:styleId="111">
    <w:name w:val="btn7"/>
    <w:basedOn w:val="27"/>
    <w:qFormat/>
    <w:uiPriority w:val="0"/>
  </w:style>
  <w:style w:type="character" w:customStyle="1" w:styleId="112">
    <w:name w:val="btn8"/>
    <w:basedOn w:val="27"/>
    <w:qFormat/>
    <w:uiPriority w:val="0"/>
  </w:style>
  <w:style w:type="character" w:customStyle="1" w:styleId="113">
    <w:name w:val="btnl"/>
    <w:basedOn w:val="27"/>
    <w:qFormat/>
    <w:uiPriority w:val="0"/>
  </w:style>
  <w:style w:type="character" w:customStyle="1" w:styleId="114">
    <w:name w:val="btnl1"/>
    <w:basedOn w:val="27"/>
    <w:qFormat/>
    <w:uiPriority w:val="0"/>
  </w:style>
  <w:style w:type="character" w:customStyle="1" w:styleId="115">
    <w:name w:val="btnr"/>
    <w:basedOn w:val="27"/>
    <w:qFormat/>
    <w:uiPriority w:val="0"/>
  </w:style>
  <w:style w:type="character" w:customStyle="1" w:styleId="116">
    <w:name w:val="btnr1"/>
    <w:basedOn w:val="27"/>
    <w:qFormat/>
    <w:uiPriority w:val="0"/>
  </w:style>
  <w:style w:type="character" w:customStyle="1" w:styleId="117">
    <w:name w:val="count2"/>
    <w:basedOn w:val="27"/>
    <w:qFormat/>
    <w:uiPriority w:val="0"/>
  </w:style>
  <w:style w:type="character" w:customStyle="1" w:styleId="118">
    <w:name w:val="count21"/>
    <w:basedOn w:val="27"/>
    <w:qFormat/>
    <w:uiPriority w:val="0"/>
  </w:style>
  <w:style w:type="character" w:customStyle="1" w:styleId="119">
    <w:name w:val="link11"/>
    <w:basedOn w:val="27"/>
    <w:qFormat/>
    <w:uiPriority w:val="0"/>
  </w:style>
  <w:style w:type="character" w:customStyle="1" w:styleId="120">
    <w:name w:val="link2"/>
    <w:basedOn w:val="27"/>
    <w:qFormat/>
    <w:uiPriority w:val="0"/>
  </w:style>
  <w:style w:type="character" w:customStyle="1" w:styleId="121">
    <w:name w:val="title11"/>
    <w:basedOn w:val="27"/>
    <w:qFormat/>
    <w:uiPriority w:val="0"/>
  </w:style>
  <w:style w:type="character" w:customStyle="1" w:styleId="122">
    <w:name w:val="title12"/>
    <w:basedOn w:val="27"/>
    <w:qFormat/>
    <w:uiPriority w:val="0"/>
  </w:style>
  <w:style w:type="character" w:customStyle="1" w:styleId="123">
    <w:name w:val="title13"/>
    <w:basedOn w:val="27"/>
    <w:qFormat/>
    <w:uiPriority w:val="0"/>
  </w:style>
  <w:style w:type="character" w:customStyle="1" w:styleId="124">
    <w:name w:val="link3"/>
    <w:basedOn w:val="27"/>
    <w:qFormat/>
    <w:uiPriority w:val="0"/>
  </w:style>
  <w:style w:type="character" w:customStyle="1" w:styleId="125">
    <w:name w:val="s-title1"/>
    <w:basedOn w:val="27"/>
    <w:qFormat/>
    <w:uiPriority w:val="0"/>
  </w:style>
  <w:style w:type="character" w:customStyle="1" w:styleId="126">
    <w:name w:val="s-title11"/>
    <w:basedOn w:val="27"/>
    <w:qFormat/>
    <w:uiPriority w:val="0"/>
  </w:style>
  <w:style w:type="character" w:customStyle="1" w:styleId="127">
    <w:name w:val="id"/>
    <w:basedOn w:val="27"/>
    <w:qFormat/>
    <w:uiPriority w:val="0"/>
  </w:style>
  <w:style w:type="character" w:customStyle="1" w:styleId="128">
    <w:name w:val="id1"/>
    <w:basedOn w:val="27"/>
    <w:qFormat/>
    <w:uiPriority w:val="0"/>
    <w:rPr>
      <w:color w:val="666666"/>
    </w:rPr>
  </w:style>
  <w:style w:type="character" w:customStyle="1" w:styleId="129">
    <w:name w:val="time1"/>
    <w:basedOn w:val="27"/>
    <w:qFormat/>
    <w:uiPriority w:val="0"/>
    <w:rPr>
      <w:color w:val="666666"/>
    </w:rPr>
  </w:style>
  <w:style w:type="character" w:customStyle="1" w:styleId="130">
    <w:name w:val="txt_color"/>
    <w:basedOn w:val="27"/>
    <w:qFormat/>
    <w:uiPriority w:val="0"/>
    <w:rPr>
      <w:color w:val="C0C0C0"/>
    </w:rPr>
  </w:style>
  <w:style w:type="character" w:customStyle="1" w:styleId="131">
    <w:name w:val="total"/>
    <w:basedOn w:val="27"/>
    <w:qFormat/>
    <w:uiPriority w:val="0"/>
  </w:style>
  <w:style w:type="character" w:customStyle="1" w:styleId="132">
    <w:name w:val="hover33"/>
    <w:basedOn w:val="27"/>
    <w:qFormat/>
    <w:uiPriority w:val="0"/>
    <w:rPr>
      <w:color w:val="0167CC"/>
      <w:u w:val="none"/>
    </w:rPr>
  </w:style>
  <w:style w:type="character" w:customStyle="1" w:styleId="133">
    <w:name w:val="layui-this"/>
    <w:basedOn w:val="27"/>
    <w:qFormat/>
    <w:uiPriority w:val="0"/>
    <w:rPr>
      <w:bdr w:val="single" w:color="EEEEEE" w:sz="6" w:space="0"/>
      <w:shd w:val="clear" w:color="auto" w:fill="FFFFFF"/>
    </w:rPr>
  </w:style>
  <w:style w:type="character" w:customStyle="1" w:styleId="134">
    <w:name w:val="NormalCharacter"/>
    <w:semiHidden/>
    <w:qFormat/>
    <w:uiPriority w:val="0"/>
    <w:rPr>
      <w:rFonts w:ascii="Calibri" w:hAnsi="Calibri" w:eastAsia="仿宋_GB2312" w:cs="宋体"/>
      <w:color w:val="0815B8"/>
      <w:kern w:val="2"/>
      <w:sz w:val="32"/>
      <w:szCs w:val="22"/>
      <w:lang w:val="en-US" w:eastAsia="zh-CN" w:bidi="ar-SA"/>
    </w:rPr>
  </w:style>
  <w:style w:type="character" w:customStyle="1" w:styleId="135">
    <w:name w:val="font31"/>
    <w:basedOn w:val="27"/>
    <w:qFormat/>
    <w:uiPriority w:val="0"/>
    <w:rPr>
      <w:rFonts w:hint="default" w:ascii="Times New Roman" w:hAnsi="Times New Roman" w:cs="Times New Roman"/>
      <w:color w:val="000000"/>
      <w:sz w:val="24"/>
      <w:szCs w:val="24"/>
      <w:u w:val="none"/>
    </w:rPr>
  </w:style>
  <w:style w:type="character" w:customStyle="1" w:styleId="136">
    <w:name w:val="font51"/>
    <w:basedOn w:val="27"/>
    <w:qFormat/>
    <w:uiPriority w:val="0"/>
    <w:rPr>
      <w:rFonts w:hint="eastAsia" w:ascii="仿宋_GB2312" w:eastAsia="仿宋_GB2312" w:cs="仿宋_GB2312"/>
      <w:color w:val="000000"/>
      <w:sz w:val="24"/>
      <w:szCs w:val="24"/>
      <w:u w:val="none"/>
    </w:rPr>
  </w:style>
  <w:style w:type="character" w:customStyle="1" w:styleId="137">
    <w:name w:val="nth-child(2)"/>
    <w:basedOn w:val="27"/>
    <w:qFormat/>
    <w:uiPriority w:val="0"/>
    <w:rPr>
      <w:color w:val="B2B2B2"/>
      <w:sz w:val="24"/>
      <w:szCs w:val="24"/>
    </w:rPr>
  </w:style>
  <w:style w:type="character" w:customStyle="1" w:styleId="138">
    <w:name w:val="nth-child(2)1"/>
    <w:basedOn w:val="27"/>
    <w:qFormat/>
    <w:uiPriority w:val="0"/>
    <w:rPr>
      <w:color w:val="B2B2B2"/>
      <w:sz w:val="24"/>
      <w:szCs w:val="24"/>
    </w:rPr>
  </w:style>
  <w:style w:type="character" w:customStyle="1" w:styleId="139">
    <w:name w:val="zwxxgk_bnt7"/>
    <w:basedOn w:val="27"/>
    <w:qFormat/>
    <w:uiPriority w:val="0"/>
  </w:style>
  <w:style w:type="character" w:customStyle="1" w:styleId="140">
    <w:name w:val="zwxxgk_bnt71"/>
    <w:basedOn w:val="27"/>
    <w:qFormat/>
    <w:uiPriority w:val="0"/>
  </w:style>
  <w:style w:type="character" w:customStyle="1" w:styleId="141">
    <w:name w:val="zwxxgk_bnt5"/>
    <w:basedOn w:val="27"/>
    <w:qFormat/>
    <w:uiPriority w:val="0"/>
  </w:style>
  <w:style w:type="character" w:customStyle="1" w:styleId="142">
    <w:name w:val="zwxxgk_bnt51"/>
    <w:basedOn w:val="27"/>
    <w:qFormat/>
    <w:uiPriority w:val="0"/>
  </w:style>
  <w:style w:type="character" w:customStyle="1" w:styleId="143">
    <w:name w:val="zwxxgk_bnt52"/>
    <w:basedOn w:val="27"/>
    <w:qFormat/>
    <w:uiPriority w:val="0"/>
  </w:style>
  <w:style w:type="character" w:customStyle="1" w:styleId="144">
    <w:name w:val="zwxxgk_bnt6"/>
    <w:basedOn w:val="27"/>
    <w:qFormat/>
    <w:uiPriority w:val="0"/>
  </w:style>
  <w:style w:type="character" w:customStyle="1" w:styleId="145">
    <w:name w:val="zwxxgk_bnt61"/>
    <w:basedOn w:val="27"/>
    <w:qFormat/>
    <w:uiPriority w:val="0"/>
  </w:style>
  <w:style w:type="character" w:customStyle="1" w:styleId="146">
    <w:name w:val="zwxxgk_bnt62"/>
    <w:basedOn w:val="27"/>
    <w:qFormat/>
    <w:uiPriority w:val="0"/>
  </w:style>
  <w:style w:type="character" w:customStyle="1" w:styleId="147">
    <w:name w:val="on"/>
    <w:basedOn w:val="27"/>
    <w:qFormat/>
    <w:uiPriority w:val="0"/>
  </w:style>
  <w:style w:type="character" w:customStyle="1" w:styleId="148">
    <w:name w:val="nth-child(1)"/>
    <w:basedOn w:val="27"/>
    <w:qFormat/>
    <w:uiPriority w:val="0"/>
    <w:rPr>
      <w:color w:val="4D4D4D"/>
    </w:rPr>
  </w:style>
  <w:style w:type="character" w:customStyle="1" w:styleId="149">
    <w:name w:val="nth-child(1)1"/>
    <w:basedOn w:val="27"/>
    <w:qFormat/>
    <w:uiPriority w:val="0"/>
    <w:rPr>
      <w:color w:val="4D4D4D"/>
    </w:rPr>
  </w:style>
  <w:style w:type="character" w:customStyle="1" w:styleId="150">
    <w:name w:val="nth-child(1)2"/>
    <w:basedOn w:val="27"/>
    <w:qFormat/>
    <w:uiPriority w:val="0"/>
  </w:style>
  <w:style w:type="character" w:customStyle="1" w:styleId="151">
    <w:name w:val="info-content"/>
    <w:basedOn w:val="27"/>
    <w:qFormat/>
    <w:uiPriority w:val="0"/>
    <w:rPr>
      <w:color w:val="808080"/>
    </w:rPr>
  </w:style>
  <w:style w:type="character" w:customStyle="1" w:styleId="152">
    <w:name w:val="info-label"/>
    <w:basedOn w:val="27"/>
    <w:qFormat/>
    <w:uiPriority w:val="0"/>
    <w:rPr>
      <w:b/>
      <w:bCs/>
    </w:rPr>
  </w:style>
  <w:style w:type="character" w:customStyle="1" w:styleId="153">
    <w:name w:val="current"/>
    <w:basedOn w:val="27"/>
    <w:qFormat/>
    <w:uiPriority w:val="0"/>
    <w:rPr>
      <w:color w:val="00C1DE"/>
    </w:rPr>
  </w:style>
  <w:style w:type="character" w:customStyle="1" w:styleId="154">
    <w:name w:val="current1"/>
    <w:basedOn w:val="27"/>
    <w:qFormat/>
    <w:uiPriority w:val="0"/>
    <w:rPr>
      <w:color w:val="00C1DE"/>
    </w:rPr>
  </w:style>
  <w:style w:type="character" w:customStyle="1" w:styleId="155">
    <w:name w:val="print"/>
    <w:basedOn w:val="27"/>
    <w:qFormat/>
    <w:uiPriority w:val="0"/>
  </w:style>
  <w:style w:type="character" w:customStyle="1" w:styleId="156">
    <w:name w:val="font"/>
    <w:basedOn w:val="27"/>
    <w:qFormat/>
    <w:uiPriority w:val="0"/>
  </w:style>
  <w:style w:type="character" w:customStyle="1" w:styleId="157">
    <w:name w:val="nth-child(1)3"/>
    <w:basedOn w:val="27"/>
    <w:qFormat/>
    <w:uiPriority w:val="0"/>
    <w:rPr>
      <w:color w:val="B2B2B2"/>
      <w:sz w:val="24"/>
      <w:szCs w:val="24"/>
    </w:rPr>
  </w:style>
  <w:style w:type="character" w:customStyle="1" w:styleId="158">
    <w:name w:val="nth-child(2)2"/>
    <w:basedOn w:val="27"/>
    <w:qFormat/>
    <w:uiPriority w:val="0"/>
    <w:rPr>
      <w:color w:val="B2B2B2"/>
      <w:sz w:val="24"/>
      <w:szCs w:val="24"/>
    </w:rPr>
  </w:style>
  <w:style w:type="character" w:customStyle="1" w:styleId="159">
    <w:name w:val="18"/>
    <w:qFormat/>
    <w:uiPriority w:val="0"/>
    <w:rPr>
      <w:rFonts w:hint="default" w:ascii="Times New Roman" w:hAnsi="Times New Roman" w:cs="Times New Roman"/>
    </w:rPr>
  </w:style>
  <w:style w:type="paragraph" w:styleId="160">
    <w:name w:val="List Paragraph"/>
    <w:basedOn w:val="1"/>
    <w:qFormat/>
    <w:uiPriority w:val="34"/>
    <w:pPr>
      <w:ind w:firstLine="420" w:firstLineChars="200"/>
    </w:pPr>
  </w:style>
  <w:style w:type="character" w:customStyle="1" w:styleId="161">
    <w:name w:val="share"/>
    <w:basedOn w:val="27"/>
    <w:qFormat/>
    <w:uiPriority w:val="0"/>
  </w:style>
  <w:style w:type="character" w:customStyle="1" w:styleId="162">
    <w:name w:val="w105"/>
    <w:basedOn w:val="27"/>
    <w:qFormat/>
    <w:uiPriority w:val="0"/>
  </w:style>
  <w:style w:type="character" w:customStyle="1" w:styleId="163">
    <w:name w:val="w200"/>
    <w:basedOn w:val="27"/>
    <w:qFormat/>
    <w:uiPriority w:val="0"/>
  </w:style>
  <w:style w:type="character" w:customStyle="1" w:styleId="164">
    <w:name w:val="hover15"/>
    <w:basedOn w:val="27"/>
    <w:qFormat/>
    <w:uiPriority w:val="0"/>
    <w:rPr>
      <w:u w:val="none"/>
    </w:rPr>
  </w:style>
  <w:style w:type="character" w:customStyle="1" w:styleId="165">
    <w:name w:val="hover16"/>
    <w:basedOn w:val="27"/>
    <w:qFormat/>
    <w:uiPriority w:val="0"/>
    <w:rPr>
      <w:u w:val="single"/>
    </w:rPr>
  </w:style>
  <w:style w:type="character" w:customStyle="1" w:styleId="166">
    <w:name w:val="w178"/>
    <w:basedOn w:val="27"/>
    <w:qFormat/>
    <w:uiPriority w:val="0"/>
  </w:style>
  <w:style w:type="paragraph" w:customStyle="1" w:styleId="167">
    <w:name w:val="！正文"/>
    <w:qFormat/>
    <w:uiPriority w:val="0"/>
    <w:pPr>
      <w:spacing w:line="360" w:lineRule="auto"/>
      <w:ind w:firstLine="482" w:firstLineChars="200"/>
      <w:jc w:val="both"/>
    </w:pPr>
    <w:rPr>
      <w:rFonts w:ascii="仿宋_GB2312" w:hAnsi="Times New Roman" w:eastAsia="仿宋_GB2312" w:cs="Times New Roman"/>
      <w:sz w:val="24"/>
      <w:lang w:val="en-US" w:eastAsia="zh-CN" w:bidi="ar-SA"/>
    </w:rPr>
  </w:style>
  <w:style w:type="paragraph" w:customStyle="1" w:styleId="168">
    <w:name w:val="Body Text 21"/>
    <w:basedOn w:val="1"/>
    <w:qFormat/>
    <w:uiPriority w:val="0"/>
    <w:pPr>
      <w:spacing w:line="480" w:lineRule="auto"/>
    </w:pPr>
    <w:rPr>
      <w:rFonts w:ascii="Times New Roman" w:hAnsi="Times New Roman"/>
    </w:rPr>
  </w:style>
  <w:style w:type="character" w:customStyle="1" w:styleId="169">
    <w:name w:val="15"/>
    <w:basedOn w:val="27"/>
    <w:qFormat/>
    <w:uiPriority w:val="0"/>
    <w:rPr>
      <w:rFonts w:hint="default" w:ascii="Times New Roman" w:hAnsi="Times New Roman" w:cs="Times New Roman"/>
    </w:rPr>
  </w:style>
  <w:style w:type="character" w:customStyle="1" w:styleId="170">
    <w:name w:val="newcontent Char"/>
    <w:basedOn w:val="27"/>
    <w:link w:val="171"/>
    <w:qFormat/>
    <w:uiPriority w:val="0"/>
    <w:rPr>
      <w:rFonts w:ascii="宋体"/>
      <w:sz w:val="21"/>
      <w:szCs w:val="21"/>
      <w:lang w:val="en-US" w:eastAsia="zh-CN" w:bidi="ar-SA"/>
    </w:rPr>
  </w:style>
  <w:style w:type="paragraph" w:customStyle="1" w:styleId="171">
    <w:name w:val="newcontent"/>
    <w:link w:val="170"/>
    <w:qFormat/>
    <w:uiPriority w:val="0"/>
    <w:pPr>
      <w:spacing w:before="100" w:beforeAutospacing="1" w:after="100" w:afterAutospacing="1" w:line="344" w:lineRule="atLeast"/>
    </w:pPr>
    <w:rPr>
      <w:rFonts w:ascii="宋体" w:hAnsi="Times New Roman" w:eastAsia="宋体" w:cs="Times New Roman"/>
      <w:sz w:val="21"/>
      <w:szCs w:val="21"/>
      <w:lang w:val="en-US" w:eastAsia="zh-CN" w:bidi="ar-SA"/>
    </w:rPr>
  </w:style>
  <w:style w:type="paragraph" w:customStyle="1" w:styleId="172">
    <w:name w:val="sb-正文"/>
    <w:basedOn w:val="1"/>
    <w:qFormat/>
    <w:uiPriority w:val="0"/>
    <w:rPr>
      <w:rFonts w:eastAsia="宋体"/>
    </w:rPr>
  </w:style>
  <w:style w:type="paragraph" w:customStyle="1" w:styleId="173">
    <w:name w:val="Style3"/>
    <w:basedOn w:val="1"/>
    <w:qFormat/>
    <w:uiPriority w:val="0"/>
    <w:pPr>
      <w:adjustRightInd w:val="0"/>
      <w:spacing w:line="696" w:lineRule="exact"/>
      <w:ind w:firstLine="907"/>
      <w:jc w:val="left"/>
    </w:pPr>
    <w:rPr>
      <w:rFonts w:ascii="MingLiU" w:eastAsia="MingLiU"/>
      <w:kern w:val="0"/>
      <w:sz w:val="24"/>
    </w:rPr>
  </w:style>
  <w:style w:type="character" w:customStyle="1" w:styleId="174">
    <w:name w:val="Font Style26"/>
    <w:basedOn w:val="27"/>
    <w:qFormat/>
    <w:uiPriority w:val="0"/>
    <w:rPr>
      <w:rFonts w:ascii="黑体" w:eastAsia="黑体" w:cs="黑体"/>
      <w:spacing w:val="-30"/>
      <w:sz w:val="42"/>
      <w:szCs w:val="42"/>
    </w:rPr>
  </w:style>
  <w:style w:type="paragraph" w:customStyle="1" w:styleId="175">
    <w:name w:val="Char"/>
    <w:basedOn w:val="1"/>
    <w:qFormat/>
    <w:uiPriority w:val="0"/>
    <w:pPr>
      <w:widowControl/>
      <w:spacing w:after="160" w:line="240" w:lineRule="exact"/>
      <w:jc w:val="left"/>
    </w:pPr>
  </w:style>
  <w:style w:type="paragraph" w:customStyle="1" w:styleId="176">
    <w:name w:val="表格内容"/>
    <w:basedOn w:val="1"/>
    <w:qFormat/>
    <w:uiPriority w:val="0"/>
    <w:pPr>
      <w:spacing w:line="240" w:lineRule="auto"/>
      <w:jc w:val="center"/>
    </w:pPr>
    <w:rPr>
      <w:rFonts w:cs="Times New Roman"/>
      <w:sz w:val="21"/>
      <w:szCs w:val="24"/>
    </w:rPr>
  </w:style>
  <w:style w:type="paragraph" w:customStyle="1" w:styleId="177">
    <w:name w:val="样式 无间隔 + 首行缩进:  2 字符"/>
    <w:basedOn w:val="178"/>
    <w:qFormat/>
    <w:uiPriority w:val="0"/>
    <w:pPr>
      <w:ind w:firstLine="600"/>
    </w:pPr>
    <w:rPr>
      <w:rFonts w:cs="宋体"/>
      <w:sz w:val="30"/>
      <w:szCs w:val="20"/>
    </w:rPr>
  </w:style>
  <w:style w:type="paragraph" w:styleId="178">
    <w:name w:val="No Spacing"/>
    <w:qFormat/>
    <w:uiPriority w:val="99"/>
    <w:pPr>
      <w:widowControl w:val="0"/>
      <w:ind w:firstLine="200" w:firstLineChars="200"/>
      <w:jc w:val="both"/>
    </w:pPr>
    <w:rPr>
      <w:rFonts w:ascii="Times New Roman" w:hAnsi="Times New Roman" w:eastAsia="仿宋_GB2312" w:cs="Times New Roman"/>
      <w:kern w:val="2"/>
      <w:sz w:val="28"/>
      <w:szCs w:val="22"/>
      <w:lang w:val="en-US" w:eastAsia="zh-CN" w:bidi="ar-SA"/>
    </w:rPr>
  </w:style>
  <w:style w:type="paragraph" w:customStyle="1" w:styleId="179">
    <w:name w:val="WPSOffice手动目录 1"/>
    <w:qFormat/>
    <w:uiPriority w:val="0"/>
    <w:rPr>
      <w:rFonts w:ascii="Times New Roman" w:hAnsi="Times New Roman" w:eastAsia="宋体" w:cs="Times New Roman"/>
      <w:lang w:val="en-US" w:eastAsia="zh-CN" w:bidi="ar-SA"/>
    </w:rPr>
  </w:style>
  <w:style w:type="paragraph" w:customStyle="1" w:styleId="180">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81">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182">
    <w:name w:val="正文01"/>
    <w:basedOn w:val="1"/>
    <w:unhideWhenUsed/>
    <w:qFormat/>
    <w:uiPriority w:val="99"/>
    <w:pPr>
      <w:spacing w:before="60" w:line="540" w:lineRule="exact"/>
      <w:ind w:firstLine="200" w:firstLineChars="200"/>
    </w:pPr>
    <w:rPr>
      <w:rFonts w:hint="eastAsia" w:eastAsia="仿宋_GB2312"/>
      <w:color w:val="000000"/>
      <w:sz w:val="28"/>
    </w:rPr>
  </w:style>
  <w:style w:type="character" w:customStyle="1" w:styleId="183">
    <w:name w:val="font21"/>
    <w:basedOn w:val="27"/>
    <w:qFormat/>
    <w:uiPriority w:val="0"/>
    <w:rPr>
      <w:rFonts w:hint="eastAsia" w:ascii="方正黑体_GBK" w:hAnsi="方正黑体_GBK" w:eastAsia="方正黑体_GBK" w:cs="方正黑体_GBK"/>
      <w:color w:val="000000"/>
      <w:sz w:val="23"/>
      <w:szCs w:val="23"/>
      <w:u w:val="none"/>
    </w:rPr>
  </w:style>
  <w:style w:type="character" w:customStyle="1" w:styleId="184">
    <w:name w:val="font41"/>
    <w:basedOn w:val="27"/>
    <w:qFormat/>
    <w:uiPriority w:val="0"/>
    <w:rPr>
      <w:rFonts w:hint="eastAsia" w:ascii="微软雅黑" w:hAnsi="微软雅黑" w:eastAsia="微软雅黑" w:cs="微软雅黑"/>
      <w:color w:val="000000"/>
      <w:sz w:val="23"/>
      <w:szCs w:val="23"/>
      <w:u w:val="none"/>
    </w:rPr>
  </w:style>
  <w:style w:type="paragraph" w:customStyle="1" w:styleId="185">
    <w:name w:val="正文首行缩进 21"/>
    <w:basedOn w:val="1"/>
    <w:qFormat/>
    <w:uiPriority w:val="0"/>
    <w:pPr>
      <w:spacing w:before="100" w:beforeAutospacing="1" w:after="120"/>
      <w:ind w:left="200" w:leftChars="200" w:firstLine="420" w:firstLineChars="200"/>
    </w:pPr>
    <w:rPr>
      <w:kern w:val="0"/>
      <w:sz w:val="28"/>
      <w:szCs w:val="28"/>
    </w:rPr>
  </w:style>
  <w:style w:type="paragraph" w:customStyle="1" w:styleId="186">
    <w:name w:val="UserStyle_0"/>
    <w:basedOn w:val="1"/>
    <w:qFormat/>
    <w:uiPriority w:val="0"/>
    <w:pPr>
      <w:spacing w:after="120"/>
      <w:ind w:left="420" w:leftChars="200" w:firstLine="420" w:firstLineChars="200"/>
      <w:jc w:val="both"/>
      <w:textAlignment w:val="baseline"/>
    </w:pPr>
    <w:rPr>
      <w:rFonts w:ascii="Calibri" w:hAnsi="Calibri" w:eastAsia="宋体"/>
      <w:kern w:val="0"/>
      <w:sz w:val="28"/>
      <w:szCs w:val="24"/>
      <w:lang w:val="en-US" w:eastAsia="zh-CN" w:bidi="ar-SA"/>
    </w:rPr>
  </w:style>
  <w:style w:type="character" w:customStyle="1" w:styleId="187">
    <w:name w:val="font01"/>
    <w:basedOn w:val="27"/>
    <w:qFormat/>
    <w:uiPriority w:val="0"/>
    <w:rPr>
      <w:rFonts w:hint="eastAsia" w:ascii="宋体" w:hAnsi="宋体" w:eastAsia="宋体" w:cs="宋体"/>
      <w:color w:val="000000"/>
      <w:sz w:val="21"/>
      <w:szCs w:val="21"/>
      <w:u w:val="none"/>
    </w:rPr>
  </w:style>
  <w:style w:type="character" w:customStyle="1" w:styleId="188">
    <w:name w:val="font11"/>
    <w:basedOn w:val="27"/>
    <w:qFormat/>
    <w:uiPriority w:val="0"/>
    <w:rPr>
      <w:rFonts w:hint="eastAsia" w:ascii="方正仿宋_GBK" w:hAnsi="方正仿宋_GBK" w:eastAsia="方正仿宋_GBK" w:cs="方正仿宋_GBK"/>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16.png"/><Relationship Id="rId4" Type="http://schemas.openxmlformats.org/officeDocument/2006/relationships/endnotes" Target="endnotes.xml"/><Relationship Id="rId39" Type="http://schemas.openxmlformats.org/officeDocument/2006/relationships/image" Target="media/image15.png"/><Relationship Id="rId38" Type="http://schemas.openxmlformats.org/officeDocument/2006/relationships/image" Target="media/image14.png"/><Relationship Id="rId37" Type="http://schemas.openxmlformats.org/officeDocument/2006/relationships/image" Target="media/image13.png"/><Relationship Id="rId36" Type="http://schemas.openxmlformats.org/officeDocument/2006/relationships/image" Target="media/image12.png"/><Relationship Id="rId35" Type="http://schemas.openxmlformats.org/officeDocument/2006/relationships/image" Target="media/image11.png"/><Relationship Id="rId34" Type="http://schemas.openxmlformats.org/officeDocument/2006/relationships/image" Target="media/image10.png"/><Relationship Id="rId33" Type="http://schemas.openxmlformats.org/officeDocument/2006/relationships/image" Target="media/image9.png"/><Relationship Id="rId32" Type="http://schemas.openxmlformats.org/officeDocument/2006/relationships/image" Target="media/image8.png"/><Relationship Id="rId31" Type="http://schemas.openxmlformats.org/officeDocument/2006/relationships/image" Target="media/image7.png"/><Relationship Id="rId30" Type="http://schemas.openxmlformats.org/officeDocument/2006/relationships/image" Target="media/image6.png"/><Relationship Id="rId3" Type="http://schemas.openxmlformats.org/officeDocument/2006/relationships/footnotes" Target="footnotes.xml"/><Relationship Id="rId29" Type="http://schemas.openxmlformats.org/officeDocument/2006/relationships/image" Target="media/image5.png"/><Relationship Id="rId28" Type="http://schemas.openxmlformats.org/officeDocument/2006/relationships/image" Target="media/image4.png"/><Relationship Id="rId27" Type="http://schemas.openxmlformats.org/officeDocument/2006/relationships/image" Target="media/image3.png"/><Relationship Id="rId26" Type="http://schemas.openxmlformats.org/officeDocument/2006/relationships/image" Target="media/image2.png"/><Relationship Id="rId25" Type="http://schemas.openxmlformats.org/officeDocument/2006/relationships/image" Target="media/image1.png"/><Relationship Id="rId24" Type="http://schemas.openxmlformats.org/officeDocument/2006/relationships/theme" Target="theme/theme1.xml"/><Relationship Id="rId23" Type="http://schemas.openxmlformats.org/officeDocument/2006/relationships/footer" Target="footer13.xml"/><Relationship Id="rId22" Type="http://schemas.openxmlformats.org/officeDocument/2006/relationships/footer" Target="footer12.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6.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header" Target="header5.xml"/><Relationship Id="rId14" Type="http://schemas.openxmlformats.org/officeDocument/2006/relationships/footer" Target="footer6.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header" Target="header3.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225</Pages>
  <Words>21779</Words>
  <Characters>25561</Characters>
  <Lines>1321</Lines>
  <Paragraphs>372</Paragraphs>
  <TotalTime>49</TotalTime>
  <ScaleCrop>false</ScaleCrop>
  <LinksUpToDate>false</LinksUpToDate>
  <CharactersWithSpaces>25784</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2022-06-09T02:12:00Z</dcterms:created>
  <dc:creator>mcy</dc:creator>
  <cp:lastModifiedBy>奕丹</cp:lastModifiedBy>
  <dcterms:modified xsi:type="dcterms:W3CDTF">2025-06-05T03:13:11Z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883451B838644930B508C85D2A86D23A_13</vt:lpwstr>
  </property>
  <property fmtid="{D5CDD505-2E9C-101B-9397-08002B2CF9AE}" pid="4" name="KSOTemplateDocerSaveRecord">
    <vt:lpwstr>eyJoZGlkIjoiNmI0NDE4OWQ3ODM2MTZjMzQwYWJjZjM3ODM4MjdhZTkiLCJ1c2VySWQiOiI0OTkxMDg2MjUifQ==</vt:lpwstr>
  </property>
</Properties>
</file>