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新平彝族傣族自治县第二幼儿园</w:t>
      </w:r>
      <w:r>
        <w:rPr>
          <w:rFonts w:hint="eastAsia" w:ascii="方正小标宋简体" w:hAnsi="方正小标宋简体" w:eastAsia="方正小标宋简体" w:cs="方正小标宋简体"/>
          <w:sz w:val="36"/>
          <w:szCs w:val="36"/>
          <w:lang w:val="en-US" w:eastAsia="zh-CN"/>
        </w:rPr>
        <w:t>2020</w:t>
      </w:r>
      <w:r>
        <w:rPr>
          <w:rFonts w:hint="eastAsia" w:ascii="方正小标宋简体" w:hAnsi="方正小标宋简体" w:eastAsia="方正小标宋简体" w:cs="方正小标宋简体"/>
          <w:sz w:val="36"/>
          <w:szCs w:val="36"/>
        </w:rPr>
        <w:t>年度部门决算</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z w:val="30"/>
          <w:szCs w:val="30"/>
        </w:rPr>
      </w:pPr>
      <w:r>
        <w:rPr>
          <w:rFonts w:hint="eastAsia" w:ascii="黑体" w:hAnsi="黑体" w:eastAsia="黑体"/>
          <w:sz w:val="30"/>
          <w:szCs w:val="30"/>
        </w:rPr>
        <w:t xml:space="preserve">第一部分  </w:t>
      </w:r>
      <w:r>
        <w:rPr>
          <w:rFonts w:hint="eastAsia" w:ascii="黑体" w:hAnsi="黑体" w:eastAsia="黑体" w:cs="黑体"/>
          <w:sz w:val="30"/>
          <w:szCs w:val="30"/>
          <w:lang w:eastAsia="zh-CN"/>
        </w:rPr>
        <w:t>新平彝族傣族自治县第二幼儿园</w:t>
      </w:r>
      <w:r>
        <w:rPr>
          <w:rFonts w:hint="eastAsia" w:ascii="黑体" w:hAnsi="黑体" w:eastAsia="黑体" w:cs="黑体"/>
          <w:sz w:val="30"/>
          <w:szCs w:val="30"/>
        </w:rPr>
        <w:t>概况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一、主要职能</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二、部门基本情况</w:t>
      </w:r>
    </w:p>
    <w:p>
      <w:pPr>
        <w:keepNext w:val="0"/>
        <w:keepLines w:val="0"/>
        <w:pageBreakBefore w:val="0"/>
        <w:kinsoku/>
        <w:wordWrap/>
        <w:overflowPunct/>
        <w:topLinePunct w:val="0"/>
        <w:autoSpaceDE/>
        <w:autoSpaceDN/>
        <w:bidi w:val="0"/>
        <w:spacing w:line="560" w:lineRule="exact"/>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2020</w:t>
      </w:r>
      <w:r>
        <w:rPr>
          <w:rFonts w:hint="eastAsia" w:ascii="黑体" w:hAnsi="黑体" w:eastAsia="黑体"/>
          <w:sz w:val="30"/>
          <w:szCs w:val="30"/>
        </w:rPr>
        <w:t>年度部门决算表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一、收入支出决算总表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二、收入决算表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三、支出决算表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四、财政拨款收入支出决算总表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val="en-US" w:eastAsia="zh-CN"/>
        </w:rPr>
      </w:pPr>
      <w:r>
        <w:rPr>
          <w:rFonts w:hint="eastAsia" w:ascii="楷体" w:hAnsi="楷体" w:eastAsia="楷体"/>
          <w:sz w:val="30"/>
          <w:szCs w:val="30"/>
          <w:lang w:val="en-US" w:eastAsia="zh-CN"/>
        </w:rPr>
        <w:t>八、国有资本经营预算财政拨款收入支出决算表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lang w:eastAsia="zh-CN"/>
        </w:rPr>
        <w:t>九</w:t>
      </w:r>
      <w:r>
        <w:rPr>
          <w:rFonts w:hint="eastAsia" w:ascii="楷体" w:hAnsi="楷体" w:eastAsia="楷体"/>
          <w:sz w:val="30"/>
          <w:szCs w:val="30"/>
        </w:rPr>
        <w:t>、“三公”经费、行政参公单位机关运行经费情况表</w:t>
      </w:r>
    </w:p>
    <w:p>
      <w:pPr>
        <w:keepNext w:val="0"/>
        <w:keepLines w:val="0"/>
        <w:pageBreakBefore w:val="0"/>
        <w:kinsoku/>
        <w:wordWrap/>
        <w:overflowPunct/>
        <w:topLinePunct w:val="0"/>
        <w:autoSpaceDE/>
        <w:autoSpaceDN/>
        <w:bidi w:val="0"/>
        <w:spacing w:line="560" w:lineRule="exact"/>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2020</w:t>
      </w:r>
      <w:r>
        <w:rPr>
          <w:rFonts w:hint="eastAsia" w:ascii="黑体" w:hAnsi="黑体" w:eastAsia="黑体"/>
          <w:sz w:val="30"/>
          <w:szCs w:val="30"/>
        </w:rPr>
        <w:t>年度部门决算情况说明</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一、收入决算情况说明</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二、支出决算情况说明</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keepNext w:val="0"/>
        <w:keepLines w:val="0"/>
        <w:pageBreakBefore w:val="0"/>
        <w:widowControl/>
        <w:kinsoku/>
        <w:wordWrap/>
        <w:overflowPunct/>
        <w:topLinePunct w:val="0"/>
        <w:autoSpaceDE/>
        <w:autoSpaceDN/>
        <w:bidi w:val="0"/>
        <w:snapToGrid w:val="0"/>
        <w:spacing w:before="100" w:after="100" w:line="560" w:lineRule="exact"/>
        <w:jc w:val="left"/>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keepNext w:val="0"/>
        <w:keepLines w:val="0"/>
        <w:pageBreakBefore w:val="0"/>
        <w:widowControl/>
        <w:kinsoku/>
        <w:wordWrap/>
        <w:overflowPunct/>
        <w:topLinePunct w:val="0"/>
        <w:autoSpaceDE/>
        <w:autoSpaceDN/>
        <w:bidi w:val="0"/>
        <w:snapToGrid w:val="0"/>
        <w:spacing w:before="100" w:after="100" w:line="560" w:lineRule="exact"/>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keepNext w:val="0"/>
        <w:keepLines w:val="0"/>
        <w:pageBreakBefore w:val="0"/>
        <w:kinsoku/>
        <w:wordWrap/>
        <w:overflowPunct/>
        <w:topLinePunct w:val="0"/>
        <w:autoSpaceDE/>
        <w:autoSpaceDN/>
        <w:bidi w:val="0"/>
        <w:spacing w:line="560" w:lineRule="exact"/>
        <w:jc w:val="left"/>
        <w:rPr>
          <w:rFonts w:hint="eastAsia" w:ascii="楷体" w:hAnsi="楷体" w:eastAsia="楷体"/>
          <w:sz w:val="30"/>
          <w:szCs w:val="30"/>
          <w:lang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keepNext w:val="0"/>
        <w:keepLines w:val="0"/>
        <w:pageBreakBefore w:val="0"/>
        <w:widowControl/>
        <w:kinsoku/>
        <w:wordWrap/>
        <w:overflowPunct/>
        <w:topLinePunct w:val="0"/>
        <w:autoSpaceDE/>
        <w:autoSpaceDN/>
        <w:bidi w:val="0"/>
        <w:snapToGrid w:val="0"/>
        <w:spacing w:before="100" w:after="100" w:line="560" w:lineRule="exact"/>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keepNext w:val="0"/>
        <w:keepLines w:val="0"/>
        <w:pageBreakBefore w:val="0"/>
        <w:kinsoku/>
        <w:wordWrap/>
        <w:overflowPunct/>
        <w:topLinePunct w:val="0"/>
        <w:autoSpaceDE/>
        <w:autoSpaceDN/>
        <w:bidi w:val="0"/>
        <w:spacing w:line="560" w:lineRule="exact"/>
        <w:jc w:val="both"/>
        <w:rPr>
          <w:rFonts w:hint="eastAsia" w:ascii="黑体" w:hAnsi="黑体" w:eastAsia="黑体"/>
          <w:sz w:val="32"/>
          <w:szCs w:val="32"/>
        </w:rPr>
      </w:pPr>
    </w:p>
    <w:p>
      <w:pPr>
        <w:keepNext w:val="0"/>
        <w:keepLines w:val="0"/>
        <w:pageBreakBefore w:val="0"/>
        <w:kinsoku/>
        <w:wordWrap/>
        <w:overflowPunct/>
        <w:topLinePunct w:val="0"/>
        <w:autoSpaceDE/>
        <w:autoSpaceDN/>
        <w:bidi w:val="0"/>
        <w:spacing w:line="560" w:lineRule="exact"/>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0"/>
          <w:szCs w:val="30"/>
          <w:lang w:eastAsia="zh-CN"/>
        </w:rPr>
        <w:t>新平彝族傣族自治县第二幼儿园</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spacing w:line="560" w:lineRule="exact"/>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kinsoku/>
        <w:wordWrap/>
        <w:overflowPunct/>
        <w:topLinePunct w:val="0"/>
        <w:autoSpaceDE/>
        <w:autoSpaceDN/>
        <w:bidi w:val="0"/>
        <w:spacing w:line="560" w:lineRule="exact"/>
        <w:rPr>
          <w:rFonts w:hint="eastAsia" w:ascii="楷体" w:hAnsi="楷体" w:eastAsia="楷体"/>
          <w:bCs/>
          <w:sz w:val="30"/>
          <w:szCs w:val="30"/>
        </w:rPr>
      </w:pPr>
      <w:r>
        <w:rPr>
          <w:rFonts w:hint="eastAsia" w:ascii="楷体" w:hAnsi="楷体" w:eastAsia="楷体"/>
          <w:bCs/>
          <w:sz w:val="30"/>
          <w:szCs w:val="30"/>
        </w:rPr>
        <w:t>（一）主要职能</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lang w:eastAsia="zh-CN"/>
        </w:rPr>
        <w:t>幼儿园宗旨：为学龄前儿童提供保育和教育服务。</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lang w:eastAsia="zh-CN"/>
        </w:rPr>
        <w:t>幼儿园业务范围：幼儿保育、幼儿教育。</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lang w:eastAsia="zh-CN"/>
        </w:rPr>
        <w:t>宣传贯彻执行党和国家的教育方针、政策、法律法规等，坚持依法治教、依法治学，贯彻执行县教体局的行政规章制度。配合县、镇人民政府制定符合党的教育方针和国家教育法律法规以及幼儿园实际的教育发展规划和幼儿园的布局调整规划，并抓好组织实施和落实工作。我园始终坚持“以爱育心、修德启智”的办园思想，秉承着“游戏课程扬善怡情、故事探索文化育人”的办园理念，实践着“培养拥有快乐、富有爱心、享有智慧、具有自信的孩子”的办园目标.</w:t>
      </w:r>
    </w:p>
    <w:p>
      <w:pPr>
        <w:pStyle w:val="2"/>
        <w:keepNext w:val="0"/>
        <w:keepLines w:val="0"/>
        <w:pageBreakBefore w:val="0"/>
        <w:kinsoku/>
        <w:wordWrap/>
        <w:overflowPunct/>
        <w:topLinePunct w:val="0"/>
        <w:autoSpaceDE/>
        <w:autoSpaceDN/>
        <w:bidi w:val="0"/>
        <w:adjustRightInd w:val="0"/>
        <w:snapToGrid w:val="0"/>
        <w:spacing w:line="560" w:lineRule="exact"/>
        <w:rPr>
          <w:rFonts w:hint="eastAsia" w:ascii="楷体" w:hAnsi="楷体" w:eastAsia="楷体"/>
          <w:bCs/>
          <w:szCs w:val="30"/>
        </w:rPr>
      </w:pPr>
      <w:r>
        <w:rPr>
          <w:rFonts w:hint="eastAsia" w:ascii="楷体" w:hAnsi="楷体" w:eastAsia="楷体"/>
          <w:bCs/>
          <w:szCs w:val="30"/>
        </w:rPr>
        <w:t>（二）</w:t>
      </w:r>
      <w:r>
        <w:rPr>
          <w:rFonts w:hint="eastAsia" w:ascii="楷体" w:hAnsi="楷体" w:eastAsia="楷体"/>
          <w:bCs/>
          <w:szCs w:val="30"/>
          <w:lang w:val="en-US" w:eastAsia="zh-CN"/>
        </w:rPr>
        <w:t>2020</w:t>
      </w:r>
      <w:r>
        <w:rPr>
          <w:rFonts w:hint="eastAsia" w:ascii="楷体" w:hAnsi="楷体" w:eastAsia="楷体"/>
          <w:bCs/>
          <w:szCs w:val="30"/>
        </w:rPr>
        <w:t>年度重点工作任务介绍</w:t>
      </w:r>
    </w:p>
    <w:p>
      <w:pPr>
        <w:keepNext w:val="0"/>
        <w:keepLines w:val="0"/>
        <w:pageBreakBefore w:val="0"/>
        <w:kinsoku/>
        <w:wordWrap/>
        <w:overflowPunct/>
        <w:topLinePunct w:val="0"/>
        <w:autoSpaceDE/>
        <w:autoSpaceDN/>
        <w:bidi w:val="0"/>
        <w:snapToGrid w:val="0"/>
        <w:spacing w:line="56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1.完善新园建设，按时开园上课，高起点高标准安全办园。2019年9月——2020年8月，幼儿园办园规模为12个教学班，即：小班6个，中、大班各3个。由于二孩政策实施的效应，入园幼儿人数在近三年会有大幅度增长。同时，随着新户籍政策的实行，办理落户限制条件减少，落户更自由，相应地，符合我园招生范围的幼儿人数也会增多，所以各班级幼儿人数会增加，超过《幼儿园工作规程》中规定的班额人数，突破省一级一等园考评标准中的班额。因此，我园计划在2020年9月扩招3个小班</w:t>
      </w:r>
      <w:r>
        <w:rPr>
          <w:rFonts w:hint="eastAsia" w:ascii="楷体" w:hAnsi="楷体" w:eastAsia="楷体" w:cs="楷体"/>
          <w:sz w:val="30"/>
          <w:szCs w:val="30"/>
          <w:lang w:eastAsia="zh-CN"/>
        </w:rPr>
        <w:t>。</w:t>
      </w:r>
    </w:p>
    <w:p>
      <w:pPr>
        <w:keepNext w:val="0"/>
        <w:keepLines w:val="0"/>
        <w:pageBreakBefore w:val="0"/>
        <w:kinsoku/>
        <w:wordWrap/>
        <w:overflowPunct/>
        <w:topLinePunct w:val="0"/>
        <w:autoSpaceDE/>
        <w:autoSpaceDN/>
        <w:bidi w:val="0"/>
        <w:snapToGrid w:val="0"/>
        <w:spacing w:line="560" w:lineRule="exact"/>
        <w:ind w:firstLine="594" w:firstLineChars="198"/>
        <w:rPr>
          <w:rFonts w:hint="eastAsia" w:ascii="楷体" w:hAnsi="楷体" w:eastAsia="楷体" w:cs="楷体"/>
          <w:sz w:val="30"/>
          <w:szCs w:val="30"/>
        </w:rPr>
      </w:pPr>
      <w:r>
        <w:rPr>
          <w:rFonts w:hint="eastAsia" w:ascii="楷体" w:hAnsi="楷体" w:eastAsia="楷体" w:cs="楷体"/>
          <w:sz w:val="30"/>
          <w:szCs w:val="30"/>
        </w:rPr>
        <w:t>2.完成幼儿园校园文化创设，抓好日常工作管理。</w:t>
      </w:r>
    </w:p>
    <w:p>
      <w:pPr>
        <w:keepNext w:val="0"/>
        <w:keepLines w:val="0"/>
        <w:pageBreakBefore w:val="0"/>
        <w:kinsoku/>
        <w:wordWrap/>
        <w:overflowPunct/>
        <w:topLinePunct w:val="0"/>
        <w:autoSpaceDE/>
        <w:autoSpaceDN/>
        <w:bidi w:val="0"/>
        <w:snapToGrid w:val="0"/>
        <w:spacing w:line="560" w:lineRule="exact"/>
        <w:ind w:firstLine="594" w:firstLineChars="198"/>
        <w:rPr>
          <w:rFonts w:hint="eastAsia" w:ascii="楷体" w:hAnsi="楷体" w:eastAsia="楷体" w:cs="楷体"/>
          <w:sz w:val="30"/>
          <w:szCs w:val="30"/>
          <w:lang w:eastAsia="zh-CN"/>
        </w:rPr>
      </w:pPr>
      <w:r>
        <w:rPr>
          <w:rFonts w:hint="eastAsia" w:ascii="楷体" w:hAnsi="楷体" w:eastAsia="楷体" w:cs="楷体"/>
          <w:sz w:val="30"/>
          <w:szCs w:val="30"/>
        </w:rPr>
        <w:t>3.加强师资队伍建设，提高保教水平。培养一支具有创新、奉献、进取意识的教工团队，进一步提高幼儿园办园质量，扩大社会美誉度。</w:t>
      </w:r>
    </w:p>
    <w:p>
      <w:pPr>
        <w:keepNext w:val="0"/>
        <w:keepLines w:val="0"/>
        <w:pageBreakBefore w:val="0"/>
        <w:kinsoku/>
        <w:wordWrap/>
        <w:overflowPunct/>
        <w:topLinePunct w:val="0"/>
        <w:autoSpaceDE/>
        <w:autoSpaceDN/>
        <w:bidi w:val="0"/>
        <w:snapToGrid w:val="0"/>
        <w:spacing w:line="560" w:lineRule="exact"/>
        <w:ind w:firstLine="594" w:firstLineChars="198"/>
        <w:rPr>
          <w:rFonts w:hint="eastAsia" w:ascii="楷体" w:hAnsi="楷体" w:eastAsia="楷体" w:cs="楷体"/>
          <w:sz w:val="30"/>
          <w:szCs w:val="30"/>
        </w:rPr>
      </w:pPr>
      <w:r>
        <w:rPr>
          <w:rFonts w:hint="eastAsia" w:ascii="楷体" w:hAnsi="楷体" w:eastAsia="楷体" w:cs="楷体"/>
          <w:sz w:val="30"/>
          <w:szCs w:val="30"/>
        </w:rPr>
        <w:t>4</w:t>
      </w:r>
      <w:r>
        <w:rPr>
          <w:rFonts w:hint="eastAsia" w:ascii="楷体" w:hAnsi="楷体" w:eastAsia="楷体" w:cs="楷体"/>
          <w:sz w:val="30"/>
          <w:szCs w:val="30"/>
          <w:lang w:val="en-US" w:eastAsia="zh-CN"/>
        </w:rPr>
        <w:t>.</w:t>
      </w:r>
      <w:r>
        <w:rPr>
          <w:rFonts w:hint="eastAsia" w:ascii="楷体" w:hAnsi="楷体" w:eastAsia="楷体" w:cs="楷体"/>
          <w:sz w:val="30"/>
          <w:szCs w:val="30"/>
        </w:rPr>
        <w:t>加强对教职工和幼儿的安全知识教育，做好安全防范工作。</w:t>
      </w:r>
    </w:p>
    <w:p>
      <w:pPr>
        <w:keepNext w:val="0"/>
        <w:keepLines w:val="0"/>
        <w:pageBreakBefore w:val="0"/>
        <w:kinsoku/>
        <w:wordWrap/>
        <w:overflowPunct/>
        <w:topLinePunct w:val="0"/>
        <w:autoSpaceDE/>
        <w:autoSpaceDN/>
        <w:bidi w:val="0"/>
        <w:snapToGrid w:val="0"/>
        <w:spacing w:line="56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5.努力创造条件，争取幼儿园办园水平等级再上一个层次，争创省一级一等幼儿园，做好各项迎检工作。</w:t>
      </w:r>
    </w:p>
    <w:p>
      <w:pPr>
        <w:keepNext w:val="0"/>
        <w:keepLines w:val="0"/>
        <w:pageBreakBefore w:val="0"/>
        <w:kinsoku/>
        <w:wordWrap/>
        <w:overflowPunct/>
        <w:topLinePunct w:val="0"/>
        <w:autoSpaceDE/>
        <w:autoSpaceDN/>
        <w:bidi w:val="0"/>
        <w:snapToGrid w:val="0"/>
        <w:spacing w:line="560" w:lineRule="exact"/>
        <w:ind w:firstLine="600" w:firstLineChars="200"/>
        <w:rPr>
          <w:rFonts w:hint="eastAsia" w:ascii="楷体" w:hAnsi="楷体" w:eastAsia="楷体" w:cs="楷体"/>
          <w:sz w:val="30"/>
          <w:szCs w:val="30"/>
        </w:rPr>
      </w:pPr>
      <w:r>
        <w:rPr>
          <w:rFonts w:hint="eastAsia" w:ascii="楷体" w:hAnsi="楷体" w:eastAsia="楷体" w:cs="楷体"/>
          <w:sz w:val="30"/>
          <w:szCs w:val="30"/>
        </w:rPr>
        <w:t xml:space="preserve">6．积极开展课题研究。争取在2020年内申报1—2个立项课题，在2－3年中出科研成果。创设营造具有课题特色的环境，将教研与科研有机结合，把课题特色教育渗透到各个教育领域和一日活动之中。加强宣传工作，争取家长支持，不断提高幼儿园的社会声誉。    </w:t>
      </w:r>
    </w:p>
    <w:p>
      <w:pPr>
        <w:keepNext w:val="0"/>
        <w:keepLines w:val="0"/>
        <w:pageBreakBefore w:val="0"/>
        <w:kinsoku/>
        <w:wordWrap/>
        <w:overflowPunct/>
        <w:topLinePunct w:val="0"/>
        <w:autoSpaceDE/>
        <w:autoSpaceDN/>
        <w:bidi w:val="0"/>
        <w:snapToGrid w:val="0"/>
        <w:spacing w:line="560" w:lineRule="exact"/>
        <w:ind w:left="107" w:leftChars="51" w:firstLine="600" w:firstLineChars="200"/>
        <w:rPr>
          <w:rFonts w:hint="eastAsia" w:ascii="楷体" w:hAnsi="楷体" w:eastAsia="楷体" w:cs="楷体"/>
          <w:b/>
          <w:sz w:val="30"/>
          <w:szCs w:val="30"/>
        </w:rPr>
      </w:pPr>
      <w:r>
        <w:rPr>
          <w:rFonts w:hint="eastAsia" w:ascii="楷体" w:hAnsi="楷体" w:eastAsia="楷体" w:cs="楷体"/>
          <w:sz w:val="30"/>
          <w:szCs w:val="30"/>
        </w:rPr>
        <w:t xml:space="preserve">7．注意教学资料积累，规范资料收集工作，增补、修订各项资料备查。按时上报各类材料。       </w:t>
      </w:r>
    </w:p>
    <w:p>
      <w:pPr>
        <w:pStyle w:val="2"/>
        <w:keepNext w:val="0"/>
        <w:keepLines w:val="0"/>
        <w:pageBreakBefore w:val="0"/>
        <w:kinsoku/>
        <w:wordWrap/>
        <w:overflowPunct/>
        <w:topLinePunct w:val="0"/>
        <w:autoSpaceDE/>
        <w:autoSpaceDN/>
        <w:bidi w:val="0"/>
        <w:adjustRightInd w:val="0"/>
        <w:snapToGrid w:val="0"/>
        <w:spacing w:line="560" w:lineRule="exact"/>
        <w:ind w:firstLine="630" w:firstLineChars="210"/>
        <w:rPr>
          <w:rFonts w:hint="eastAsia" w:ascii="楷体" w:hAnsi="楷体" w:eastAsia="楷体" w:cs="楷体"/>
          <w:bCs/>
          <w:szCs w:val="30"/>
        </w:rPr>
      </w:pPr>
      <w:r>
        <w:rPr>
          <w:rFonts w:hint="eastAsia" w:ascii="楷体" w:hAnsi="楷体" w:eastAsia="楷体" w:cs="楷体"/>
          <w:sz w:val="30"/>
          <w:szCs w:val="30"/>
        </w:rPr>
        <w:t>8．树立服务意识，做好家长工作。积极转变服务观念，端正服务态度，全心全意为幼儿、为家长服务，充分发挥家长在教育中的作用。</w:t>
      </w:r>
    </w:p>
    <w:p>
      <w:pPr>
        <w:keepNext w:val="0"/>
        <w:keepLines w:val="0"/>
        <w:pageBreakBefore w:val="0"/>
        <w:kinsoku/>
        <w:wordWrap/>
        <w:overflowPunct/>
        <w:topLinePunct w:val="0"/>
        <w:autoSpaceDE/>
        <w:autoSpaceDN/>
        <w:bidi w:val="0"/>
        <w:spacing w:line="56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rPr>
      </w:pPr>
      <w:bookmarkStart w:id="0" w:name="_GoBack"/>
      <w:bookmarkEnd w:id="0"/>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楷体" w:hAnsi="楷体" w:eastAsia="楷体" w:cs="楷体"/>
          <w:sz w:val="30"/>
          <w:szCs w:val="30"/>
        </w:rPr>
        <w:t>年度部门决算编报</w:t>
      </w:r>
      <w:r>
        <w:rPr>
          <w:rFonts w:hint="eastAsia" w:ascii="楷体" w:hAnsi="楷体" w:eastAsia="楷体" w:cs="楷体"/>
          <w:sz w:val="30"/>
          <w:szCs w:val="30"/>
          <w:lang w:eastAsia="zh-CN"/>
        </w:rPr>
        <w:t>园区</w:t>
      </w:r>
      <w:r>
        <w:rPr>
          <w:rFonts w:hint="eastAsia" w:ascii="楷体" w:hAnsi="楷体" w:eastAsia="楷体" w:cs="楷体"/>
          <w:sz w:val="30"/>
          <w:szCs w:val="30"/>
        </w:rPr>
        <w:t>共</w:t>
      </w:r>
      <w:r>
        <w:rPr>
          <w:rFonts w:hint="eastAsia" w:ascii="楷体" w:hAnsi="楷体" w:eastAsia="楷体" w:cs="楷体"/>
          <w:sz w:val="30"/>
          <w:szCs w:val="30"/>
          <w:lang w:val="en-US" w:eastAsia="zh-CN"/>
        </w:rPr>
        <w:t>7</w:t>
      </w:r>
      <w:r>
        <w:rPr>
          <w:rFonts w:hint="eastAsia" w:ascii="楷体" w:hAnsi="楷体" w:eastAsia="楷体" w:cs="楷体"/>
          <w:sz w:val="30"/>
          <w:szCs w:val="30"/>
        </w:rPr>
        <w:t>个。分别是：</w:t>
      </w:r>
    </w:p>
    <w:p>
      <w:pPr>
        <w:keepNext w:val="0"/>
        <w:keepLines w:val="0"/>
        <w:pageBreakBefore w:val="0"/>
        <w:numPr>
          <w:ilvl w:val="0"/>
          <w:numId w:val="0"/>
        </w:numPr>
        <w:kinsoku/>
        <w:wordWrap/>
        <w:overflowPunct/>
        <w:topLinePunct w:val="0"/>
        <w:autoSpaceDE/>
        <w:autoSpaceDN/>
        <w:bidi w:val="0"/>
        <w:spacing w:line="56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lang w:val="en-US" w:eastAsia="zh-CN"/>
        </w:rPr>
        <w:t>1.</w:t>
      </w:r>
      <w:r>
        <w:rPr>
          <w:rFonts w:hint="eastAsia" w:ascii="楷体" w:hAnsi="楷体" w:eastAsia="楷体" w:cs="楷体"/>
          <w:sz w:val="30"/>
          <w:szCs w:val="30"/>
          <w:lang w:eastAsia="zh-CN"/>
        </w:rPr>
        <w:t>城区幼儿园总园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lang w:val="en-US" w:eastAsia="zh-CN"/>
        </w:rPr>
        <w:t>2</w:t>
      </w:r>
      <w:r>
        <w:rPr>
          <w:rFonts w:hint="eastAsia" w:ascii="楷体" w:hAnsi="楷体" w:eastAsia="楷体" w:cs="楷体"/>
          <w:sz w:val="30"/>
          <w:szCs w:val="30"/>
        </w:rPr>
        <w:t>.</w:t>
      </w:r>
      <w:r>
        <w:rPr>
          <w:rFonts w:hint="eastAsia" w:ascii="楷体" w:hAnsi="楷体" w:eastAsia="楷体" w:cs="楷体"/>
          <w:sz w:val="30"/>
          <w:szCs w:val="30"/>
          <w:lang w:eastAsia="zh-CN"/>
        </w:rPr>
        <w:t>城区青龙分园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3.水塘镇中心幼儿园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4.戛洒镇中心幼儿园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5.者竜乡中心幼儿园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6.大红山中心幼儿园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7.老厂乡中心幼儿园</w:t>
      </w:r>
    </w:p>
    <w:p>
      <w:pPr>
        <w:keepNext w:val="0"/>
        <w:keepLines w:val="0"/>
        <w:pageBreakBefore w:val="0"/>
        <w:kinsoku/>
        <w:wordWrap/>
        <w:overflowPunct/>
        <w:topLinePunct w:val="0"/>
        <w:autoSpaceDE/>
        <w:autoSpaceDN/>
        <w:bidi w:val="0"/>
        <w:spacing w:line="560" w:lineRule="exact"/>
        <w:ind w:firstLine="600" w:firstLineChars="200"/>
        <w:rPr>
          <w:rFonts w:hint="eastAsia" w:ascii="楷体" w:hAnsi="楷体" w:eastAsia="楷体" w:cs="楷体"/>
          <w:sz w:val="30"/>
          <w:szCs w:val="30"/>
        </w:rPr>
      </w:pPr>
      <w:r>
        <w:rPr>
          <w:rFonts w:hint="eastAsia" w:ascii="楷体" w:hAnsi="楷体" w:eastAsia="楷体" w:cs="楷体"/>
          <w:sz w:val="30"/>
          <w:szCs w:val="30"/>
        </w:rPr>
        <w:t xml:space="preserve">（二）部门人员和车辆的编制及实有情况 </w:t>
      </w:r>
    </w:p>
    <w:p>
      <w:pPr>
        <w:keepNext w:val="0"/>
        <w:keepLines w:val="0"/>
        <w:pageBreakBefore w:val="0"/>
        <w:kinsoku/>
        <w:wordWrap/>
        <w:overflowPunct/>
        <w:topLinePunct w:val="0"/>
        <w:autoSpaceDE/>
        <w:autoSpaceDN/>
        <w:bidi w:val="0"/>
        <w:spacing w:line="560" w:lineRule="exact"/>
        <w:ind w:firstLine="600" w:firstLineChars="200"/>
        <w:rPr>
          <w:rFonts w:hint="default" w:ascii="楷体" w:hAnsi="楷体" w:eastAsia="楷体" w:cs="楷体"/>
          <w:kern w:val="0"/>
          <w:sz w:val="30"/>
          <w:szCs w:val="30"/>
          <w:lang w:val="en-US" w:eastAsia="zh-CN"/>
        </w:rPr>
      </w:pP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楷体" w:hAnsi="楷体" w:eastAsia="楷体" w:cs="楷体"/>
          <w:sz w:val="30"/>
          <w:szCs w:val="30"/>
        </w:rPr>
        <w:t>年末实有人员编制</w:t>
      </w:r>
      <w:r>
        <w:rPr>
          <w:rFonts w:hint="eastAsia" w:ascii="楷体" w:hAnsi="楷体" w:eastAsia="楷体" w:cs="楷体"/>
          <w:sz w:val="30"/>
          <w:szCs w:val="30"/>
          <w:lang w:val="en-US" w:eastAsia="zh-CN"/>
        </w:rPr>
        <w:t>80</w:t>
      </w:r>
      <w:r>
        <w:rPr>
          <w:rFonts w:hint="eastAsia" w:ascii="楷体" w:hAnsi="楷体" w:eastAsia="楷体" w:cs="楷体"/>
          <w:kern w:val="0"/>
          <w:sz w:val="30"/>
          <w:szCs w:val="30"/>
        </w:rPr>
        <w:t>人。其中：事业编制</w:t>
      </w:r>
      <w:r>
        <w:rPr>
          <w:rFonts w:hint="eastAsia" w:ascii="楷体" w:hAnsi="楷体" w:eastAsia="楷体" w:cs="楷体"/>
          <w:sz w:val="30"/>
          <w:szCs w:val="30"/>
          <w:lang w:val="en-US" w:eastAsia="zh-CN"/>
        </w:rPr>
        <w:t>80</w:t>
      </w:r>
      <w:r>
        <w:rPr>
          <w:rFonts w:hint="eastAsia" w:ascii="楷体" w:hAnsi="楷体" w:eastAsia="楷体" w:cs="楷体"/>
          <w:kern w:val="0"/>
          <w:sz w:val="30"/>
          <w:szCs w:val="30"/>
        </w:rPr>
        <w:t>人；离退休人员</w:t>
      </w:r>
      <w:r>
        <w:rPr>
          <w:rFonts w:hint="eastAsia" w:ascii="楷体" w:hAnsi="楷体" w:eastAsia="楷体" w:cs="楷体"/>
          <w:sz w:val="30"/>
          <w:szCs w:val="30"/>
          <w:lang w:val="en-US" w:eastAsia="zh-CN"/>
        </w:rPr>
        <w:t>23</w:t>
      </w:r>
      <w:r>
        <w:rPr>
          <w:rFonts w:hint="eastAsia" w:ascii="楷体" w:hAnsi="楷体" w:eastAsia="楷体" w:cs="楷体"/>
          <w:kern w:val="0"/>
          <w:sz w:val="30"/>
          <w:szCs w:val="30"/>
        </w:rPr>
        <w:t>人。其中：离休</w:t>
      </w:r>
      <w:r>
        <w:rPr>
          <w:rFonts w:hint="eastAsia" w:ascii="楷体" w:hAnsi="楷体" w:eastAsia="楷体" w:cs="楷体"/>
          <w:sz w:val="30"/>
          <w:szCs w:val="30"/>
          <w:lang w:val="en-US" w:eastAsia="zh-CN"/>
        </w:rPr>
        <w:t>0</w:t>
      </w:r>
      <w:r>
        <w:rPr>
          <w:rFonts w:hint="eastAsia" w:ascii="楷体" w:hAnsi="楷体" w:eastAsia="楷体" w:cs="楷体"/>
          <w:kern w:val="0"/>
          <w:sz w:val="30"/>
          <w:szCs w:val="30"/>
        </w:rPr>
        <w:t>人，退休</w:t>
      </w:r>
      <w:r>
        <w:rPr>
          <w:rFonts w:hint="eastAsia" w:ascii="楷体" w:hAnsi="楷体" w:eastAsia="楷体" w:cs="楷体"/>
          <w:sz w:val="30"/>
          <w:szCs w:val="30"/>
          <w:lang w:val="en-US" w:eastAsia="zh-CN"/>
        </w:rPr>
        <w:t>23</w:t>
      </w:r>
      <w:r>
        <w:rPr>
          <w:rFonts w:hint="eastAsia" w:ascii="楷体" w:hAnsi="楷体" w:eastAsia="楷体" w:cs="楷体"/>
          <w:kern w:val="0"/>
          <w:sz w:val="30"/>
          <w:szCs w:val="30"/>
        </w:rPr>
        <w:t>人</w:t>
      </w:r>
      <w:r>
        <w:rPr>
          <w:rFonts w:hint="eastAsia" w:ascii="楷体" w:hAnsi="楷体" w:eastAsia="楷体" w:cs="楷体"/>
          <w:kern w:val="0"/>
          <w:sz w:val="30"/>
          <w:szCs w:val="30"/>
          <w:lang w:eastAsia="zh-CN"/>
        </w:rPr>
        <w:t>，政府购买服务人员</w:t>
      </w:r>
      <w:r>
        <w:rPr>
          <w:rFonts w:hint="eastAsia" w:ascii="楷体" w:hAnsi="楷体" w:eastAsia="楷体" w:cs="楷体"/>
          <w:kern w:val="0"/>
          <w:sz w:val="30"/>
          <w:szCs w:val="30"/>
          <w:lang w:val="en-US" w:eastAsia="zh-CN"/>
        </w:rPr>
        <w:t>111人。</w:t>
      </w:r>
    </w:p>
    <w:p>
      <w:pPr>
        <w:keepNext w:val="0"/>
        <w:keepLines w:val="0"/>
        <w:pageBreakBefore w:val="0"/>
        <w:kinsoku/>
        <w:wordWrap/>
        <w:overflowPunct/>
        <w:topLinePunct w:val="0"/>
        <w:autoSpaceDE/>
        <w:autoSpaceDN/>
        <w:bidi w:val="0"/>
        <w:spacing w:line="56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辆。</w:t>
      </w:r>
    </w:p>
    <w:p>
      <w:pPr>
        <w:keepNext w:val="0"/>
        <w:keepLines w:val="0"/>
        <w:pageBreakBefore w:val="0"/>
        <w:kinsoku/>
        <w:wordWrap/>
        <w:overflowPunct/>
        <w:topLinePunct w:val="0"/>
        <w:autoSpaceDE/>
        <w:autoSpaceDN/>
        <w:bidi w:val="0"/>
        <w:spacing w:line="560" w:lineRule="exact"/>
        <w:ind w:firstLine="1280" w:firstLineChars="400"/>
        <w:jc w:val="both"/>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2020</w:t>
      </w:r>
      <w:r>
        <w:rPr>
          <w:rFonts w:hint="eastAsia" w:ascii="黑体" w:hAnsi="黑体" w:eastAsia="黑体"/>
          <w:sz w:val="32"/>
          <w:szCs w:val="32"/>
        </w:rPr>
        <w:t>年度部门决算表</w:t>
      </w:r>
    </w:p>
    <w:p>
      <w:pPr>
        <w:keepNext w:val="0"/>
        <w:keepLines w:val="0"/>
        <w:pageBreakBefore w:val="0"/>
        <w:kinsoku/>
        <w:wordWrap/>
        <w:overflowPunct/>
        <w:topLinePunct w:val="0"/>
        <w:autoSpaceDE/>
        <w:autoSpaceDN/>
        <w:bidi w:val="0"/>
        <w:spacing w:line="56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keepNext w:val="0"/>
        <w:keepLines w:val="0"/>
        <w:pageBreakBefore w:val="0"/>
        <w:kinsoku/>
        <w:wordWrap/>
        <w:overflowPunct/>
        <w:topLinePunct w:val="0"/>
        <w:autoSpaceDE/>
        <w:autoSpaceDN/>
        <w:bidi w:val="0"/>
        <w:spacing w:line="560" w:lineRule="exact"/>
        <w:ind w:firstLine="600" w:firstLineChars="200"/>
        <w:jc w:val="center"/>
        <w:rPr>
          <w:rFonts w:hint="eastAsia" w:ascii="仿宋_GB2312" w:eastAsia="仿宋_GB2312"/>
          <w:sz w:val="30"/>
          <w:szCs w:val="30"/>
        </w:rPr>
      </w:pPr>
    </w:p>
    <w:p>
      <w:pPr>
        <w:keepNext w:val="0"/>
        <w:keepLines w:val="0"/>
        <w:pageBreakBefore w:val="0"/>
        <w:kinsoku/>
        <w:wordWrap/>
        <w:overflowPunct/>
        <w:topLinePunct w:val="0"/>
        <w:autoSpaceDE/>
        <w:autoSpaceDN/>
        <w:bidi w:val="0"/>
        <w:spacing w:line="560" w:lineRule="exact"/>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2020</w:t>
      </w:r>
      <w:r>
        <w:rPr>
          <w:rFonts w:hint="eastAsia" w:ascii="黑体" w:hAnsi="黑体" w:eastAsia="黑体"/>
          <w:sz w:val="32"/>
          <w:szCs w:val="32"/>
        </w:rPr>
        <w:t>年度部门决算情况说明</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widowControl/>
        <w:kinsoku/>
        <w:wordWrap/>
        <w:overflowPunct/>
        <w:topLinePunct w:val="0"/>
        <w:autoSpaceDE/>
        <w:autoSpaceDN/>
        <w:bidi w:val="0"/>
        <w:snapToGrid w:val="0"/>
        <w:spacing w:before="100" w:after="100" w:line="560" w:lineRule="exact"/>
        <w:ind w:firstLine="538"/>
        <w:jc w:val="left"/>
        <w:rPr>
          <w:rFonts w:hint="eastAsia" w:ascii="楷体" w:hAnsi="楷体" w:eastAsia="楷体" w:cs="楷体"/>
          <w:sz w:val="30"/>
          <w:szCs w:val="30"/>
          <w:highlight w:val="none"/>
        </w:rPr>
      </w:pP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楷体" w:hAnsi="楷体" w:eastAsia="楷体" w:cs="楷体"/>
          <w:sz w:val="30"/>
          <w:szCs w:val="30"/>
          <w:highlight w:val="none"/>
        </w:rPr>
        <w:t>年度收入合计</w:t>
      </w:r>
      <w:r>
        <w:rPr>
          <w:rFonts w:hint="eastAsia" w:ascii="楷体" w:hAnsi="楷体" w:eastAsia="楷体" w:cs="楷体"/>
          <w:sz w:val="30"/>
          <w:szCs w:val="30"/>
          <w:highlight w:val="none"/>
          <w:lang w:val="en-US" w:eastAsia="zh-CN"/>
        </w:rPr>
        <w:t>18145454.06</w:t>
      </w:r>
      <w:r>
        <w:rPr>
          <w:rFonts w:hint="eastAsia" w:ascii="楷体" w:hAnsi="楷体" w:eastAsia="楷体" w:cs="楷体"/>
          <w:sz w:val="30"/>
          <w:szCs w:val="30"/>
          <w:highlight w:val="none"/>
        </w:rPr>
        <w:t>万元。其中：财政拨款收入</w:t>
      </w:r>
      <w:r>
        <w:rPr>
          <w:rFonts w:hint="eastAsia" w:ascii="楷体" w:hAnsi="楷体" w:eastAsia="楷体" w:cs="楷体"/>
          <w:sz w:val="30"/>
          <w:szCs w:val="30"/>
          <w:highlight w:val="none"/>
          <w:lang w:val="en-US" w:eastAsia="zh-CN"/>
        </w:rPr>
        <w:t>17740080.65</w:t>
      </w:r>
      <w:r>
        <w:rPr>
          <w:rFonts w:hint="eastAsia" w:ascii="楷体" w:hAnsi="楷体" w:eastAsia="楷体" w:cs="楷体"/>
          <w:sz w:val="30"/>
          <w:szCs w:val="30"/>
          <w:highlight w:val="none"/>
        </w:rPr>
        <w:t>万元，占总收入的</w:t>
      </w:r>
      <w:r>
        <w:rPr>
          <w:rFonts w:hint="eastAsia" w:ascii="楷体" w:hAnsi="楷体" w:eastAsia="楷体" w:cs="楷体"/>
          <w:sz w:val="30"/>
          <w:szCs w:val="30"/>
          <w:highlight w:val="none"/>
          <w:lang w:val="en-US" w:eastAsia="zh-CN"/>
        </w:rPr>
        <w:t>97.77</w:t>
      </w:r>
      <w:r>
        <w:rPr>
          <w:rFonts w:hint="eastAsia" w:ascii="楷体" w:hAnsi="楷体" w:eastAsia="楷体" w:cs="楷体"/>
          <w:sz w:val="30"/>
          <w:szCs w:val="30"/>
          <w:highlight w:val="none"/>
        </w:rPr>
        <w:t>%；上级补助收入</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万元，占总收入的</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%；事业收入</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万元</w:t>
      </w:r>
      <w:r>
        <w:rPr>
          <w:rFonts w:hint="eastAsia" w:ascii="楷体" w:hAnsi="楷体" w:eastAsia="楷体" w:cs="楷体"/>
          <w:sz w:val="30"/>
          <w:szCs w:val="30"/>
          <w:highlight w:val="none"/>
          <w:lang w:eastAsia="zh-CN"/>
        </w:rPr>
        <w:t>（含教育收费</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万元</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，占总收入的</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%；经营收入</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万元，占总收入的</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%；附属单位缴款收入</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万元，占总收入的</w:t>
      </w:r>
      <w:r>
        <w:rPr>
          <w:rFonts w:hint="eastAsia" w:ascii="楷体" w:hAnsi="楷体" w:eastAsia="楷体" w:cs="楷体"/>
          <w:sz w:val="30"/>
          <w:szCs w:val="30"/>
          <w:highlight w:val="none"/>
          <w:lang w:val="en-US" w:eastAsia="zh-CN"/>
        </w:rPr>
        <w:t>0</w:t>
      </w:r>
      <w:r>
        <w:rPr>
          <w:rFonts w:hint="eastAsia" w:ascii="楷体" w:hAnsi="楷体" w:eastAsia="楷体" w:cs="楷体"/>
          <w:sz w:val="30"/>
          <w:szCs w:val="30"/>
          <w:highlight w:val="none"/>
        </w:rPr>
        <w:t>%；其他收入</w:t>
      </w:r>
      <w:r>
        <w:rPr>
          <w:rFonts w:hint="eastAsia" w:ascii="楷体" w:hAnsi="楷体" w:eastAsia="楷体" w:cs="楷体"/>
          <w:sz w:val="30"/>
          <w:szCs w:val="30"/>
          <w:highlight w:val="none"/>
          <w:lang w:val="en-US" w:eastAsia="zh-CN"/>
        </w:rPr>
        <w:t>405373.41</w:t>
      </w:r>
      <w:r>
        <w:rPr>
          <w:rFonts w:hint="eastAsia" w:ascii="楷体" w:hAnsi="楷体" w:eastAsia="楷体" w:cs="楷体"/>
          <w:sz w:val="30"/>
          <w:szCs w:val="30"/>
          <w:highlight w:val="none"/>
        </w:rPr>
        <w:t>万元，占总收入的</w:t>
      </w:r>
      <w:r>
        <w:rPr>
          <w:rFonts w:hint="eastAsia" w:ascii="楷体" w:hAnsi="楷体" w:eastAsia="楷体" w:cs="楷体"/>
          <w:sz w:val="30"/>
          <w:szCs w:val="30"/>
          <w:highlight w:val="none"/>
          <w:lang w:val="en-US" w:eastAsia="zh-CN"/>
        </w:rPr>
        <w:t>2.23</w:t>
      </w:r>
      <w:r>
        <w:rPr>
          <w:rFonts w:hint="eastAsia" w:ascii="楷体" w:hAnsi="楷体" w:eastAsia="楷体" w:cs="楷体"/>
          <w:sz w:val="30"/>
          <w:szCs w:val="30"/>
          <w:highlight w:val="none"/>
        </w:rPr>
        <w:t>%。与上年对比</w:t>
      </w:r>
      <w:r>
        <w:rPr>
          <w:rFonts w:hint="eastAsia" w:ascii="楷体" w:hAnsi="楷体" w:eastAsia="楷体" w:cs="楷体"/>
          <w:sz w:val="30"/>
          <w:szCs w:val="30"/>
          <w:highlight w:val="none"/>
          <w:lang w:eastAsia="zh-CN"/>
        </w:rPr>
        <w:t>，我园在职在编人员及保教人员增加，因此</w:t>
      </w:r>
      <w:r>
        <w:rPr>
          <w:rFonts w:hint="eastAsia" w:ascii="楷体" w:hAnsi="楷体" w:eastAsia="楷体" w:cs="楷体"/>
          <w:sz w:val="30"/>
          <w:szCs w:val="30"/>
          <w:highlight w:val="none"/>
        </w:rPr>
        <w:t>财政拨款收入</w:t>
      </w:r>
      <w:r>
        <w:rPr>
          <w:rFonts w:hint="eastAsia" w:ascii="楷体" w:hAnsi="楷体" w:eastAsia="楷体" w:cs="楷体"/>
          <w:sz w:val="30"/>
          <w:szCs w:val="30"/>
          <w:highlight w:val="none"/>
          <w:lang w:eastAsia="zh-CN"/>
        </w:rPr>
        <w:t>增大，</w:t>
      </w:r>
      <w:r>
        <w:rPr>
          <w:rFonts w:hint="eastAsia" w:ascii="楷体" w:hAnsi="楷体" w:eastAsia="楷体" w:cs="楷体"/>
          <w:sz w:val="30"/>
          <w:szCs w:val="30"/>
          <w:highlight w:val="none"/>
        </w:rPr>
        <w:t>主要原因</w:t>
      </w:r>
      <w:r>
        <w:rPr>
          <w:rFonts w:hint="eastAsia" w:ascii="楷体" w:hAnsi="楷体" w:eastAsia="楷体" w:cs="楷体"/>
          <w:sz w:val="30"/>
          <w:szCs w:val="30"/>
          <w:highlight w:val="none"/>
          <w:lang w:eastAsia="zh-CN"/>
        </w:rPr>
        <w:t>是我园进行了扩班，幼儿班额从</w:t>
      </w:r>
      <w:r>
        <w:rPr>
          <w:rFonts w:hint="eastAsia" w:ascii="楷体" w:hAnsi="楷体" w:eastAsia="楷体" w:cs="楷体"/>
          <w:sz w:val="30"/>
          <w:szCs w:val="30"/>
          <w:highlight w:val="none"/>
          <w:lang w:val="en-US" w:eastAsia="zh-CN"/>
        </w:rPr>
        <w:t>2020.06月的37个班级扩大到2020.09月的42个班级，为保障教育教学的有序开展，教师及政府购买服务人员增加，因而</w:t>
      </w:r>
      <w:r>
        <w:rPr>
          <w:rFonts w:hint="eastAsia" w:ascii="楷体" w:hAnsi="楷体" w:eastAsia="楷体" w:cs="楷体"/>
          <w:sz w:val="30"/>
          <w:szCs w:val="30"/>
          <w:highlight w:val="none"/>
        </w:rPr>
        <w:t>财政拨款收入</w:t>
      </w:r>
      <w:r>
        <w:rPr>
          <w:rFonts w:hint="eastAsia" w:ascii="楷体" w:hAnsi="楷体" w:eastAsia="楷体" w:cs="楷体"/>
          <w:sz w:val="30"/>
          <w:szCs w:val="30"/>
          <w:highlight w:val="none"/>
          <w:lang w:eastAsia="zh-CN"/>
        </w:rPr>
        <w:t>增大</w:t>
      </w:r>
      <w:r>
        <w:rPr>
          <w:rFonts w:hint="eastAsia" w:ascii="楷体" w:hAnsi="楷体" w:eastAsia="楷体" w:cs="楷体"/>
          <w:sz w:val="30"/>
          <w:szCs w:val="30"/>
          <w:highlight w:val="none"/>
        </w:rPr>
        <w:t>。</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黑体" w:hAnsi="黑体" w:eastAsia="黑体" w:cs="黑体"/>
          <w:sz w:val="30"/>
          <w:szCs w:val="30"/>
        </w:rPr>
      </w:pPr>
      <w:r>
        <w:rPr>
          <w:rFonts w:hint="eastAsia" w:ascii="楷体" w:hAnsi="楷体" w:eastAsia="楷体" w:cs="楷体"/>
          <w:sz w:val="30"/>
          <w:szCs w:val="30"/>
        </w:rPr>
        <w:t>二</w:t>
      </w:r>
      <w:r>
        <w:rPr>
          <w:rFonts w:hint="eastAsia" w:ascii="黑体" w:hAnsi="黑体" w:eastAsia="黑体" w:cs="黑体"/>
          <w:sz w:val="30"/>
          <w:szCs w:val="30"/>
        </w:rPr>
        <w:t>、支出决算情况说明</w:t>
      </w:r>
    </w:p>
    <w:p>
      <w:pPr>
        <w:keepNext w:val="0"/>
        <w:keepLines w:val="0"/>
        <w:pageBreakBefore w:val="0"/>
        <w:widowControl/>
        <w:kinsoku/>
        <w:wordWrap/>
        <w:overflowPunct/>
        <w:topLinePunct w:val="0"/>
        <w:autoSpaceDE/>
        <w:autoSpaceDN/>
        <w:bidi w:val="0"/>
        <w:snapToGrid w:val="0"/>
        <w:spacing w:before="100" w:after="100" w:line="560" w:lineRule="exact"/>
        <w:ind w:firstLine="538"/>
        <w:jc w:val="left"/>
        <w:rPr>
          <w:rFonts w:hint="eastAsia" w:ascii="楷体" w:hAnsi="楷体" w:eastAsia="楷体" w:cs="楷体"/>
          <w:kern w:val="0"/>
          <w:sz w:val="30"/>
          <w:szCs w:val="30"/>
        </w:rPr>
      </w:pP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楷体" w:hAnsi="楷体" w:eastAsia="楷体" w:cs="楷体"/>
          <w:sz w:val="30"/>
          <w:szCs w:val="30"/>
          <w:highlight w:val="none"/>
        </w:rPr>
        <w:t>年</w:t>
      </w:r>
      <w:r>
        <w:rPr>
          <w:rFonts w:hint="eastAsia" w:ascii="楷体" w:hAnsi="楷体" w:eastAsia="楷体" w:cs="楷体"/>
          <w:sz w:val="30"/>
          <w:szCs w:val="30"/>
        </w:rPr>
        <w:t>度支出合计</w:t>
      </w:r>
      <w:r>
        <w:rPr>
          <w:rFonts w:hint="eastAsia" w:ascii="楷体" w:hAnsi="楷体" w:eastAsia="楷体" w:cs="楷体"/>
          <w:sz w:val="30"/>
          <w:szCs w:val="30"/>
          <w:lang w:val="en-US" w:eastAsia="zh-CN"/>
        </w:rPr>
        <w:t>18001381.22</w:t>
      </w:r>
      <w:r>
        <w:rPr>
          <w:rFonts w:hint="eastAsia" w:ascii="楷体" w:hAnsi="楷体" w:eastAsia="楷体" w:cs="楷体"/>
          <w:sz w:val="30"/>
          <w:szCs w:val="30"/>
        </w:rPr>
        <w:t>万元。其中：</w:t>
      </w:r>
      <w:r>
        <w:rPr>
          <w:rFonts w:hint="eastAsia" w:ascii="楷体" w:hAnsi="楷体" w:eastAsia="楷体" w:cs="楷体"/>
          <w:kern w:val="0"/>
          <w:sz w:val="30"/>
          <w:szCs w:val="30"/>
        </w:rPr>
        <w:t>基本支出</w:t>
      </w:r>
      <w:r>
        <w:rPr>
          <w:rFonts w:hint="eastAsia" w:ascii="楷体" w:hAnsi="楷体" w:eastAsia="楷体" w:cs="楷体"/>
          <w:sz w:val="30"/>
          <w:szCs w:val="30"/>
          <w:lang w:val="en-US" w:eastAsia="zh-CN"/>
        </w:rPr>
        <w:t>17871381.22</w:t>
      </w:r>
      <w:r>
        <w:rPr>
          <w:rFonts w:hint="eastAsia" w:ascii="楷体" w:hAnsi="楷体" w:eastAsia="楷体" w:cs="楷体"/>
          <w:kern w:val="0"/>
          <w:sz w:val="30"/>
          <w:szCs w:val="30"/>
        </w:rPr>
        <w:t>万元，占总支出的</w:t>
      </w:r>
      <w:r>
        <w:rPr>
          <w:rFonts w:hint="eastAsia" w:ascii="楷体" w:hAnsi="楷体" w:eastAsia="楷体" w:cs="楷体"/>
          <w:sz w:val="30"/>
          <w:szCs w:val="30"/>
          <w:lang w:val="en-US" w:eastAsia="zh-CN"/>
        </w:rPr>
        <w:t>99.28</w:t>
      </w:r>
      <w:r>
        <w:rPr>
          <w:rFonts w:hint="eastAsia" w:ascii="楷体" w:hAnsi="楷体" w:eastAsia="楷体" w:cs="楷体"/>
          <w:kern w:val="0"/>
          <w:sz w:val="30"/>
          <w:szCs w:val="30"/>
        </w:rPr>
        <w:t>％；项目支出</w:t>
      </w:r>
      <w:r>
        <w:rPr>
          <w:rFonts w:hint="eastAsia" w:ascii="楷体" w:hAnsi="楷体" w:eastAsia="楷体" w:cs="楷体"/>
          <w:sz w:val="30"/>
          <w:szCs w:val="30"/>
          <w:lang w:val="en-US" w:eastAsia="zh-CN"/>
        </w:rPr>
        <w:t>13</w:t>
      </w:r>
      <w:r>
        <w:rPr>
          <w:rFonts w:hint="eastAsia" w:ascii="楷体" w:hAnsi="楷体" w:eastAsia="楷体" w:cs="楷体"/>
          <w:kern w:val="0"/>
          <w:sz w:val="30"/>
          <w:szCs w:val="30"/>
        </w:rPr>
        <w:t>万元，占总支出的</w:t>
      </w:r>
      <w:r>
        <w:rPr>
          <w:rFonts w:hint="eastAsia" w:ascii="楷体" w:hAnsi="楷体" w:eastAsia="楷体" w:cs="楷体"/>
          <w:sz w:val="30"/>
          <w:szCs w:val="30"/>
          <w:lang w:val="en-US" w:eastAsia="zh-CN"/>
        </w:rPr>
        <w:t>0.72</w:t>
      </w:r>
      <w:r>
        <w:rPr>
          <w:rFonts w:hint="eastAsia" w:ascii="楷体" w:hAnsi="楷体" w:eastAsia="楷体" w:cs="楷体"/>
          <w:kern w:val="0"/>
          <w:sz w:val="30"/>
          <w:szCs w:val="30"/>
        </w:rPr>
        <w:t>％；上缴上级支出、经营支出、对附属单位补助支出共</w:t>
      </w:r>
      <w:r>
        <w:rPr>
          <w:rFonts w:hint="eastAsia" w:ascii="楷体" w:hAnsi="楷体" w:eastAsia="楷体" w:cs="楷体"/>
          <w:sz w:val="30"/>
          <w:szCs w:val="30"/>
          <w:lang w:val="en-US" w:eastAsia="zh-CN"/>
        </w:rPr>
        <w:t>0</w:t>
      </w:r>
      <w:r>
        <w:rPr>
          <w:rFonts w:hint="eastAsia" w:ascii="楷体" w:hAnsi="楷体" w:eastAsia="楷体" w:cs="楷体"/>
          <w:kern w:val="0"/>
          <w:sz w:val="30"/>
          <w:szCs w:val="30"/>
        </w:rPr>
        <w:t>万元，占总支出的</w:t>
      </w:r>
      <w:r>
        <w:rPr>
          <w:rFonts w:hint="eastAsia" w:ascii="楷体" w:hAnsi="楷体" w:eastAsia="楷体" w:cs="楷体"/>
          <w:sz w:val="30"/>
          <w:szCs w:val="30"/>
          <w:lang w:val="en-US" w:eastAsia="zh-CN"/>
        </w:rPr>
        <w:t>0</w:t>
      </w:r>
      <w:r>
        <w:rPr>
          <w:rFonts w:hint="eastAsia" w:ascii="楷体" w:hAnsi="楷体" w:eastAsia="楷体" w:cs="楷体"/>
          <w:kern w:val="0"/>
          <w:sz w:val="30"/>
          <w:szCs w:val="30"/>
        </w:rPr>
        <w:t>％。</w:t>
      </w:r>
      <w:r>
        <w:rPr>
          <w:rFonts w:hint="eastAsia" w:ascii="楷体" w:hAnsi="楷体" w:eastAsia="楷体" w:cs="楷体"/>
          <w:sz w:val="30"/>
          <w:szCs w:val="30"/>
          <w:highlight w:val="none"/>
        </w:rPr>
        <w:t>与上年对比</w:t>
      </w:r>
      <w:r>
        <w:rPr>
          <w:rFonts w:hint="eastAsia" w:ascii="楷体" w:hAnsi="楷体" w:eastAsia="楷体" w:cs="楷体"/>
          <w:sz w:val="30"/>
          <w:szCs w:val="30"/>
          <w:highlight w:val="none"/>
          <w:lang w:eastAsia="zh-CN"/>
        </w:rPr>
        <w:t>，我园在职在编人员及保教人员增加，因此</w:t>
      </w:r>
      <w:r>
        <w:rPr>
          <w:rFonts w:hint="eastAsia" w:ascii="楷体" w:hAnsi="楷体" w:eastAsia="楷体" w:cs="楷体"/>
          <w:sz w:val="30"/>
          <w:szCs w:val="30"/>
          <w:highlight w:val="none"/>
        </w:rPr>
        <w:t>财政拨款</w:t>
      </w:r>
      <w:r>
        <w:rPr>
          <w:rFonts w:hint="eastAsia" w:ascii="楷体" w:hAnsi="楷体" w:eastAsia="楷体" w:cs="楷体"/>
          <w:sz w:val="30"/>
          <w:szCs w:val="30"/>
          <w:highlight w:val="none"/>
          <w:lang w:eastAsia="zh-CN"/>
        </w:rPr>
        <w:t>支出增大，</w:t>
      </w:r>
      <w:r>
        <w:rPr>
          <w:rFonts w:hint="eastAsia" w:ascii="楷体" w:hAnsi="楷体" w:eastAsia="楷体" w:cs="楷体"/>
          <w:sz w:val="30"/>
          <w:szCs w:val="30"/>
          <w:highlight w:val="none"/>
        </w:rPr>
        <w:t>主要原因</w:t>
      </w:r>
      <w:r>
        <w:rPr>
          <w:rFonts w:hint="eastAsia" w:ascii="楷体" w:hAnsi="楷体" w:eastAsia="楷体" w:cs="楷体"/>
          <w:sz w:val="30"/>
          <w:szCs w:val="30"/>
          <w:highlight w:val="none"/>
          <w:lang w:eastAsia="zh-CN"/>
        </w:rPr>
        <w:t>是我园进行了扩班，幼儿班额从</w:t>
      </w:r>
      <w:r>
        <w:rPr>
          <w:rFonts w:hint="eastAsia" w:ascii="楷体" w:hAnsi="楷体" w:eastAsia="楷体" w:cs="楷体"/>
          <w:sz w:val="30"/>
          <w:szCs w:val="30"/>
          <w:highlight w:val="none"/>
          <w:lang w:val="en-US" w:eastAsia="zh-CN"/>
        </w:rPr>
        <w:t>2020.06月的37个班级扩大到2020.09月的42个班级，为保障教育教学的有序开展，教师及政府购买服务人员增加，因而</w:t>
      </w:r>
      <w:r>
        <w:rPr>
          <w:rFonts w:hint="eastAsia" w:ascii="楷体" w:hAnsi="楷体" w:eastAsia="楷体" w:cs="楷体"/>
          <w:sz w:val="30"/>
          <w:szCs w:val="30"/>
          <w:highlight w:val="none"/>
        </w:rPr>
        <w:t>财政拨款</w:t>
      </w:r>
      <w:r>
        <w:rPr>
          <w:rFonts w:hint="eastAsia" w:ascii="楷体" w:hAnsi="楷体" w:eastAsia="楷体" w:cs="楷体"/>
          <w:sz w:val="30"/>
          <w:szCs w:val="30"/>
          <w:highlight w:val="none"/>
          <w:lang w:eastAsia="zh-CN"/>
        </w:rPr>
        <w:t>支出增大</w:t>
      </w:r>
      <w:r>
        <w:rPr>
          <w:rFonts w:hint="eastAsia" w:ascii="楷体" w:hAnsi="楷体" w:eastAsia="楷体" w:cs="楷体"/>
          <w:sz w:val="30"/>
          <w:szCs w:val="30"/>
          <w:highlight w:val="none"/>
        </w:rPr>
        <w:t>。</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（一）基本支出情况</w:t>
      </w:r>
    </w:p>
    <w:p>
      <w:pPr>
        <w:keepNext w:val="0"/>
        <w:keepLines w:val="0"/>
        <w:pageBreakBefore w:val="0"/>
        <w:widowControl/>
        <w:kinsoku/>
        <w:wordWrap/>
        <w:overflowPunct/>
        <w:topLinePunct w:val="0"/>
        <w:autoSpaceDE/>
        <w:autoSpaceDN/>
        <w:bidi w:val="0"/>
        <w:snapToGrid w:val="0"/>
        <w:spacing w:before="100" w:after="100" w:line="560" w:lineRule="exact"/>
        <w:ind w:firstLine="538"/>
        <w:jc w:val="left"/>
        <w:rPr>
          <w:rFonts w:hint="eastAsia" w:ascii="楷体" w:hAnsi="楷体" w:eastAsia="楷体" w:cs="楷体"/>
          <w:sz w:val="30"/>
          <w:szCs w:val="30"/>
          <w:highlight w:val="none"/>
        </w:rPr>
      </w:pPr>
      <w:r>
        <w:rPr>
          <w:rFonts w:hint="eastAsia" w:ascii="楷体" w:hAnsi="楷体" w:eastAsia="楷体" w:cs="楷体"/>
          <w:sz w:val="30"/>
          <w:szCs w:val="30"/>
          <w:lang w:val="en-US" w:eastAsia="zh-CN"/>
        </w:rPr>
        <w:t>2020</w:t>
      </w:r>
      <w:r>
        <w:rPr>
          <w:rFonts w:hint="eastAsia" w:ascii="楷体" w:hAnsi="楷体" w:eastAsia="楷体" w:cs="楷体"/>
          <w:sz w:val="30"/>
          <w:szCs w:val="30"/>
        </w:rPr>
        <w:t>年度用于保障</w:t>
      </w: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rPr>
        <w:t>事业单位正常运转的日常支出</w:t>
      </w:r>
      <w:r>
        <w:rPr>
          <w:rFonts w:hint="eastAsia" w:ascii="楷体" w:hAnsi="楷体" w:eastAsia="楷体" w:cs="楷体"/>
          <w:sz w:val="30"/>
          <w:szCs w:val="30"/>
          <w:lang w:val="en-US" w:eastAsia="zh-CN"/>
        </w:rPr>
        <w:t>17765064.44</w:t>
      </w:r>
      <w:r>
        <w:rPr>
          <w:rFonts w:hint="eastAsia" w:ascii="楷体" w:hAnsi="楷体" w:eastAsia="楷体" w:cs="楷体"/>
          <w:sz w:val="30"/>
          <w:szCs w:val="30"/>
        </w:rPr>
        <w:t>万元。</w:t>
      </w:r>
      <w:r>
        <w:rPr>
          <w:rFonts w:hint="eastAsia" w:ascii="楷体" w:hAnsi="楷体" w:eastAsia="楷体" w:cs="楷体"/>
          <w:sz w:val="30"/>
          <w:szCs w:val="30"/>
          <w:lang w:eastAsia="zh-CN"/>
        </w:rPr>
        <w:t>其中：</w:t>
      </w:r>
      <w:r>
        <w:rPr>
          <w:rFonts w:hint="eastAsia" w:ascii="楷体" w:hAnsi="楷体" w:eastAsia="楷体" w:cs="楷体"/>
          <w:sz w:val="30"/>
          <w:szCs w:val="30"/>
        </w:rPr>
        <w:t>基本工资、津贴补贴等人员经费支出</w:t>
      </w:r>
      <w:r>
        <w:rPr>
          <w:rFonts w:hint="eastAsia" w:ascii="楷体" w:hAnsi="楷体" w:eastAsia="楷体" w:cs="楷体"/>
          <w:sz w:val="30"/>
          <w:szCs w:val="30"/>
          <w:lang w:val="en-US" w:eastAsia="zh-CN"/>
        </w:rPr>
        <w:t>12218217.41</w:t>
      </w:r>
      <w:r>
        <w:rPr>
          <w:rFonts w:hint="eastAsia" w:ascii="楷体" w:hAnsi="楷体" w:eastAsia="楷体" w:cs="楷体"/>
          <w:sz w:val="30"/>
          <w:szCs w:val="30"/>
        </w:rPr>
        <w:t>万元</w:t>
      </w:r>
      <w:r>
        <w:rPr>
          <w:rFonts w:hint="eastAsia" w:ascii="楷体" w:hAnsi="楷体" w:eastAsia="楷体" w:cs="楷体"/>
          <w:sz w:val="30"/>
          <w:szCs w:val="30"/>
          <w:lang w:eastAsia="zh-CN"/>
        </w:rPr>
        <w:t>，</w:t>
      </w:r>
      <w:r>
        <w:rPr>
          <w:rFonts w:hint="eastAsia" w:ascii="楷体" w:hAnsi="楷体" w:eastAsia="楷体" w:cs="楷体"/>
          <w:sz w:val="30"/>
          <w:szCs w:val="30"/>
        </w:rPr>
        <w:t>占基本支出</w:t>
      </w:r>
      <w:r>
        <w:rPr>
          <w:rFonts w:hint="eastAsia" w:ascii="楷体" w:hAnsi="楷体" w:eastAsia="楷体" w:cs="楷体"/>
          <w:sz w:val="30"/>
          <w:szCs w:val="30"/>
          <w:lang w:val="en-US" w:eastAsia="zh-CN"/>
        </w:rPr>
        <w:t>68.78</w:t>
      </w:r>
      <w:r>
        <w:rPr>
          <w:rFonts w:hint="eastAsia" w:ascii="楷体" w:hAnsi="楷体" w:eastAsia="楷体" w:cs="楷体"/>
          <w:sz w:val="30"/>
          <w:szCs w:val="30"/>
        </w:rPr>
        <w:t>％；办公费、印刷费、水电费、办公设备购置等公用经费</w:t>
      </w:r>
      <w:r>
        <w:rPr>
          <w:rFonts w:hint="eastAsia" w:ascii="楷体" w:hAnsi="楷体" w:eastAsia="楷体" w:cs="楷体"/>
          <w:sz w:val="30"/>
          <w:szCs w:val="30"/>
          <w:lang w:val="en-US" w:eastAsia="zh-CN"/>
        </w:rPr>
        <w:t>5546847.03</w:t>
      </w:r>
      <w:r>
        <w:rPr>
          <w:rFonts w:hint="eastAsia" w:ascii="楷体" w:hAnsi="楷体" w:eastAsia="楷体" w:cs="楷体"/>
          <w:sz w:val="30"/>
          <w:szCs w:val="30"/>
        </w:rPr>
        <w:t>万元</w:t>
      </w:r>
      <w:r>
        <w:rPr>
          <w:rFonts w:hint="eastAsia" w:ascii="楷体" w:hAnsi="楷体" w:eastAsia="楷体" w:cs="楷体"/>
          <w:sz w:val="30"/>
          <w:szCs w:val="30"/>
          <w:lang w:eastAsia="zh-CN"/>
        </w:rPr>
        <w:t>，</w:t>
      </w:r>
      <w:r>
        <w:rPr>
          <w:rFonts w:hint="eastAsia" w:ascii="楷体" w:hAnsi="楷体" w:eastAsia="楷体" w:cs="楷体"/>
          <w:sz w:val="30"/>
          <w:szCs w:val="30"/>
        </w:rPr>
        <w:t>占基本支出的</w:t>
      </w:r>
      <w:r>
        <w:rPr>
          <w:rFonts w:hint="eastAsia" w:ascii="楷体" w:hAnsi="楷体" w:eastAsia="楷体" w:cs="楷体"/>
          <w:sz w:val="30"/>
          <w:szCs w:val="30"/>
          <w:lang w:val="en-US" w:eastAsia="zh-CN"/>
        </w:rPr>
        <w:t>31.22</w:t>
      </w:r>
      <w:r>
        <w:rPr>
          <w:rFonts w:hint="eastAsia" w:ascii="楷体" w:hAnsi="楷体" w:eastAsia="楷体" w:cs="楷体"/>
          <w:sz w:val="30"/>
          <w:szCs w:val="30"/>
        </w:rPr>
        <w:t>％。</w:t>
      </w:r>
    </w:p>
    <w:p>
      <w:pPr>
        <w:keepNext w:val="0"/>
        <w:keepLines w:val="0"/>
        <w:pageBreakBefore w:val="0"/>
        <w:widowControl/>
        <w:kinsoku/>
        <w:wordWrap/>
        <w:overflowPunct/>
        <w:topLinePunct w:val="0"/>
        <w:autoSpaceDE/>
        <w:autoSpaceDN/>
        <w:bidi w:val="0"/>
        <w:snapToGrid w:val="0"/>
        <w:spacing w:before="100" w:after="100" w:line="560" w:lineRule="exact"/>
        <w:ind w:firstLine="538"/>
        <w:jc w:val="left"/>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val="en-US" w:eastAsia="zh-CN"/>
        </w:rPr>
        <w:t>2020</w:t>
      </w:r>
      <w:r>
        <w:rPr>
          <w:rFonts w:hint="eastAsia" w:ascii="楷体" w:hAnsi="楷体" w:eastAsia="楷体" w:cs="楷体"/>
          <w:sz w:val="30"/>
          <w:szCs w:val="30"/>
        </w:rPr>
        <w:t>年度用于保</w:t>
      </w: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rPr>
        <w:t>事业单位为完成特定的行政工作任务或事业发展目标，用于专项业务工作的经费支出</w:t>
      </w:r>
      <w:r>
        <w:rPr>
          <w:rFonts w:hint="eastAsia" w:ascii="楷体" w:hAnsi="楷体" w:eastAsia="楷体" w:cs="楷体"/>
          <w:sz w:val="30"/>
          <w:szCs w:val="30"/>
          <w:lang w:val="en-US" w:eastAsia="zh-CN"/>
        </w:rPr>
        <w:t>13</w:t>
      </w:r>
      <w:r>
        <w:rPr>
          <w:rFonts w:hint="eastAsia" w:ascii="楷体" w:hAnsi="楷体" w:eastAsia="楷体" w:cs="楷体"/>
          <w:sz w:val="30"/>
          <w:szCs w:val="30"/>
        </w:rPr>
        <w:t>万元。具体项目开支及开展工作情况</w:t>
      </w:r>
      <w:r>
        <w:rPr>
          <w:rFonts w:hint="eastAsia" w:ascii="楷体" w:hAnsi="楷体" w:eastAsia="楷体" w:cs="楷体"/>
          <w:sz w:val="30"/>
          <w:szCs w:val="30"/>
          <w:lang w:eastAsia="zh-CN"/>
        </w:rPr>
        <w:t>如下：</w:t>
      </w:r>
      <w:r>
        <w:rPr>
          <w:rFonts w:hint="eastAsia" w:ascii="楷体" w:hAnsi="楷体" w:eastAsia="楷体" w:cs="楷体"/>
          <w:sz w:val="30"/>
          <w:szCs w:val="30"/>
        </w:rPr>
        <w:t xml:space="preserve"> </w:t>
      </w:r>
    </w:p>
    <w:p>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sz w:val="30"/>
          <w:szCs w:val="30"/>
        </w:rPr>
      </w:pPr>
      <w:r>
        <w:rPr>
          <w:rFonts w:hint="eastAsia" w:ascii="楷体" w:hAnsi="楷体" w:eastAsia="楷体" w:cs="楷体"/>
          <w:sz w:val="30"/>
          <w:szCs w:val="30"/>
        </w:rPr>
        <w:t>根据新教发【2018】35号文件，新平县各乡镇均完成了中心园的建设及使用，并把各中心园归属为新平县一幼和新平县二幼的分园，其中水塘镇中心园为新平县第二幼儿园分园，于2018年5月正式开园招生，三年内实现招收六个班级规模，目前有1个小班，2个中班，为使水塘镇中心园能按时招收幼儿，解决当地幼儿入园难的问题，2020年9月份预计扩招2个小班。扩班需要13万元资金购买幼儿园设备，保证幼儿入园能正常开展教育教学活动。设备购买根据合理合法的购买程序于2020年9月份完成。</w:t>
      </w:r>
    </w:p>
    <w:p>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sz w:val="24"/>
          <w:szCs w:val="24"/>
        </w:rPr>
      </w:pPr>
      <w:r>
        <w:rPr>
          <w:rFonts w:hint="eastAsia" w:ascii="楷体" w:hAnsi="楷体" w:eastAsia="楷体" w:cs="楷体"/>
          <w:sz w:val="24"/>
          <w:szCs w:val="24"/>
        </w:rPr>
        <w:t>水塘镇中心园扩班所需物品清单</w:t>
      </w:r>
    </w:p>
    <w:tbl>
      <w:tblPr>
        <w:tblStyle w:val="6"/>
        <w:tblW w:w="7187" w:type="dxa"/>
        <w:tblInd w:w="97" w:type="dxa"/>
        <w:tblLayout w:type="autofit"/>
        <w:tblCellMar>
          <w:top w:w="0" w:type="dxa"/>
          <w:left w:w="108" w:type="dxa"/>
          <w:bottom w:w="0" w:type="dxa"/>
          <w:right w:w="108" w:type="dxa"/>
        </w:tblCellMar>
      </w:tblPr>
      <w:tblGrid>
        <w:gridCol w:w="755"/>
        <w:gridCol w:w="2082"/>
        <w:gridCol w:w="890"/>
        <w:gridCol w:w="767"/>
        <w:gridCol w:w="2693"/>
      </w:tblGrid>
      <w:tr>
        <w:tblPrEx>
          <w:tblCellMar>
            <w:top w:w="0" w:type="dxa"/>
            <w:left w:w="108" w:type="dxa"/>
            <w:bottom w:w="0" w:type="dxa"/>
            <w:right w:w="108" w:type="dxa"/>
          </w:tblCellMar>
        </w:tblPrEx>
        <w:trPr>
          <w:trHeight w:val="726"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20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物品名称</w:t>
            </w:r>
          </w:p>
        </w:tc>
        <w:tc>
          <w:tcPr>
            <w:tcW w:w="8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数量</w:t>
            </w:r>
          </w:p>
        </w:tc>
        <w:tc>
          <w:tcPr>
            <w:tcW w:w="7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单位</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备注</w:t>
            </w:r>
          </w:p>
        </w:tc>
      </w:tr>
      <w:tr>
        <w:tblPrEx>
          <w:tblCellMar>
            <w:top w:w="0" w:type="dxa"/>
            <w:left w:w="108" w:type="dxa"/>
            <w:bottom w:w="0" w:type="dxa"/>
            <w:right w:w="108" w:type="dxa"/>
          </w:tblCellMar>
        </w:tblPrEx>
        <w:trPr>
          <w:trHeight w:val="497"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桌子</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20</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张</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59"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椅子</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60</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把</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小床</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10</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组</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两台四张　</w:t>
            </w:r>
          </w:p>
        </w:tc>
      </w:tr>
      <w:tr>
        <w:tblPrEx>
          <w:tblCellMar>
            <w:top w:w="0" w:type="dxa"/>
            <w:left w:w="108" w:type="dxa"/>
            <w:bottom w:w="0" w:type="dxa"/>
            <w:right w:w="108" w:type="dxa"/>
          </w:tblCellMar>
        </w:tblPrEx>
        <w:trPr>
          <w:trHeight w:val="458"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磁性黑板</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块</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563"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书架</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个</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511"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口杯架</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个</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72"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毛巾架</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个</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97"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8</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玩具柜</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10</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组</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99"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9</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幼儿书包柜</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10</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组</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6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10</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玩具</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套</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383"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11</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录音机</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526"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12</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幼儿鞋柜</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个</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89"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13</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餐具保洁柜</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个</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377"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14</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一体机</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CellMar>
            <w:top w:w="0" w:type="dxa"/>
            <w:left w:w="108" w:type="dxa"/>
            <w:bottom w:w="0" w:type="dxa"/>
            <w:right w:w="108" w:type="dxa"/>
          </w:tblCellMar>
        </w:tblPrEx>
        <w:trPr>
          <w:trHeight w:val="464"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15</w:t>
            </w:r>
          </w:p>
        </w:tc>
        <w:tc>
          <w:tcPr>
            <w:tcW w:w="2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台式电脑</w:t>
            </w:r>
          </w:p>
        </w:tc>
        <w:tc>
          <w:tcPr>
            <w:tcW w:w="8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bl>
    <w:p>
      <w:pPr>
        <w:keepNext w:val="0"/>
        <w:keepLines w:val="0"/>
        <w:pageBreakBefore w:val="0"/>
        <w:widowControl/>
        <w:kinsoku/>
        <w:wordWrap/>
        <w:overflowPunct/>
        <w:topLinePunct w:val="0"/>
        <w:autoSpaceDE/>
        <w:autoSpaceDN/>
        <w:bidi w:val="0"/>
        <w:snapToGrid w:val="0"/>
        <w:spacing w:before="100" w:after="100" w:line="560" w:lineRule="exact"/>
        <w:ind w:firstLine="300" w:firstLineChars="1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cs="楷体"/>
          <w:kern w:val="0"/>
          <w:sz w:val="30"/>
          <w:szCs w:val="30"/>
        </w:rPr>
      </w:pP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楷体" w:hAnsi="楷体" w:eastAsia="楷体" w:cs="楷体"/>
          <w:sz w:val="30"/>
          <w:szCs w:val="30"/>
        </w:rPr>
        <w:t>年度一般公共预算财政拨款支出</w:t>
      </w:r>
      <w:r>
        <w:rPr>
          <w:rFonts w:hint="eastAsia" w:ascii="楷体" w:hAnsi="楷体" w:eastAsia="楷体" w:cs="楷体"/>
          <w:kern w:val="0"/>
          <w:sz w:val="30"/>
          <w:szCs w:val="30"/>
          <w:lang w:val="en-US" w:eastAsia="zh-CN"/>
        </w:rPr>
        <w:t>18001381.22</w:t>
      </w:r>
      <w:r>
        <w:rPr>
          <w:rFonts w:hint="eastAsia" w:ascii="楷体" w:hAnsi="楷体" w:eastAsia="楷体" w:cs="楷体"/>
          <w:kern w:val="0"/>
          <w:sz w:val="30"/>
          <w:szCs w:val="30"/>
        </w:rPr>
        <w:t>万元,占本年支出合计的</w:t>
      </w:r>
      <w:r>
        <w:rPr>
          <w:rFonts w:hint="eastAsia" w:ascii="楷体" w:hAnsi="楷体" w:eastAsia="楷体" w:cs="楷体"/>
          <w:sz w:val="30"/>
          <w:szCs w:val="30"/>
          <w:lang w:val="en-US" w:eastAsia="zh-CN"/>
        </w:rPr>
        <w:t>99.21</w:t>
      </w:r>
      <w:r>
        <w:rPr>
          <w:rFonts w:hint="eastAsia" w:ascii="楷体" w:hAnsi="楷体" w:eastAsia="楷体" w:cs="楷体"/>
          <w:kern w:val="0"/>
          <w:sz w:val="30"/>
          <w:szCs w:val="30"/>
        </w:rPr>
        <w:t>%。</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r>
        <w:rPr>
          <w:rFonts w:hint="eastAsia" w:ascii="楷体" w:hAnsi="楷体" w:eastAsia="楷体" w:cs="楷体"/>
          <w:sz w:val="30"/>
          <w:szCs w:val="30"/>
        </w:rPr>
        <w:tab/>
      </w:r>
      <w:r>
        <w:rPr>
          <w:rFonts w:hint="eastAsia" w:ascii="楷体" w:hAnsi="楷体" w:eastAsia="楷体" w:cs="楷体"/>
          <w:sz w:val="30"/>
          <w:szCs w:val="30"/>
        </w:rPr>
        <w:tab/>
      </w:r>
      <w:r>
        <w:rPr>
          <w:rFonts w:hint="eastAsia" w:ascii="楷体" w:hAnsi="楷体" w:eastAsia="楷体" w:cs="楷体"/>
          <w:sz w:val="30"/>
          <w:szCs w:val="30"/>
        </w:rPr>
        <w:tab/>
      </w:r>
    </w:p>
    <w:p>
      <w:pPr>
        <w:widowControl/>
        <w:autoSpaceDE w:val="0"/>
        <w:snapToGrid w:val="0"/>
        <w:spacing w:before="100" w:after="100" w:line="440" w:lineRule="exact"/>
        <w:ind w:firstLine="600" w:firstLineChars="200"/>
        <w:jc w:val="left"/>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1</w:t>
      </w:r>
      <w:r>
        <w:rPr>
          <w:rFonts w:hint="eastAsia" w:ascii="楷体" w:hAnsi="楷体" w:eastAsia="楷体" w:cs="楷体"/>
          <w:kern w:val="0"/>
          <w:sz w:val="30"/>
          <w:szCs w:val="30"/>
        </w:rPr>
        <w:t>.教育（类）支出</w:t>
      </w:r>
      <w:r>
        <w:rPr>
          <w:rFonts w:hint="eastAsia" w:ascii="楷体" w:hAnsi="楷体" w:eastAsia="楷体" w:cs="楷体"/>
          <w:kern w:val="0"/>
          <w:sz w:val="30"/>
          <w:szCs w:val="30"/>
          <w:lang w:val="en-US" w:eastAsia="zh-CN"/>
        </w:rPr>
        <w:t>14429324.78</w:t>
      </w:r>
      <w:r>
        <w:rPr>
          <w:rFonts w:hint="eastAsia" w:ascii="楷体" w:hAnsi="楷体" w:eastAsia="楷体" w:cs="楷体"/>
          <w:kern w:val="0"/>
          <w:sz w:val="30"/>
          <w:szCs w:val="30"/>
        </w:rPr>
        <w:t>万元，占一般公共预算财政拨款总支出</w:t>
      </w:r>
      <w:r>
        <w:rPr>
          <w:rFonts w:hint="eastAsia" w:ascii="楷体" w:hAnsi="楷体" w:eastAsia="楷体" w:cs="楷体"/>
          <w:kern w:val="0"/>
          <w:sz w:val="30"/>
          <w:szCs w:val="30"/>
          <w:lang w:val="en-US" w:eastAsia="zh-CN"/>
        </w:rPr>
        <w:t>80.16%</w:t>
      </w:r>
      <w:r>
        <w:rPr>
          <w:rFonts w:hint="eastAsia" w:ascii="楷体" w:hAnsi="楷体" w:eastAsia="楷体" w:cs="楷体"/>
          <w:kern w:val="0"/>
          <w:sz w:val="30"/>
          <w:szCs w:val="30"/>
        </w:rPr>
        <w:t>。主要用于教育相关经费支出、日常公用经费。人员经费支出等。</w:t>
      </w:r>
    </w:p>
    <w:p>
      <w:pPr>
        <w:widowControl/>
        <w:autoSpaceDE w:val="0"/>
        <w:adjustRightInd w:val="0"/>
        <w:snapToGrid w:val="0"/>
        <w:spacing w:before="100" w:beforeAutospacing="1" w:after="100" w:afterAutospacing="1" w:line="440" w:lineRule="exact"/>
        <w:ind w:firstLine="600" w:firstLineChars="200"/>
        <w:jc w:val="left"/>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2</w:t>
      </w:r>
      <w:r>
        <w:rPr>
          <w:rFonts w:hint="eastAsia" w:ascii="楷体" w:hAnsi="楷体" w:eastAsia="楷体" w:cs="楷体"/>
          <w:kern w:val="0"/>
          <w:sz w:val="30"/>
          <w:szCs w:val="30"/>
        </w:rPr>
        <w:t>.社会保障和就业（类）支出</w:t>
      </w:r>
      <w:r>
        <w:rPr>
          <w:rFonts w:hint="eastAsia" w:ascii="楷体" w:hAnsi="楷体" w:eastAsia="楷体" w:cs="楷体"/>
          <w:kern w:val="0"/>
          <w:sz w:val="30"/>
          <w:szCs w:val="30"/>
          <w:lang w:val="en-US" w:eastAsia="zh-CN"/>
        </w:rPr>
        <w:t>1450669.44</w:t>
      </w:r>
      <w:r>
        <w:rPr>
          <w:rFonts w:hint="eastAsia" w:ascii="楷体" w:hAnsi="楷体" w:eastAsia="楷体" w:cs="楷体"/>
          <w:kern w:val="0"/>
          <w:sz w:val="30"/>
          <w:szCs w:val="30"/>
        </w:rPr>
        <w:t>万元，占一般公共预算财政拨款总支出的</w:t>
      </w:r>
      <w:r>
        <w:rPr>
          <w:rFonts w:hint="eastAsia" w:ascii="楷体" w:hAnsi="楷体" w:eastAsia="楷体" w:cs="楷体"/>
          <w:kern w:val="0"/>
          <w:sz w:val="30"/>
          <w:szCs w:val="30"/>
          <w:lang w:val="en-US" w:eastAsia="zh-CN"/>
        </w:rPr>
        <w:t>8.06%</w:t>
      </w:r>
      <w:r>
        <w:rPr>
          <w:rFonts w:hint="eastAsia" w:ascii="楷体" w:hAnsi="楷体" w:eastAsia="楷体" w:cs="楷体"/>
          <w:kern w:val="0"/>
          <w:sz w:val="30"/>
          <w:szCs w:val="30"/>
        </w:rPr>
        <w:t>%。主要用于人员社会保险、退休金等支出。</w:t>
      </w:r>
    </w:p>
    <w:p>
      <w:pPr>
        <w:widowControl/>
        <w:autoSpaceDE w:val="0"/>
        <w:snapToGrid w:val="0"/>
        <w:spacing w:before="100" w:after="100" w:line="440" w:lineRule="exact"/>
        <w:ind w:firstLine="600" w:firstLineChars="200"/>
        <w:jc w:val="left"/>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3</w:t>
      </w:r>
      <w:r>
        <w:rPr>
          <w:rFonts w:hint="eastAsia" w:ascii="楷体" w:hAnsi="楷体" w:eastAsia="楷体" w:cs="楷体"/>
          <w:kern w:val="0"/>
          <w:sz w:val="30"/>
          <w:szCs w:val="30"/>
        </w:rPr>
        <w:t>.卫生健康（类）支出</w:t>
      </w:r>
      <w:r>
        <w:rPr>
          <w:rFonts w:hint="eastAsia" w:ascii="楷体" w:hAnsi="楷体" w:eastAsia="楷体" w:cs="楷体"/>
          <w:kern w:val="0"/>
          <w:sz w:val="30"/>
          <w:szCs w:val="30"/>
          <w:lang w:val="en-US" w:eastAsia="zh-CN"/>
        </w:rPr>
        <w:t>965814</w:t>
      </w:r>
      <w:r>
        <w:rPr>
          <w:rFonts w:hint="eastAsia" w:ascii="楷体" w:hAnsi="楷体" w:eastAsia="楷体" w:cs="楷体"/>
          <w:kern w:val="0"/>
          <w:sz w:val="30"/>
          <w:szCs w:val="30"/>
        </w:rPr>
        <w:t>万元，占一般公共预算财政拨款总支出的</w:t>
      </w:r>
      <w:r>
        <w:rPr>
          <w:rFonts w:hint="eastAsia" w:ascii="楷体" w:hAnsi="楷体" w:eastAsia="楷体" w:cs="楷体"/>
          <w:kern w:val="0"/>
          <w:sz w:val="30"/>
          <w:szCs w:val="30"/>
          <w:lang w:val="en-US" w:eastAsia="zh-CN"/>
        </w:rPr>
        <w:t>5.37</w:t>
      </w:r>
      <w:r>
        <w:rPr>
          <w:rFonts w:hint="eastAsia" w:ascii="楷体" w:hAnsi="楷体" w:eastAsia="楷体" w:cs="楷体"/>
          <w:kern w:val="0"/>
          <w:sz w:val="30"/>
          <w:szCs w:val="30"/>
        </w:rPr>
        <w:t>%。主要用于人员医疗保险、大病补充医疗保险等支出。</w:t>
      </w:r>
    </w:p>
    <w:p>
      <w:pPr>
        <w:widowControl/>
        <w:autoSpaceDE w:val="0"/>
        <w:adjustRightInd w:val="0"/>
        <w:snapToGrid w:val="0"/>
        <w:spacing w:before="100" w:beforeAutospacing="1" w:after="100" w:afterAutospacing="1" w:line="440" w:lineRule="exact"/>
        <w:ind w:firstLine="600" w:firstLineChars="200"/>
        <w:jc w:val="left"/>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4</w:t>
      </w:r>
      <w:r>
        <w:rPr>
          <w:rFonts w:hint="eastAsia" w:ascii="楷体" w:hAnsi="楷体" w:eastAsia="楷体" w:cs="楷体"/>
          <w:kern w:val="0"/>
          <w:sz w:val="30"/>
          <w:szCs w:val="30"/>
        </w:rPr>
        <w:t>.住房保障（类）支出</w:t>
      </w:r>
      <w:r>
        <w:rPr>
          <w:rFonts w:hint="eastAsia" w:ascii="楷体" w:hAnsi="楷体" w:eastAsia="楷体" w:cs="楷体"/>
          <w:kern w:val="0"/>
          <w:sz w:val="30"/>
          <w:szCs w:val="30"/>
          <w:lang w:val="en-US" w:eastAsia="zh-CN"/>
        </w:rPr>
        <w:t>1155573</w:t>
      </w:r>
      <w:r>
        <w:rPr>
          <w:rFonts w:hint="eastAsia" w:ascii="楷体" w:hAnsi="楷体" w:eastAsia="楷体" w:cs="楷体"/>
          <w:kern w:val="0"/>
          <w:sz w:val="30"/>
          <w:szCs w:val="30"/>
        </w:rPr>
        <w:t>万元，占一般公共预算财政拨款总支出的</w:t>
      </w:r>
      <w:r>
        <w:rPr>
          <w:rFonts w:hint="eastAsia" w:ascii="楷体" w:hAnsi="楷体" w:eastAsia="楷体" w:cs="楷体"/>
          <w:kern w:val="0"/>
          <w:sz w:val="30"/>
          <w:szCs w:val="30"/>
          <w:lang w:val="en-US" w:eastAsia="zh-CN"/>
        </w:rPr>
        <w:t>6.42</w:t>
      </w:r>
      <w:r>
        <w:rPr>
          <w:rFonts w:hint="eastAsia" w:ascii="楷体" w:hAnsi="楷体" w:eastAsia="楷体" w:cs="楷体"/>
          <w:kern w:val="0"/>
          <w:sz w:val="30"/>
          <w:szCs w:val="30"/>
        </w:rPr>
        <w:t>%。主要用于人员住房公积金支出。</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仿宋_GB2312" w:eastAsia="仿宋_GB2312"/>
          <w:sz w:val="30"/>
          <w:szCs w:val="30"/>
        </w:rPr>
      </w:pPr>
      <w:r>
        <w:rPr>
          <w:rFonts w:hint="eastAsia" w:ascii="楷体" w:hAnsi="楷体" w:eastAsia="楷体" w:cs="楷体"/>
          <w:sz w:val="30"/>
          <w:szCs w:val="30"/>
          <w:lang w:eastAsia="zh-CN"/>
        </w:rPr>
        <w:t>新平彝族傣族自治县第二幼儿园</w:t>
      </w:r>
      <w:r>
        <w:rPr>
          <w:rFonts w:hint="eastAsia" w:ascii="楷体" w:hAnsi="楷体" w:eastAsia="楷体" w:cs="楷体"/>
          <w:sz w:val="30"/>
          <w:szCs w:val="30"/>
          <w:lang w:val="en-US" w:eastAsia="zh-CN"/>
        </w:rPr>
        <w:t>2020</w:t>
      </w:r>
      <w:r>
        <w:rPr>
          <w:rFonts w:hint="eastAsia" w:ascii="仿宋_GB2312" w:eastAsia="仿宋_GB2312"/>
          <w:sz w:val="30"/>
          <w:szCs w:val="30"/>
          <w:highlight w:val="none"/>
        </w:rPr>
        <w:t>年</w:t>
      </w:r>
      <w:r>
        <w:rPr>
          <w:rFonts w:hint="eastAsia" w:ascii="仿宋_GB2312" w:eastAsia="仿宋_GB2312"/>
          <w:sz w:val="30"/>
          <w:szCs w:val="30"/>
        </w:rPr>
        <w:t>度一般公共预算财政拨款“三公”经费支出预算为</w:t>
      </w:r>
      <w:r>
        <w:rPr>
          <w:rFonts w:hint="eastAsia" w:ascii="仿宋_GB2312" w:eastAsia="仿宋_GB2312"/>
          <w:sz w:val="30"/>
          <w:szCs w:val="30"/>
          <w:lang w:val="en-US" w:eastAsia="zh-CN"/>
        </w:rPr>
        <w:t>0</w:t>
      </w:r>
      <w:r>
        <w:rPr>
          <w:rFonts w:hint="eastAsia" w:ascii="仿宋_GB2312" w:eastAsia="仿宋_GB2312"/>
          <w:sz w:val="30"/>
          <w:szCs w:val="30"/>
        </w:rPr>
        <w:t>万元，支出决算为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%；公务用车购置及运行费支出决算为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%；公务接待费支出决算为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2020</w:t>
      </w:r>
      <w:r>
        <w:rPr>
          <w:rFonts w:hint="eastAsia" w:ascii="仿宋_GB2312" w:eastAsia="仿宋_GB2312"/>
          <w:sz w:val="30"/>
          <w:szCs w:val="30"/>
        </w:rPr>
        <w:t>年度一般公共预算财政拨款“三公”经费支出决算中，因公出国（境）费支出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%；公务用车购置及运行维护费支出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%；公务接待费支出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snapToGrid w:val="0"/>
        <w:spacing w:before="100" w:after="100" w:line="560" w:lineRule="exact"/>
        <w:ind w:firstLine="640" w:firstLineChars="20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仿宋_GB2312" w:hAnsi="黑体" w:eastAsia="仿宋_GB2312" w:cs="方正小标宋简体"/>
          <w:sz w:val="30"/>
          <w:szCs w:val="30"/>
          <w:lang w:eastAsia="zh-CN"/>
        </w:rPr>
      </w:pPr>
      <w:r>
        <w:rPr>
          <w:rFonts w:hint="eastAsia" w:ascii="楷体" w:hAnsi="楷体" w:eastAsia="楷体" w:cs="楷体"/>
          <w:sz w:val="30"/>
          <w:szCs w:val="30"/>
          <w:lang w:eastAsia="zh-CN"/>
        </w:rPr>
        <w:t>新平彝族傣族自治县第二幼儿园</w:t>
      </w:r>
      <w:r>
        <w:rPr>
          <w:rFonts w:hint="eastAsia" w:ascii="仿宋_GB2312" w:eastAsia="仿宋_GB2312"/>
          <w:sz w:val="30"/>
          <w:szCs w:val="30"/>
          <w:lang w:val="en-US" w:eastAsia="zh-CN"/>
        </w:rPr>
        <w:t>2020</w:t>
      </w:r>
      <w:r>
        <w:rPr>
          <w:rFonts w:hint="eastAsia" w:ascii="仿宋_GB2312" w:eastAsia="仿宋_GB2312"/>
          <w:sz w:val="30"/>
          <w:szCs w:val="30"/>
        </w:rPr>
        <w:t>年度</w:t>
      </w:r>
      <w:r>
        <w:rPr>
          <w:rFonts w:hint="eastAsia" w:ascii="仿宋_GB2312" w:hAnsi="黑体" w:eastAsia="仿宋_GB2312" w:cs="方正小标宋简体"/>
          <w:sz w:val="30"/>
          <w:szCs w:val="30"/>
        </w:rPr>
        <w:t>机关运行经费支出</w:t>
      </w:r>
      <w:r>
        <w:rPr>
          <w:rFonts w:hint="eastAsia" w:ascii="仿宋_GB2312" w:hAnsi="黑体" w:eastAsia="仿宋_GB2312" w:cs="方正小标宋简体"/>
          <w:sz w:val="30"/>
          <w:szCs w:val="30"/>
          <w:lang w:val="en-US" w:eastAsia="zh-CN"/>
        </w:rPr>
        <w:t>0</w:t>
      </w:r>
      <w:r>
        <w:rPr>
          <w:rFonts w:hint="eastAsia" w:ascii="仿宋_GB2312" w:hAnsi="黑体" w:eastAsia="仿宋_GB2312" w:cs="方正小标宋简体"/>
          <w:sz w:val="30"/>
          <w:szCs w:val="30"/>
        </w:rPr>
        <w:t>万元</w:t>
      </w:r>
      <w:r>
        <w:rPr>
          <w:rFonts w:hint="eastAsia" w:ascii="仿宋_GB2312" w:hAnsi="黑体" w:eastAsia="仿宋_GB2312" w:cs="方正小标宋简体"/>
          <w:sz w:val="30"/>
          <w:szCs w:val="30"/>
          <w:lang w:eastAsia="zh-CN"/>
        </w:rPr>
        <w:t>。</w:t>
      </w:r>
    </w:p>
    <w:p>
      <w:pPr>
        <w:keepNext w:val="0"/>
        <w:keepLines w:val="0"/>
        <w:pageBreakBefore w:val="0"/>
        <w:widowControl/>
        <w:kinsoku/>
        <w:wordWrap/>
        <w:overflowPunct/>
        <w:topLinePunct w:val="0"/>
        <w:autoSpaceDE/>
        <w:autoSpaceDN/>
        <w:bidi w:val="0"/>
        <w:spacing w:line="560" w:lineRule="exact"/>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autoSpaceDE/>
        <w:autoSpaceDN/>
        <w:bidi w:val="0"/>
        <w:spacing w:line="560" w:lineRule="exact"/>
        <w:ind w:firstLine="600" w:firstLineChars="200"/>
        <w:rPr>
          <w:rFonts w:hint="eastAsia" w:ascii="仿宋_GB2312" w:hAnsi="黑体" w:eastAsia="仿宋_GB2312" w:cs="方正小标宋简体"/>
          <w:color w:val="000000"/>
          <w:kern w:val="0"/>
          <w:sz w:val="30"/>
          <w:szCs w:val="30"/>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2020</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楷体" w:hAnsi="楷体" w:eastAsia="楷体" w:cs="楷体"/>
          <w:sz w:val="30"/>
          <w:szCs w:val="30"/>
          <w:lang w:eastAsia="zh-CN"/>
        </w:rPr>
        <w:t>新平彝族傣族自治县第二幼儿园</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2985.25</w:t>
      </w:r>
      <w:r>
        <w:rPr>
          <w:rFonts w:hint="eastAsia" w:ascii="仿宋_GB2312" w:hAnsi="黑体" w:eastAsia="仿宋_GB2312" w:cs="方正小标宋简体"/>
          <w:color w:val="000000"/>
          <w:kern w:val="0"/>
          <w:sz w:val="30"/>
          <w:szCs w:val="30"/>
        </w:rPr>
        <w:t>万元，其中，流动资产</w:t>
      </w:r>
      <w:r>
        <w:rPr>
          <w:rFonts w:hint="eastAsia" w:ascii="仿宋_GB2312" w:hAnsi="黑体" w:eastAsia="仿宋_GB2312" w:cs="方正小标宋简体"/>
          <w:color w:val="000000"/>
          <w:kern w:val="0"/>
          <w:sz w:val="30"/>
          <w:szCs w:val="30"/>
          <w:lang w:val="en-US" w:eastAsia="zh-CN"/>
        </w:rPr>
        <w:t>23.207477</w:t>
      </w:r>
      <w:r>
        <w:rPr>
          <w:rFonts w:hint="eastAsia" w:ascii="仿宋_GB2312" w:hAnsi="黑体" w:eastAsia="仿宋_GB2312" w:cs="方正小标宋简体"/>
          <w:color w:val="000000"/>
          <w:kern w:val="0"/>
          <w:sz w:val="30"/>
          <w:szCs w:val="30"/>
        </w:rPr>
        <w:t>万元，固定资产</w:t>
      </w:r>
      <w:r>
        <w:rPr>
          <w:rFonts w:hint="eastAsia" w:ascii="仿宋_GB2312" w:hAnsi="黑体" w:eastAsia="仿宋_GB2312" w:cs="方正小标宋简体"/>
          <w:color w:val="000000"/>
          <w:kern w:val="0"/>
          <w:sz w:val="30"/>
          <w:szCs w:val="30"/>
          <w:lang w:val="en-US" w:eastAsia="zh-CN"/>
        </w:rPr>
        <w:t>2512.54</w:t>
      </w:r>
      <w:r>
        <w:rPr>
          <w:rFonts w:hint="eastAsia" w:ascii="仿宋_GB2312" w:hAnsi="黑体" w:eastAsia="仿宋_GB2312" w:cs="方正小标宋简体"/>
          <w:color w:val="000000"/>
          <w:kern w:val="0"/>
          <w:sz w:val="30"/>
          <w:szCs w:val="30"/>
        </w:rPr>
        <w:t>万元，对外投资及有价证券</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万元，在建工程</w:t>
      </w:r>
      <w:r>
        <w:rPr>
          <w:rFonts w:hint="eastAsia" w:ascii="仿宋_GB2312" w:hAnsi="黑体" w:eastAsia="仿宋_GB2312" w:cs="方正小标宋简体"/>
          <w:color w:val="000000"/>
          <w:kern w:val="0"/>
          <w:sz w:val="30"/>
          <w:szCs w:val="30"/>
          <w:lang w:val="en-US" w:eastAsia="zh-CN"/>
        </w:rPr>
        <w:t>449.50</w:t>
      </w:r>
      <w:r>
        <w:rPr>
          <w:rFonts w:hint="eastAsia" w:ascii="仿宋_GB2312" w:hAnsi="黑体" w:eastAsia="仿宋_GB2312" w:cs="方正小标宋简体"/>
          <w:color w:val="000000"/>
          <w:kern w:val="0"/>
          <w:sz w:val="30"/>
          <w:szCs w:val="30"/>
        </w:rPr>
        <w:t>万元，无形资产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万元，其他资产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万元。与上年相比，本年资产总额增加</w:t>
      </w:r>
      <w:r>
        <w:rPr>
          <w:rFonts w:hint="eastAsia" w:ascii="仿宋_GB2312" w:hAnsi="黑体" w:eastAsia="仿宋_GB2312" w:cs="方正小标宋简体"/>
          <w:color w:val="000000"/>
          <w:kern w:val="0"/>
          <w:sz w:val="30"/>
          <w:szCs w:val="30"/>
          <w:lang w:val="en-US" w:eastAsia="zh-CN"/>
        </w:rPr>
        <w:t>64.85365</w:t>
      </w:r>
      <w:r>
        <w:rPr>
          <w:rFonts w:hint="eastAsia" w:ascii="仿宋_GB2312" w:hAnsi="黑体" w:eastAsia="仿宋_GB2312" w:cs="方正小标宋简体"/>
          <w:color w:val="000000"/>
          <w:kern w:val="0"/>
          <w:sz w:val="30"/>
          <w:szCs w:val="30"/>
        </w:rPr>
        <w:t>万元，其中固定资产减</w:t>
      </w:r>
      <w:r>
        <w:rPr>
          <w:rFonts w:hint="eastAsia" w:ascii="仿宋_GB2312" w:hAnsi="黑体" w:eastAsia="仿宋_GB2312" w:cs="方正小标宋简体"/>
          <w:color w:val="000000"/>
          <w:kern w:val="0"/>
          <w:sz w:val="30"/>
          <w:szCs w:val="30"/>
          <w:lang w:eastAsia="zh-CN"/>
        </w:rPr>
        <w:t>少</w:t>
      </w:r>
      <w:r>
        <w:rPr>
          <w:rFonts w:hint="eastAsia" w:ascii="仿宋_GB2312" w:hAnsi="黑体" w:eastAsia="仿宋_GB2312" w:cs="方正小标宋简体"/>
          <w:color w:val="000000"/>
          <w:kern w:val="0"/>
          <w:sz w:val="30"/>
          <w:szCs w:val="30"/>
          <w:lang w:val="en-US" w:eastAsia="zh-CN"/>
        </w:rPr>
        <w:t>66.7296</w:t>
      </w:r>
      <w:r>
        <w:rPr>
          <w:rFonts w:hint="eastAsia" w:ascii="仿宋_GB2312" w:hAnsi="黑体" w:eastAsia="仿宋_GB2312" w:cs="方正小标宋简体"/>
          <w:color w:val="000000"/>
          <w:kern w:val="0"/>
          <w:sz w:val="30"/>
          <w:szCs w:val="30"/>
        </w:rPr>
        <w:t>万元。处置房屋建筑物</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万元，实现资产处置收入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万元；出租房屋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万元，实现资产使用收入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w:t>
      </w: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91"/>
        <w:gridCol w:w="593"/>
        <w:gridCol w:w="764"/>
        <w:gridCol w:w="732"/>
        <w:gridCol w:w="472"/>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仿宋_GB2312" w:hAnsi="方正小标宋_GBK" w:eastAsia="仿宋_GB2312" w:cs="方正小标宋_GBK"/>
                <w:b/>
                <w:color w:val="000000"/>
                <w:kern w:val="0"/>
                <w:sz w:val="30"/>
                <w:szCs w:val="30"/>
                <w:lang w:bidi="ar"/>
              </w:rPr>
              <w:t>国有资产占有使用情况表</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单位：万元</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行次</w:t>
            </w:r>
          </w:p>
        </w:tc>
        <w:tc>
          <w:tcPr>
            <w:tcW w:w="7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资产总额</w:t>
            </w:r>
          </w:p>
        </w:tc>
        <w:tc>
          <w:tcPr>
            <w:tcW w:w="5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其他资产</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小计</w:t>
            </w:r>
          </w:p>
        </w:tc>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房屋构筑物</w:t>
            </w:r>
          </w:p>
        </w:tc>
        <w:tc>
          <w:tcPr>
            <w:tcW w:w="4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7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2</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3</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4</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11</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7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2985.25</w:t>
            </w: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23.21</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2512.54</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2204.48</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308.06</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449.5</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widowControl/>
              <w:ind w:firstLine="400" w:firstLineChars="200"/>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填报说明：1.资产总额＝流动资产＋固定资产＋对外投资／有价证券＋在建工程＋无形资产＋其他资产</w:t>
            </w:r>
            <w:r>
              <w:rPr>
                <w:rFonts w:hint="eastAsia" w:ascii="宋体" w:hAnsi="宋体" w:cs="宋体"/>
                <w:color w:val="000000"/>
                <w:kern w:val="0"/>
                <w:sz w:val="20"/>
                <w:szCs w:val="20"/>
                <w:lang w:eastAsia="zh-CN"/>
              </w:rPr>
              <w:t>；</w:t>
            </w:r>
          </w:p>
          <w:p>
            <w:pPr>
              <w:widowControl/>
              <w:numPr>
                <w:ilvl w:val="0"/>
                <w:numId w:val="1"/>
              </w:numPr>
              <w:ind w:firstLine="1400" w:firstLineChars="700"/>
              <w:rPr>
                <w:rFonts w:hint="eastAsia" w:ascii="宋体" w:hAnsi="宋体" w:cs="宋体"/>
                <w:color w:val="000000"/>
                <w:kern w:val="0"/>
                <w:sz w:val="20"/>
                <w:szCs w:val="20"/>
              </w:rPr>
            </w:pPr>
            <w:r>
              <w:rPr>
                <w:rFonts w:hint="eastAsia" w:ascii="宋体" w:hAnsi="宋体" w:cs="宋体"/>
                <w:color w:val="000000"/>
                <w:kern w:val="0"/>
                <w:sz w:val="20"/>
                <w:szCs w:val="20"/>
              </w:rPr>
              <w:t>固定资产＝房屋构筑物＋车辆＋单价200万元以上大型设备＋其他固定资产</w:t>
            </w:r>
            <w:r>
              <w:rPr>
                <w:rFonts w:hint="eastAsia" w:ascii="宋体" w:hAnsi="宋体" w:cs="宋体"/>
                <w:color w:val="000000"/>
                <w:kern w:val="0"/>
                <w:sz w:val="20"/>
                <w:szCs w:val="20"/>
                <w:lang w:eastAsia="zh-CN"/>
              </w:rPr>
              <w:t>；</w:t>
            </w:r>
          </w:p>
          <w:p>
            <w:pPr>
              <w:widowControl/>
              <w:numPr>
                <w:ilvl w:val="0"/>
                <w:numId w:val="1"/>
              </w:numPr>
              <w:ind w:firstLine="1400" w:firstLineChars="700"/>
              <w:rPr>
                <w:rFonts w:hint="eastAsia" w:ascii="宋体" w:hAnsi="宋体" w:cs="宋体"/>
                <w:color w:val="000000"/>
                <w:kern w:val="0"/>
                <w:sz w:val="20"/>
                <w:szCs w:val="20"/>
              </w:rPr>
            </w:pPr>
            <w:r>
              <w:rPr>
                <w:rFonts w:hint="eastAsia" w:ascii="宋体" w:hAnsi="宋体" w:cs="宋体"/>
                <w:color w:val="000000"/>
                <w:kern w:val="0"/>
                <w:sz w:val="20"/>
                <w:szCs w:val="20"/>
                <w:lang w:eastAsia="zh-CN"/>
              </w:rPr>
              <w:t>填报金额为资产“账面原值”。</w:t>
            </w: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r>
              <w:rPr>
                <w:rFonts w:ascii="Arial" w:hAnsi="Arial" w:cs="Arial"/>
                <w:color w:val="000000"/>
                <w:kern w:val="0"/>
                <w:sz w:val="20"/>
                <w:szCs w:val="20"/>
              </w:rPr>
              <w:t> </w:t>
            </w:r>
          </w:p>
        </w:tc>
        <w:tc>
          <w:tcPr>
            <w:tcW w:w="142" w:type="dxa"/>
            <w:vAlign w:val="center"/>
          </w:tcPr>
          <w:p>
            <w:pPr>
              <w:widowControl/>
              <w:jc w:val="left"/>
              <w:rPr>
                <w:rFonts w:ascii="Times New Roman" w:hAnsi="Times New Roman" w:eastAsia="Times New Roman"/>
                <w:kern w:val="0"/>
                <w:sz w:val="20"/>
                <w:szCs w:val="20"/>
              </w:rPr>
            </w:pPr>
          </w:p>
        </w:tc>
      </w:tr>
    </w:tbl>
    <w:p>
      <w:pPr>
        <w:keepNext w:val="0"/>
        <w:keepLines w:val="0"/>
        <w:pageBreakBefore w:val="0"/>
        <w:widowControl/>
        <w:kinsoku/>
        <w:wordWrap/>
        <w:overflowPunct/>
        <w:topLinePunct w:val="0"/>
        <w:autoSpaceDE/>
        <w:autoSpaceDN/>
        <w:bidi w:val="0"/>
        <w:spacing w:line="560" w:lineRule="exact"/>
        <w:ind w:firstLine="600" w:firstLineChars="200"/>
        <w:rPr>
          <w:rFonts w:hint="eastAsia" w:ascii="仿宋_GB2312" w:hAnsi="黑体" w:eastAsia="仿宋_GB2312" w:cs="方正小标宋简体"/>
          <w:color w:val="000000"/>
          <w:kern w:val="0"/>
          <w:sz w:val="30"/>
          <w:szCs w:val="30"/>
        </w:rPr>
      </w:pPr>
    </w:p>
    <w:p>
      <w:pPr>
        <w:keepNext w:val="0"/>
        <w:keepLines w:val="0"/>
        <w:pageBreakBefore w:val="0"/>
        <w:kinsoku/>
        <w:wordWrap/>
        <w:overflowPunct/>
        <w:topLinePunct w:val="0"/>
        <w:autoSpaceDE/>
        <w:autoSpaceDN/>
        <w:bidi w:val="0"/>
        <w:spacing w:line="560" w:lineRule="exact"/>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keepNext w:val="0"/>
        <w:keepLines w:val="0"/>
        <w:pageBreakBefore w:val="0"/>
        <w:kinsoku/>
        <w:wordWrap/>
        <w:overflowPunct/>
        <w:topLinePunct w:val="0"/>
        <w:autoSpaceDE/>
        <w:autoSpaceDN/>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2020年度，部门政府采购支出总额0万元，其中：政府采购货物支出0万元；政府采购工程支出0万元；政府采购服务支出0万元。授予中小企业合同金额0万元，占政府采购支出总额的0X%。</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kinsoku/>
        <w:wordWrap/>
        <w:overflowPunct/>
        <w:topLinePunct w:val="0"/>
        <w:autoSpaceDE/>
        <w:autoSpaceDN/>
        <w:bidi w:val="0"/>
        <w:snapToGrid w:val="0"/>
        <w:spacing w:before="100" w:after="100" w:line="560" w:lineRule="exact"/>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（附表10—附表12）。</w:t>
      </w:r>
    </w:p>
    <w:p>
      <w:pPr>
        <w:keepNext w:val="0"/>
        <w:keepLines w:val="0"/>
        <w:pageBreakBefore w:val="0"/>
        <w:widowControl/>
        <w:kinsoku/>
        <w:wordWrap/>
        <w:overflowPunct/>
        <w:topLinePunct w:val="0"/>
        <w:autoSpaceDE/>
        <w:autoSpaceDN/>
        <w:bidi w:val="0"/>
        <w:snapToGrid w:val="0"/>
        <w:spacing w:before="100" w:after="100" w:line="560" w:lineRule="exact"/>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我园无特殊的情况说明</w:t>
      </w:r>
      <w:r>
        <w:rPr>
          <w:rFonts w:hint="eastAsia" w:ascii="仿宋_GB2312" w:hAnsi="黑体" w:eastAsia="仿宋_GB2312" w:cs="方正小标宋简体"/>
          <w:sz w:val="30"/>
          <w:szCs w:val="30"/>
        </w:rPr>
        <w:t>。</w:t>
      </w:r>
    </w:p>
    <w:p>
      <w:pPr>
        <w:keepNext w:val="0"/>
        <w:keepLines w:val="0"/>
        <w:pageBreakBefore w:val="0"/>
        <w:kinsoku/>
        <w:wordWrap/>
        <w:overflowPunct/>
        <w:topLinePunct w:val="0"/>
        <w:autoSpaceDE/>
        <w:autoSpaceDN/>
        <w:bidi w:val="0"/>
        <w:spacing w:line="560" w:lineRule="exact"/>
        <w:ind w:firstLine="600" w:firstLineChars="200"/>
        <w:jc w:val="left"/>
        <w:rPr>
          <w:rFonts w:hint="eastAsia" w:ascii="仿宋_GB2312" w:hAnsi="黑体" w:eastAsia="仿宋_GB2312" w:cs="方正小标宋简体"/>
          <w:sz w:val="30"/>
          <w:szCs w:val="30"/>
        </w:rPr>
      </w:pPr>
    </w:p>
    <w:sectPr>
      <w:headerReference r:id="rId3" w:type="default"/>
      <w:footerReference r:id="rId4" w:type="default"/>
      <w:footerReference r:id="rId5" w:type="even"/>
      <w:pgSz w:w="11906" w:h="16838"/>
      <w:pgMar w:top="2098" w:right="1418" w:bottom="1588" w:left="1644"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CB5882-E456-49B9-8419-F539DB75574A}"/>
  </w:font>
  <w:font w:name="黑体">
    <w:panose1 w:val="02010609060101010101"/>
    <w:charset w:val="86"/>
    <w:family w:val="auto"/>
    <w:pitch w:val="default"/>
    <w:sig w:usb0="800002BF" w:usb1="38CF7CFA" w:usb2="00000016" w:usb3="00000000" w:csb0="00040001" w:csb1="00000000"/>
    <w:embedRegular r:id="rId2" w:fontKey="{E3132DF4-40C8-4978-9CB2-50DC99B3A3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62CFFA88-A917-45DF-A73C-87E93C4C6D6A}"/>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4" w:fontKey="{5247D277-38BB-4D66-A692-3BC7E3130C01}"/>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embedRegular r:id="rId5" w:fontKey="{5038FBAB-7A15-4532-B9B6-3F5328660365}"/>
  </w:font>
  <w:font w:name="方正小标宋_GBK">
    <w:panose1 w:val="02000000000000000000"/>
    <w:charset w:val="86"/>
    <w:family w:val="roman"/>
    <w:pitch w:val="default"/>
    <w:sig w:usb0="00000000" w:usb1="00000000" w:usb2="00000000" w:usb3="00000000" w:csb0="00000000" w:csb1="00000000"/>
    <w:embedRegular r:id="rId6" w:fontKey="{33D07FA6-2A82-442A-85CD-126B110B38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24TqucB&#10;AADIAwAADgAAAAAAAAABACAAAAAiAQAAZHJzL2Uyb0RvYy54bWxQSwUGAAAAAAYABgBZAQAAewUA&#10;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64F3766"/>
    <w:rsid w:val="092A046C"/>
    <w:rsid w:val="0A705D12"/>
    <w:rsid w:val="0A920BA2"/>
    <w:rsid w:val="0C731017"/>
    <w:rsid w:val="0FD237A1"/>
    <w:rsid w:val="1004319E"/>
    <w:rsid w:val="109A2368"/>
    <w:rsid w:val="1253626C"/>
    <w:rsid w:val="12AF3DA1"/>
    <w:rsid w:val="199B155C"/>
    <w:rsid w:val="1B9A76F1"/>
    <w:rsid w:val="1C534E3D"/>
    <w:rsid w:val="22BA1854"/>
    <w:rsid w:val="253B1B6C"/>
    <w:rsid w:val="29AB5281"/>
    <w:rsid w:val="2C2C7BFF"/>
    <w:rsid w:val="2EBD6C76"/>
    <w:rsid w:val="31EE7D4C"/>
    <w:rsid w:val="324972D3"/>
    <w:rsid w:val="346D7F00"/>
    <w:rsid w:val="369C5976"/>
    <w:rsid w:val="36F21B59"/>
    <w:rsid w:val="37364169"/>
    <w:rsid w:val="378C451A"/>
    <w:rsid w:val="37FD453B"/>
    <w:rsid w:val="38C92C72"/>
    <w:rsid w:val="43650ECA"/>
    <w:rsid w:val="46850063"/>
    <w:rsid w:val="47A16424"/>
    <w:rsid w:val="47F25562"/>
    <w:rsid w:val="48130EEA"/>
    <w:rsid w:val="4A041DB5"/>
    <w:rsid w:val="4FCC7BC5"/>
    <w:rsid w:val="51373AA3"/>
    <w:rsid w:val="52BC6998"/>
    <w:rsid w:val="579009E0"/>
    <w:rsid w:val="57D82FB7"/>
    <w:rsid w:val="58890172"/>
    <w:rsid w:val="5A511FF2"/>
    <w:rsid w:val="5C424B52"/>
    <w:rsid w:val="5D632CD1"/>
    <w:rsid w:val="5FFD1375"/>
    <w:rsid w:val="62A91435"/>
    <w:rsid w:val="637839E1"/>
    <w:rsid w:val="65FE5DD1"/>
    <w:rsid w:val="660D17DD"/>
    <w:rsid w:val="69990E04"/>
    <w:rsid w:val="69C03631"/>
    <w:rsid w:val="69E0699C"/>
    <w:rsid w:val="6D2C1DBC"/>
    <w:rsid w:val="7398436E"/>
    <w:rsid w:val="768220A0"/>
    <w:rsid w:val="77207610"/>
    <w:rsid w:val="78AF2483"/>
    <w:rsid w:val="79EB17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01"/>
    <w:basedOn w:val="7"/>
    <w:qFormat/>
    <w:uiPriority w:val="0"/>
    <w:rPr>
      <w:rFonts w:hint="default"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598</Words>
  <Characters>3413</Characters>
  <Lines>28</Lines>
  <Paragraphs>8</Paragraphs>
  <TotalTime>115</TotalTime>
  <ScaleCrop>false</ScaleCrop>
  <LinksUpToDate>false</LinksUpToDate>
  <CharactersWithSpaces>4003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康迈元</cp:lastModifiedBy>
  <cp:lastPrinted>2021-06-10T03:46:00Z</cp:lastPrinted>
  <dcterms:modified xsi:type="dcterms:W3CDTF">2021-09-16T03:01:26Z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E4AEF2FC2D0A43DBBE7DD191AD009542</vt:lpwstr>
  </property>
</Properties>
</file>