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BEC30">
      <w:pPr>
        <w:spacing w:line="640" w:lineRule="exact"/>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联兴风电场三期项目征地补偿安置方案</w:t>
      </w:r>
    </w:p>
    <w:p w14:paraId="5753A4D4">
      <w:pPr>
        <w:spacing w:line="550" w:lineRule="exact"/>
        <w:jc w:val="center"/>
        <w:rPr>
          <w:rFonts w:hint="eastAsia" w:ascii="宋体" w:hAnsi="宋体" w:eastAsia="方正仿宋_GBK" w:cs="方正仿宋_GBK"/>
          <w:sz w:val="32"/>
          <w:szCs w:val="20"/>
        </w:rPr>
      </w:pPr>
    </w:p>
    <w:p w14:paraId="03D5F7EB">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新平彝族傣族自治县人民政府依据联兴风电场三期项目拟征收土地社会稳定风险评估结果，结合土地现状调查结果，组织自然资源局、财政局、农业农村局、人力资源和社会保障局等相关部门拟定了本方案，具体内容如下：</w:t>
      </w:r>
    </w:p>
    <w:p w14:paraId="48C893F4">
      <w:pPr>
        <w:keepNext w:val="0"/>
        <w:keepLines w:val="0"/>
        <w:pageBreakBefore w:val="0"/>
        <w:kinsoku/>
        <w:overflowPunct/>
        <w:topLinePunct w:val="0"/>
        <w:autoSpaceDE/>
        <w:autoSpaceDN/>
        <w:bidi w:val="0"/>
        <w:adjustRightInd/>
        <w:snapToGrid/>
        <w:spacing w:line="590" w:lineRule="exact"/>
        <w:ind w:firstLine="640" w:firstLineChars="200"/>
        <w:rPr>
          <w:rFonts w:hint="eastAsia" w:ascii="方正黑体_GBK" w:hAnsi="方正黑体_GBK" w:eastAsia="方正黑体_GBK" w:cs="方正黑体_GBK"/>
          <w:sz w:val="32"/>
          <w:szCs w:val="20"/>
        </w:rPr>
      </w:pPr>
      <w:r>
        <w:rPr>
          <w:rFonts w:hint="eastAsia" w:ascii="方正黑体_GBK" w:hAnsi="方正黑体_GBK" w:eastAsia="方正黑体_GBK" w:cs="方正黑体_GBK"/>
          <w:sz w:val="32"/>
          <w:szCs w:val="20"/>
        </w:rPr>
        <w:t>一、征收范围</w:t>
      </w:r>
    </w:p>
    <w:p w14:paraId="7D05F57A">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征收范围：征收面积为0.2424公顷，共涉及1个乡（镇）2个村民委员会6个村民小组，具体为建兴乡中寨村民委员会岔河村民小组、中寨村民小组、岩子脚村民小组、椎栗林村民小组、上哈乌村民小组；盘龙村民委员会上黑蟆塘村民小组。</w:t>
      </w:r>
    </w:p>
    <w:p w14:paraId="7780BF26">
      <w:pPr>
        <w:keepNext w:val="0"/>
        <w:keepLines w:val="0"/>
        <w:pageBreakBefore w:val="0"/>
        <w:kinsoku/>
        <w:overflowPunct/>
        <w:topLinePunct w:val="0"/>
        <w:autoSpaceDE/>
        <w:autoSpaceDN/>
        <w:bidi w:val="0"/>
        <w:adjustRightInd/>
        <w:snapToGrid/>
        <w:spacing w:line="590" w:lineRule="exact"/>
        <w:ind w:firstLine="640" w:firstLineChars="200"/>
        <w:rPr>
          <w:rFonts w:hint="default" w:ascii="方正黑体_GBK" w:hAnsi="方正黑体_GBK" w:eastAsia="方正黑体_GBK" w:cs="方正黑体_GBK"/>
          <w:sz w:val="32"/>
          <w:szCs w:val="20"/>
        </w:rPr>
      </w:pPr>
      <w:r>
        <w:rPr>
          <w:rFonts w:hint="default" w:ascii="方正黑体_GBK" w:hAnsi="方正黑体_GBK" w:eastAsia="方正黑体_GBK" w:cs="方正黑体_GBK"/>
          <w:sz w:val="32"/>
          <w:szCs w:val="20"/>
        </w:rPr>
        <w:t>二、土地现状</w:t>
      </w:r>
    </w:p>
    <w:p w14:paraId="09FF392A">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项目涉及新平县建兴乡中寨村民委员会岔河村民小组、中寨村民小组、岩子脚村民小组、椎栗林村民小组、上哈乌村民小组；盘龙村民委员会上黑蟆塘村民小组。共涉及1个乡（镇）2个村民委员会6个村民小组，土地总面积0.2424公顷。农用地0.2424公顷（不涉及旱地；园地0.0226公顷，林地0.2198公顷），不涉及建设用地和未利用地。</w:t>
      </w:r>
    </w:p>
    <w:p w14:paraId="55EF403F">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拟征收土地权属、地类、面积，以及其他</w:t>
      </w:r>
      <w:r>
        <w:rPr>
          <w:rFonts w:hint="default" w:ascii="Times New Roman" w:hAnsi="Times New Roman" w:eastAsia="方正仿宋_GBK" w:cs="Times New Roman"/>
          <w:color w:val="auto"/>
          <w:sz w:val="32"/>
          <w:szCs w:val="20"/>
          <w:lang w:val="en-US" w:eastAsia="zh-CN"/>
        </w:rPr>
        <w:fldChar w:fldCharType="begin"/>
      </w:r>
      <w:r>
        <w:rPr>
          <w:rFonts w:hint="default" w:ascii="Times New Roman" w:hAnsi="Times New Roman" w:eastAsia="方正仿宋_GBK" w:cs="Times New Roman"/>
          <w:color w:val="auto"/>
          <w:sz w:val="32"/>
          <w:szCs w:val="20"/>
          <w:lang w:val="en-US" w:eastAsia="zh-CN"/>
        </w:rPr>
        <w:instrText xml:space="preserve"> HYPERLINK "https://baike.baidu.com/item/%E5%9C%B0%E4%B8%8A%E9%99%84%E7%9D%80%E7%89%A9" \t "https://baike.baidu.com/item/%E5%BE%81%E7%94%A8%E5%9C%9F%E5%9C%B0%E5%85%AC%E5%91%8A%E5%8A%9E%E6%B3%95/_blank" </w:instrText>
      </w:r>
      <w:r>
        <w:rPr>
          <w:rFonts w:hint="default" w:ascii="Times New Roman" w:hAnsi="Times New Roman" w:eastAsia="方正仿宋_GBK" w:cs="Times New Roman"/>
          <w:color w:val="auto"/>
          <w:sz w:val="32"/>
          <w:szCs w:val="20"/>
          <w:lang w:val="en-US" w:eastAsia="zh-CN"/>
        </w:rPr>
        <w:fldChar w:fldCharType="separate"/>
      </w:r>
      <w:r>
        <w:rPr>
          <w:rFonts w:hint="default" w:ascii="Times New Roman" w:hAnsi="Times New Roman" w:eastAsia="方正仿宋_GBK" w:cs="Times New Roman"/>
          <w:color w:val="auto"/>
          <w:sz w:val="32"/>
          <w:szCs w:val="20"/>
          <w:lang w:val="en-US" w:eastAsia="zh-CN"/>
        </w:rPr>
        <w:t>地上附着物</w:t>
      </w:r>
      <w:r>
        <w:rPr>
          <w:rFonts w:hint="default" w:ascii="Times New Roman" w:hAnsi="Times New Roman" w:eastAsia="方正仿宋_GBK" w:cs="Times New Roman"/>
          <w:color w:val="auto"/>
          <w:sz w:val="32"/>
          <w:szCs w:val="20"/>
          <w:lang w:val="en-US" w:eastAsia="zh-CN"/>
        </w:rPr>
        <w:fldChar w:fldCharType="end"/>
      </w:r>
      <w:r>
        <w:rPr>
          <w:rFonts w:hint="default" w:ascii="Times New Roman" w:hAnsi="Times New Roman" w:eastAsia="方正仿宋_GBK" w:cs="Times New Roman"/>
          <w:color w:val="auto"/>
          <w:sz w:val="32"/>
          <w:szCs w:val="20"/>
          <w:lang w:val="en-US" w:eastAsia="zh-CN"/>
        </w:rPr>
        <w:t>和青苗等的权属、种类、数量等信息。详见《联兴风电场三期拟征收土地现状调查报告》。</w:t>
      </w:r>
    </w:p>
    <w:p w14:paraId="1CC76F77">
      <w:pPr>
        <w:keepNext w:val="0"/>
        <w:keepLines w:val="0"/>
        <w:pageBreakBefore w:val="0"/>
        <w:kinsoku/>
        <w:overflowPunct/>
        <w:topLinePunct w:val="0"/>
        <w:autoSpaceDE/>
        <w:autoSpaceDN/>
        <w:bidi w:val="0"/>
        <w:adjustRightInd/>
        <w:snapToGrid/>
        <w:spacing w:line="590" w:lineRule="exact"/>
        <w:ind w:firstLine="640" w:firstLineChars="200"/>
        <w:rPr>
          <w:rFonts w:hint="default" w:ascii="方正黑体_GBK" w:hAnsi="方正黑体_GBK" w:eastAsia="方正黑体_GBK" w:cs="方正黑体_GBK"/>
          <w:sz w:val="32"/>
          <w:szCs w:val="20"/>
        </w:rPr>
      </w:pPr>
      <w:r>
        <w:rPr>
          <w:rFonts w:hint="default" w:ascii="方正黑体_GBK" w:hAnsi="方正黑体_GBK" w:eastAsia="方正黑体_GBK" w:cs="方正黑体_GBK"/>
          <w:sz w:val="32"/>
          <w:szCs w:val="20"/>
        </w:rPr>
        <w:t>三、征收目的</w:t>
      </w:r>
      <w:bookmarkStart w:id="0" w:name="_GoBack"/>
      <w:bookmarkEnd w:id="0"/>
    </w:p>
    <w:p w14:paraId="2AAEC7BE">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本次拟征收土地拟用于联兴风电场三期项目，符合《中华人民共和国土地管理法》第四十五条中第二款由政府组织实施的能源基础设施建设需要用地的规定，可以征收土地的情形。</w:t>
      </w:r>
    </w:p>
    <w:p w14:paraId="64298BE2">
      <w:pPr>
        <w:keepNext w:val="0"/>
        <w:keepLines w:val="0"/>
        <w:pageBreakBefore w:val="0"/>
        <w:kinsoku/>
        <w:overflowPunct/>
        <w:topLinePunct w:val="0"/>
        <w:autoSpaceDE/>
        <w:autoSpaceDN/>
        <w:bidi w:val="0"/>
        <w:adjustRightInd/>
        <w:snapToGrid/>
        <w:spacing w:line="590" w:lineRule="exact"/>
        <w:ind w:firstLine="640" w:firstLineChars="200"/>
        <w:rPr>
          <w:rFonts w:hint="default" w:ascii="方正黑体_GBK" w:hAnsi="方正黑体_GBK" w:eastAsia="方正黑体_GBK" w:cs="方正黑体_GBK"/>
          <w:sz w:val="32"/>
          <w:szCs w:val="20"/>
        </w:rPr>
      </w:pPr>
      <w:r>
        <w:rPr>
          <w:rFonts w:hint="default" w:ascii="方正黑体_GBK" w:hAnsi="方正黑体_GBK" w:eastAsia="方正黑体_GBK" w:cs="方正黑体_GBK"/>
          <w:sz w:val="32"/>
          <w:szCs w:val="20"/>
        </w:rPr>
        <w:t>四、补偿</w:t>
      </w:r>
      <w:r>
        <w:rPr>
          <w:rFonts w:hint="default" w:ascii="方正黑体_GBK" w:hAnsi="方正黑体_GBK" w:eastAsia="方正黑体_GBK" w:cs="方正黑体_GBK"/>
          <w:sz w:val="32"/>
          <w:szCs w:val="20"/>
          <w:lang w:val="en-US" w:eastAsia="zh-CN"/>
        </w:rPr>
        <w:t>方式和</w:t>
      </w:r>
      <w:r>
        <w:rPr>
          <w:rFonts w:hint="default" w:ascii="方正黑体_GBK" w:hAnsi="方正黑体_GBK" w:eastAsia="方正黑体_GBK" w:cs="方正黑体_GBK"/>
          <w:sz w:val="32"/>
          <w:szCs w:val="20"/>
        </w:rPr>
        <w:t>标准</w:t>
      </w:r>
    </w:p>
    <w:p w14:paraId="6E65D09A">
      <w:pPr>
        <w:keepNext w:val="0"/>
        <w:keepLines w:val="0"/>
        <w:pageBreakBefore w:val="0"/>
        <w:kinsoku/>
        <w:overflowPunct/>
        <w:topLinePunct w:val="0"/>
        <w:autoSpaceDE/>
        <w:autoSpaceDN/>
        <w:bidi w:val="0"/>
        <w:adjustRightInd/>
        <w:snapToGrid/>
        <w:spacing w:line="590" w:lineRule="exact"/>
        <w:ind w:firstLine="640" w:firstLineChars="200"/>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sz w:val="32"/>
          <w:szCs w:val="20"/>
          <w:lang w:val="en-US" w:eastAsia="zh-CN"/>
        </w:rPr>
        <w:t>（一）补偿方式</w:t>
      </w:r>
    </w:p>
    <w:p w14:paraId="20C9032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采取社会保障补偿方式。</w:t>
      </w:r>
    </w:p>
    <w:p w14:paraId="06FEBE94">
      <w:pPr>
        <w:pStyle w:val="2"/>
        <w:keepNext w:val="0"/>
        <w:keepLines w:val="0"/>
        <w:pageBreakBefore w:val="0"/>
        <w:kinsoku/>
        <w:overflowPunct/>
        <w:topLinePunct w:val="0"/>
        <w:autoSpaceDE/>
        <w:autoSpaceDN/>
        <w:bidi w:val="0"/>
        <w:adjustRightInd/>
        <w:snapToGrid/>
        <w:spacing w:line="590" w:lineRule="exact"/>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sz w:val="32"/>
          <w:szCs w:val="20"/>
          <w:lang w:val="en-US" w:eastAsia="zh-CN"/>
        </w:rPr>
        <w:t>（二）补偿标准</w:t>
      </w:r>
    </w:p>
    <w:p w14:paraId="64EF4768">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1.土地征收补偿标准</w:t>
      </w:r>
    </w:p>
    <w:p w14:paraId="7EE151D4">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项目土地补偿标准按照《云南省自然资源厅关于公布实施2023年云南省征收农用地区片综合地价的通知》（云自然资〔2023〕169号）标准执行，本项目位于建兴乡中寨村民委员会和盘龙村民委员会，共涉及1个区片（Ⅲ类片区）。征地补偿标准详见表1：</w:t>
      </w:r>
    </w:p>
    <w:p w14:paraId="721B9B07">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20"/>
          <w:lang w:val="en-US" w:eastAsia="zh-CN"/>
        </w:rPr>
        <w:t>表1 项目区片综合地价征地补偿标准表</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6" w:type="dxa"/>
          <w:bottom w:w="0" w:type="dxa"/>
          <w:right w:w="6" w:type="dxa"/>
        </w:tblCellMar>
      </w:tblPr>
      <w:tblGrid>
        <w:gridCol w:w="852"/>
        <w:gridCol w:w="901"/>
        <w:gridCol w:w="1081"/>
        <w:gridCol w:w="512"/>
        <w:gridCol w:w="3244"/>
        <w:gridCol w:w="510"/>
        <w:gridCol w:w="1752"/>
      </w:tblGrid>
      <w:tr w14:paraId="15D5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trHeight w:val="840"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846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区片编号</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C21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区片标准（元/亩</w:t>
            </w:r>
          </w:p>
        </w:tc>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4C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土地补偿费、安置补助费比例</w:t>
            </w:r>
          </w:p>
        </w:tc>
        <w:tc>
          <w:tcPr>
            <w:tcW w:w="2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56E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地类名称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78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单位</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C05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补偿标准（元/亩）</w:t>
            </w:r>
          </w:p>
        </w:tc>
      </w:tr>
      <w:tr w14:paraId="02CD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trHeight w:val="330" w:hRule="atLeast"/>
        </w:trPr>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651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Ⅲ</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7F3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37800</w:t>
            </w:r>
          </w:p>
        </w:tc>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797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B57D05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农用地</w:t>
            </w: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FFE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水田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D61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亩</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385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56700</w:t>
            </w:r>
          </w:p>
        </w:tc>
      </w:tr>
      <w:tr w14:paraId="629C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trHeight w:val="280" w:hRule="atLeast"/>
        </w:trPr>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AD86">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3B61">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B56A">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4470377">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9CA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水浇地、旱地、园地、其他农用地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E6C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亩</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5E6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37800</w:t>
            </w:r>
          </w:p>
        </w:tc>
      </w:tr>
      <w:tr w14:paraId="52A8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6" w:type="dxa"/>
            <w:bottom w:w="0" w:type="dxa"/>
            <w:right w:w="6" w:type="dxa"/>
          </w:tblCellMar>
        </w:tblPrEx>
        <w:trPr>
          <w:trHeight w:val="280" w:hRule="atLeast"/>
        </w:trPr>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1E52">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F0CA">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DB23">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5A355DD">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494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林地、草地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555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亩</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9D9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11340</w:t>
            </w:r>
          </w:p>
        </w:tc>
      </w:tr>
      <w:tr w14:paraId="3855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280" w:hRule="atLeast"/>
        </w:trPr>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BE64">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312B">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E856">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960F1BB">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44B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集体建设用地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DA7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亩</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1B7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68040</w:t>
            </w:r>
          </w:p>
        </w:tc>
      </w:tr>
      <w:tr w14:paraId="0DAA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 w:type="dxa"/>
            <w:bottom w:w="0" w:type="dxa"/>
            <w:right w:w="6" w:type="dxa"/>
          </w:tblCellMar>
        </w:tblPrEx>
        <w:trPr>
          <w:trHeight w:val="280" w:hRule="atLeast"/>
        </w:trPr>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ABD0">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508A">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D389">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D7D30FB">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i w:val="0"/>
                <w:iCs w:val="0"/>
                <w:color w:val="000000"/>
                <w:sz w:val="21"/>
                <w:szCs w:val="21"/>
                <w:u w:val="none"/>
              </w:rPr>
            </w:pP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474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未利用地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EE7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亩</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34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11340</w:t>
            </w:r>
          </w:p>
        </w:tc>
      </w:tr>
    </w:tbl>
    <w:p w14:paraId="5557BCAB">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2.农村村民住宅、其他地上附着物和青苗补偿费</w:t>
      </w:r>
    </w:p>
    <w:p w14:paraId="6A3BE338">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本项目拟征收土地不涉及农村村民住宅和青苗补偿，涉及其他地上附着物补偿费按照《玉溪市人民政府关于公布玉溪市地上附着物和青苗补偿标准的通知》（玉政通〔2022〕2号）标准执行。</w:t>
      </w:r>
    </w:p>
    <w:p w14:paraId="18B3CAE1">
      <w:pPr>
        <w:keepNext w:val="0"/>
        <w:keepLines w:val="0"/>
        <w:pageBreakBefore w:val="0"/>
        <w:kinsoku/>
        <w:overflowPunct/>
        <w:topLinePunct w:val="0"/>
        <w:autoSpaceDE/>
        <w:autoSpaceDN/>
        <w:bidi w:val="0"/>
        <w:adjustRightInd/>
        <w:snapToGrid/>
        <w:spacing w:line="590" w:lineRule="exact"/>
        <w:ind w:firstLine="640" w:firstLineChars="200"/>
        <w:rPr>
          <w:rFonts w:hint="default" w:ascii="方正黑体_GBK" w:hAnsi="方正黑体_GBK" w:eastAsia="方正黑体_GBK" w:cs="方正黑体_GBK"/>
          <w:sz w:val="32"/>
          <w:szCs w:val="20"/>
          <w:lang w:val="en-US" w:eastAsia="zh-CN"/>
        </w:rPr>
      </w:pPr>
      <w:r>
        <w:rPr>
          <w:rFonts w:hint="default" w:ascii="方正黑体_GBK" w:hAnsi="方正黑体_GBK" w:eastAsia="方正黑体_GBK" w:cs="方正黑体_GBK"/>
          <w:sz w:val="32"/>
          <w:szCs w:val="20"/>
          <w:lang w:val="en-US" w:eastAsia="zh-CN"/>
        </w:rPr>
        <w:t>五、</w:t>
      </w:r>
      <w:r>
        <w:rPr>
          <w:rFonts w:hint="default" w:ascii="方正黑体_GBK" w:hAnsi="方正黑体_GBK" w:eastAsia="方正黑体_GBK" w:cs="方正黑体_GBK"/>
          <w:sz w:val="32"/>
          <w:szCs w:val="20"/>
        </w:rPr>
        <w:t>安置</w:t>
      </w:r>
      <w:r>
        <w:rPr>
          <w:rFonts w:hint="default" w:ascii="方正黑体_GBK" w:hAnsi="方正黑体_GBK" w:eastAsia="方正黑体_GBK" w:cs="方正黑体_GBK"/>
          <w:sz w:val="32"/>
          <w:szCs w:val="20"/>
          <w:lang w:val="en-US" w:eastAsia="zh-CN"/>
        </w:rPr>
        <w:t>对象</w:t>
      </w:r>
    </w:p>
    <w:p w14:paraId="748D1904">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该项目用地不涉及被征地农民个人，无需安置农业人口。</w:t>
      </w:r>
    </w:p>
    <w:p w14:paraId="2189D768">
      <w:pPr>
        <w:keepNext w:val="0"/>
        <w:keepLines w:val="0"/>
        <w:pageBreakBefore w:val="0"/>
        <w:kinsoku/>
        <w:overflowPunct/>
        <w:topLinePunct w:val="0"/>
        <w:autoSpaceDE/>
        <w:autoSpaceDN/>
        <w:bidi w:val="0"/>
        <w:adjustRightInd/>
        <w:snapToGrid/>
        <w:spacing w:line="590" w:lineRule="exact"/>
        <w:ind w:firstLine="640" w:firstLineChars="200"/>
        <w:rPr>
          <w:rFonts w:hint="default" w:ascii="方正黑体_GBK" w:hAnsi="方正黑体_GBK" w:eastAsia="方正黑体_GBK" w:cs="方正黑体_GBK"/>
          <w:sz w:val="32"/>
          <w:szCs w:val="20"/>
          <w:lang w:val="en-US" w:eastAsia="zh-CN"/>
        </w:rPr>
      </w:pPr>
      <w:r>
        <w:rPr>
          <w:rFonts w:hint="default" w:ascii="方正黑体_GBK" w:hAnsi="方正黑体_GBK" w:eastAsia="方正黑体_GBK" w:cs="方正黑体_GBK"/>
          <w:sz w:val="32"/>
          <w:szCs w:val="20"/>
          <w:lang w:val="en-US" w:eastAsia="zh-CN"/>
        </w:rPr>
        <w:t>六、安置方式</w:t>
      </w:r>
    </w:p>
    <w:p w14:paraId="58789558">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szCs w:val="20"/>
          <w:lang w:val="en-US" w:eastAsia="zh-CN"/>
        </w:rPr>
        <w:t>该项目征收土地未涉及被征地农民个人，无需安置农业人口。</w:t>
      </w:r>
    </w:p>
    <w:p w14:paraId="0115CB6E">
      <w:pPr>
        <w:keepNext w:val="0"/>
        <w:keepLines w:val="0"/>
        <w:pageBreakBefore w:val="0"/>
        <w:kinsoku/>
        <w:overflowPunct/>
        <w:topLinePunct w:val="0"/>
        <w:autoSpaceDE/>
        <w:autoSpaceDN/>
        <w:bidi w:val="0"/>
        <w:adjustRightInd/>
        <w:snapToGrid/>
        <w:spacing w:line="590" w:lineRule="exact"/>
        <w:ind w:firstLine="640" w:firstLineChars="200"/>
        <w:rPr>
          <w:rFonts w:hint="default" w:ascii="方正黑体_GBK" w:hAnsi="方正黑体_GBK" w:eastAsia="方正黑体_GBK" w:cs="方正黑体_GBK"/>
          <w:sz w:val="32"/>
          <w:szCs w:val="20"/>
          <w:lang w:val="en-US" w:eastAsia="zh-CN"/>
        </w:rPr>
      </w:pPr>
      <w:r>
        <w:rPr>
          <w:rFonts w:hint="default" w:ascii="方正黑体_GBK" w:hAnsi="方正黑体_GBK" w:eastAsia="方正黑体_GBK" w:cs="方正黑体_GBK"/>
          <w:sz w:val="32"/>
          <w:szCs w:val="20"/>
          <w:lang w:val="en-US" w:eastAsia="zh-CN"/>
        </w:rPr>
        <w:t>七、社会保障</w:t>
      </w:r>
    </w:p>
    <w:p w14:paraId="50534961">
      <w:pPr>
        <w:keepNext w:val="0"/>
        <w:keepLines w:val="0"/>
        <w:pageBreakBefore w:val="0"/>
        <w:kinsoku/>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sz w:val="32"/>
          <w:szCs w:val="20"/>
          <w:lang w:eastAsia="zh-CN"/>
        </w:rPr>
      </w:pPr>
      <w:r>
        <w:rPr>
          <w:rFonts w:hint="default" w:ascii="Times New Roman" w:hAnsi="Times New Roman" w:eastAsia="方正仿宋_GBK" w:cs="Times New Roman"/>
          <w:sz w:val="32"/>
          <w:szCs w:val="20"/>
          <w:lang w:eastAsia="zh-CN"/>
        </w:rPr>
        <w:t>根据《云南省人民政府关于印发云南省被征地农民基本养老保障试行办法的通知》（云政发〔2008〕226号）、《云南省人民政府办公厅关于改革完善被征地农民基本养老保障的指导意见》（云政办发〔2019〕1号）的精神，已按“先保后征”要求落实被征地农民社会保障资金，专项用于被征地农民的基本养老保障，并按有关规定要求将符合条件的被征地农民纳入社会保障体系，保障被征地农民原有生活水平不降低，长远生计有保障。。</w:t>
      </w:r>
    </w:p>
    <w:p w14:paraId="27817922">
      <w:pPr>
        <w:keepNext w:val="0"/>
        <w:keepLines w:val="0"/>
        <w:pageBreakBefore w:val="0"/>
        <w:kinsoku/>
        <w:overflowPunct/>
        <w:topLinePunct w:val="0"/>
        <w:autoSpaceDE/>
        <w:autoSpaceDN/>
        <w:bidi w:val="0"/>
        <w:adjustRightInd/>
        <w:snapToGrid/>
        <w:spacing w:line="590" w:lineRule="exact"/>
        <w:ind w:firstLine="600" w:firstLineChars="200"/>
        <w:jc w:val="left"/>
        <w:rPr>
          <w:rFonts w:hint="default" w:ascii="Times New Roman" w:hAnsi="Times New Roman" w:eastAsia="方正仿宋_GBK" w:cs="Times New Roman"/>
          <w:sz w:val="30"/>
          <w:szCs w:val="30"/>
        </w:rPr>
      </w:pPr>
    </w:p>
    <w:p w14:paraId="375B09E2">
      <w:pPr>
        <w:keepNext w:val="0"/>
        <w:keepLines w:val="0"/>
        <w:pageBreakBefore w:val="0"/>
        <w:kinsoku/>
        <w:overflowPunct/>
        <w:topLinePunct w:val="0"/>
        <w:autoSpaceDE/>
        <w:autoSpaceDN/>
        <w:bidi w:val="0"/>
        <w:adjustRightInd/>
        <w:snapToGrid/>
        <w:spacing w:line="590" w:lineRule="exact"/>
        <w:ind w:firstLine="640" w:firstLineChars="200"/>
        <w:jc w:val="right"/>
        <w:rPr>
          <w:rFonts w:hint="default" w:ascii="Times New Roman" w:hAnsi="Times New Roman" w:eastAsia="方正仿宋_GBK" w:cs="Times New Roman"/>
          <w:sz w:val="32"/>
          <w:szCs w:val="20"/>
          <w:lang w:val="en-US" w:eastAsia="zh-CN"/>
        </w:rPr>
      </w:pPr>
    </w:p>
    <w:p w14:paraId="70121288">
      <w:pPr>
        <w:keepNext w:val="0"/>
        <w:keepLines w:val="0"/>
        <w:pageBreakBefore w:val="0"/>
        <w:kinsoku/>
        <w:overflowPunct/>
        <w:topLinePunct w:val="0"/>
        <w:autoSpaceDE/>
        <w:autoSpaceDN/>
        <w:bidi w:val="0"/>
        <w:adjustRightInd/>
        <w:snapToGrid/>
        <w:spacing w:line="590" w:lineRule="exact"/>
        <w:ind w:firstLine="640" w:firstLineChars="200"/>
        <w:jc w:val="right"/>
        <w:rPr>
          <w:rFonts w:hint="default" w:ascii="Times New Roman" w:hAnsi="Times New Roman" w:eastAsia="方正仿宋_GBK" w:cs="Times New Roman"/>
          <w:sz w:val="32"/>
          <w:szCs w:val="20"/>
          <w:lang w:val="en-US" w:eastAsia="zh-CN"/>
        </w:rPr>
      </w:pPr>
    </w:p>
    <w:p w14:paraId="7AE4DF83">
      <w:pPr>
        <w:keepNext w:val="0"/>
        <w:keepLines w:val="0"/>
        <w:pageBreakBefore w:val="0"/>
        <w:kinsoku/>
        <w:overflowPunct/>
        <w:topLinePunct w:val="0"/>
        <w:autoSpaceDE/>
        <w:autoSpaceDN/>
        <w:bidi w:val="0"/>
        <w:adjustRightInd/>
        <w:snapToGrid/>
        <w:spacing w:line="590" w:lineRule="exact"/>
        <w:ind w:firstLine="640" w:firstLineChars="200"/>
        <w:jc w:val="righ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新平彝族傣族自治县</w:t>
      </w:r>
      <w:r>
        <w:rPr>
          <w:rFonts w:hint="default" w:ascii="Times New Roman" w:hAnsi="Times New Roman" w:eastAsia="方正仿宋_GBK" w:cs="Times New Roman"/>
          <w:sz w:val="32"/>
          <w:szCs w:val="20"/>
        </w:rPr>
        <w:t>人民政府</w:t>
      </w:r>
    </w:p>
    <w:p w14:paraId="5BE22016">
      <w:pPr>
        <w:keepNext w:val="0"/>
        <w:keepLines w:val="0"/>
        <w:pageBreakBefore w:val="0"/>
        <w:kinsoku/>
        <w:wordWrap w:val="0"/>
        <w:overflowPunct/>
        <w:topLinePunct w:val="0"/>
        <w:autoSpaceDE/>
        <w:autoSpaceDN/>
        <w:bidi w:val="0"/>
        <w:adjustRightInd/>
        <w:snapToGrid/>
        <w:spacing w:line="590" w:lineRule="exact"/>
        <w:ind w:firstLine="640" w:firstLineChars="200"/>
        <w:jc w:val="right"/>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2025</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16</w:t>
      </w:r>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val="en-US" w:eastAsia="zh-CN"/>
        </w:rPr>
        <w:t xml:space="preserve">    </w:t>
      </w:r>
    </w:p>
    <w:sectPr>
      <w:footerReference r:id="rId3" w:type="default"/>
      <w:footerReference r:id="rId4" w:type="even"/>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B32BC5DF-2A4D-4324-8F02-4D53C2DD2112}"/>
  </w:font>
  <w:font w:name="方正仿宋_GBK">
    <w:panose1 w:val="03000509000000000000"/>
    <w:charset w:val="86"/>
    <w:family w:val="script"/>
    <w:pitch w:val="default"/>
    <w:sig w:usb0="00000001" w:usb1="080E0000" w:usb2="00000000" w:usb3="00000000" w:csb0="00040000" w:csb1="00000000"/>
    <w:embedRegular r:id="rId2" w:fontKey="{5F1EFD8F-0F1A-4996-9624-021236695C08}"/>
  </w:font>
  <w:font w:name="方正黑体_GBK">
    <w:panose1 w:val="03000509000000000000"/>
    <w:charset w:val="86"/>
    <w:family w:val="script"/>
    <w:pitch w:val="default"/>
    <w:sig w:usb0="00000001" w:usb1="080E0000" w:usb2="00000000" w:usb3="00000000" w:csb0="00040000" w:csb1="00000000"/>
    <w:embedRegular r:id="rId3" w:fontKey="{123B5FA8-E9BB-436B-BB22-B659940EF5FE}"/>
  </w:font>
  <w:font w:name="方正楷体_GBK">
    <w:panose1 w:val="03000509000000000000"/>
    <w:charset w:val="86"/>
    <w:family w:val="auto"/>
    <w:pitch w:val="default"/>
    <w:sig w:usb0="00000001" w:usb1="080E0000" w:usb2="00000000" w:usb3="00000000" w:csb0="00040000" w:csb1="00000000"/>
    <w:embedRegular r:id="rId4" w:fontKey="{E8279520-6984-4538-818F-41624000EF47}"/>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60BE">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8735442">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9BEEF">
    <w:pPr>
      <w:pStyle w:val="4"/>
    </w:pP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C4FCA7B">
                <w:pPr>
                  <w:pStyle w:val="4"/>
                  <w:rPr>
                    <w:rFonts w:hint="default" w:ascii="Times New Roman" w:hAnsi="Times New Roman" w:eastAsia="方正仿宋_GBK" w:cs="Times New Roman"/>
                    <w:sz w:val="32"/>
                    <w:szCs w:val="32"/>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M0ZGM0ODMzZjg5YmQxNGEzNDQ2MzQ5YjY2YzliZTQifQ=="/>
  </w:docVars>
  <w:rsids>
    <w:rsidRoot w:val="0078153A"/>
    <w:rsid w:val="00003080"/>
    <w:rsid w:val="00003EA6"/>
    <w:rsid w:val="00033599"/>
    <w:rsid w:val="000476BC"/>
    <w:rsid w:val="000620C1"/>
    <w:rsid w:val="00085AE0"/>
    <w:rsid w:val="000B5118"/>
    <w:rsid w:val="00102433"/>
    <w:rsid w:val="00124731"/>
    <w:rsid w:val="00166BAA"/>
    <w:rsid w:val="001722DB"/>
    <w:rsid w:val="001A0C0F"/>
    <w:rsid w:val="001E4B18"/>
    <w:rsid w:val="001F5BB4"/>
    <w:rsid w:val="00216C4C"/>
    <w:rsid w:val="00247438"/>
    <w:rsid w:val="00250B78"/>
    <w:rsid w:val="002609DA"/>
    <w:rsid w:val="002742EB"/>
    <w:rsid w:val="00287A60"/>
    <w:rsid w:val="002944E5"/>
    <w:rsid w:val="002A299D"/>
    <w:rsid w:val="002B175D"/>
    <w:rsid w:val="003034C1"/>
    <w:rsid w:val="003246C6"/>
    <w:rsid w:val="00346A99"/>
    <w:rsid w:val="00351AE3"/>
    <w:rsid w:val="00363893"/>
    <w:rsid w:val="00367E96"/>
    <w:rsid w:val="003A07A2"/>
    <w:rsid w:val="003A76F6"/>
    <w:rsid w:val="003E7962"/>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42F62"/>
    <w:rsid w:val="00661034"/>
    <w:rsid w:val="006659C8"/>
    <w:rsid w:val="00670579"/>
    <w:rsid w:val="00722BED"/>
    <w:rsid w:val="00730799"/>
    <w:rsid w:val="00736432"/>
    <w:rsid w:val="00743DFB"/>
    <w:rsid w:val="00765432"/>
    <w:rsid w:val="0078153A"/>
    <w:rsid w:val="007A16A1"/>
    <w:rsid w:val="007C03D4"/>
    <w:rsid w:val="007C08A0"/>
    <w:rsid w:val="00802D2C"/>
    <w:rsid w:val="00811154"/>
    <w:rsid w:val="008D45ED"/>
    <w:rsid w:val="008E31E3"/>
    <w:rsid w:val="008F0802"/>
    <w:rsid w:val="008F79A9"/>
    <w:rsid w:val="00912A60"/>
    <w:rsid w:val="00914EE3"/>
    <w:rsid w:val="00966B7C"/>
    <w:rsid w:val="00976E46"/>
    <w:rsid w:val="009A421B"/>
    <w:rsid w:val="009A6B3D"/>
    <w:rsid w:val="009C05D0"/>
    <w:rsid w:val="009C0F85"/>
    <w:rsid w:val="009C2CB5"/>
    <w:rsid w:val="009D70E7"/>
    <w:rsid w:val="009F6BB0"/>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46286"/>
    <w:rsid w:val="00B66F88"/>
    <w:rsid w:val="00BA75EB"/>
    <w:rsid w:val="00BD01D6"/>
    <w:rsid w:val="00BD4A40"/>
    <w:rsid w:val="00BD5886"/>
    <w:rsid w:val="00BE1981"/>
    <w:rsid w:val="00BF1F63"/>
    <w:rsid w:val="00C00317"/>
    <w:rsid w:val="00C13379"/>
    <w:rsid w:val="00C13AD2"/>
    <w:rsid w:val="00C50DB4"/>
    <w:rsid w:val="00C867F2"/>
    <w:rsid w:val="00C94ED7"/>
    <w:rsid w:val="00C967AB"/>
    <w:rsid w:val="00CD17C5"/>
    <w:rsid w:val="00D32627"/>
    <w:rsid w:val="00D36697"/>
    <w:rsid w:val="00D56EF4"/>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84583"/>
    <w:rsid w:val="00FB3E4C"/>
    <w:rsid w:val="00FB77CF"/>
    <w:rsid w:val="00FD22B3"/>
    <w:rsid w:val="06066C05"/>
    <w:rsid w:val="08FA5184"/>
    <w:rsid w:val="0C285C6C"/>
    <w:rsid w:val="0CC7352F"/>
    <w:rsid w:val="0EBC2DEE"/>
    <w:rsid w:val="186634AC"/>
    <w:rsid w:val="19847DE1"/>
    <w:rsid w:val="19BA4877"/>
    <w:rsid w:val="1B315511"/>
    <w:rsid w:val="1F4874B7"/>
    <w:rsid w:val="23723C25"/>
    <w:rsid w:val="259108E0"/>
    <w:rsid w:val="265D53B6"/>
    <w:rsid w:val="27947DA4"/>
    <w:rsid w:val="28D63AC3"/>
    <w:rsid w:val="2CC71AD8"/>
    <w:rsid w:val="30221577"/>
    <w:rsid w:val="308570DA"/>
    <w:rsid w:val="33486D9F"/>
    <w:rsid w:val="33650A06"/>
    <w:rsid w:val="353F5AA9"/>
    <w:rsid w:val="360016DD"/>
    <w:rsid w:val="360769AF"/>
    <w:rsid w:val="393A0D68"/>
    <w:rsid w:val="39CE1B14"/>
    <w:rsid w:val="3B1D11F0"/>
    <w:rsid w:val="3B321471"/>
    <w:rsid w:val="40C260EC"/>
    <w:rsid w:val="431D2EA3"/>
    <w:rsid w:val="46594069"/>
    <w:rsid w:val="47AC3472"/>
    <w:rsid w:val="4FFE6E94"/>
    <w:rsid w:val="501155B2"/>
    <w:rsid w:val="50EC50EB"/>
    <w:rsid w:val="521B7680"/>
    <w:rsid w:val="57EF0D76"/>
    <w:rsid w:val="59B24D23"/>
    <w:rsid w:val="5E1847C8"/>
    <w:rsid w:val="67730B6B"/>
    <w:rsid w:val="6B3B167F"/>
    <w:rsid w:val="71873C57"/>
    <w:rsid w:val="731A725D"/>
    <w:rsid w:val="7479322E"/>
    <w:rsid w:val="760F57F1"/>
    <w:rsid w:val="7B7B54FD"/>
    <w:rsid w:val="7CE12E0E"/>
    <w:rsid w:val="7D4078A9"/>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unhideWhenUsed/>
    <w:qFormat/>
    <w:uiPriority w:val="99"/>
    <w:pPr>
      <w:ind w:firstLine="420" w:firstLineChars="200"/>
    </w:pPr>
    <w:rPr>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kern w:val="2"/>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3</Pages>
  <Words>1165</Words>
  <Characters>1241</Characters>
  <Lines>5</Lines>
  <Paragraphs>1</Paragraphs>
  <TotalTime>38</TotalTime>
  <ScaleCrop>false</ScaleCrop>
  <LinksUpToDate>false</LinksUpToDate>
  <CharactersWithSpaces>1246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久了，久了就旧了</cp:lastModifiedBy>
  <dcterms:modified xsi:type="dcterms:W3CDTF">2025-04-10T05:13:10Z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4F51AD3AAEB64EFD87D219F341FC55C5</vt:lpwstr>
  </property>
  <property fmtid="{D5CDD505-2E9C-101B-9397-08002B2CF9AE}" pid="4" name="KSOTemplateDocerSaveRecord">
    <vt:lpwstr>eyJoZGlkIjoiY2QwNmEzOTA5YTI0ODUwN2Q1YmNjZWFkMjRlOWQ1ZTkiLCJ1c2VySWQiOiIyNTEwMjgzOTMifQ==</vt:lpwstr>
  </property>
</Properties>
</file>