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F00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rFonts w:hint="eastAsia" w:ascii="宋体" w:hAnsi="宋体" w:eastAsia="宋体" w:cs="宋体"/>
          <w:sz w:val="32"/>
          <w:szCs w:val="32"/>
          <w:lang w:eastAsia="zh-CN"/>
        </w:rPr>
      </w:pPr>
      <w:r>
        <w:rPr>
          <w:rFonts w:hint="eastAsia" w:ascii="宋体" w:hAnsi="宋体" w:eastAsia="宋体" w:cs="宋体"/>
          <w:b/>
          <w:i w:val="0"/>
          <w:caps w:val="0"/>
          <w:color w:val="333333"/>
          <w:spacing w:val="0"/>
          <w:sz w:val="36"/>
          <w:szCs w:val="36"/>
          <w:lang w:val="en-US" w:eastAsia="zh-CN"/>
        </w:rPr>
        <w:t>新平县投资促进局</w:t>
      </w:r>
      <w:r>
        <w:rPr>
          <w:rFonts w:hint="eastAsia" w:ascii="宋体" w:hAnsi="宋体" w:eastAsia="宋体" w:cs="宋体"/>
          <w:b/>
          <w:i w:val="0"/>
          <w:caps w:val="0"/>
          <w:color w:val="333333"/>
          <w:spacing w:val="0"/>
          <w:sz w:val="36"/>
          <w:szCs w:val="36"/>
          <w:lang w:val="en-US" w:eastAsia="zh-CN"/>
        </w:rPr>
        <w:t>202</w:t>
      </w:r>
      <w:r>
        <w:rPr>
          <w:rFonts w:hint="eastAsia" w:ascii="宋体" w:hAnsi="宋体" w:eastAsia="宋体" w:cs="宋体"/>
          <w:b/>
          <w:i w:val="0"/>
          <w:caps w:val="0"/>
          <w:color w:val="333333"/>
          <w:spacing w:val="0"/>
          <w:sz w:val="36"/>
          <w:szCs w:val="36"/>
          <w:lang w:val="en-US" w:eastAsia="zh-CN"/>
        </w:rPr>
        <w:t>5</w:t>
      </w:r>
      <w:r>
        <w:rPr>
          <w:rFonts w:hint="eastAsia" w:ascii="宋体" w:hAnsi="宋体" w:eastAsia="宋体" w:cs="宋体"/>
          <w:b/>
          <w:i w:val="0"/>
          <w:caps w:val="0"/>
          <w:color w:val="333333"/>
          <w:spacing w:val="0"/>
          <w:sz w:val="36"/>
          <w:szCs w:val="36"/>
          <w:lang w:val="en-US" w:eastAsia="zh-CN"/>
        </w:rPr>
        <w:t>年</w:t>
      </w:r>
      <w:r>
        <w:rPr>
          <w:rFonts w:hint="eastAsia" w:ascii="宋体" w:hAnsi="宋体" w:eastAsia="宋体" w:cs="宋体"/>
          <w:b/>
          <w:i w:val="0"/>
          <w:caps w:val="0"/>
          <w:color w:val="333333"/>
          <w:spacing w:val="0"/>
          <w:sz w:val="36"/>
          <w:szCs w:val="36"/>
        </w:rPr>
        <w:t>政府信息公开工作年度报告</w:t>
      </w:r>
    </w:p>
    <w:p w14:paraId="7C0F20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p>
    <w:p w14:paraId="1CD998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一、总体情况</w:t>
      </w:r>
    </w:p>
    <w:p w14:paraId="6D32C7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default" w:ascii="宋体" w:hAnsi="宋体" w:cs="宋体"/>
          <w:i w:val="0"/>
          <w:caps w:val="0"/>
          <w:color w:val="333333"/>
          <w:spacing w:val="0"/>
          <w:sz w:val="24"/>
          <w:szCs w:val="24"/>
          <w:lang w:val="en-US" w:eastAsia="zh-CN"/>
        </w:rPr>
      </w:pPr>
      <w:r>
        <w:rPr>
          <w:rFonts w:hint="eastAsia" w:ascii="宋体" w:hAnsi="宋体" w:cs="宋体"/>
          <w:i w:val="0"/>
          <w:caps w:val="0"/>
          <w:color w:val="333333"/>
          <w:spacing w:val="0"/>
          <w:sz w:val="24"/>
          <w:szCs w:val="24"/>
          <w:lang w:val="en-US" w:eastAsia="zh-CN"/>
        </w:rPr>
        <w:t>2025年，新平县投资促进局坚持以习近平新时代中国特色社会主义思想为指导，深入贯彻党的二十大和二十届历次全会精神，坚持“以人民为中心”的发展思想，严格落实《中华人民共和国政府信息公开条例》及省、市、县关于政府信息公开工作的各项部署要求，将政府信息公开纳入全局重要议事日程，加强组织领导，完善工作机制，拓宽公开渠道，强化内容保障。全年围绕投资促进核心业务，聚焦工作动态、重点项目、政务服务等重点领域，规范公开流程，丰富公开形式，主动公开各类政府信息，积极回应社会关切，切实保障人民群众的知情权、参与权、表达权和监督权，推动全局政府信息公开工作规范有序、扎实有效开展。</w:t>
      </w:r>
    </w:p>
    <w:p w14:paraId="1A188198">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cs="宋体"/>
          <w:i w:val="0"/>
          <w:caps w:val="0"/>
          <w:color w:val="333333"/>
          <w:spacing w:val="0"/>
          <w:sz w:val="24"/>
          <w:szCs w:val="24"/>
          <w:lang w:val="en-US" w:eastAsia="zh-CN"/>
        </w:rPr>
      </w:pPr>
      <w:r>
        <w:rPr>
          <w:rFonts w:hint="eastAsia" w:ascii="宋体" w:hAnsi="宋体" w:cs="宋体"/>
          <w:i w:val="0"/>
          <w:caps w:val="0"/>
          <w:color w:val="333333"/>
          <w:spacing w:val="0"/>
          <w:sz w:val="24"/>
          <w:szCs w:val="24"/>
          <w:lang w:val="en-US" w:eastAsia="zh-CN"/>
        </w:rPr>
        <w:t>主动公开方面</w:t>
      </w:r>
    </w:p>
    <w:p w14:paraId="43D1587C">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right="0" w:rightChars="0" w:firstLine="480" w:firstLineChars="200"/>
        <w:jc w:val="both"/>
        <w:rPr>
          <w:rFonts w:hint="default" w:ascii="宋体" w:hAnsi="宋体" w:eastAsia="宋体" w:cs="宋体"/>
          <w:i w:val="0"/>
          <w:caps w:val="0"/>
          <w:color w:val="333333"/>
          <w:spacing w:val="0"/>
          <w:sz w:val="24"/>
          <w:szCs w:val="24"/>
          <w:lang w:val="en-US" w:eastAsia="zh-CN"/>
        </w:rPr>
      </w:pPr>
      <w:r>
        <w:rPr>
          <w:rFonts w:hint="eastAsia" w:ascii="宋体" w:hAnsi="宋体" w:cs="宋体"/>
          <w:i w:val="0"/>
          <w:caps w:val="0"/>
          <w:color w:val="333333"/>
          <w:spacing w:val="0"/>
          <w:sz w:val="24"/>
          <w:szCs w:val="24"/>
          <w:lang w:val="en-US" w:eastAsia="zh-CN"/>
        </w:rPr>
        <w:t>2025年，县投资促进局在新平县政务公开网站共发布转载信息44条，依法对局工作动态、</w:t>
      </w:r>
      <w:bookmarkStart w:id="0" w:name="_GoBack"/>
      <w:bookmarkEnd w:id="0"/>
      <w:r>
        <w:rPr>
          <w:rFonts w:hint="eastAsia" w:ascii="宋体" w:hAnsi="宋体" w:cs="宋体"/>
          <w:i w:val="0"/>
          <w:caps w:val="0"/>
          <w:color w:val="333333"/>
          <w:spacing w:val="0"/>
          <w:sz w:val="24"/>
          <w:szCs w:val="24"/>
          <w:lang w:val="en-US" w:eastAsia="zh-CN"/>
        </w:rPr>
        <w:t>领导职务调整、</w:t>
      </w:r>
      <w:r>
        <w:rPr>
          <w:rFonts w:hint="eastAsia" w:ascii="宋体" w:hAnsi="宋体" w:cs="宋体"/>
          <w:i w:val="0"/>
          <w:iCs w:val="0"/>
          <w:caps w:val="0"/>
          <w:color w:val="000000"/>
          <w:spacing w:val="0"/>
          <w:sz w:val="24"/>
          <w:szCs w:val="24"/>
          <w:u w:val="none"/>
          <w:shd w:val="clear" w:fill="FFFFFF"/>
          <w:lang w:val="en-US" w:eastAsia="zh-CN"/>
        </w:rPr>
        <w:t>招商引资项目储备、招商引资成效运行分析、</w:t>
      </w:r>
      <w:r>
        <w:rPr>
          <w:rFonts w:hint="eastAsia" w:ascii="宋体" w:hAnsi="宋体" w:eastAsia="宋体" w:cs="宋体"/>
          <w:i w:val="0"/>
          <w:iCs w:val="0"/>
          <w:caps w:val="0"/>
          <w:color w:val="000000"/>
          <w:spacing w:val="0"/>
          <w:sz w:val="24"/>
          <w:szCs w:val="24"/>
          <w:u w:val="none"/>
          <w:shd w:val="clear" w:fill="FFFFFF"/>
        </w:rPr>
        <w:t>财政预算、决算信息</w:t>
      </w:r>
      <w:r>
        <w:rPr>
          <w:rFonts w:hint="eastAsia" w:ascii="宋体" w:hAnsi="宋体" w:cs="宋体"/>
          <w:i w:val="0"/>
          <w:iCs w:val="0"/>
          <w:caps w:val="0"/>
          <w:color w:val="000000"/>
          <w:spacing w:val="0"/>
          <w:sz w:val="24"/>
          <w:szCs w:val="24"/>
          <w:u w:val="none"/>
          <w:shd w:val="clear" w:fill="FFFFFF"/>
          <w:lang w:eastAsia="zh-CN"/>
        </w:rPr>
        <w:t>、</w:t>
      </w:r>
      <w:r>
        <w:rPr>
          <w:rFonts w:hint="eastAsia" w:ascii="宋体" w:hAnsi="宋体" w:cs="宋体"/>
          <w:i w:val="0"/>
          <w:iCs w:val="0"/>
          <w:caps w:val="0"/>
          <w:color w:val="000000"/>
          <w:spacing w:val="0"/>
          <w:sz w:val="24"/>
          <w:szCs w:val="24"/>
          <w:u w:val="none"/>
          <w:shd w:val="clear" w:fill="FFFFFF"/>
          <w:lang w:val="en-US" w:eastAsia="zh-CN"/>
        </w:rPr>
        <w:t>公益性岗位招聘等内容主动公开，并按照上级行政机关的部署，不断增加主动公开的内容。</w:t>
      </w:r>
    </w:p>
    <w:p w14:paraId="471C77E4">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default" w:ascii="宋体" w:hAnsi="宋体" w:cs="宋体"/>
          <w:i w:val="0"/>
          <w:caps w:val="0"/>
          <w:color w:val="333333"/>
          <w:spacing w:val="0"/>
          <w:sz w:val="24"/>
          <w:szCs w:val="24"/>
          <w:lang w:val="en-US" w:eastAsia="zh-CN"/>
        </w:rPr>
      </w:pPr>
      <w:r>
        <w:rPr>
          <w:rFonts w:hint="eastAsia" w:ascii="宋体" w:hAnsi="宋体" w:cs="宋体"/>
          <w:i w:val="0"/>
          <w:caps w:val="0"/>
          <w:color w:val="333333"/>
          <w:spacing w:val="0"/>
          <w:sz w:val="24"/>
          <w:szCs w:val="24"/>
          <w:lang w:val="en-US" w:eastAsia="zh-CN"/>
        </w:rPr>
        <w:t>依申请公开方面</w:t>
      </w:r>
    </w:p>
    <w:p w14:paraId="138C8342">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right="0" w:rightChars="0" w:firstLine="480" w:firstLineChars="200"/>
        <w:jc w:val="both"/>
        <w:rPr>
          <w:rFonts w:hint="default" w:ascii="宋体" w:hAnsi="宋体" w:cs="宋体"/>
          <w:i w:val="0"/>
          <w:caps w:val="0"/>
          <w:color w:val="333333"/>
          <w:spacing w:val="0"/>
          <w:sz w:val="24"/>
          <w:szCs w:val="24"/>
          <w:lang w:val="en-US" w:eastAsia="zh-CN"/>
        </w:rPr>
      </w:pPr>
      <w:r>
        <w:rPr>
          <w:rFonts w:hint="eastAsia" w:ascii="宋体" w:hAnsi="宋体" w:cs="宋体"/>
          <w:i w:val="0"/>
          <w:caps w:val="0"/>
          <w:color w:val="333333"/>
          <w:spacing w:val="0"/>
          <w:sz w:val="24"/>
          <w:szCs w:val="24"/>
          <w:lang w:val="en-US" w:eastAsia="zh-CN"/>
        </w:rPr>
        <w:t>畅通</w:t>
      </w:r>
      <w:r>
        <w:rPr>
          <w:rFonts w:hint="default" w:ascii="宋体" w:hAnsi="宋体" w:cs="宋体"/>
          <w:i w:val="0"/>
          <w:caps w:val="0"/>
          <w:color w:val="333333"/>
          <w:spacing w:val="0"/>
          <w:sz w:val="24"/>
          <w:szCs w:val="24"/>
          <w:lang w:val="en-US" w:eastAsia="zh-CN"/>
        </w:rPr>
        <w:t>政府信息公开申请渠道</w:t>
      </w:r>
      <w:r>
        <w:rPr>
          <w:rFonts w:hint="eastAsia" w:ascii="宋体" w:hAnsi="宋体" w:cs="宋体"/>
          <w:i w:val="0"/>
          <w:caps w:val="0"/>
          <w:color w:val="333333"/>
          <w:spacing w:val="0"/>
          <w:sz w:val="24"/>
          <w:szCs w:val="24"/>
          <w:lang w:val="en-US" w:eastAsia="zh-CN"/>
        </w:rPr>
        <w:t>，做好公民、法人或者其他组织申请获取政府信息的申请登记、审核、办理、答复、归档工作，依法保障公民、法人或者其他组织获取政府信息的权利。2025年县投资促进局无依申请公开情况。</w:t>
      </w:r>
    </w:p>
    <w:p w14:paraId="0569630E">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default" w:ascii="宋体" w:hAnsi="宋体" w:cs="宋体"/>
          <w:i w:val="0"/>
          <w:caps w:val="0"/>
          <w:color w:val="333333"/>
          <w:spacing w:val="0"/>
          <w:sz w:val="24"/>
          <w:szCs w:val="24"/>
          <w:lang w:val="en-US" w:eastAsia="zh-CN"/>
        </w:rPr>
      </w:pPr>
      <w:r>
        <w:rPr>
          <w:rFonts w:hint="eastAsia" w:ascii="宋体" w:hAnsi="宋体" w:cs="宋体"/>
          <w:i w:val="0"/>
          <w:caps w:val="0"/>
          <w:color w:val="333333"/>
          <w:spacing w:val="0"/>
          <w:sz w:val="24"/>
          <w:szCs w:val="24"/>
          <w:lang w:val="en-US" w:eastAsia="zh-CN"/>
        </w:rPr>
        <w:t>政府信息管理方面</w:t>
      </w:r>
    </w:p>
    <w:p w14:paraId="5D19EA90">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right="0" w:rightChars="0" w:firstLine="480" w:firstLineChars="200"/>
        <w:jc w:val="both"/>
        <w:rPr>
          <w:rFonts w:hint="default" w:ascii="宋体" w:hAnsi="宋体" w:cs="宋体"/>
          <w:i w:val="0"/>
          <w:caps w:val="0"/>
          <w:color w:val="333333"/>
          <w:spacing w:val="0"/>
          <w:sz w:val="24"/>
          <w:szCs w:val="24"/>
          <w:lang w:val="en-US" w:eastAsia="zh-CN"/>
        </w:rPr>
      </w:pPr>
      <w:r>
        <w:rPr>
          <w:rFonts w:hint="eastAsia" w:ascii="宋体" w:hAnsi="宋体" w:cs="宋体"/>
          <w:i w:val="0"/>
          <w:caps w:val="0"/>
          <w:color w:val="333333"/>
          <w:spacing w:val="0"/>
          <w:sz w:val="24"/>
          <w:szCs w:val="24"/>
          <w:lang w:val="en-US" w:eastAsia="zh-CN"/>
        </w:rPr>
        <w:t>持续</w:t>
      </w:r>
      <w:r>
        <w:rPr>
          <w:rFonts w:hint="default" w:ascii="宋体" w:hAnsi="宋体" w:cs="宋体"/>
          <w:i w:val="0"/>
          <w:caps w:val="0"/>
          <w:color w:val="333333"/>
          <w:spacing w:val="0"/>
          <w:sz w:val="24"/>
          <w:szCs w:val="24"/>
          <w:lang w:val="en-US" w:eastAsia="zh-CN"/>
        </w:rPr>
        <w:t>强化对</w:t>
      </w:r>
      <w:r>
        <w:rPr>
          <w:rFonts w:hint="eastAsia" w:ascii="宋体" w:hAnsi="宋体" w:cs="宋体"/>
          <w:i w:val="0"/>
          <w:caps w:val="0"/>
          <w:color w:val="333333"/>
          <w:spacing w:val="0"/>
          <w:sz w:val="24"/>
          <w:szCs w:val="24"/>
          <w:lang w:val="en-US" w:eastAsia="zh-CN"/>
        </w:rPr>
        <w:t>政务网站</w:t>
      </w:r>
      <w:r>
        <w:rPr>
          <w:rFonts w:hint="default" w:ascii="宋体" w:hAnsi="宋体" w:cs="宋体"/>
          <w:i w:val="0"/>
          <w:caps w:val="0"/>
          <w:color w:val="333333"/>
          <w:spacing w:val="0"/>
          <w:sz w:val="24"/>
          <w:szCs w:val="24"/>
          <w:lang w:val="en-US" w:eastAsia="zh-CN"/>
        </w:rPr>
        <w:t>的日常管理，</w:t>
      </w:r>
      <w:r>
        <w:rPr>
          <w:rFonts w:hint="eastAsia" w:ascii="宋体" w:hAnsi="宋体" w:cs="宋体"/>
          <w:i w:val="0"/>
          <w:caps w:val="0"/>
          <w:color w:val="333333"/>
          <w:spacing w:val="0"/>
          <w:sz w:val="24"/>
          <w:szCs w:val="24"/>
          <w:lang w:val="en-US" w:eastAsia="zh-CN"/>
        </w:rPr>
        <w:t>严格落实</w:t>
      </w:r>
      <w:r>
        <w:rPr>
          <w:rFonts w:hint="default" w:ascii="宋体" w:hAnsi="宋体" w:cs="宋体"/>
          <w:i w:val="0"/>
          <w:caps w:val="0"/>
          <w:color w:val="333333"/>
          <w:spacing w:val="0"/>
          <w:sz w:val="24"/>
          <w:szCs w:val="24"/>
          <w:lang w:val="en-US" w:eastAsia="zh-CN"/>
        </w:rPr>
        <w:t>制定</w:t>
      </w:r>
      <w:r>
        <w:rPr>
          <w:rFonts w:hint="eastAsia" w:ascii="宋体" w:hAnsi="宋体" w:cs="宋体"/>
          <w:i w:val="0"/>
          <w:caps w:val="0"/>
          <w:color w:val="333333"/>
          <w:spacing w:val="0"/>
          <w:sz w:val="24"/>
          <w:szCs w:val="24"/>
          <w:lang w:val="en-US" w:eastAsia="zh-CN"/>
        </w:rPr>
        <w:t>的</w:t>
      </w:r>
      <w:r>
        <w:rPr>
          <w:rFonts w:hint="default" w:ascii="宋体" w:hAnsi="宋体" w:cs="宋体"/>
          <w:i w:val="0"/>
          <w:caps w:val="0"/>
          <w:color w:val="333333"/>
          <w:spacing w:val="0"/>
          <w:sz w:val="24"/>
          <w:szCs w:val="24"/>
          <w:lang w:val="en-US" w:eastAsia="zh-CN"/>
        </w:rPr>
        <w:t>《新平县投资促进局信息公开保密审查制度》《新平县投资促进局政府网站与政务新媒体管理制度》《新平县投资促进局政府信息动态管理机制》《新平县投资促进局信息发布“三审三校”制度》</w:t>
      </w:r>
      <w:r>
        <w:rPr>
          <w:rFonts w:hint="eastAsia" w:ascii="宋体" w:hAnsi="宋体" w:cs="宋体"/>
          <w:i w:val="0"/>
          <w:caps w:val="0"/>
          <w:color w:val="333333"/>
          <w:spacing w:val="0"/>
          <w:sz w:val="24"/>
          <w:szCs w:val="24"/>
          <w:lang w:val="en-US" w:eastAsia="zh-CN"/>
        </w:rPr>
        <w:t>等制度，对拟公开信息进行保密风险评估，坚决杜绝涉密信息、敏感信息外泄。建立常态化信息动态维护机制，每季度对政务网站及新媒体已发布信息进行梳理核查，对过时失效的政策文件、项目数据等及时更新或下架，进一步提升政府信息管理的规范化水平。</w:t>
      </w:r>
    </w:p>
    <w:p w14:paraId="6B445C19">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default" w:ascii="宋体" w:hAnsi="宋体" w:cs="宋体"/>
          <w:i w:val="0"/>
          <w:caps w:val="0"/>
          <w:color w:val="333333"/>
          <w:spacing w:val="0"/>
          <w:sz w:val="24"/>
          <w:szCs w:val="24"/>
          <w:lang w:val="en-US" w:eastAsia="zh-CN"/>
        </w:rPr>
      </w:pPr>
      <w:r>
        <w:rPr>
          <w:rFonts w:hint="eastAsia" w:ascii="宋体" w:hAnsi="宋体" w:cs="宋体"/>
          <w:i w:val="0"/>
          <w:caps w:val="0"/>
          <w:color w:val="333333"/>
          <w:spacing w:val="0"/>
          <w:sz w:val="24"/>
          <w:szCs w:val="24"/>
          <w:lang w:val="en-US" w:eastAsia="zh-CN"/>
        </w:rPr>
        <w:t>政府信息公开平台建设方面</w:t>
      </w:r>
    </w:p>
    <w:p w14:paraId="770ECDE3">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right="0" w:rightChars="0" w:firstLine="480" w:firstLineChars="200"/>
        <w:jc w:val="both"/>
        <w:rPr>
          <w:rFonts w:hint="default" w:ascii="宋体" w:hAnsi="宋体" w:cs="宋体"/>
          <w:i w:val="0"/>
          <w:caps w:val="0"/>
          <w:color w:val="333333"/>
          <w:spacing w:val="0"/>
          <w:sz w:val="24"/>
          <w:szCs w:val="24"/>
          <w:lang w:val="en-US" w:eastAsia="zh-CN"/>
        </w:rPr>
      </w:pPr>
      <w:r>
        <w:rPr>
          <w:rFonts w:hint="eastAsia" w:ascii="宋体" w:hAnsi="宋体" w:cs="宋体"/>
          <w:i w:val="0"/>
          <w:caps w:val="0"/>
          <w:color w:val="333333"/>
          <w:spacing w:val="0"/>
          <w:sz w:val="24"/>
          <w:szCs w:val="24"/>
          <w:lang w:val="en-US" w:eastAsia="zh-CN"/>
        </w:rPr>
        <w:t>依托“新平县政府信息公开平台”，规范发布应当主动公开的政府信息，保障法定主动公开政府信息集中统一、内容准确、更新及时、方便查询。严格执行政府信息发布、保密审查、实时归档制度。</w:t>
      </w:r>
    </w:p>
    <w:p w14:paraId="362E0213">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default" w:ascii="宋体" w:hAnsi="宋体" w:cs="宋体"/>
          <w:i w:val="0"/>
          <w:caps w:val="0"/>
          <w:color w:val="333333"/>
          <w:spacing w:val="0"/>
          <w:sz w:val="24"/>
          <w:szCs w:val="24"/>
          <w:lang w:val="en-US" w:eastAsia="zh-CN"/>
        </w:rPr>
      </w:pPr>
      <w:r>
        <w:rPr>
          <w:rFonts w:hint="eastAsia" w:ascii="宋体" w:hAnsi="宋体" w:cs="宋体"/>
          <w:i w:val="0"/>
          <w:caps w:val="0"/>
          <w:color w:val="333333"/>
          <w:spacing w:val="0"/>
          <w:sz w:val="24"/>
          <w:szCs w:val="24"/>
          <w:lang w:val="en-US" w:eastAsia="zh-CN"/>
        </w:rPr>
        <w:t>监督保障方面</w:t>
      </w:r>
    </w:p>
    <w:p w14:paraId="5FE1BB9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right="0" w:rightChars="0" w:firstLine="480" w:firstLineChars="200"/>
        <w:jc w:val="both"/>
        <w:rPr>
          <w:rFonts w:hint="eastAsia" w:eastAsia="宋体"/>
          <w:lang w:eastAsia="zh-CN"/>
        </w:rPr>
      </w:pPr>
      <w:r>
        <w:rPr>
          <w:rFonts w:hint="eastAsia" w:ascii="宋体" w:hAnsi="宋体" w:cs="宋体"/>
          <w:i w:val="0"/>
          <w:caps w:val="0"/>
          <w:color w:val="333333"/>
          <w:spacing w:val="0"/>
          <w:sz w:val="24"/>
          <w:szCs w:val="24"/>
          <w:lang w:val="en-US" w:eastAsia="zh-CN"/>
        </w:rPr>
        <w:t>加强组织保障。召开政务公开专题会议1次，由主要领导亲自主持听取工作汇报，全面总结政务公开工作成效，针对存在的短板提出具体整改措施与优化意见；精心组织政务公开专题培训1次，着力提升信息公开专业水平与突发舆情处置能力；及时更新政府信息公开指南，清晰列明受理机构、办公地址、办公时间、联系电话、传真号码、邮政编码等基础信息，规范信函、传真、网页申请等办理渠道；严格遵循依申请公开办理时限要求，确保事项按时办结，全年未发生信息公开举报、复议或诉讼情况；积极回应社会关切，建立健全政务舆情收集、研判、回应全流程机制，坚持公开透明、科学有效、双向互动原则，将舆情处置纳入重要工作日程，作为提升政府公信力与执行力的关键举措。2025年度，未收到12345热线转交办事项，也未发生超时受理、超期办理或未按要求答复等问题。</w:t>
      </w:r>
    </w:p>
    <w:p w14:paraId="144028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二、主动公开政府信息情况</w:t>
      </w: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14:paraId="75085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D6C21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3120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C3DBE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95355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70F2A5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707771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2F221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05871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18305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B3D66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52F8B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14:paraId="3FF02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BC941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EA1F0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6791E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D72EB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w:t>
            </w:r>
          </w:p>
        </w:tc>
      </w:tr>
      <w:tr w14:paraId="1C12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4D0DBF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3ED3F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8038A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57657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4887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84898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45CA7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14:paraId="6F32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20BE57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3984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80FF3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7EF149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75112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5E7F8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4BAF6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14:paraId="36512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331F0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59D982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14:paraId="7572D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95F12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3C643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CF0B5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6B78BF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620DF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EA960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23C162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eastAsia="宋体"/>
                <w:sz w:val="24"/>
                <w:szCs w:val="24"/>
                <w:lang w:val="en-US" w:eastAsia="zh-CN"/>
              </w:rPr>
            </w:pPr>
            <w:r>
              <w:rPr>
                <w:rFonts w:hint="eastAsia" w:ascii="宋体" w:hAnsi="宋体" w:cs="宋体"/>
                <w:color w:val="000000"/>
                <w:kern w:val="0"/>
                <w:sz w:val="20"/>
                <w:szCs w:val="20"/>
                <w:lang w:val="en-US" w:eastAsia="zh-CN" w:bidi="ar"/>
              </w:rPr>
              <w:t>0</w:t>
            </w:r>
          </w:p>
        </w:tc>
      </w:tr>
    </w:tbl>
    <w:p w14:paraId="3EF3D247">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0FE23E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2C53A6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71969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2DD7A1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7374E4FC">
            <w:pPr>
              <w:rPr>
                <w:rFonts w:hint="eastAsia" w:ascii="宋体"/>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14:paraId="2FC853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14:paraId="2F38BC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14:paraId="2EB06F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18A49F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81B0FDE">
            <w:pPr>
              <w:rPr>
                <w:rFonts w:hint="eastAsia" w:ascii="宋体"/>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14:paraId="40C56F81">
            <w:pPr>
              <w:rPr>
                <w:rFonts w:hint="eastAsia" w:ascii="宋体"/>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E0F4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280F56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38F6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2A59CF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3C1892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4E1C19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0DFA19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14:paraId="79D151CD">
            <w:pPr>
              <w:rPr>
                <w:rFonts w:hint="eastAsia" w:ascii="宋体"/>
                <w:sz w:val="24"/>
                <w:szCs w:val="24"/>
              </w:rPr>
            </w:pPr>
          </w:p>
        </w:tc>
      </w:tr>
      <w:tr w14:paraId="60686C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1385E2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539073">
            <w:pPr>
              <w:jc w:val="center"/>
              <w:rPr>
                <w:rFonts w:hint="default"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0794B8">
            <w:pPr>
              <w:jc w:val="center"/>
              <w:rPr>
                <w:rFonts w:hint="default"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40F75F">
            <w:pPr>
              <w:jc w:val="center"/>
              <w:rPr>
                <w:rFonts w:hint="default"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5F636D">
            <w:pPr>
              <w:jc w:val="center"/>
              <w:rPr>
                <w:rFonts w:hint="default"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7AA23A">
            <w:pPr>
              <w:jc w:val="center"/>
              <w:rPr>
                <w:rFonts w:hint="default"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DF46C3">
            <w:pPr>
              <w:jc w:val="center"/>
              <w:rPr>
                <w:rFonts w:hint="eastAsia" w:ascii="宋体"/>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979D6F9">
            <w:pPr>
              <w:jc w:val="center"/>
              <w:rPr>
                <w:rFonts w:hint="default" w:ascii="宋体"/>
                <w:sz w:val="24"/>
                <w:szCs w:val="24"/>
                <w:lang w:val="en-US" w:eastAsia="zh-CN"/>
              </w:rPr>
            </w:pPr>
            <w:r>
              <w:rPr>
                <w:rFonts w:hint="eastAsia" w:ascii="宋体"/>
                <w:sz w:val="24"/>
                <w:szCs w:val="24"/>
                <w:lang w:val="en-US" w:eastAsia="zh-CN"/>
              </w:rPr>
              <w:t>0</w:t>
            </w:r>
          </w:p>
        </w:tc>
      </w:tr>
      <w:tr w14:paraId="0A9155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7256D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A10B16">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7E4175">
            <w:pPr>
              <w:jc w:val="center"/>
              <w:rPr>
                <w:rFonts w:hint="default"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4078ED">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3B5501">
            <w:pPr>
              <w:jc w:val="center"/>
              <w:rPr>
                <w:rFonts w:hint="default"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FC3EDE">
            <w:pPr>
              <w:jc w:val="center"/>
              <w:rPr>
                <w:rFonts w:hint="default"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A01E3A">
            <w:pPr>
              <w:jc w:val="center"/>
              <w:rPr>
                <w:rFonts w:hint="eastAsia" w:ascii="宋体"/>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7B5F6D6">
            <w:pPr>
              <w:jc w:val="center"/>
              <w:rPr>
                <w:rFonts w:hint="eastAsia" w:ascii="宋体"/>
                <w:sz w:val="24"/>
                <w:szCs w:val="24"/>
                <w:lang w:val="en-US" w:eastAsia="zh-CN"/>
              </w:rPr>
            </w:pPr>
            <w:r>
              <w:rPr>
                <w:rFonts w:hint="eastAsia" w:ascii="宋体"/>
                <w:sz w:val="24"/>
                <w:szCs w:val="24"/>
                <w:lang w:val="en-US" w:eastAsia="zh-CN"/>
              </w:rPr>
              <w:t>0</w:t>
            </w:r>
          </w:p>
        </w:tc>
      </w:tr>
      <w:tr w14:paraId="307EFC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14:paraId="0BC95E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2D36CB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A73486">
            <w:pPr>
              <w:jc w:val="center"/>
              <w:rPr>
                <w:rFonts w:hint="default"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C255EC">
            <w:pPr>
              <w:jc w:val="center"/>
              <w:rPr>
                <w:rFonts w:hint="default"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4E6D06">
            <w:pPr>
              <w:jc w:val="center"/>
              <w:rPr>
                <w:rFonts w:hint="default"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20F617">
            <w:pPr>
              <w:jc w:val="center"/>
              <w:rPr>
                <w:rFonts w:hint="default"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9F4CC2">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270E57">
            <w:pPr>
              <w:jc w:val="center"/>
              <w:rPr>
                <w:rFonts w:hint="default" w:ascii="宋体"/>
                <w:sz w:val="24"/>
                <w:szCs w:val="24"/>
                <w:lang w:val="en-US" w:eastAsia="zh-CN"/>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39B2AF8B">
            <w:pPr>
              <w:jc w:val="center"/>
              <w:rPr>
                <w:rFonts w:hint="eastAsia" w:ascii="宋体"/>
                <w:sz w:val="24"/>
                <w:szCs w:val="24"/>
                <w:lang w:val="en-US" w:eastAsia="zh-CN"/>
              </w:rPr>
            </w:pPr>
            <w:r>
              <w:rPr>
                <w:rFonts w:hint="eastAsia" w:ascii="宋体"/>
                <w:sz w:val="24"/>
                <w:szCs w:val="24"/>
                <w:lang w:val="en-US" w:eastAsia="zh-CN"/>
              </w:rPr>
              <w:t>0</w:t>
            </w:r>
          </w:p>
        </w:tc>
      </w:tr>
      <w:tr w14:paraId="6DC367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A12D296">
            <w:pPr>
              <w:rPr>
                <w:rFonts w:hint="eastAsia" w:ascii="宋体"/>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4AD90D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F0C679">
            <w:pPr>
              <w:jc w:val="center"/>
              <w:rPr>
                <w:rFonts w:hint="default"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8EBACF">
            <w:pPr>
              <w:jc w:val="center"/>
              <w:rPr>
                <w:rFonts w:hint="default"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9410CA">
            <w:pPr>
              <w:jc w:val="center"/>
              <w:rPr>
                <w:rFonts w:hint="default"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83215A">
            <w:pPr>
              <w:jc w:val="center"/>
              <w:rPr>
                <w:rFonts w:hint="default"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239E96">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EA87F2">
            <w:pPr>
              <w:jc w:val="center"/>
              <w:rPr>
                <w:rFonts w:hint="eastAsia" w:ascii="宋体"/>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2A912FE">
            <w:pPr>
              <w:jc w:val="center"/>
              <w:rPr>
                <w:rFonts w:hint="eastAsia" w:ascii="宋体"/>
                <w:sz w:val="24"/>
                <w:szCs w:val="24"/>
                <w:lang w:val="en-US" w:eastAsia="zh-CN"/>
              </w:rPr>
            </w:pPr>
            <w:r>
              <w:rPr>
                <w:rFonts w:hint="eastAsia" w:ascii="宋体"/>
                <w:sz w:val="24"/>
                <w:szCs w:val="24"/>
                <w:lang w:val="en-US" w:eastAsia="zh-CN"/>
              </w:rPr>
              <w:t>0</w:t>
            </w:r>
          </w:p>
        </w:tc>
      </w:tr>
      <w:tr w14:paraId="695790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C1A8DD4">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285689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762211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24F0C32">
            <w:pPr>
              <w:jc w:val="center"/>
              <w:rPr>
                <w:rFonts w:hint="default"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A4152E">
            <w:pPr>
              <w:jc w:val="center"/>
              <w:rPr>
                <w:rFonts w:hint="default"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9F88482">
            <w:pPr>
              <w:jc w:val="center"/>
              <w:rPr>
                <w:rFonts w:hint="default"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582AEB5">
            <w:pPr>
              <w:jc w:val="center"/>
              <w:rPr>
                <w:rFonts w:hint="default"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5E99DB4">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8A7BE3E">
            <w:pPr>
              <w:jc w:val="center"/>
              <w:rPr>
                <w:rFonts w:hint="eastAsia" w:ascii="宋体"/>
                <w:sz w:val="24"/>
                <w:szCs w:val="24"/>
                <w:lang w:val="en-US" w:eastAsia="zh-CN"/>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12D963FF">
            <w:pPr>
              <w:jc w:val="center"/>
              <w:rPr>
                <w:rFonts w:hint="eastAsia" w:ascii="宋体"/>
                <w:sz w:val="24"/>
                <w:szCs w:val="24"/>
                <w:lang w:val="en-US" w:eastAsia="zh-CN"/>
              </w:rPr>
            </w:pPr>
            <w:r>
              <w:rPr>
                <w:rFonts w:hint="eastAsia" w:ascii="宋体"/>
                <w:sz w:val="24"/>
                <w:szCs w:val="24"/>
                <w:lang w:val="en-US" w:eastAsia="zh-CN"/>
              </w:rPr>
              <w:t>0</w:t>
            </w:r>
          </w:p>
        </w:tc>
      </w:tr>
      <w:tr w14:paraId="5B2A7B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849CB15">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69A1A3C">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99A82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EB17F1">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F19C33B">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9396556">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A259C07">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22D88A8">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8E85130">
            <w:pPr>
              <w:jc w:val="center"/>
              <w:rPr>
                <w:rFonts w:hint="eastAsia" w:ascii="宋体"/>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A3DE077">
            <w:pPr>
              <w:jc w:val="center"/>
              <w:rPr>
                <w:rFonts w:hint="default" w:ascii="宋体"/>
                <w:sz w:val="24"/>
                <w:szCs w:val="24"/>
                <w:lang w:val="en-US" w:eastAsia="zh-CN"/>
              </w:rPr>
            </w:pPr>
            <w:r>
              <w:rPr>
                <w:rFonts w:hint="eastAsia" w:ascii="宋体"/>
                <w:sz w:val="24"/>
                <w:szCs w:val="24"/>
                <w:lang w:val="en-US" w:eastAsia="zh-CN"/>
              </w:rPr>
              <w:t>0</w:t>
            </w:r>
          </w:p>
        </w:tc>
      </w:tr>
      <w:tr w14:paraId="5A03C5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5528B25">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6412768">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CFD78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06E1E22">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85B8EF8">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91CD6FB">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3F0A20">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BF0AF45">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283BE1B">
            <w:pPr>
              <w:jc w:val="center"/>
              <w:rPr>
                <w:rFonts w:hint="eastAsia" w:ascii="宋体"/>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B5D02DB">
            <w:pPr>
              <w:jc w:val="center"/>
              <w:rPr>
                <w:rFonts w:hint="default" w:ascii="宋体"/>
                <w:sz w:val="24"/>
                <w:szCs w:val="24"/>
                <w:lang w:val="en-US" w:eastAsia="zh-CN"/>
              </w:rPr>
            </w:pPr>
            <w:r>
              <w:rPr>
                <w:rFonts w:hint="eastAsia" w:ascii="宋体"/>
                <w:sz w:val="24"/>
                <w:szCs w:val="24"/>
                <w:lang w:val="en-US" w:eastAsia="zh-CN"/>
              </w:rPr>
              <w:t>0</w:t>
            </w:r>
          </w:p>
        </w:tc>
      </w:tr>
      <w:tr w14:paraId="31387F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39EA295">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05BC103">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7FE986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22DBE99">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978F0B1">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57FC8F2">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FED0124">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A05E0A2">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20E80F0">
            <w:pPr>
              <w:jc w:val="center"/>
              <w:rPr>
                <w:rFonts w:hint="eastAsia" w:ascii="宋体"/>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2D62AC1">
            <w:pPr>
              <w:jc w:val="center"/>
              <w:rPr>
                <w:rFonts w:hint="default" w:ascii="宋体"/>
                <w:sz w:val="24"/>
                <w:szCs w:val="24"/>
                <w:lang w:val="en-US" w:eastAsia="zh-CN"/>
              </w:rPr>
            </w:pPr>
            <w:r>
              <w:rPr>
                <w:rFonts w:hint="eastAsia" w:ascii="宋体"/>
                <w:sz w:val="24"/>
                <w:szCs w:val="24"/>
                <w:lang w:val="en-US" w:eastAsia="zh-CN"/>
              </w:rPr>
              <w:t>0</w:t>
            </w:r>
          </w:p>
        </w:tc>
      </w:tr>
      <w:tr w14:paraId="727D95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66D9D0E">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17872702">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9AFD4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D00695C">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780E2A5">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AA23C05">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3B44C80">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A898E59">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D782724">
            <w:pPr>
              <w:jc w:val="center"/>
              <w:rPr>
                <w:rFonts w:hint="eastAsia" w:ascii="宋体"/>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1C6F01C">
            <w:pPr>
              <w:jc w:val="center"/>
              <w:rPr>
                <w:rFonts w:hint="default" w:ascii="宋体"/>
                <w:sz w:val="24"/>
                <w:szCs w:val="24"/>
                <w:lang w:val="en-US" w:eastAsia="zh-CN"/>
              </w:rPr>
            </w:pPr>
            <w:r>
              <w:rPr>
                <w:rFonts w:hint="eastAsia" w:ascii="宋体"/>
                <w:sz w:val="24"/>
                <w:szCs w:val="24"/>
                <w:lang w:val="en-US" w:eastAsia="zh-CN"/>
              </w:rPr>
              <w:t>0</w:t>
            </w:r>
          </w:p>
        </w:tc>
      </w:tr>
      <w:tr w14:paraId="21F9E7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EFFCC45">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B33FB30">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66596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C9FA99C">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B6671CF">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CFCA1B8">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8DEEA59">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E8F70ED">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E74DB61">
            <w:pPr>
              <w:jc w:val="center"/>
              <w:rPr>
                <w:rFonts w:hint="eastAsia" w:ascii="宋体"/>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F1E0B74">
            <w:pPr>
              <w:jc w:val="center"/>
              <w:rPr>
                <w:rFonts w:hint="default" w:ascii="宋体"/>
                <w:sz w:val="24"/>
                <w:szCs w:val="24"/>
                <w:lang w:val="en-US" w:eastAsia="zh-CN"/>
              </w:rPr>
            </w:pPr>
            <w:r>
              <w:rPr>
                <w:rFonts w:hint="eastAsia" w:ascii="宋体"/>
                <w:sz w:val="24"/>
                <w:szCs w:val="24"/>
                <w:lang w:val="en-US" w:eastAsia="zh-CN"/>
              </w:rPr>
              <w:t>0</w:t>
            </w:r>
          </w:p>
        </w:tc>
      </w:tr>
      <w:tr w14:paraId="105323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8322BCF">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7B65022">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CCB6E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F28916A">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7342260">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02BA6EB">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4189416">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83DB2F3">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868C2DC">
            <w:pPr>
              <w:jc w:val="center"/>
              <w:rPr>
                <w:rFonts w:hint="eastAsia" w:ascii="宋体"/>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3E8CBB3">
            <w:pPr>
              <w:jc w:val="center"/>
              <w:rPr>
                <w:rFonts w:hint="default" w:ascii="宋体"/>
                <w:sz w:val="24"/>
                <w:szCs w:val="24"/>
                <w:lang w:val="en-US" w:eastAsia="zh-CN"/>
              </w:rPr>
            </w:pPr>
            <w:r>
              <w:rPr>
                <w:rFonts w:hint="eastAsia" w:ascii="宋体"/>
                <w:sz w:val="24"/>
                <w:szCs w:val="24"/>
                <w:lang w:val="en-US" w:eastAsia="zh-CN"/>
              </w:rPr>
              <w:t>0</w:t>
            </w:r>
          </w:p>
        </w:tc>
      </w:tr>
      <w:tr w14:paraId="3B5DA7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C18F7CA">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55DFC43">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71ECB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72B8F30">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B1F412F">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2DC9C11">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96ECABE">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C14D092">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5642BFF">
            <w:pPr>
              <w:jc w:val="center"/>
              <w:rPr>
                <w:rFonts w:hint="eastAsia" w:ascii="宋体"/>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33F650A">
            <w:pPr>
              <w:jc w:val="center"/>
              <w:rPr>
                <w:rFonts w:hint="default" w:ascii="宋体"/>
                <w:sz w:val="24"/>
                <w:szCs w:val="24"/>
                <w:lang w:val="en-US" w:eastAsia="zh-CN"/>
              </w:rPr>
            </w:pPr>
            <w:r>
              <w:rPr>
                <w:rFonts w:hint="eastAsia" w:ascii="宋体"/>
                <w:sz w:val="24"/>
                <w:szCs w:val="24"/>
                <w:lang w:val="en-US" w:eastAsia="zh-CN"/>
              </w:rPr>
              <w:t>0</w:t>
            </w:r>
          </w:p>
        </w:tc>
      </w:tr>
      <w:tr w14:paraId="74DA69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4165E79">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6BA697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3A0BCC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0D9F19B">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16EB6D0">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37D8F8D">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7C6A91C">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B01F894">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9BE52F2">
            <w:pPr>
              <w:jc w:val="center"/>
              <w:rPr>
                <w:rFonts w:hint="eastAsia" w:ascii="宋体"/>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94110D4">
            <w:pPr>
              <w:jc w:val="center"/>
              <w:rPr>
                <w:rFonts w:hint="default" w:ascii="宋体"/>
                <w:sz w:val="24"/>
                <w:szCs w:val="24"/>
                <w:lang w:val="en-US" w:eastAsia="zh-CN"/>
              </w:rPr>
            </w:pPr>
            <w:r>
              <w:rPr>
                <w:rFonts w:hint="eastAsia" w:ascii="宋体"/>
                <w:sz w:val="24"/>
                <w:szCs w:val="24"/>
                <w:lang w:val="en-US" w:eastAsia="zh-CN"/>
              </w:rPr>
              <w:t>0</w:t>
            </w:r>
          </w:p>
        </w:tc>
      </w:tr>
      <w:tr w14:paraId="3CFA71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AB5C397">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6B87E3D">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7E969B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60A1787">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9757C96">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A5C0D04">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BF93929">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BCF2AA2">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E5BBAFD">
            <w:pPr>
              <w:jc w:val="center"/>
              <w:rPr>
                <w:rFonts w:hint="eastAsia" w:ascii="宋体"/>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331BC59">
            <w:pPr>
              <w:jc w:val="center"/>
              <w:rPr>
                <w:rFonts w:hint="default" w:ascii="宋体"/>
                <w:sz w:val="24"/>
                <w:szCs w:val="24"/>
                <w:lang w:val="en-US" w:eastAsia="zh-CN"/>
              </w:rPr>
            </w:pPr>
            <w:r>
              <w:rPr>
                <w:rFonts w:hint="eastAsia" w:ascii="宋体"/>
                <w:sz w:val="24"/>
                <w:szCs w:val="24"/>
                <w:lang w:val="en-US" w:eastAsia="zh-CN"/>
              </w:rPr>
              <w:t>0</w:t>
            </w:r>
          </w:p>
        </w:tc>
      </w:tr>
      <w:tr w14:paraId="0B159158">
        <w:tblPrEx>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5A0AE93">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7A9FAF9">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187AFD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1A6E5C8">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F7C6DC3">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9876ACA">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4D3F5D2">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E1BD8CC">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E05AE4B">
            <w:pPr>
              <w:jc w:val="center"/>
              <w:rPr>
                <w:rFonts w:hint="eastAsia" w:ascii="宋体"/>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3B86AF8">
            <w:pPr>
              <w:jc w:val="center"/>
              <w:rPr>
                <w:rFonts w:hint="default" w:ascii="宋体"/>
                <w:sz w:val="24"/>
                <w:szCs w:val="24"/>
                <w:lang w:val="en-US" w:eastAsia="zh-CN"/>
              </w:rPr>
            </w:pPr>
            <w:r>
              <w:rPr>
                <w:rFonts w:hint="eastAsia" w:ascii="宋体"/>
                <w:sz w:val="24"/>
                <w:szCs w:val="24"/>
                <w:lang w:val="en-US" w:eastAsia="zh-CN"/>
              </w:rPr>
              <w:t>0</w:t>
            </w:r>
          </w:p>
        </w:tc>
      </w:tr>
      <w:tr w14:paraId="6AE4CA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A8DB7A7">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3A9833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7F3634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DFECABC">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CDEB4FC">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7FAEA58">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62A0F93">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061C15F">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DF3E34D">
            <w:pPr>
              <w:jc w:val="center"/>
              <w:rPr>
                <w:rFonts w:hint="eastAsia" w:ascii="宋体"/>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65CFB89">
            <w:pPr>
              <w:jc w:val="center"/>
              <w:rPr>
                <w:rFonts w:hint="default" w:ascii="宋体"/>
                <w:sz w:val="24"/>
                <w:szCs w:val="24"/>
                <w:lang w:val="en-US" w:eastAsia="zh-CN"/>
              </w:rPr>
            </w:pPr>
            <w:r>
              <w:rPr>
                <w:rFonts w:hint="eastAsia" w:ascii="宋体"/>
                <w:sz w:val="24"/>
                <w:szCs w:val="24"/>
                <w:lang w:val="en-US" w:eastAsia="zh-CN"/>
              </w:rPr>
              <w:t>0</w:t>
            </w:r>
          </w:p>
        </w:tc>
      </w:tr>
      <w:tr w14:paraId="3BF569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388D7D0">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359CB21">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371380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3E282C4">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AD5EE2B">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BA5619A">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7F7206D">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EED9AF3">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512A923">
            <w:pPr>
              <w:jc w:val="center"/>
              <w:rPr>
                <w:rFonts w:hint="eastAsia" w:ascii="宋体"/>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0868F9F">
            <w:pPr>
              <w:jc w:val="center"/>
              <w:rPr>
                <w:rFonts w:hint="default" w:ascii="宋体"/>
                <w:sz w:val="24"/>
                <w:szCs w:val="24"/>
                <w:lang w:val="en-US" w:eastAsia="zh-CN"/>
              </w:rPr>
            </w:pPr>
            <w:r>
              <w:rPr>
                <w:rFonts w:hint="eastAsia" w:ascii="宋体"/>
                <w:sz w:val="24"/>
                <w:szCs w:val="24"/>
                <w:lang w:val="en-US" w:eastAsia="zh-CN"/>
              </w:rPr>
              <w:t>0</w:t>
            </w:r>
          </w:p>
        </w:tc>
      </w:tr>
      <w:tr w14:paraId="676018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18D80E6">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ACA29EC">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6D1AD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23ED95C">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4D6CF50">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744B20D">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4A05185">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59EF522">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97490B3">
            <w:pPr>
              <w:jc w:val="center"/>
              <w:rPr>
                <w:rFonts w:hint="eastAsia" w:ascii="宋体"/>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FBFE4E6">
            <w:pPr>
              <w:jc w:val="center"/>
              <w:rPr>
                <w:rFonts w:hint="default" w:ascii="宋体"/>
                <w:sz w:val="24"/>
                <w:szCs w:val="24"/>
                <w:lang w:val="en-US" w:eastAsia="zh-CN"/>
              </w:rPr>
            </w:pPr>
            <w:r>
              <w:rPr>
                <w:rFonts w:hint="eastAsia" w:ascii="宋体"/>
                <w:sz w:val="24"/>
                <w:szCs w:val="24"/>
                <w:lang w:val="en-US" w:eastAsia="zh-CN"/>
              </w:rPr>
              <w:t>0</w:t>
            </w:r>
          </w:p>
        </w:tc>
      </w:tr>
      <w:tr w14:paraId="77E3C7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04057D1">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04CF480">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5F349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6745EFD">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6A2688E">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4BFBCCC">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9C329EE">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B6A81E1">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CBA19CC">
            <w:pPr>
              <w:jc w:val="center"/>
              <w:rPr>
                <w:rFonts w:hint="eastAsia" w:ascii="宋体"/>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B7384F1">
            <w:pPr>
              <w:jc w:val="center"/>
              <w:rPr>
                <w:rFonts w:hint="default" w:ascii="宋体"/>
                <w:sz w:val="24"/>
                <w:szCs w:val="24"/>
                <w:lang w:val="en-US" w:eastAsia="zh-CN"/>
              </w:rPr>
            </w:pPr>
            <w:r>
              <w:rPr>
                <w:rFonts w:hint="eastAsia" w:ascii="宋体"/>
                <w:sz w:val="24"/>
                <w:szCs w:val="24"/>
                <w:lang w:val="en-US" w:eastAsia="zh-CN"/>
              </w:rPr>
              <w:t>0</w:t>
            </w:r>
          </w:p>
        </w:tc>
      </w:tr>
      <w:tr w14:paraId="78FEF6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A0B0090">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AD74555">
            <w:pPr>
              <w:rPr>
                <w:rFonts w:hint="eastAsia" w:ascii="宋体"/>
                <w:sz w:val="24"/>
                <w:szCs w:val="24"/>
              </w:rPr>
            </w:pPr>
          </w:p>
        </w:tc>
        <w:tc>
          <w:tcPr>
            <w:tcW w:w="3220" w:type="dxa"/>
            <w:tcBorders>
              <w:top w:val="nil"/>
              <w:left w:val="nil"/>
              <w:bottom w:val="outset" w:color="auto" w:sz="8" w:space="0"/>
              <w:right w:val="single" w:color="auto" w:sz="8" w:space="0"/>
            </w:tcBorders>
            <w:noWrap w:val="0"/>
            <w:tcMar>
              <w:left w:w="57" w:type="dxa"/>
              <w:right w:w="57" w:type="dxa"/>
            </w:tcMar>
            <w:vAlign w:val="center"/>
          </w:tcPr>
          <w:p w14:paraId="146FE8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7F621500">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0345694D">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73DA4BB6">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2AF4CE44">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6E36BECD">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02B17E62">
            <w:pPr>
              <w:jc w:val="center"/>
              <w:rPr>
                <w:rFonts w:hint="eastAsia" w:ascii="宋体"/>
                <w:sz w:val="24"/>
                <w:szCs w:val="24"/>
                <w:lang w:val="en-US" w:eastAsia="zh-CN"/>
              </w:rPr>
            </w:pPr>
            <w:r>
              <w:rPr>
                <w:rFonts w:hint="eastAsia" w:ascii="宋体"/>
                <w:sz w:val="24"/>
                <w:szCs w:val="24"/>
                <w:lang w:val="en-US" w:eastAsia="zh-CN"/>
              </w:rPr>
              <w:t>0</w:t>
            </w:r>
          </w:p>
        </w:tc>
        <w:tc>
          <w:tcPr>
            <w:tcW w:w="689" w:type="dxa"/>
            <w:tcBorders>
              <w:top w:val="nil"/>
              <w:left w:val="nil"/>
              <w:bottom w:val="outset" w:color="auto" w:sz="8" w:space="0"/>
              <w:right w:val="single" w:color="auto" w:sz="8" w:space="0"/>
            </w:tcBorders>
            <w:noWrap w:val="0"/>
            <w:tcMar>
              <w:left w:w="57" w:type="dxa"/>
              <w:right w:w="57" w:type="dxa"/>
            </w:tcMar>
            <w:vAlign w:val="top"/>
          </w:tcPr>
          <w:p w14:paraId="2D3B325F">
            <w:pPr>
              <w:jc w:val="center"/>
              <w:rPr>
                <w:rFonts w:hint="default" w:ascii="宋体"/>
                <w:sz w:val="24"/>
                <w:szCs w:val="24"/>
                <w:lang w:val="en-US" w:eastAsia="zh-CN"/>
              </w:rPr>
            </w:pPr>
            <w:r>
              <w:rPr>
                <w:rFonts w:hint="eastAsia" w:ascii="宋体"/>
                <w:sz w:val="24"/>
                <w:szCs w:val="24"/>
                <w:lang w:val="en-US" w:eastAsia="zh-CN"/>
              </w:rPr>
              <w:t>0</w:t>
            </w:r>
          </w:p>
        </w:tc>
      </w:tr>
      <w:tr w14:paraId="3F9CA8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B48702E">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14:paraId="336557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0A54B6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424BAA0">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394F305">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615943D">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910AAED">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F21541A">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125BD12">
            <w:pPr>
              <w:jc w:val="center"/>
              <w:rPr>
                <w:rFonts w:hint="eastAsia" w:ascii="宋体"/>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F7D878D">
            <w:pPr>
              <w:jc w:val="center"/>
              <w:rPr>
                <w:rFonts w:hint="default" w:ascii="宋体"/>
                <w:sz w:val="24"/>
                <w:szCs w:val="24"/>
                <w:lang w:val="en-US" w:eastAsia="zh-CN"/>
              </w:rPr>
            </w:pPr>
            <w:r>
              <w:rPr>
                <w:rFonts w:hint="eastAsia" w:ascii="宋体"/>
                <w:sz w:val="24"/>
                <w:szCs w:val="24"/>
                <w:lang w:val="en-US" w:eastAsia="zh-CN"/>
              </w:rPr>
              <w:t>0</w:t>
            </w:r>
          </w:p>
        </w:tc>
      </w:tr>
      <w:tr w14:paraId="0214E8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A83A34B">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0F75F9C5">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26FB87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FCC9C8B">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764C731">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7FA2F40">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B18D677">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15CDDC9">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AF3DEFA">
            <w:pPr>
              <w:jc w:val="center"/>
              <w:rPr>
                <w:rFonts w:hint="eastAsia" w:ascii="宋体"/>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53C4A4B">
            <w:pPr>
              <w:jc w:val="center"/>
              <w:rPr>
                <w:rFonts w:hint="default" w:ascii="宋体"/>
                <w:sz w:val="24"/>
                <w:szCs w:val="24"/>
                <w:lang w:val="en-US" w:eastAsia="zh-CN"/>
              </w:rPr>
            </w:pPr>
            <w:r>
              <w:rPr>
                <w:rFonts w:hint="eastAsia" w:ascii="宋体"/>
                <w:sz w:val="24"/>
                <w:szCs w:val="24"/>
                <w:lang w:val="en-US" w:eastAsia="zh-CN"/>
              </w:rPr>
              <w:t>0</w:t>
            </w:r>
          </w:p>
        </w:tc>
      </w:tr>
      <w:tr w14:paraId="50CFFE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30F8604">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110530B8">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6F1338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D0EDA7">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89D16A5">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B6B4075">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753C2D5">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EDEF874">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C13FC8">
            <w:pPr>
              <w:jc w:val="center"/>
              <w:rPr>
                <w:rFonts w:hint="eastAsia" w:ascii="宋体"/>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7C16C75">
            <w:pPr>
              <w:jc w:val="center"/>
              <w:rPr>
                <w:rFonts w:hint="default" w:ascii="宋体"/>
                <w:sz w:val="24"/>
                <w:szCs w:val="24"/>
                <w:lang w:val="en-US" w:eastAsia="zh-CN"/>
              </w:rPr>
            </w:pPr>
            <w:r>
              <w:rPr>
                <w:rFonts w:hint="eastAsia" w:ascii="宋体"/>
                <w:sz w:val="24"/>
                <w:szCs w:val="24"/>
                <w:lang w:val="en-US" w:eastAsia="zh-CN"/>
              </w:rPr>
              <w:t>0</w:t>
            </w:r>
          </w:p>
        </w:tc>
      </w:tr>
      <w:tr w14:paraId="08B678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1F815B0">
            <w:pPr>
              <w:rPr>
                <w:rFonts w:hint="eastAsia" w:ascii="宋体"/>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7976F1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132A0D9">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1BAEFFE">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168A95F">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FFC0E0A">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3EF2B98">
            <w:pPr>
              <w:jc w:val="center"/>
              <w:rPr>
                <w:rFonts w:hint="eastAsia" w:ascii="宋体"/>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43DB4D1">
            <w:pPr>
              <w:jc w:val="center"/>
              <w:rPr>
                <w:rFonts w:hint="eastAsia" w:ascii="宋体"/>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194FBF9">
            <w:pPr>
              <w:jc w:val="center"/>
              <w:rPr>
                <w:rFonts w:hint="default" w:ascii="宋体"/>
                <w:sz w:val="24"/>
                <w:szCs w:val="24"/>
                <w:lang w:val="en-US" w:eastAsia="zh-CN"/>
              </w:rPr>
            </w:pPr>
            <w:r>
              <w:rPr>
                <w:rFonts w:hint="eastAsia" w:ascii="宋体"/>
                <w:sz w:val="24"/>
                <w:szCs w:val="24"/>
                <w:lang w:val="en-US" w:eastAsia="zh-CN"/>
              </w:rPr>
              <w:t>0</w:t>
            </w:r>
          </w:p>
        </w:tc>
      </w:tr>
      <w:tr w14:paraId="05B4EC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365FD0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F344C2C">
            <w:pPr>
              <w:jc w:val="cente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180769A">
            <w:pPr>
              <w:jc w:val="cente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60236F6">
            <w:pPr>
              <w:jc w:val="cente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C5ED164">
            <w:pPr>
              <w:jc w:val="cente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819220F">
            <w:pPr>
              <w:jc w:val="cente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801EF37">
            <w:pPr>
              <w:jc w:val="cente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0352CD2">
            <w:pPr>
              <w:jc w:val="center"/>
              <w:rPr>
                <w:rFonts w:hint="eastAsia" w:ascii="宋体" w:eastAsia="宋体"/>
                <w:sz w:val="24"/>
                <w:szCs w:val="24"/>
                <w:lang w:val="en-US" w:eastAsia="zh-CN"/>
              </w:rPr>
            </w:pPr>
            <w:r>
              <w:rPr>
                <w:rFonts w:hint="eastAsia" w:ascii="宋体"/>
                <w:sz w:val="24"/>
                <w:szCs w:val="24"/>
                <w:lang w:val="en-US" w:eastAsia="zh-CN"/>
              </w:rPr>
              <w:t>0</w:t>
            </w:r>
          </w:p>
        </w:tc>
      </w:tr>
    </w:tbl>
    <w:p w14:paraId="7EAF40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center"/>
        <w:rPr>
          <w:rFonts w:hint="eastAsia" w:ascii="宋体" w:hAnsi="宋体" w:eastAsia="宋体" w:cs="宋体"/>
          <w:i w:val="0"/>
          <w:caps w:val="0"/>
          <w:color w:val="333333"/>
          <w:spacing w:val="0"/>
          <w:sz w:val="24"/>
          <w:szCs w:val="24"/>
        </w:rPr>
      </w:pPr>
    </w:p>
    <w:p w14:paraId="0AA70A4C">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leftChars="0" w:right="0" w:firstLine="420" w:firstLineChars="0"/>
        <w:jc w:val="both"/>
        <w:rPr>
          <w:rFonts w:hint="eastAsia" w:ascii="宋体" w:hAnsi="宋体" w:eastAsia="宋体" w:cs="宋体"/>
          <w:b/>
          <w:i w:val="0"/>
          <w:caps w:val="0"/>
          <w:color w:val="333333"/>
          <w:spacing w:val="0"/>
          <w:sz w:val="24"/>
          <w:szCs w:val="24"/>
        </w:rPr>
      </w:pPr>
      <w:r>
        <w:rPr>
          <w:rFonts w:hint="eastAsia" w:ascii="宋体" w:hAnsi="宋体" w:eastAsia="宋体" w:cs="宋体"/>
          <w:b/>
          <w:i w:val="0"/>
          <w:caps w:val="0"/>
          <w:color w:val="333333"/>
          <w:spacing w:val="0"/>
          <w:sz w:val="24"/>
          <w:szCs w:val="24"/>
        </w:rPr>
        <w:t>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3A7453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DF7F2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A4AB5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6E1CA4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0D209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704CE1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7B7BF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C8AF1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87230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59C67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5B898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0236FA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5574328">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880552A">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BCD7C27">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1872104">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4E7CC29">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453C7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9E5CA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76A9A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57BA1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B7E22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0A261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8AFB0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A2664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C5B8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89731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00FD06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9477D1C">
            <w:pPr>
              <w:jc w:val="center"/>
              <w:rPr>
                <w:rFonts w:hint="default" w:ascii="宋体"/>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23235A1">
            <w:pPr>
              <w:jc w:val="center"/>
              <w:rPr>
                <w:rFonts w:hint="default" w:ascii="宋体"/>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B5DA634">
            <w:pPr>
              <w:jc w:val="center"/>
              <w:rPr>
                <w:rFonts w:hint="eastAsia" w:ascii="宋体"/>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3CA475E">
            <w:pPr>
              <w:jc w:val="center"/>
              <w:rPr>
                <w:rFonts w:hint="eastAsia" w:ascii="宋体"/>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6519D70">
            <w:pPr>
              <w:jc w:val="center"/>
              <w:rPr>
                <w:rFonts w:hint="eastAsia" w:ascii="宋体"/>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01CCEA4">
            <w:pPr>
              <w:jc w:val="center"/>
              <w:rPr>
                <w:rFonts w:hint="eastAsia" w:ascii="宋体"/>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FAAA550">
            <w:pPr>
              <w:jc w:val="center"/>
              <w:rPr>
                <w:rFonts w:hint="eastAsia" w:ascii="宋体"/>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A9E6E00">
            <w:pPr>
              <w:jc w:val="center"/>
              <w:rPr>
                <w:rFonts w:hint="eastAsia" w:ascii="宋体"/>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052067F">
            <w:pPr>
              <w:jc w:val="center"/>
              <w:rPr>
                <w:rFonts w:hint="eastAsia" w:ascii="宋体"/>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00468DE">
            <w:pPr>
              <w:jc w:val="center"/>
              <w:rPr>
                <w:rFonts w:hint="eastAsia" w:ascii="宋体"/>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2E82E39">
            <w:pPr>
              <w:jc w:val="center"/>
              <w:rPr>
                <w:rFonts w:hint="eastAsia" w:ascii="宋体"/>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593B471">
            <w:pPr>
              <w:jc w:val="center"/>
              <w:rPr>
                <w:rFonts w:hint="eastAsia" w:ascii="宋体"/>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E520A80">
            <w:pPr>
              <w:jc w:val="center"/>
              <w:rPr>
                <w:rFonts w:hint="eastAsia" w:ascii="宋体"/>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99ED39D">
            <w:pPr>
              <w:jc w:val="center"/>
              <w:rPr>
                <w:rFonts w:hint="default" w:ascii="宋体"/>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6A8490C">
            <w:pPr>
              <w:jc w:val="center"/>
              <w:rPr>
                <w:rFonts w:hint="eastAsia" w:ascii="宋体" w:eastAsia="宋体"/>
                <w:sz w:val="24"/>
                <w:szCs w:val="24"/>
                <w:lang w:val="en-US" w:eastAsia="zh-CN"/>
              </w:rPr>
            </w:pPr>
            <w:r>
              <w:rPr>
                <w:rFonts w:hint="eastAsia" w:ascii="宋体"/>
                <w:sz w:val="24"/>
                <w:szCs w:val="24"/>
                <w:lang w:val="en-US" w:eastAsia="zh-CN"/>
              </w:rPr>
              <w:t>0</w:t>
            </w:r>
          </w:p>
        </w:tc>
      </w:tr>
    </w:tbl>
    <w:p w14:paraId="7DE2EEAE">
      <w:pPr>
        <w:keepNext w:val="0"/>
        <w:keepLines w:val="0"/>
        <w:widowControl/>
        <w:suppressLineNumbers w:val="0"/>
        <w:jc w:val="left"/>
      </w:pPr>
    </w:p>
    <w:p w14:paraId="5C2104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五、存在的主要问题及改进情况</w:t>
      </w:r>
    </w:p>
    <w:p w14:paraId="5EBDE0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default" w:ascii="宋体" w:hAnsi="宋体" w:cs="宋体"/>
          <w:i w:val="0"/>
          <w:caps w:val="0"/>
          <w:color w:val="333333"/>
          <w:spacing w:val="0"/>
          <w:sz w:val="24"/>
          <w:szCs w:val="24"/>
          <w:lang w:val="en-US" w:eastAsia="zh-CN"/>
        </w:rPr>
      </w:pPr>
      <w:r>
        <w:rPr>
          <w:rFonts w:hint="eastAsia" w:ascii="宋体" w:hAnsi="宋体" w:cs="宋体"/>
          <w:i w:val="0"/>
          <w:caps w:val="0"/>
          <w:color w:val="333333"/>
          <w:spacing w:val="0"/>
          <w:sz w:val="24"/>
          <w:szCs w:val="24"/>
          <w:lang w:val="en-US" w:eastAsia="zh-CN"/>
        </w:rPr>
        <w:t>存在问题：政务信息公开严谨性需要进一步提高，三审三校制度落实需进一步加强。</w:t>
      </w:r>
    </w:p>
    <w:p w14:paraId="1E1E8E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default" w:ascii="宋体" w:hAnsi="宋体" w:cs="宋体"/>
          <w:i w:val="0"/>
          <w:caps w:val="0"/>
          <w:color w:val="333333"/>
          <w:spacing w:val="0"/>
          <w:sz w:val="24"/>
          <w:szCs w:val="24"/>
          <w:lang w:val="en-US" w:eastAsia="zh-CN"/>
        </w:rPr>
      </w:pPr>
      <w:r>
        <w:rPr>
          <w:rFonts w:hint="eastAsia" w:ascii="宋体" w:hAnsi="宋体" w:cs="宋体"/>
          <w:i w:val="0"/>
          <w:caps w:val="0"/>
          <w:color w:val="333333"/>
          <w:spacing w:val="0"/>
          <w:sz w:val="24"/>
          <w:szCs w:val="24"/>
          <w:lang w:val="en-US" w:eastAsia="zh-CN"/>
        </w:rPr>
        <w:t>下一步整改措施：强化工作责任，加强信息发布审核把关，切实三审三校制度，保障政府信息的准确性和公信力。</w:t>
      </w:r>
    </w:p>
    <w:p w14:paraId="0E12EF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六、其他需要报告的事项</w:t>
      </w:r>
    </w:p>
    <w:p w14:paraId="06C571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cs="宋体"/>
          <w:i w:val="0"/>
          <w:caps w:val="0"/>
          <w:color w:val="333333"/>
          <w:spacing w:val="0"/>
          <w:sz w:val="24"/>
          <w:szCs w:val="24"/>
          <w:lang w:val="en-US" w:eastAsia="zh-CN"/>
        </w:rPr>
      </w:pPr>
      <w:r>
        <w:rPr>
          <w:rFonts w:hint="eastAsia" w:ascii="宋体" w:hAnsi="宋体" w:cs="宋体"/>
          <w:i w:val="0"/>
          <w:caps w:val="0"/>
          <w:color w:val="333333"/>
          <w:spacing w:val="0"/>
          <w:sz w:val="24"/>
          <w:szCs w:val="24"/>
          <w:lang w:val="en-US" w:eastAsia="zh-CN"/>
        </w:rPr>
        <w:t>依据《政府信息公开信息处理费管理办法》，我局不存在收取信息处理费的情况。</w:t>
      </w:r>
    </w:p>
    <w:p w14:paraId="2783958F">
      <w:pPr>
        <w:keepNext w:val="0"/>
        <w:keepLines w:val="0"/>
        <w:pageBreakBefore w:val="0"/>
        <w:widowControl w:val="0"/>
        <w:kinsoku w:val="0"/>
        <w:wordWrap/>
        <w:overflowPunct w:val="0"/>
        <w:topLinePunct w:val="0"/>
        <w:autoSpaceDE/>
        <w:autoSpaceDN/>
        <w:bidi w:val="0"/>
        <w:adjustRightInd/>
        <w:snapToGrid/>
        <w:spacing w:line="590" w:lineRule="exact"/>
        <w:ind w:left="0" w:leftChars="0" w:right="0" w:rightChars="0"/>
        <w:jc w:val="left"/>
        <w:textAlignment w:val="auto"/>
        <w:outlineLvl w:val="9"/>
        <w:rPr>
          <w:rFonts w:hint="eastAsia" w:ascii="方正黑体_GBK" w:hAnsi="方正黑体_GBK" w:eastAsia="方正黑体_GBK" w:cs="方正黑体_GBK"/>
          <w:sz w:val="32"/>
          <w:szCs w:val="32"/>
          <w:lang w:val="en-US" w:eastAsia="zh-CN"/>
        </w:rPr>
      </w:pPr>
    </w:p>
    <w:p w14:paraId="22141D93"/>
    <w:p w14:paraId="60C457D2"/>
    <w:sectPr>
      <w:footerReference r:id="rId3" w:type="default"/>
      <w:footerReference r:id="rId4" w:type="even"/>
      <w:pgSz w:w="11906" w:h="16838"/>
      <w:pgMar w:top="2041" w:right="1474"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细圆B5">
    <w:altName w:val="Microsoft JhengHei"/>
    <w:panose1 w:val="02010600000101010101"/>
    <w:charset w:val="88"/>
    <w:family w:val="auto"/>
    <w:pitch w:val="default"/>
    <w:sig w:usb0="00000000" w:usb1="00000000" w:usb2="00000002" w:usb3="00000000" w:csb0="00100000" w:csb1="00000000"/>
  </w:font>
  <w:font w:name="Microsoft JhengHei">
    <w:panose1 w:val="020B0604030504040204"/>
    <w:charset w:val="88"/>
    <w:family w:val="auto"/>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89CD2">
    <w:pPr>
      <w:pStyle w:val="2"/>
      <w:framePr w:wrap="around" w:vAnchor="text" w:hAnchor="margin" w:xAlign="center" w:y="1"/>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p w14:paraId="4ABAFF1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4077B">
    <w:pPr>
      <w:pStyle w:val="2"/>
      <w:framePr w:wrap="around" w:vAnchor="text" w:hAnchor="margin" w:xAlign="center" w:y="1"/>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p w14:paraId="0CB93FFC">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A6B87"/>
    <w:multiLevelType w:val="singleLevel"/>
    <w:tmpl w:val="235A6B87"/>
    <w:lvl w:ilvl="0" w:tentative="0">
      <w:start w:val="1"/>
      <w:numFmt w:val="chineseCounting"/>
      <w:suff w:val="nothing"/>
      <w:lvlText w:val="（%1）"/>
      <w:lvlJc w:val="left"/>
      <w:rPr>
        <w:rFonts w:hint="eastAsia"/>
      </w:rPr>
    </w:lvl>
  </w:abstractNum>
  <w:abstractNum w:abstractNumId="1">
    <w:nsid w:val="686A6D6A"/>
    <w:multiLevelType w:val="singleLevel"/>
    <w:tmpl w:val="686A6D6A"/>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A4DB8"/>
    <w:rsid w:val="0D52341B"/>
    <w:rsid w:val="2A626634"/>
    <w:rsid w:val="2DCB34EC"/>
    <w:rsid w:val="31504016"/>
    <w:rsid w:val="483A4DB8"/>
    <w:rsid w:val="4BBE1EAA"/>
    <w:rsid w:val="55FA5A5A"/>
    <w:rsid w:val="5E192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4</Pages>
  <Words>1984</Words>
  <Characters>2035</Characters>
  <Lines>0</Lines>
  <Paragraphs>0</Paragraphs>
  <TotalTime>0</TotalTime>
  <ScaleCrop>false</ScaleCrop>
  <LinksUpToDate>false</LinksUpToDate>
  <CharactersWithSpaces>2236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2024-01-09T03:21:00Z</dcterms:created>
  <dc:creator>李琴仙</dc:creator>
  <cp:lastModifiedBy>胡萝卜</cp:lastModifiedBy>
  <dcterms:modified xsi:type="dcterms:W3CDTF">2026-01-08T09:01:11Z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eyJoZGlkIjoiMjQzN2YxZWU5NTRmNWJjMjc1NDM3YjFlODQxZmMxYTEiLCJ1c2VySWQiOiIyNjQ2MDc3MTEifQ==</vt:lpwstr>
  </property>
  <property fmtid="{D5CDD505-2E9C-101B-9397-08002B2CF9AE}" pid="4" name="ICV">
    <vt:lpwstr>A888FD349FD34BD39E6F8150846FC57C_12</vt:lpwstr>
  </property>
</Properties>
</file>