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EB0700">
      <w:pPr>
        <w:keepNext w:val="0"/>
        <w:keepLines w:val="0"/>
        <w:pageBreakBefore w:val="0"/>
        <w:widowControl w:val="0"/>
        <w:kinsoku/>
        <w:wordWrap/>
        <w:overflowPunct/>
        <w:topLinePunct w:val="0"/>
        <w:autoSpaceDE w:val="0"/>
        <w:autoSpaceDN w:val="0"/>
        <w:bidi w:val="0"/>
        <w:adjustRightInd/>
        <w:snapToGrid/>
        <w:spacing w:beforeLines="0" w:after="616" w:afterLines="100" w:line="596" w:lineRule="exact"/>
        <w:ind w:firstLineChars="0"/>
        <w:jc w:val="center"/>
        <w:textAlignment w:val="auto"/>
        <w:outlineLvl w:val="0"/>
        <w:rPr>
          <w:rFonts w:hint="default" w:ascii="Times New Roman" w:hAnsi="Times New Roman" w:eastAsia="方正小标宋_GBK" w:cs="Times New Roman"/>
          <w:color w:val="000000" w:themeColor="text1"/>
          <w:sz w:val="44"/>
          <w:szCs w:val="24"/>
          <w14:textFill>
            <w14:solidFill>
              <w14:schemeClr w14:val="tx1"/>
            </w14:solidFill>
          </w14:textFill>
        </w:rPr>
      </w:pPr>
      <w:bookmarkStart w:id="0" w:name="_GoBack"/>
      <w:bookmarkEnd w:id="0"/>
      <w:r>
        <w:rPr>
          <w:rFonts w:hint="default" w:ascii="Times New Roman" w:hAnsi="Times New Roman" w:eastAsia="方正小标宋_GBK" w:cs="Times New Roman"/>
          <w:color w:val="000000" w:themeColor="text1"/>
          <w:sz w:val="44"/>
          <w:szCs w:val="24"/>
          <w14:textFill>
            <w14:solidFill>
              <w14:schemeClr w14:val="tx1"/>
            </w14:solidFill>
          </w14:textFill>
        </w:rPr>
        <w:t>中共新平彝族傣族自治县纪律检查委员会</w:t>
      </w:r>
      <w:r>
        <w:rPr>
          <w:rFonts w:hint="default" w:ascii="Times New Roman" w:hAnsi="Times New Roman" w:eastAsia="方正小标宋_GBK" w:cs="Times New Roman"/>
          <w:color w:val="000000" w:themeColor="text1"/>
          <w:sz w:val="44"/>
          <w:szCs w:val="24"/>
          <w14:textFill>
            <w14:solidFill>
              <w14:schemeClr w14:val="tx1"/>
            </w14:solidFill>
          </w14:textFill>
        </w:rPr>
        <w:br w:type="textWrapping"/>
      </w:r>
      <w:r>
        <w:rPr>
          <w:rFonts w:hint="default" w:ascii="Times New Roman" w:hAnsi="Times New Roman" w:eastAsia="方正小标宋_GBK" w:cs="Times New Roman"/>
          <w:color w:val="000000" w:themeColor="text1"/>
          <w:sz w:val="44"/>
          <w:szCs w:val="24"/>
          <w14:textFill>
            <w14:solidFill>
              <w14:schemeClr w14:val="tx1"/>
            </w14:solidFill>
          </w14:textFill>
        </w:rPr>
        <w:t>（本级）202</w:t>
      </w:r>
      <w:r>
        <w:rPr>
          <w:rFonts w:hint="default" w:ascii="Times New Roman" w:hAnsi="Times New Roman" w:eastAsia="方正小标宋_GBK" w:cs="Times New Roman"/>
          <w:color w:val="000000" w:themeColor="text1"/>
          <w:sz w:val="44"/>
          <w:szCs w:val="24"/>
          <w:lang w:val="en-US" w:eastAsia="zh-CN"/>
          <w14:textFill>
            <w14:solidFill>
              <w14:schemeClr w14:val="tx1"/>
            </w14:solidFill>
          </w14:textFill>
        </w:rPr>
        <w:t>6</w:t>
      </w:r>
      <w:r>
        <w:rPr>
          <w:rFonts w:hint="default" w:ascii="Times New Roman" w:hAnsi="Times New Roman" w:eastAsia="方正小标宋_GBK" w:cs="Times New Roman"/>
          <w:color w:val="000000" w:themeColor="text1"/>
          <w:sz w:val="44"/>
          <w:szCs w:val="24"/>
          <w14:textFill>
            <w14:solidFill>
              <w14:schemeClr w14:val="tx1"/>
            </w14:solidFill>
          </w14:textFill>
        </w:rPr>
        <w:t>年部门预算重点领域</w:t>
      </w:r>
      <w:r>
        <w:rPr>
          <w:rFonts w:hint="default" w:ascii="Times New Roman" w:hAnsi="Times New Roman" w:eastAsia="方正小标宋_GBK" w:cs="Times New Roman"/>
          <w:color w:val="000000" w:themeColor="text1"/>
          <w:sz w:val="44"/>
          <w:szCs w:val="24"/>
          <w14:textFill>
            <w14:solidFill>
              <w14:schemeClr w14:val="tx1"/>
            </w14:solidFill>
          </w14:textFill>
        </w:rPr>
        <w:br w:type="textWrapping"/>
      </w:r>
      <w:r>
        <w:rPr>
          <w:rFonts w:hint="default" w:ascii="Times New Roman" w:hAnsi="Times New Roman" w:eastAsia="方正小标宋_GBK" w:cs="Times New Roman"/>
          <w:color w:val="000000" w:themeColor="text1"/>
          <w:sz w:val="44"/>
          <w:szCs w:val="24"/>
          <w14:textFill>
            <w14:solidFill>
              <w14:schemeClr w14:val="tx1"/>
            </w14:solidFill>
          </w14:textFill>
        </w:rPr>
        <w:t>财政项目文本</w:t>
      </w:r>
    </w:p>
    <w:p w14:paraId="611B4EA6">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outlineLvl w:val="1"/>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黑体_GBK" w:cs="Times New Roman"/>
          <w:color w:val="000000" w:themeColor="text1"/>
          <w:sz w:val="32"/>
          <w:szCs w:val="24"/>
          <w14:textFill>
            <w14:solidFill>
              <w14:schemeClr w14:val="tx1"/>
            </w14:solidFill>
          </w14:textFill>
        </w:rPr>
        <w:t>一、项目名称</w:t>
      </w:r>
    </w:p>
    <w:p w14:paraId="0358948B">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仿宋_GBK" w:cs="Times New Roman"/>
          <w:color w:val="000000" w:themeColor="text1"/>
          <w:sz w:val="32"/>
          <w:szCs w:val="24"/>
          <w14:textFill>
            <w14:solidFill>
              <w14:schemeClr w14:val="tx1"/>
            </w14:solidFill>
          </w14:textFill>
        </w:rPr>
        <w:t>县委巡察机构巡察经费。</w:t>
      </w:r>
    </w:p>
    <w:p w14:paraId="733DE16A">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outlineLvl w:val="1"/>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黑体_GBK" w:cs="Times New Roman"/>
          <w:color w:val="000000" w:themeColor="text1"/>
          <w:sz w:val="32"/>
          <w:szCs w:val="24"/>
          <w14:textFill>
            <w14:solidFill>
              <w14:schemeClr w14:val="tx1"/>
            </w14:solidFill>
          </w14:textFill>
        </w:rPr>
        <w:t>二、立项依据</w:t>
      </w:r>
    </w:p>
    <w:p w14:paraId="4E3D4E43">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仿宋_GBK" w:cs="Times New Roman"/>
          <w:color w:val="000000" w:themeColor="text1"/>
          <w:sz w:val="32"/>
          <w:szCs w:val="24"/>
          <w14:textFill>
            <w14:solidFill>
              <w14:schemeClr w14:val="tx1"/>
            </w14:solidFill>
          </w14:textFill>
        </w:rPr>
        <w:t>《中国共产党巡视工作条例》《中共新平县委巡察工作实施细则》和《关于印发县委2024年巡察工作要点的通知》等。</w:t>
      </w:r>
    </w:p>
    <w:p w14:paraId="29AAB054">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outlineLvl w:val="1"/>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黑体_GBK" w:cs="Times New Roman"/>
          <w:color w:val="000000" w:themeColor="text1"/>
          <w:sz w:val="32"/>
          <w:szCs w:val="24"/>
          <w14:textFill>
            <w14:solidFill>
              <w14:schemeClr w14:val="tx1"/>
            </w14:solidFill>
          </w14:textFill>
        </w:rPr>
        <w:t>三、项目实施单位</w:t>
      </w:r>
    </w:p>
    <w:p w14:paraId="07712E7E">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仿宋_GBK" w:cs="Times New Roman"/>
          <w:color w:val="000000" w:themeColor="text1"/>
          <w:sz w:val="32"/>
          <w:szCs w:val="24"/>
          <w14:textFill>
            <w14:solidFill>
              <w14:schemeClr w14:val="tx1"/>
            </w14:solidFill>
          </w14:textFill>
        </w:rPr>
        <w:t>中共新平彝族傣族自治县委员会巡察办公室。</w:t>
      </w:r>
    </w:p>
    <w:p w14:paraId="5583910B">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outlineLvl w:val="1"/>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黑体_GBK" w:cs="Times New Roman"/>
          <w:color w:val="000000" w:themeColor="text1"/>
          <w:sz w:val="32"/>
          <w:szCs w:val="24"/>
          <w14:textFill>
            <w14:solidFill>
              <w14:schemeClr w14:val="tx1"/>
            </w14:solidFill>
          </w14:textFill>
        </w:rPr>
        <w:t>四、项目基本概况</w:t>
      </w:r>
    </w:p>
    <w:p w14:paraId="1471D3DB">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firstLineChars="200"/>
        <w:textAlignment w:val="auto"/>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仿宋_GBK" w:cs="Times New Roman"/>
          <w:color w:val="000000" w:themeColor="text1"/>
          <w:sz w:val="32"/>
          <w:szCs w:val="24"/>
          <w14:textFill>
            <w14:solidFill>
              <w14:schemeClr w14:val="tx1"/>
            </w14:solidFill>
          </w14:textFill>
        </w:rPr>
        <w:t>2026年计划开展3轮巡察，分别于3月、6月、9月启动，其中，十三届县委巡察</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回头看</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1轮组建4个巡察组对县直部门巡察</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回头看</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下沉调研了解、组建1个巡察组对1个乡镇巡察</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回头看</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十四届县委常规巡察2轮，每轮组建5个巡察组，分别对4个县直部门、1个乡镇、10个村</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社区</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开展巡察。县直部门每组6</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至</w:t>
      </w:r>
      <w:r>
        <w:rPr>
          <w:rFonts w:hint="default" w:ascii="Times New Roman" w:hAnsi="Times New Roman" w:eastAsia="方正仿宋_GBK" w:cs="Times New Roman"/>
          <w:color w:val="000000" w:themeColor="text1"/>
          <w:sz w:val="32"/>
          <w:szCs w:val="24"/>
          <w14:textFill>
            <w14:solidFill>
              <w14:schemeClr w14:val="tx1"/>
            </w14:solidFill>
          </w14:textFill>
        </w:rPr>
        <w:t>8人，乡镇和村级巡察组含驾驶员每组22人左右。</w:t>
      </w:r>
    </w:p>
    <w:p w14:paraId="35BBB768">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outlineLvl w:val="1"/>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黑体_GBK" w:cs="Times New Roman"/>
          <w:color w:val="000000" w:themeColor="text1"/>
          <w:sz w:val="32"/>
          <w:szCs w:val="24"/>
          <w14:textFill>
            <w14:solidFill>
              <w14:schemeClr w14:val="tx1"/>
            </w14:solidFill>
          </w14:textFill>
        </w:rPr>
        <w:t>五、项目实施内容</w:t>
      </w:r>
    </w:p>
    <w:p w14:paraId="05F8CCCF">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rPr>
          <w:rFonts w:hint="default" w:ascii="Times New Roman" w:hAnsi="Times New Roman" w:eastAsia="方正仿宋_GBK" w:cs="Times New Roman"/>
          <w:color w:val="000000" w:themeColor="text1"/>
          <w:sz w:val="32"/>
          <w:szCs w:val="24"/>
          <w14:textFill>
            <w14:solidFill>
              <w14:schemeClr w14:val="tx1"/>
            </w14:solidFill>
          </w14:textFill>
        </w:rPr>
      </w:pPr>
      <w:r>
        <w:rPr>
          <w:rFonts w:hint="default" w:ascii="Times New Roman" w:hAnsi="Times New Roman" w:eastAsia="方正仿宋_GBK" w:cs="Times New Roman"/>
          <w:color w:val="000000" w:themeColor="text1"/>
          <w:sz w:val="32"/>
          <w:szCs w:val="24"/>
          <w14:textFill>
            <w14:solidFill>
              <w14:schemeClr w14:val="tx1"/>
            </w14:solidFill>
          </w14:textFill>
        </w:rPr>
        <w:t>以习近平新时代中国特色社会主义思想为指导，把“两个维护”作为根本任务，对照党章党规党纪，对照</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党的理论和路线方针政策</w:t>
      </w:r>
      <w:r>
        <w:rPr>
          <w:rFonts w:hint="default" w:ascii="Times New Roman" w:hAnsi="Times New Roman" w:eastAsia="方正仿宋_GBK" w:cs="Times New Roman"/>
          <w:color w:val="000000" w:themeColor="text1"/>
          <w:sz w:val="32"/>
          <w:szCs w:val="24"/>
          <w14:textFill>
            <w14:solidFill>
              <w14:schemeClr w14:val="tx1"/>
            </w14:solidFill>
          </w14:textFill>
        </w:rPr>
        <w:t>党中央决策部署以及省市县委工作要求，对照被巡察单位“三定”规定，</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紧紧围绕</w:t>
      </w:r>
      <w:r>
        <w:rPr>
          <w:rFonts w:hint="default" w:ascii="Times New Roman" w:hAnsi="Times New Roman" w:eastAsia="方正仿宋_GBK" w:cs="Times New Roman"/>
          <w:color w:val="000000" w:themeColor="text1"/>
          <w:sz w:val="32"/>
          <w:szCs w:val="24"/>
          <w14:textFill>
            <w14:solidFill>
              <w14:schemeClr w14:val="tx1"/>
            </w14:solidFill>
          </w14:textFill>
        </w:rPr>
        <w:t>贯彻落实党的二十大精神情况，聚焦党中央各项决策部署在基层的落实情况，聚焦群众身边腐败问题和不正之风以及群众反映强烈的问题，聚焦基层党组织建设情况，聚焦巡察整改和成果运用情况等开展监督检查。根据每轮巡察任务，共组建5个巡察组每个组设组长1名，副组长2</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至</w:t>
      </w:r>
      <w:r>
        <w:rPr>
          <w:rFonts w:hint="default" w:ascii="Times New Roman" w:hAnsi="Times New Roman" w:eastAsia="方正仿宋_GBK" w:cs="Times New Roman"/>
          <w:color w:val="000000" w:themeColor="text1"/>
          <w:sz w:val="32"/>
          <w:szCs w:val="24"/>
          <w14:textFill>
            <w14:solidFill>
              <w14:schemeClr w14:val="tx1"/>
            </w14:solidFill>
          </w14:textFill>
        </w:rPr>
        <w:t>5名，成员4</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至</w:t>
      </w:r>
      <w:r>
        <w:rPr>
          <w:rFonts w:hint="default" w:ascii="Times New Roman" w:hAnsi="Times New Roman" w:eastAsia="方正仿宋_GBK" w:cs="Times New Roman"/>
          <w:color w:val="000000" w:themeColor="text1"/>
          <w:sz w:val="32"/>
          <w:szCs w:val="24"/>
          <w14:textFill>
            <w14:solidFill>
              <w14:schemeClr w14:val="tx1"/>
            </w14:solidFill>
          </w14:textFill>
        </w:rPr>
        <w:t>20名。对乡镇和村</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社区</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开展常规巡察的巡察组设3</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至</w:t>
      </w:r>
      <w:r>
        <w:rPr>
          <w:rFonts w:hint="default" w:ascii="Times New Roman" w:hAnsi="Times New Roman" w:eastAsia="方正仿宋_GBK" w:cs="Times New Roman"/>
          <w:color w:val="000000" w:themeColor="text1"/>
          <w:sz w:val="32"/>
          <w:szCs w:val="24"/>
          <w14:textFill>
            <w14:solidFill>
              <w14:schemeClr w14:val="tx1"/>
            </w14:solidFill>
          </w14:textFill>
        </w:rPr>
        <w:t>4个巡察小组，一个小组对乡镇党委的巡察，其余小组对乡镇所辖村</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社区</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党组织的巡察，每个巡察组人员组成原则上纪检监察、组织人事干部或者有相应工作经历的人员每组不少于1人，有计划地选派后备干部、新任领导干部参加巡察。组长、副组长实行“一次一授权”。</w:t>
      </w:r>
    </w:p>
    <w:p w14:paraId="52C0BDA1">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outlineLvl w:val="1"/>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黑体_GBK" w:cs="Times New Roman"/>
          <w:color w:val="000000" w:themeColor="text1"/>
          <w:sz w:val="32"/>
          <w:szCs w:val="24"/>
          <w14:textFill>
            <w14:solidFill>
              <w14:schemeClr w14:val="tx1"/>
            </w14:solidFill>
          </w14:textFill>
        </w:rPr>
        <w:t>六、资金安排情况</w:t>
      </w:r>
    </w:p>
    <w:p w14:paraId="41DEA8CE">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仿宋_GBK" w:cs="Times New Roman"/>
          <w:color w:val="000000" w:themeColor="text1"/>
          <w:sz w:val="32"/>
          <w:szCs w:val="24"/>
          <w14:textFill>
            <w14:solidFill>
              <w14:schemeClr w14:val="tx1"/>
            </w14:solidFill>
          </w14:textFill>
        </w:rPr>
        <w:t>差旅费（含住宿费和伙食补助费）合计</w:t>
      </w:r>
      <w:r>
        <w:rPr>
          <w:rFonts w:hint="default" w:ascii="Times New Roman" w:hAnsi="Times New Roman" w:eastAsia="宋体" w:cs="Times New Roman"/>
          <w:color w:val="000000" w:themeColor="text1"/>
          <w:sz w:val="32"/>
          <w:szCs w:val="24"/>
          <w:lang w:val="en-US" w:eastAsia="zh-CN"/>
          <w14:textFill>
            <w14:solidFill>
              <w14:schemeClr w14:val="tx1"/>
            </w14:solidFill>
          </w14:textFill>
        </w:rPr>
        <w:t>140</w:t>
      </w:r>
      <w:r>
        <w:rPr>
          <w:rFonts w:hint="default" w:ascii="Times New Roman" w:hAnsi="Times New Roman" w:cs="Times New Roman"/>
          <w:color w:val="000000" w:themeColor="text1"/>
          <w:sz w:val="32"/>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32"/>
          <w:szCs w:val="24"/>
          <w:lang w:val="en-US" w:eastAsia="zh-CN"/>
          <w14:textFill>
            <w14:solidFill>
              <w14:schemeClr w14:val="tx1"/>
            </w14:solidFill>
          </w14:textFill>
        </w:rPr>
        <w:t>000.00</w:t>
      </w:r>
      <w:r>
        <w:rPr>
          <w:rFonts w:hint="default" w:ascii="Times New Roman" w:hAnsi="Times New Roman" w:eastAsia="方正仿宋_GBK" w:cs="Times New Roman"/>
          <w:color w:val="000000" w:themeColor="text1"/>
          <w:sz w:val="32"/>
          <w:szCs w:val="24"/>
          <w14:textFill>
            <w14:solidFill>
              <w14:schemeClr w14:val="tx1"/>
            </w14:solidFill>
          </w14:textFill>
        </w:rPr>
        <w:t>元；车辆费用</w:t>
      </w:r>
      <w:r>
        <w:rPr>
          <w:rFonts w:hint="default" w:ascii="Times New Roman" w:hAnsi="Times New Roman" w:eastAsia="宋体" w:cs="Times New Roman"/>
          <w:color w:val="000000" w:themeColor="text1"/>
          <w:sz w:val="32"/>
          <w:szCs w:val="24"/>
          <w:lang w:val="en-US" w:eastAsia="zh-CN"/>
          <w14:textFill>
            <w14:solidFill>
              <w14:schemeClr w14:val="tx1"/>
            </w14:solidFill>
          </w14:textFill>
        </w:rPr>
        <w:t>15,000.00</w:t>
      </w:r>
      <w:r>
        <w:rPr>
          <w:rFonts w:hint="default" w:ascii="Times New Roman" w:hAnsi="Times New Roman" w:eastAsia="方正仿宋_GBK" w:cs="Times New Roman"/>
          <w:color w:val="000000" w:themeColor="text1"/>
          <w:sz w:val="32"/>
          <w:szCs w:val="24"/>
          <w14:textFill>
            <w14:solidFill>
              <w14:schemeClr w14:val="tx1"/>
            </w14:solidFill>
          </w14:textFill>
        </w:rPr>
        <w:t>元；办公用品费</w:t>
      </w:r>
      <w:r>
        <w:rPr>
          <w:rFonts w:hint="default" w:ascii="Times New Roman" w:hAnsi="Times New Roman" w:eastAsia="方正仿宋_GBK" w:cs="Times New Roman"/>
          <w:color w:val="000000" w:themeColor="text1"/>
          <w:sz w:val="32"/>
          <w:szCs w:val="24"/>
          <w:lang w:val="en-US" w:eastAsia="zh-CN"/>
          <w14:textFill>
            <w14:solidFill>
              <w14:schemeClr w14:val="tx1"/>
            </w14:solidFill>
          </w14:textFill>
        </w:rPr>
        <w:t>45,000.00</w:t>
      </w:r>
      <w:r>
        <w:rPr>
          <w:rFonts w:hint="default" w:ascii="Times New Roman" w:hAnsi="Times New Roman" w:eastAsia="方正仿宋_GBK" w:cs="Times New Roman"/>
          <w:color w:val="000000" w:themeColor="text1"/>
          <w:sz w:val="32"/>
          <w:szCs w:val="24"/>
          <w14:textFill>
            <w14:solidFill>
              <w14:schemeClr w14:val="tx1"/>
            </w14:solidFill>
          </w14:textFill>
        </w:rPr>
        <w:t>元。每轮巡察计划支出</w:t>
      </w:r>
      <w:r>
        <w:rPr>
          <w:rFonts w:hint="default" w:ascii="Times New Roman" w:hAnsi="Times New Roman" w:eastAsia="宋体" w:cs="Times New Roman"/>
          <w:color w:val="000000" w:themeColor="text1"/>
          <w:sz w:val="32"/>
          <w:szCs w:val="24"/>
          <w:lang w:val="en-US" w:eastAsia="zh-CN"/>
          <w14:textFill>
            <w14:solidFill>
              <w14:schemeClr w14:val="tx1"/>
            </w14:solidFill>
          </w14:textFill>
        </w:rPr>
        <w:t>66,666.67</w:t>
      </w:r>
      <w:r>
        <w:rPr>
          <w:rFonts w:hint="default" w:ascii="Times New Roman" w:hAnsi="Times New Roman" w:eastAsia="方正仿宋_GBK" w:cs="Times New Roman"/>
          <w:color w:val="000000" w:themeColor="text1"/>
          <w:sz w:val="32"/>
          <w:szCs w:val="24"/>
          <w14:textFill>
            <w14:solidFill>
              <w14:schemeClr w14:val="tx1"/>
            </w14:solidFill>
          </w14:textFill>
        </w:rPr>
        <w:t>元，3轮共计</w:t>
      </w:r>
      <w:r>
        <w:rPr>
          <w:rFonts w:hint="default" w:ascii="Times New Roman" w:hAnsi="Times New Roman" w:eastAsia="宋体" w:cs="Times New Roman"/>
          <w:color w:val="000000" w:themeColor="text1"/>
          <w:sz w:val="32"/>
          <w:szCs w:val="24"/>
          <w:lang w:val="en-US" w:eastAsia="zh-CN"/>
          <w14:textFill>
            <w14:solidFill>
              <w14:schemeClr w14:val="tx1"/>
            </w14:solidFill>
          </w14:textFill>
        </w:rPr>
        <w:t>200,000.00</w:t>
      </w:r>
      <w:r>
        <w:rPr>
          <w:rFonts w:hint="default" w:ascii="Times New Roman" w:hAnsi="Times New Roman" w:eastAsia="方正仿宋_GBK" w:cs="Times New Roman"/>
          <w:color w:val="000000" w:themeColor="text1"/>
          <w:sz w:val="32"/>
          <w:szCs w:val="24"/>
          <w14:textFill>
            <w14:solidFill>
              <w14:schemeClr w14:val="tx1"/>
            </w14:solidFill>
          </w14:textFill>
        </w:rPr>
        <w:t>元。</w:t>
      </w:r>
    </w:p>
    <w:p w14:paraId="39A71C99">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outlineLvl w:val="1"/>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黑体_GBK" w:cs="Times New Roman"/>
          <w:color w:val="000000" w:themeColor="text1"/>
          <w:sz w:val="32"/>
          <w:szCs w:val="24"/>
          <w14:textFill>
            <w14:solidFill>
              <w14:schemeClr w14:val="tx1"/>
            </w14:solidFill>
          </w14:textFill>
        </w:rPr>
        <w:t>七、项目实施计划</w:t>
      </w:r>
    </w:p>
    <w:p w14:paraId="0DECCAB7">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firstLineChars="200"/>
        <w:textAlignment w:val="auto"/>
        <w:rPr>
          <w:rFonts w:hint="default" w:ascii="Times New Roman" w:hAnsi="Times New Roman" w:eastAsia="方正仿宋_GBK" w:cs="Times New Roman"/>
          <w:color w:val="000000" w:themeColor="text1"/>
          <w:sz w:val="32"/>
          <w:szCs w:val="24"/>
          <w14:textFill>
            <w14:solidFill>
              <w14:schemeClr w14:val="tx1"/>
            </w14:solidFill>
          </w14:textFill>
        </w:rPr>
      </w:pPr>
      <w:r>
        <w:rPr>
          <w:rFonts w:hint="default" w:ascii="Times New Roman" w:hAnsi="Times New Roman" w:eastAsia="方正仿宋_GBK" w:cs="Times New Roman"/>
          <w:color w:val="000000" w:themeColor="text1"/>
          <w:sz w:val="32"/>
          <w:szCs w:val="24"/>
          <w14:textFill>
            <w14:solidFill>
              <w14:schemeClr w14:val="tx1"/>
            </w14:solidFill>
          </w14:textFill>
        </w:rPr>
        <w:t>2026年计划开展3轮巡察，分别于3月、6月、9月启动，其中，十三届县委巡察</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回头看</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1轮组建4个巡察组对县直部门巡察</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回头看</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下沉调研了解、组建1个巡察组对1个乡镇巡察</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回头看</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十四届县委常规巡察2轮，每轮组建5个巡察组，分别对4个县直部门、1个乡镇、10个村</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社区</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24"/>
          <w14:textFill>
            <w14:solidFill>
              <w14:schemeClr w14:val="tx1"/>
            </w14:solidFill>
          </w14:textFill>
        </w:rPr>
        <w:t>开展巡察。县直部门每组6</w:t>
      </w:r>
      <w:r>
        <w:rPr>
          <w:rFonts w:hint="default" w:ascii="Times New Roman" w:hAnsi="Times New Roman" w:eastAsia="方正仿宋_GBK" w:cs="Times New Roman"/>
          <w:color w:val="000000" w:themeColor="text1"/>
          <w:sz w:val="32"/>
          <w:szCs w:val="24"/>
          <w:lang w:eastAsia="zh-CN"/>
          <w14:textFill>
            <w14:solidFill>
              <w14:schemeClr w14:val="tx1"/>
            </w14:solidFill>
          </w14:textFill>
        </w:rPr>
        <w:t>至</w:t>
      </w:r>
      <w:r>
        <w:rPr>
          <w:rFonts w:hint="default" w:ascii="Times New Roman" w:hAnsi="Times New Roman" w:eastAsia="方正仿宋_GBK" w:cs="Times New Roman"/>
          <w:color w:val="000000" w:themeColor="text1"/>
          <w:sz w:val="32"/>
          <w:szCs w:val="24"/>
          <w14:textFill>
            <w14:solidFill>
              <w14:schemeClr w14:val="tx1"/>
            </w14:solidFill>
          </w14:textFill>
        </w:rPr>
        <w:t>8人，乡镇和村级巡察组含驾驶员每组22人左右。</w:t>
      </w:r>
    </w:p>
    <w:p w14:paraId="7CA6E1FF">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outlineLvl w:val="1"/>
        <w:rPr>
          <w:rFonts w:hint="default" w:ascii="Times New Roman" w:hAnsi="Times New Roman" w:eastAsia="Times New Roman" w:cs="Times New Roman"/>
          <w:color w:val="000000" w:themeColor="text1"/>
          <w:sz w:val="32"/>
          <w:szCs w:val="24"/>
          <w14:textFill>
            <w14:solidFill>
              <w14:schemeClr w14:val="tx1"/>
            </w14:solidFill>
          </w14:textFill>
        </w:rPr>
      </w:pPr>
      <w:r>
        <w:rPr>
          <w:rFonts w:hint="default" w:ascii="Times New Roman" w:hAnsi="Times New Roman" w:eastAsia="方正黑体_GBK" w:cs="Times New Roman"/>
          <w:color w:val="000000" w:themeColor="text1"/>
          <w:sz w:val="32"/>
          <w:szCs w:val="24"/>
          <w14:textFill>
            <w14:solidFill>
              <w14:schemeClr w14:val="tx1"/>
            </w14:solidFill>
          </w14:textFill>
        </w:rPr>
        <w:t>八、项目实施成效</w:t>
      </w:r>
    </w:p>
    <w:p w14:paraId="1C89DAAA">
      <w:pPr>
        <w:keepNext w:val="0"/>
        <w:keepLines w:val="0"/>
        <w:pageBreakBefore w:val="0"/>
        <w:widowControl w:val="0"/>
        <w:kinsoku/>
        <w:wordWrap/>
        <w:overflowPunct w:val="0"/>
        <w:topLinePunct w:val="0"/>
        <w:autoSpaceDE w:val="0"/>
        <w:autoSpaceDN w:val="0"/>
        <w:bidi w:val="0"/>
        <w:adjustRightInd/>
        <w:snapToGrid/>
        <w:spacing w:beforeLines="0" w:afterLines="0" w:line="596" w:lineRule="exact"/>
        <w:ind w:firstLine="632"/>
        <w:textAlignment w:val="auto"/>
        <w:rPr>
          <w:rFonts w:hint="default" w:ascii="Times New Roman" w:hAnsi="Times New Roman" w:eastAsia="方正仿宋_GBK" w:cs="Times New Roman"/>
          <w:i w:val="0"/>
          <w:iCs w:val="0"/>
          <w:color w:val="000000" w:themeColor="text1"/>
          <w:sz w:val="32"/>
          <w14:textFill>
            <w14:solidFill>
              <w14:schemeClr w14:val="tx1"/>
            </w14:solidFill>
          </w14:textFill>
        </w:rPr>
      </w:pPr>
      <w:r>
        <w:rPr>
          <w:rFonts w:hint="default" w:ascii="Times New Roman" w:hAnsi="Times New Roman" w:eastAsia="方正仿宋_GBK" w:cs="Times New Roman"/>
          <w:color w:val="000000" w:themeColor="text1"/>
          <w:sz w:val="32"/>
          <w:szCs w:val="24"/>
          <w14:textFill>
            <w14:solidFill>
              <w14:schemeClr w14:val="tx1"/>
            </w14:solidFill>
          </w14:textFill>
        </w:rPr>
        <w:t>充分运用新时代巡视巡察工作的实践经验和理论成果，推动巡察工作向深拓展、向专发力、向下延伸，使巡察制度更加科学、更加规范、更加有效，把巡察利剑磨得更光更亮。政治巡察进一步深化，全县各级各部门和党员领导干部更加自觉维护习近平总书记的核心地位、维护党中央权威和集中统一领导；巡察全覆盖质量进一步提高，加强统筹谋划和组织实施，整合巡察力量，创新优化组织方式，不断提高巡察发现问题的能力和水平；巡察整改和成果运用进一步加强，实现监督、整改、治理有机贯通，政治效果、纪法效果、社会效果有机统一，以巡促改、以巡促建、以巡促治效能聚合叠加；上下联动和贯通协调进一步强化，更好发挥巡察综合监督作用和集成、集束、集中效应，有力助推基层治理能力现代化；巡察工作规范化法治化正规化水平进一步提升，着力打造一支政治过硬、本领高强、忠诚干净担当的巡察铁军。</w:t>
      </w:r>
    </w:p>
    <w:sectPr>
      <w:footerReference r:id="rId3" w:type="default"/>
      <w:footerReference r:id="rId4" w:type="even"/>
      <w:pgSz w:w="11906" w:h="16838"/>
      <w:pgMar w:top="1814" w:right="1531" w:bottom="1814" w:left="1531" w:header="1361" w:footer="1531" w:gutter="0"/>
      <w:cols w:space="720" w:num="1"/>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18A63">
    <w:pPr>
      <w:ind w:right="320" w:rightChars="1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7F25">
    <w:pPr>
      <w:ind w:left="320" w:leftChars="1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300"/>
  <w:displayHorizontalDrawingGridEvery w:val="2"/>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NzUwODgxMDQ0ODA4ZjNkYjc3ODU3MzRhMWNkNjcifQ=="/>
  </w:docVars>
  <w:rsids>
    <w:rsidRoot w:val="00172A27"/>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7F25F78"/>
    <w:rsid w:val="08033CE1"/>
    <w:rsid w:val="09012917"/>
    <w:rsid w:val="09313610"/>
    <w:rsid w:val="0B512FB6"/>
    <w:rsid w:val="0D6B4803"/>
    <w:rsid w:val="0E2F1654"/>
    <w:rsid w:val="0E303356"/>
    <w:rsid w:val="0E686F94"/>
    <w:rsid w:val="0F800C17"/>
    <w:rsid w:val="0F8F6FC4"/>
    <w:rsid w:val="10572E1C"/>
    <w:rsid w:val="123A0C48"/>
    <w:rsid w:val="13345697"/>
    <w:rsid w:val="135D699C"/>
    <w:rsid w:val="140825FF"/>
    <w:rsid w:val="154B260C"/>
    <w:rsid w:val="163B0AEA"/>
    <w:rsid w:val="16D76A65"/>
    <w:rsid w:val="177E3384"/>
    <w:rsid w:val="17C0574B"/>
    <w:rsid w:val="17E852C8"/>
    <w:rsid w:val="196A02A3"/>
    <w:rsid w:val="19EA1BE6"/>
    <w:rsid w:val="1A02029D"/>
    <w:rsid w:val="1A450189"/>
    <w:rsid w:val="1B9E10E6"/>
    <w:rsid w:val="1BA535D6"/>
    <w:rsid w:val="1C8E7D0D"/>
    <w:rsid w:val="1D412E8A"/>
    <w:rsid w:val="1D4F1A4B"/>
    <w:rsid w:val="1D5C6B5B"/>
    <w:rsid w:val="1DB93368"/>
    <w:rsid w:val="1E040119"/>
    <w:rsid w:val="1E676920"/>
    <w:rsid w:val="1E696B3C"/>
    <w:rsid w:val="1E6F3A27"/>
    <w:rsid w:val="1EE64AB5"/>
    <w:rsid w:val="1F5D7D23"/>
    <w:rsid w:val="2123408C"/>
    <w:rsid w:val="21A165ED"/>
    <w:rsid w:val="21D35127"/>
    <w:rsid w:val="224E1B51"/>
    <w:rsid w:val="22596EC8"/>
    <w:rsid w:val="22E42C35"/>
    <w:rsid w:val="230E380E"/>
    <w:rsid w:val="234B6811"/>
    <w:rsid w:val="25951FC5"/>
    <w:rsid w:val="25E90563"/>
    <w:rsid w:val="27093862"/>
    <w:rsid w:val="279F35CF"/>
    <w:rsid w:val="28013942"/>
    <w:rsid w:val="29D049D8"/>
    <w:rsid w:val="2AA50EFC"/>
    <w:rsid w:val="2B33475A"/>
    <w:rsid w:val="2BAC0068"/>
    <w:rsid w:val="2CBE44F7"/>
    <w:rsid w:val="2FD86035"/>
    <w:rsid w:val="30106060"/>
    <w:rsid w:val="30510AD9"/>
    <w:rsid w:val="30DD6F16"/>
    <w:rsid w:val="31A97DB4"/>
    <w:rsid w:val="31B934DF"/>
    <w:rsid w:val="32806A25"/>
    <w:rsid w:val="342804A8"/>
    <w:rsid w:val="34D128EE"/>
    <w:rsid w:val="357E0CC8"/>
    <w:rsid w:val="362740DF"/>
    <w:rsid w:val="37103BA1"/>
    <w:rsid w:val="37191449"/>
    <w:rsid w:val="38312021"/>
    <w:rsid w:val="386B4E07"/>
    <w:rsid w:val="38E27815"/>
    <w:rsid w:val="39237490"/>
    <w:rsid w:val="39CD7B28"/>
    <w:rsid w:val="3A900B55"/>
    <w:rsid w:val="3C4A62D6"/>
    <w:rsid w:val="3DCD5707"/>
    <w:rsid w:val="3DFA638C"/>
    <w:rsid w:val="3E5D53FE"/>
    <w:rsid w:val="3ECA2A00"/>
    <w:rsid w:val="413315D0"/>
    <w:rsid w:val="422A126E"/>
    <w:rsid w:val="425251EE"/>
    <w:rsid w:val="42537038"/>
    <w:rsid w:val="42D71A17"/>
    <w:rsid w:val="43122A4F"/>
    <w:rsid w:val="448B4867"/>
    <w:rsid w:val="44CB1108"/>
    <w:rsid w:val="44D97CC8"/>
    <w:rsid w:val="457277D5"/>
    <w:rsid w:val="460D74FE"/>
    <w:rsid w:val="4679642E"/>
    <w:rsid w:val="481D256E"/>
    <w:rsid w:val="48482A6F"/>
    <w:rsid w:val="4E8C5DAC"/>
    <w:rsid w:val="50792360"/>
    <w:rsid w:val="509E3B74"/>
    <w:rsid w:val="53B10062"/>
    <w:rsid w:val="54521F1F"/>
    <w:rsid w:val="545A24A8"/>
    <w:rsid w:val="554967A4"/>
    <w:rsid w:val="55AA2FBB"/>
    <w:rsid w:val="56BA722E"/>
    <w:rsid w:val="576860F3"/>
    <w:rsid w:val="596F6AFD"/>
    <w:rsid w:val="59807B66"/>
    <w:rsid w:val="59C06909"/>
    <w:rsid w:val="5A105AE3"/>
    <w:rsid w:val="5DA54794"/>
    <w:rsid w:val="5DF474C9"/>
    <w:rsid w:val="5EB84053"/>
    <w:rsid w:val="605F496E"/>
    <w:rsid w:val="611834CF"/>
    <w:rsid w:val="61F061FA"/>
    <w:rsid w:val="62500700"/>
    <w:rsid w:val="63604CB9"/>
    <w:rsid w:val="63BC6393"/>
    <w:rsid w:val="64F3678D"/>
    <w:rsid w:val="65200BA4"/>
    <w:rsid w:val="65293EFC"/>
    <w:rsid w:val="657131AE"/>
    <w:rsid w:val="65766C11"/>
    <w:rsid w:val="659155FE"/>
    <w:rsid w:val="67422DB4"/>
    <w:rsid w:val="6A3E4FFE"/>
    <w:rsid w:val="6B1B0BFC"/>
    <w:rsid w:val="6B882FFF"/>
    <w:rsid w:val="6BDF3567"/>
    <w:rsid w:val="6DD0710B"/>
    <w:rsid w:val="6E361438"/>
    <w:rsid w:val="6EDC1FE0"/>
    <w:rsid w:val="6EEF1D13"/>
    <w:rsid w:val="6F1C062E"/>
    <w:rsid w:val="6FD131C7"/>
    <w:rsid w:val="71F31B1A"/>
    <w:rsid w:val="72866B6B"/>
    <w:rsid w:val="731D5B13"/>
    <w:rsid w:val="746A3800"/>
    <w:rsid w:val="74E4574A"/>
    <w:rsid w:val="755C1784"/>
    <w:rsid w:val="765608C9"/>
    <w:rsid w:val="770E1791"/>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 w:hAnsi="仿宋" w:eastAsia="仿宋" w:cs="仿宋"/>
      <w:kern w:val="2"/>
      <w:sz w:val="32"/>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next w:val="6"/>
    <w:link w:val="10"/>
    <w:unhideWhenUsed/>
    <w:qFormat/>
    <w:uiPriority w:val="99"/>
    <w:pPr>
      <w:tabs>
        <w:tab w:val="center" w:pos="4153"/>
        <w:tab w:val="right" w:pos="8306"/>
      </w:tabs>
      <w:snapToGrid w:val="0"/>
      <w:jc w:val="left"/>
    </w:pPr>
    <w:rPr>
      <w:sz w:val="18"/>
      <w:szCs w:val="18"/>
    </w:rPr>
  </w:style>
  <w:style w:type="paragraph" w:customStyle="1" w:styleId="6">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5"/>
    <w:semiHidden/>
    <w:qFormat/>
    <w:uiPriority w:val="99"/>
    <w:rPr>
      <w:kern w:val="2"/>
      <w:sz w:val="18"/>
      <w:szCs w:val="18"/>
    </w:rPr>
  </w:style>
  <w:style w:type="character" w:customStyle="1" w:styleId="11">
    <w:name w:val="页眉 Char"/>
    <w:basedOn w:val="9"/>
    <w:link w:val="7"/>
    <w:semiHidden/>
    <w:qFormat/>
    <w:uiPriority w:val="99"/>
    <w:rPr>
      <w:kern w:val="2"/>
      <w:sz w:val="18"/>
      <w:szCs w:val="18"/>
    </w:rPr>
  </w:style>
  <w:style w:type="paragraph" w:customStyle="1" w:styleId="12">
    <w:name w:val="正文首行缩进 21"/>
    <w:basedOn w:val="1"/>
    <w:qFormat/>
    <w:uiPriority w:val="0"/>
    <w:pPr>
      <w:spacing w:before="100" w:beforeAutospacing="1" w:after="120"/>
      <w:ind w:left="200" w:leftChars="200" w:firstLine="420" w:firstLineChars="200"/>
    </w:pPr>
    <w:rPr>
      <w:kern w:val="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1301</Words>
  <Characters>1362</Characters>
  <Lines>1</Lines>
  <Paragraphs>1</Paragraphs>
  <TotalTime>6</TotalTime>
  <ScaleCrop>false</ScaleCrop>
  <LinksUpToDate>false</LinksUpToDate>
  <CharactersWithSpaces>1362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Admin</cp:lastModifiedBy>
  <cp:lastPrinted>2021-01-14T08:48:00Z</cp:lastPrinted>
  <dcterms:modified xsi:type="dcterms:W3CDTF">2026-03-10T02:49:42Z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142615E7E36A4192B9E434A8243C319F_13</vt:lpwstr>
  </property>
  <property fmtid="{D5CDD505-2E9C-101B-9397-08002B2CF9AE}" pid="4" name="KSOTemplateDocerSaveRecord">
    <vt:lpwstr>eyJoZGlkIjoiNDhkOGYyZTBhYjZkYmZhYjNmYjVjNTUxMzY1MzhjZDgiLCJ1c2VySWQiOiIxNjA2NTAyNTEwIn0=</vt:lpwstr>
  </property>
</Properties>
</file>