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6E41">
      <w:pPr>
        <w:autoSpaceDE w:val="0"/>
        <w:autoSpaceDN w:val="0"/>
        <w:spacing w:after="600" w:afterLines="100" w:line="596" w:lineRule="exact"/>
        <w:jc w:val="center"/>
        <w:outlineLvl w:val="0"/>
        <w:rPr>
          <w:rFonts w:hint="default" w:ascii="Times New Roman" w:hAnsi="Times New Roman" w:eastAsia="方正小标宋_GBK" w:cs="Times New Roman"/>
          <w:color w:val="000000" w:themeColor="text1"/>
          <w:sz w:val="44"/>
          <w:szCs w:val="24"/>
          <w14:textFill>
            <w14:solidFill>
              <w14:schemeClr w14:val="tx1"/>
            </w14:solidFill>
          </w14:textFill>
        </w:rPr>
      </w:pPr>
      <w:r>
        <w:rPr>
          <w:rFonts w:hint="default" w:ascii="Times New Roman" w:hAnsi="Times New Roman" w:eastAsia="方正小标宋_GBK" w:cs="Times New Roman"/>
          <w:color w:val="000000" w:themeColor="text1"/>
          <w:sz w:val="44"/>
          <w:szCs w:val="24"/>
          <w14:textFill>
            <w14:solidFill>
              <w14:schemeClr w14:val="tx1"/>
            </w14:solidFill>
          </w14:textFill>
        </w:rPr>
        <w:t>中共新平彝族傣族自治县纪律检查委员会</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2026年部门预算重点领域财政</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项目文本（一）</w:t>
      </w:r>
    </w:p>
    <w:p w14:paraId="5C6C0FD0">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一、项目名称</w:t>
      </w:r>
    </w:p>
    <w:p w14:paraId="12866573">
      <w:pPr>
        <w:overflowPunct w:val="0"/>
        <w:autoSpaceDE w:val="0"/>
        <w:autoSpaceDN w:val="0"/>
        <w:spacing w:line="596" w:lineRule="exact"/>
        <w:ind w:firstLine="632"/>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县委巡察机构巡察经费。</w:t>
      </w:r>
    </w:p>
    <w:p w14:paraId="79B45E47">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二、立项依据</w:t>
      </w:r>
    </w:p>
    <w:p w14:paraId="7C998F68">
      <w:pPr>
        <w:overflowPunct w:val="0"/>
        <w:autoSpaceDE w:val="0"/>
        <w:autoSpaceDN w:val="0"/>
        <w:spacing w:line="596" w:lineRule="exact"/>
        <w:ind w:firstLine="632"/>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《中国共产党巡视工作条例》《中共新平县委巡察工作实施细则》和《关于印发县委2024年巡察工作要点的通知》等。</w:t>
      </w:r>
    </w:p>
    <w:p w14:paraId="1F72C6B9">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三、项目实施单位</w:t>
      </w:r>
    </w:p>
    <w:p w14:paraId="35BFA030">
      <w:pPr>
        <w:overflowPunct w:val="0"/>
        <w:autoSpaceDE w:val="0"/>
        <w:autoSpaceDN w:val="0"/>
        <w:spacing w:line="596" w:lineRule="exact"/>
        <w:ind w:firstLine="632"/>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中共新平彝族傣族自治县委员会巡察办公室。</w:t>
      </w:r>
    </w:p>
    <w:p w14:paraId="3764021E">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四、项目基本概况</w:t>
      </w:r>
    </w:p>
    <w:p w14:paraId="183619B5">
      <w:pPr>
        <w:overflowPunct w:val="0"/>
        <w:autoSpaceDE w:val="0"/>
        <w:autoSpaceDN w:val="0"/>
        <w:spacing w:line="596" w:lineRule="exact"/>
        <w:ind w:firstLine="632" w:firstLineChars="200"/>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2026年计划开展3轮巡察，分别于3月、6月、9月启动，其中，十三届县委巡察“回头看”1轮组建4个巡察组对县直部门巡察“回头看”下沉调研了解、组建1个巡察组对1个乡镇巡察“回头看”；十四届县委常规巡察2轮，每轮组建5个巡察组，分别对4个县直部门、1个乡镇、10个村（社区）开展巡察。县直部门每组6至8人，乡镇和村级巡察组含驾驶员每组22人左右。</w:t>
      </w:r>
    </w:p>
    <w:p w14:paraId="46FE94F1">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五、项目实施内容</w:t>
      </w:r>
    </w:p>
    <w:p w14:paraId="72029CDA">
      <w:pPr>
        <w:overflowPunct w:val="0"/>
        <w:autoSpaceDE w:val="0"/>
        <w:autoSpaceDN w:val="0"/>
        <w:spacing w:line="596" w:lineRule="exact"/>
        <w:ind w:firstLine="632"/>
        <w:rPr>
          <w:rFonts w:hint="default" w:ascii="Times New Roman" w:hAnsi="Times New Roman" w:eastAsia="方正仿宋_GBK"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以习近平新时代中国特色社会主义思想为指导，把“两个维护”作为根本任务，对照党章党规党纪，对照党的理论和路线方针政策党中央决策部署以及省市县委工作要求，对照被巡察单位“三定”规定，紧紧围绕贯彻落实党的二十大精神情况，聚焦党中央各项决策部署在基层的落实情况，聚焦群众身边腐败问题和不正之风以及群众反映强烈的问题，聚焦基层党组织建设情况，聚焦巡察整改和成果运用情况等开展监督检查。根据每轮巡察任务，共组建5个巡察组每个组设组长1名，副组长2至5名，成员4至20名。对乡镇和村（社区）开展常规巡察的巡察组设3至4个巡察小组，一个小组对乡镇党委的巡察，其余小组对乡镇所辖村（社区）党组织的巡察，每个巡察组人员组成原则上纪检监察、组织人事干部或者有相应工作经历的人员每组不少于1人，有计划地选派后备干部、新任领导干部参加巡察。组长、副组长实行“一次一授权”。</w:t>
      </w:r>
    </w:p>
    <w:p w14:paraId="271673E3">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六、资金安排情况</w:t>
      </w:r>
    </w:p>
    <w:p w14:paraId="7C98E01D">
      <w:pPr>
        <w:overflowPunct w:val="0"/>
        <w:autoSpaceDE w:val="0"/>
        <w:autoSpaceDN w:val="0"/>
        <w:spacing w:line="596" w:lineRule="exact"/>
        <w:ind w:firstLine="632"/>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差旅费（含住宿费和伙食补助费）合计</w:t>
      </w:r>
      <w:r>
        <w:rPr>
          <w:rFonts w:hint="default" w:ascii="Times New Roman" w:hAnsi="Times New Roman" w:eastAsia="宋体" w:cs="Times New Roman"/>
          <w:color w:val="000000" w:themeColor="text1"/>
          <w:szCs w:val="24"/>
          <w14:textFill>
            <w14:solidFill>
              <w14:schemeClr w14:val="tx1"/>
            </w14:solidFill>
          </w14:textFill>
        </w:rPr>
        <w:t>140</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eastAsia="宋体" w:cs="Times New Roman"/>
          <w:color w:val="000000" w:themeColor="text1"/>
          <w:szCs w:val="24"/>
          <w14:textFill>
            <w14:solidFill>
              <w14:schemeClr w14:val="tx1"/>
            </w14:solidFill>
          </w14:textFill>
        </w:rPr>
        <w:t>000.00</w:t>
      </w:r>
      <w:r>
        <w:rPr>
          <w:rFonts w:hint="default" w:ascii="Times New Roman" w:hAnsi="Times New Roman" w:eastAsia="方正仿宋_GBK" w:cs="Times New Roman"/>
          <w:color w:val="000000" w:themeColor="text1"/>
          <w:szCs w:val="24"/>
          <w14:textFill>
            <w14:solidFill>
              <w14:schemeClr w14:val="tx1"/>
            </w14:solidFill>
          </w14:textFill>
        </w:rPr>
        <w:t>元；车辆费用</w:t>
      </w:r>
      <w:r>
        <w:rPr>
          <w:rFonts w:hint="default" w:ascii="Times New Roman" w:hAnsi="Times New Roman" w:eastAsia="宋体" w:cs="Times New Roman"/>
          <w:color w:val="000000" w:themeColor="text1"/>
          <w:szCs w:val="24"/>
          <w14:textFill>
            <w14:solidFill>
              <w14:schemeClr w14:val="tx1"/>
            </w14:solidFill>
          </w14:textFill>
        </w:rPr>
        <w:t>15,000.00</w:t>
      </w:r>
      <w:r>
        <w:rPr>
          <w:rFonts w:hint="default" w:ascii="Times New Roman" w:hAnsi="Times New Roman" w:eastAsia="方正仿宋_GBK" w:cs="Times New Roman"/>
          <w:color w:val="000000" w:themeColor="text1"/>
          <w:szCs w:val="24"/>
          <w14:textFill>
            <w14:solidFill>
              <w14:schemeClr w14:val="tx1"/>
            </w14:solidFill>
          </w14:textFill>
        </w:rPr>
        <w:t>元；办公用品费45,000.00元。每轮巡察计划支出</w:t>
      </w:r>
      <w:r>
        <w:rPr>
          <w:rFonts w:hint="default" w:ascii="Times New Roman" w:hAnsi="Times New Roman" w:eastAsia="宋体" w:cs="Times New Roman"/>
          <w:color w:val="000000" w:themeColor="text1"/>
          <w:szCs w:val="24"/>
          <w14:textFill>
            <w14:solidFill>
              <w14:schemeClr w14:val="tx1"/>
            </w14:solidFill>
          </w14:textFill>
        </w:rPr>
        <w:t>66,666.67</w:t>
      </w:r>
      <w:r>
        <w:rPr>
          <w:rFonts w:hint="default" w:ascii="Times New Roman" w:hAnsi="Times New Roman" w:eastAsia="方正仿宋_GBK" w:cs="Times New Roman"/>
          <w:color w:val="000000" w:themeColor="text1"/>
          <w:szCs w:val="24"/>
          <w14:textFill>
            <w14:solidFill>
              <w14:schemeClr w14:val="tx1"/>
            </w14:solidFill>
          </w14:textFill>
        </w:rPr>
        <w:t>元，3轮共计</w:t>
      </w:r>
      <w:r>
        <w:rPr>
          <w:rFonts w:hint="default" w:ascii="Times New Roman" w:hAnsi="Times New Roman" w:eastAsia="宋体" w:cs="Times New Roman"/>
          <w:color w:val="000000" w:themeColor="text1"/>
          <w:szCs w:val="24"/>
          <w14:textFill>
            <w14:solidFill>
              <w14:schemeClr w14:val="tx1"/>
            </w14:solidFill>
          </w14:textFill>
        </w:rPr>
        <w:t>200,000.00</w:t>
      </w:r>
      <w:r>
        <w:rPr>
          <w:rFonts w:hint="default" w:ascii="Times New Roman" w:hAnsi="Times New Roman" w:eastAsia="方正仿宋_GBK" w:cs="Times New Roman"/>
          <w:color w:val="000000" w:themeColor="text1"/>
          <w:szCs w:val="24"/>
          <w14:textFill>
            <w14:solidFill>
              <w14:schemeClr w14:val="tx1"/>
            </w14:solidFill>
          </w14:textFill>
        </w:rPr>
        <w:t>元。</w:t>
      </w:r>
    </w:p>
    <w:p w14:paraId="31A2838F">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七、项目实施计划</w:t>
      </w:r>
    </w:p>
    <w:p w14:paraId="3904ED79">
      <w:pPr>
        <w:overflowPunct w:val="0"/>
        <w:autoSpaceDE w:val="0"/>
        <w:autoSpaceDN w:val="0"/>
        <w:spacing w:line="596" w:lineRule="exact"/>
        <w:ind w:firstLine="632" w:firstLineChars="200"/>
        <w:rPr>
          <w:rFonts w:hint="default" w:ascii="Times New Roman" w:hAnsi="Times New Roman" w:eastAsia="方正仿宋_GBK"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2026年计划开展3轮巡察，分别于3月、6月、9月启动，其中，十三届县委巡察“回头看”1轮组建4个巡察组对县直部门巡察“回头看”下沉调研了解、组建1个巡察组对1个乡镇巡察“回头看”；十四届县委常规巡察2轮，每轮组建5个巡察组，分别对4个县直部门、1个乡镇、10个村（社区）开展巡察。县直部门每组6至8人，乡镇和村级巡察组含驾驶员每组22人左右。</w:t>
      </w:r>
    </w:p>
    <w:p w14:paraId="06101DE2">
      <w:pPr>
        <w:overflowPunct w:val="0"/>
        <w:autoSpaceDE w:val="0"/>
        <w:autoSpaceDN w:val="0"/>
        <w:spacing w:line="596" w:lineRule="exact"/>
        <w:ind w:firstLine="632"/>
        <w:outlineLvl w:val="1"/>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黑体_GBK" w:cs="Times New Roman"/>
          <w:color w:val="000000" w:themeColor="text1"/>
          <w:szCs w:val="24"/>
          <w14:textFill>
            <w14:solidFill>
              <w14:schemeClr w14:val="tx1"/>
            </w14:solidFill>
          </w14:textFill>
        </w:rPr>
        <w:t>八、项目实施成效</w:t>
      </w:r>
    </w:p>
    <w:p w14:paraId="3D7FA2C7">
      <w:pPr>
        <w:overflowPunct w:val="0"/>
        <w:autoSpaceDE w:val="0"/>
        <w:autoSpaceDN w:val="0"/>
        <w:spacing w:line="596" w:lineRule="exact"/>
        <w:ind w:firstLine="632"/>
        <w:rPr>
          <w:rFonts w:hint="default" w:ascii="Times New Roman" w:hAnsi="Times New Roman" w:eastAsia="Times New Roman"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Cs w:val="24"/>
          <w14:textFill>
            <w14:solidFill>
              <w14:schemeClr w14:val="tx1"/>
            </w14:solidFill>
          </w14:textFill>
        </w:rPr>
        <w:t>充分运用新时代巡视巡察工作的实践经验和理论成果，推动巡察工作向深拓展、向专发力、向下延伸，使巡察制度更加科学、更加规范、更加有效，把巡察利剑磨得更光更亮。政治巡察进一步深化，全县各级各部门和党员领导干部更加自觉维护习近平总书记的核心地位、维护党中央权威和集中统一领导；巡察全覆盖质量进一步提高，加强统筹谋划和组织实施，整合巡察力量，创新优化组织方式，不断提高巡察发现问题的能力和水平；巡察整改和成果运用进一步加强，实现监督、整改、治理有机贯通，政治效果、纪法效果、社会效果有机统一，以巡促改、以巡促建、以巡促治效能聚合叠加；上下联动和贯通协调进一步强化，更好发挥巡察综合监督作用和集成、集束、集中效应，有力助推基层治理能力现代化；巡察工作规范化法治化正规化水平进一步提升，着力打造一支政治过硬、本领高强、忠诚干净担当的巡察铁军。</w:t>
      </w:r>
    </w:p>
    <w:p w14:paraId="2DA3C5C1">
      <w:pPr>
        <w:autoSpaceDE w:val="0"/>
        <w:autoSpaceDN w:val="0"/>
        <w:spacing w:line="596" w:lineRule="exact"/>
        <w:rPr>
          <w:rFonts w:hint="default" w:ascii="Times New Roman" w:hAnsi="Times New Roman" w:eastAsia="方正小标宋_GBK" w:cs="Times New Roman"/>
          <w:color w:val="000000" w:themeColor="text1"/>
          <w:sz w:val="44"/>
          <w:szCs w:val="24"/>
          <w14:textFill>
            <w14:solidFill>
              <w14:schemeClr w14:val="tx1"/>
            </w14:solidFill>
          </w14:textFill>
        </w:rPr>
      </w:pPr>
      <w:r>
        <w:rPr>
          <w:rFonts w:hint="default" w:ascii="Times New Roman" w:hAnsi="Times New Roman" w:eastAsia="方正小标宋_GBK" w:cs="Times New Roman"/>
          <w:color w:val="000000" w:themeColor="text1"/>
          <w:sz w:val="44"/>
          <w:szCs w:val="24"/>
          <w14:textFill>
            <w14:solidFill>
              <w14:schemeClr w14:val="tx1"/>
            </w14:solidFill>
          </w14:textFill>
        </w:rPr>
        <w:br w:type="page"/>
      </w:r>
    </w:p>
    <w:p w14:paraId="2B43E7C9">
      <w:pPr>
        <w:autoSpaceDE w:val="0"/>
        <w:autoSpaceDN w:val="0"/>
        <w:spacing w:after="600" w:afterLines="100" w:line="596" w:lineRule="exact"/>
        <w:jc w:val="center"/>
        <w:outlineLvl w:val="0"/>
        <w:rPr>
          <w:rFonts w:hint="default" w:ascii="Times New Roman" w:hAnsi="Times New Roman" w:eastAsia="方正小标宋_GBK" w:cs="Times New Roman"/>
          <w:color w:val="000000" w:themeColor="text1"/>
          <w:sz w:val="44"/>
          <w:szCs w:val="24"/>
          <w14:textFill>
            <w14:solidFill>
              <w14:schemeClr w14:val="tx1"/>
            </w14:solidFill>
          </w14:textFill>
        </w:rPr>
      </w:pPr>
      <w:r>
        <w:rPr>
          <w:rFonts w:hint="default" w:ascii="Times New Roman" w:hAnsi="Times New Roman" w:eastAsia="方正小标宋_GBK" w:cs="Times New Roman"/>
          <w:color w:val="000000" w:themeColor="text1"/>
          <w:sz w:val="44"/>
          <w:szCs w:val="24"/>
          <w14:textFill>
            <w14:solidFill>
              <w14:schemeClr w14:val="tx1"/>
            </w14:solidFill>
          </w14:textFill>
        </w:rPr>
        <w:t>中共新平彝族傣族自治县纪律检查委员会</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2026年部门预算重点领域财政</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项目文本（</w:t>
      </w:r>
      <w:r>
        <w:rPr>
          <w:rFonts w:ascii="Times New Roman" w:hAnsi="Times New Roman" w:eastAsia="方正小标宋_GBK" w:cs="Times New Roman"/>
          <w:color w:val="000000" w:themeColor="text1"/>
          <w:sz w:val="44"/>
          <w:szCs w:val="24"/>
          <w14:textFill>
            <w14:solidFill>
              <w14:schemeClr w14:val="tx1"/>
            </w14:solidFill>
          </w14:textFill>
        </w:rPr>
        <w:t>二</w:t>
      </w:r>
      <w:r>
        <w:rPr>
          <w:rFonts w:hint="default" w:ascii="Times New Roman" w:hAnsi="Times New Roman" w:eastAsia="方正小标宋_GBK" w:cs="Times New Roman"/>
          <w:color w:val="000000" w:themeColor="text1"/>
          <w:sz w:val="44"/>
          <w:szCs w:val="24"/>
          <w14:textFill>
            <w14:solidFill>
              <w14:schemeClr w14:val="tx1"/>
            </w14:solidFill>
          </w14:textFill>
        </w:rPr>
        <w:t>）</w:t>
      </w:r>
    </w:p>
    <w:p w14:paraId="09BAE5A2">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一、项目名称</w:t>
      </w:r>
    </w:p>
    <w:p w14:paraId="052B456B">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新平县反腐倡廉警示教育中心运行经费</w:t>
      </w:r>
      <w:r>
        <w:rPr>
          <w:rFonts w:hint="default" w:ascii="Times New Roman" w:hAnsi="Times New Roman" w:eastAsia="方正仿宋_GBK" w:cs="Times New Roman"/>
          <w:color w:val="000000" w:themeColor="text1"/>
          <w:kern w:val="0"/>
          <w:szCs w:val="32"/>
          <w14:textFill>
            <w14:solidFill>
              <w14:schemeClr w14:val="tx1"/>
            </w14:solidFill>
          </w14:textFill>
        </w:rPr>
        <w:t>。</w:t>
      </w:r>
    </w:p>
    <w:p w14:paraId="5DE82B72">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二、立项依据</w:t>
      </w:r>
    </w:p>
    <w:p w14:paraId="688D36AE">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由于中心属于事业单位，无行政运行保障经费，人员保障经费人均4</w:t>
      </w:r>
      <w:r>
        <w:rPr>
          <w:rFonts w:hint="default" w:ascii="Times New Roman" w:hAnsi="Times New Roman" w:eastAsia="方正仿宋_GBK" w:cs="Times New Roman"/>
          <w:color w:val="000000" w:themeColor="text1"/>
          <w:kern w:val="0"/>
          <w:szCs w:val="32"/>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200.00元、共12</w:t>
      </w:r>
      <w:r>
        <w:rPr>
          <w:rFonts w:hint="default" w:ascii="Times New Roman" w:hAnsi="Times New Roman" w:eastAsia="方正仿宋_GBK" w:cs="Times New Roman"/>
          <w:color w:val="000000" w:themeColor="text1"/>
          <w:kern w:val="0"/>
          <w:szCs w:val="32"/>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600.00元，无法保障中心各项工作正常运行。为保障中心开展廉政警示教育、承接省市县留置专案等工作的正常运行，县财政以事业运行保障经费预算形式予以支持保障，且单位获得领导的支持，通过了中共新平县纪律检查委员会常委会第一百六十五期会议。</w:t>
      </w:r>
    </w:p>
    <w:p w14:paraId="2B201FF8">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三、项目实施单位</w:t>
      </w:r>
    </w:p>
    <w:p w14:paraId="35C5AD2B">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新平彝族傣族自治县反腐倡廉警示教育中心</w:t>
      </w:r>
      <w:r>
        <w:rPr>
          <w:rFonts w:hint="default" w:ascii="Times New Roman" w:hAnsi="Times New Roman" w:eastAsia="方正仿宋_GBK" w:cs="Times New Roman"/>
          <w:color w:val="000000" w:themeColor="text1"/>
          <w:kern w:val="0"/>
          <w:szCs w:val="32"/>
          <w14:textFill>
            <w14:solidFill>
              <w14:schemeClr w14:val="tx1"/>
            </w14:solidFill>
          </w14:textFill>
        </w:rPr>
        <w:t>。</w:t>
      </w:r>
    </w:p>
    <w:p w14:paraId="79F8AA01">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四、项目基本概况</w:t>
      </w:r>
    </w:p>
    <w:p w14:paraId="40BC4506">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中心占地面积4.80亩（3,241.00㎡），建筑总面积1,685.10㎡，由于中心属于事业单位，无行政运行保障经费，仅有人员保障经费，无法保障中心正常运行。为保障中心开展廉政廉洁教育、承接市县留置专案等工作的正常运行，县财政以事业运行保障经费预算形式予以支持保障。2018年保障经费280,000.00元，2019年保障经费350,000.00元，2020年保障经费350,000.00元，2021年保障经费350,000.00元，2022年保障经费350,000.00元，2023年保障经费300,000.00元，2024年保障经费300,000.00元，2025年保障经费300,000.00元。主要用于中心的水电、网络、办公耗材、办案系统运行维护、日常工作运行维护修缮等支出。2026年，单位目标：完成对2,000名以上党员、干部、公职人员的廉洁纪律教育工作，满意率达到90.00%以上，同时完成对办案点功能办公室、值班室的维修维护保障。做好驻点办案人员的后勤工作。</w:t>
      </w:r>
    </w:p>
    <w:p w14:paraId="264CEB2A">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五、项目实施内容</w:t>
      </w:r>
    </w:p>
    <w:p w14:paraId="12FD9235">
      <w:pPr>
        <w:widowControl/>
        <w:numPr>
          <w:ilvl w:val="0"/>
          <w:numId w:val="1"/>
        </w:numPr>
        <w:autoSpaceDE w:val="0"/>
        <w:autoSpaceDN w:val="0"/>
        <w:spacing w:line="596" w:lineRule="exact"/>
        <w:ind w:firstLine="640"/>
        <w:jc w:val="left"/>
        <w:rPr>
          <w:rFonts w:hint="default" w:ascii="Times New Roman" w:hAnsi="Times New Roman" w:eastAsia="方正楷体_GBK" w:cs="Times New Roman"/>
          <w:color w:val="000000" w:themeColor="text1"/>
          <w:kern w:val="0"/>
          <w:szCs w:val="32"/>
          <w14:textFill>
            <w14:solidFill>
              <w14:schemeClr w14:val="tx1"/>
            </w14:solidFill>
          </w14:textFill>
        </w:rPr>
      </w:pPr>
      <w:r>
        <w:rPr>
          <w:rFonts w:hint="default" w:ascii="Times New Roman" w:hAnsi="Times New Roman" w:eastAsia="方正楷体_GBK" w:cs="Times New Roman"/>
          <w:color w:val="000000" w:themeColor="text1"/>
          <w:kern w:val="0"/>
          <w:szCs w:val="32"/>
          <w14:textFill>
            <w14:solidFill>
              <w14:schemeClr w14:val="tx1"/>
            </w14:solidFill>
          </w14:textFill>
        </w:rPr>
        <w:t>运行公用经费</w:t>
      </w:r>
    </w:p>
    <w:p w14:paraId="73EA61D4">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保证单位正常运转，在单位日常工作和后勤服务等方面开支的费用。</w:t>
      </w:r>
    </w:p>
    <w:p w14:paraId="4EFDE0B6">
      <w:pPr>
        <w:widowControl/>
        <w:numPr>
          <w:ilvl w:val="0"/>
          <w:numId w:val="1"/>
        </w:numPr>
        <w:autoSpaceDE w:val="0"/>
        <w:autoSpaceDN w:val="0"/>
        <w:spacing w:line="596" w:lineRule="exact"/>
        <w:ind w:firstLine="640"/>
        <w:jc w:val="left"/>
        <w:rPr>
          <w:rFonts w:hint="default" w:ascii="Times New Roman" w:hAnsi="Times New Roman" w:eastAsia="方正楷体_GBK" w:cs="Times New Roman"/>
          <w:color w:val="000000" w:themeColor="text1"/>
          <w:kern w:val="0"/>
          <w:szCs w:val="32"/>
          <w14:textFill>
            <w14:solidFill>
              <w14:schemeClr w14:val="tx1"/>
            </w14:solidFill>
          </w14:textFill>
        </w:rPr>
      </w:pPr>
      <w:r>
        <w:rPr>
          <w:rFonts w:hint="default" w:ascii="Times New Roman" w:hAnsi="Times New Roman" w:eastAsia="方正楷体_GBK" w:cs="Times New Roman"/>
          <w:color w:val="000000" w:themeColor="text1"/>
          <w:kern w:val="0"/>
          <w:szCs w:val="32"/>
          <w14:textFill>
            <w14:solidFill>
              <w14:schemeClr w14:val="tx1"/>
            </w14:solidFill>
          </w14:textFill>
        </w:rPr>
        <w:t>公用经费范围</w:t>
      </w:r>
    </w:p>
    <w:p w14:paraId="37EEA055">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水费、电费、电信网络费、采购费、办公费、绿化、展厅和办案区系统等日常维修维护等。具体情况如下：</w:t>
      </w:r>
    </w:p>
    <w:p w14:paraId="353CB47F">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Cs w:val="32"/>
          <w14:textFill>
            <w14:solidFill>
              <w14:schemeClr w14:val="tx1"/>
            </w14:solidFill>
          </w14:textFill>
        </w:rPr>
        <w:t>办公费：反映购置的不符合固定资产确认标准的日常办公用品等支出。如消耗性日常运行用品。</w:t>
      </w:r>
    </w:p>
    <w:p w14:paraId="3A1126EB">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2</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Cs w:val="32"/>
          <w14:textFill>
            <w14:solidFill>
              <w14:schemeClr w14:val="tx1"/>
            </w14:solidFill>
          </w14:textFill>
        </w:rPr>
        <w:t>水费：反映单位支付的水费、污水处理费等支出。</w:t>
      </w:r>
    </w:p>
    <w:p w14:paraId="39451A40">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3</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Cs w:val="32"/>
          <w14:textFill>
            <w14:solidFill>
              <w14:schemeClr w14:val="tx1"/>
            </w14:solidFill>
          </w14:textFill>
        </w:rPr>
        <w:t>电费：反映单位的电费支出。</w:t>
      </w:r>
    </w:p>
    <w:p w14:paraId="1D483579">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4</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Cs w:val="32"/>
          <w14:textFill>
            <w14:solidFill>
              <w14:schemeClr w14:val="tx1"/>
            </w14:solidFill>
          </w14:textFill>
        </w:rPr>
        <w:t>电信网络费：反映单位网络使用网络信息系统运行与维护等费用。</w:t>
      </w:r>
    </w:p>
    <w:p w14:paraId="71DAA48C">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5</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Cs w:val="32"/>
          <w14:textFill>
            <w14:solidFill>
              <w14:schemeClr w14:val="tx1"/>
            </w14:solidFill>
          </w14:textFill>
        </w:rPr>
        <w:t>维修（护）费：展厅区展板的年度更新更换费用；办公区、食堂区、留置办案区系统安全维护以及日常设施设备用品维修费用；绿化区绿化施肥维护方面的费用。总体反映单位日常开支的固定资产修理和维护费用。</w:t>
      </w:r>
    </w:p>
    <w:p w14:paraId="21035E02">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6</w:t>
      </w:r>
      <w:r>
        <w:rPr>
          <w:rFonts w:hint="eastAsia" w:ascii="Times New Roman" w:hAnsi="Times New Roman" w:eastAsia="方正仿宋_GBK" w:cs="Times New Roman"/>
          <w:color w:val="000000" w:themeColor="text1"/>
          <w:kern w:val="0"/>
          <w:szCs w:val="32"/>
          <w:lang w:val="en-US" w:eastAsia="zh-CN"/>
          <w14:textFill>
            <w14:solidFill>
              <w14:schemeClr w14:val="tx1"/>
            </w14:solidFill>
          </w14:textFill>
        </w:rPr>
        <w:t>．</w:t>
      </w:r>
      <w:bookmarkStart w:id="0" w:name="_GoBack"/>
      <w:bookmarkEnd w:id="0"/>
      <w:r>
        <w:rPr>
          <w:rFonts w:hint="default" w:ascii="Times New Roman" w:hAnsi="Times New Roman" w:eastAsia="方正仿宋_GBK" w:cs="Times New Roman"/>
          <w:color w:val="000000" w:themeColor="text1"/>
          <w:kern w:val="0"/>
          <w:szCs w:val="32"/>
          <w14:textFill>
            <w14:solidFill>
              <w14:schemeClr w14:val="tx1"/>
            </w14:solidFill>
          </w14:textFill>
        </w:rPr>
        <w:t>资产购置费：反映采购的纳入固定资产的办公用品。</w:t>
      </w:r>
    </w:p>
    <w:p w14:paraId="1FD58881">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六、资金安排情况</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746"/>
        <w:gridCol w:w="1731"/>
        <w:gridCol w:w="1236"/>
        <w:gridCol w:w="1979"/>
      </w:tblGrid>
      <w:tr w14:paraId="726D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53" w:type="dxa"/>
          </w:tcPr>
          <w:p w14:paraId="37A40B93">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内 容</w:t>
            </w:r>
          </w:p>
        </w:tc>
        <w:tc>
          <w:tcPr>
            <w:tcW w:w="1746" w:type="dxa"/>
          </w:tcPr>
          <w:p w14:paraId="78329A15">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单价（元）</w:t>
            </w:r>
          </w:p>
        </w:tc>
        <w:tc>
          <w:tcPr>
            <w:tcW w:w="1731" w:type="dxa"/>
          </w:tcPr>
          <w:p w14:paraId="132E08E2">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用 量</w:t>
            </w:r>
          </w:p>
        </w:tc>
        <w:tc>
          <w:tcPr>
            <w:tcW w:w="1236" w:type="dxa"/>
          </w:tcPr>
          <w:p w14:paraId="1C0D8C41">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单 位</w:t>
            </w:r>
          </w:p>
        </w:tc>
        <w:tc>
          <w:tcPr>
            <w:tcW w:w="1979" w:type="dxa"/>
          </w:tcPr>
          <w:p w14:paraId="4F2132E6">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总 价（元）</w:t>
            </w:r>
          </w:p>
        </w:tc>
      </w:tr>
      <w:tr w14:paraId="008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53" w:type="dxa"/>
          </w:tcPr>
          <w:p w14:paraId="0E672ABE">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电费</w:t>
            </w:r>
          </w:p>
        </w:tc>
        <w:tc>
          <w:tcPr>
            <w:tcW w:w="1746" w:type="dxa"/>
          </w:tcPr>
          <w:p w14:paraId="704F1FBB">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0.50</w:t>
            </w:r>
          </w:p>
        </w:tc>
        <w:tc>
          <w:tcPr>
            <w:tcW w:w="1731" w:type="dxa"/>
          </w:tcPr>
          <w:p w14:paraId="5FC43C4D">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110,000.00</w:t>
            </w:r>
          </w:p>
        </w:tc>
        <w:tc>
          <w:tcPr>
            <w:tcW w:w="1236" w:type="dxa"/>
          </w:tcPr>
          <w:p w14:paraId="2864247A">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度</w:t>
            </w:r>
          </w:p>
        </w:tc>
        <w:tc>
          <w:tcPr>
            <w:tcW w:w="1979" w:type="dxa"/>
          </w:tcPr>
          <w:p w14:paraId="27F0850F">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55,000.00</w:t>
            </w:r>
          </w:p>
        </w:tc>
      </w:tr>
      <w:tr w14:paraId="2A7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53" w:type="dxa"/>
          </w:tcPr>
          <w:p w14:paraId="1075DCBA">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水费</w:t>
            </w:r>
          </w:p>
        </w:tc>
        <w:tc>
          <w:tcPr>
            <w:tcW w:w="1746" w:type="dxa"/>
          </w:tcPr>
          <w:p w14:paraId="0D19D016">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5.00</w:t>
            </w:r>
          </w:p>
        </w:tc>
        <w:tc>
          <w:tcPr>
            <w:tcW w:w="1731" w:type="dxa"/>
          </w:tcPr>
          <w:p w14:paraId="7CCD64C2">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4,000.00</w:t>
            </w:r>
          </w:p>
        </w:tc>
        <w:tc>
          <w:tcPr>
            <w:tcW w:w="1236" w:type="dxa"/>
          </w:tcPr>
          <w:p w14:paraId="7B6D284A">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立方米</w:t>
            </w:r>
          </w:p>
        </w:tc>
        <w:tc>
          <w:tcPr>
            <w:tcW w:w="1979" w:type="dxa"/>
          </w:tcPr>
          <w:p w14:paraId="6F02C4E2">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20,000.00</w:t>
            </w:r>
          </w:p>
        </w:tc>
      </w:tr>
      <w:tr w14:paraId="19CC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53" w:type="dxa"/>
          </w:tcPr>
          <w:p w14:paraId="1225D04E">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电信网络费</w:t>
            </w:r>
          </w:p>
        </w:tc>
        <w:tc>
          <w:tcPr>
            <w:tcW w:w="1746" w:type="dxa"/>
          </w:tcPr>
          <w:p w14:paraId="5F159DC3">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30,000.00</w:t>
            </w:r>
          </w:p>
        </w:tc>
        <w:tc>
          <w:tcPr>
            <w:tcW w:w="1731" w:type="dxa"/>
          </w:tcPr>
          <w:p w14:paraId="7C6F836D">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w:t>
            </w:r>
          </w:p>
        </w:tc>
        <w:tc>
          <w:tcPr>
            <w:tcW w:w="1236" w:type="dxa"/>
          </w:tcPr>
          <w:p w14:paraId="466AEB23">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年</w:t>
            </w:r>
          </w:p>
        </w:tc>
        <w:tc>
          <w:tcPr>
            <w:tcW w:w="1979" w:type="dxa"/>
          </w:tcPr>
          <w:p w14:paraId="4BC189DA">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30,000.00</w:t>
            </w:r>
          </w:p>
        </w:tc>
      </w:tr>
      <w:tr w14:paraId="1E9D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053" w:type="dxa"/>
          </w:tcPr>
          <w:p w14:paraId="6FFF9D04">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维修维护费</w:t>
            </w:r>
          </w:p>
        </w:tc>
        <w:tc>
          <w:tcPr>
            <w:tcW w:w="1746" w:type="dxa"/>
          </w:tcPr>
          <w:p w14:paraId="7A895133">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55,200.00</w:t>
            </w:r>
          </w:p>
        </w:tc>
        <w:tc>
          <w:tcPr>
            <w:tcW w:w="1731" w:type="dxa"/>
          </w:tcPr>
          <w:p w14:paraId="0250FF9D">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w:t>
            </w:r>
          </w:p>
        </w:tc>
        <w:tc>
          <w:tcPr>
            <w:tcW w:w="1236" w:type="dxa"/>
          </w:tcPr>
          <w:p w14:paraId="3411F85C">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批次</w:t>
            </w:r>
          </w:p>
        </w:tc>
        <w:tc>
          <w:tcPr>
            <w:tcW w:w="1979" w:type="dxa"/>
          </w:tcPr>
          <w:p w14:paraId="5A685606">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55,200.00</w:t>
            </w:r>
          </w:p>
        </w:tc>
      </w:tr>
      <w:tr w14:paraId="2725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53" w:type="dxa"/>
          </w:tcPr>
          <w:p w14:paraId="00AA5132">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办公费</w:t>
            </w:r>
          </w:p>
        </w:tc>
        <w:tc>
          <w:tcPr>
            <w:tcW w:w="1746" w:type="dxa"/>
          </w:tcPr>
          <w:p w14:paraId="5D030010">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40,000.00</w:t>
            </w:r>
          </w:p>
        </w:tc>
        <w:tc>
          <w:tcPr>
            <w:tcW w:w="1731" w:type="dxa"/>
          </w:tcPr>
          <w:p w14:paraId="20B607B7">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0.62</w:t>
            </w:r>
          </w:p>
        </w:tc>
        <w:tc>
          <w:tcPr>
            <w:tcW w:w="1236" w:type="dxa"/>
          </w:tcPr>
          <w:p w14:paraId="1A4D4307">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批次</w:t>
            </w:r>
          </w:p>
        </w:tc>
        <w:tc>
          <w:tcPr>
            <w:tcW w:w="1979" w:type="dxa"/>
          </w:tcPr>
          <w:p w14:paraId="55C1C27A">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24,800.00</w:t>
            </w:r>
          </w:p>
        </w:tc>
      </w:tr>
      <w:tr w14:paraId="2A8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053" w:type="dxa"/>
          </w:tcPr>
          <w:p w14:paraId="3DE9484C">
            <w:pPr>
              <w:widowControl/>
              <w:autoSpaceDE w:val="0"/>
              <w:autoSpaceDN w:val="0"/>
              <w:spacing w:line="590" w:lineRule="exac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资产购置</w:t>
            </w:r>
          </w:p>
        </w:tc>
        <w:tc>
          <w:tcPr>
            <w:tcW w:w="1746" w:type="dxa"/>
          </w:tcPr>
          <w:p w14:paraId="071F97CC">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10,000.00</w:t>
            </w:r>
          </w:p>
        </w:tc>
        <w:tc>
          <w:tcPr>
            <w:tcW w:w="1731" w:type="dxa"/>
          </w:tcPr>
          <w:p w14:paraId="4381A071">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1.50</w:t>
            </w:r>
          </w:p>
        </w:tc>
        <w:tc>
          <w:tcPr>
            <w:tcW w:w="1236" w:type="dxa"/>
          </w:tcPr>
          <w:p w14:paraId="38096657">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批次</w:t>
            </w:r>
          </w:p>
        </w:tc>
        <w:tc>
          <w:tcPr>
            <w:tcW w:w="1979" w:type="dxa"/>
          </w:tcPr>
          <w:p w14:paraId="3BEB00B6">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15,000.00</w:t>
            </w:r>
          </w:p>
        </w:tc>
      </w:tr>
      <w:tr w14:paraId="0E99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66" w:type="dxa"/>
            <w:gridSpan w:val="4"/>
          </w:tcPr>
          <w:p w14:paraId="6450D384">
            <w:pPr>
              <w:widowControl/>
              <w:autoSpaceDE w:val="0"/>
              <w:autoSpaceDN w:val="0"/>
              <w:spacing w:line="590" w:lineRule="exact"/>
              <w:jc w:val="center"/>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合计</w:t>
            </w:r>
          </w:p>
        </w:tc>
        <w:tc>
          <w:tcPr>
            <w:tcW w:w="1979" w:type="dxa"/>
          </w:tcPr>
          <w:p w14:paraId="249C78CC">
            <w:pPr>
              <w:widowControl/>
              <w:autoSpaceDE w:val="0"/>
              <w:autoSpaceDN w:val="0"/>
              <w:spacing w:line="590" w:lineRule="exact"/>
              <w:jc w:val="right"/>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200,000.00</w:t>
            </w:r>
          </w:p>
        </w:tc>
      </w:tr>
    </w:tbl>
    <w:p w14:paraId="27EB2198">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七、项目实施计划</w:t>
      </w:r>
    </w:p>
    <w:p w14:paraId="5B7F4BA7">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计划开展时间：2026年1月至12月。</w:t>
      </w:r>
    </w:p>
    <w:p w14:paraId="14649F91">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八、项目实施成效</w:t>
      </w:r>
    </w:p>
    <w:p w14:paraId="03236E54">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项目实施后，能完成对全县党员、干部以及公职人员的廉洁纪律教育活动，同时也保障留置点驻点办案人员的后勤服务，保证单位的正常运行（水费、电费、办公费、网络服务费、维修维护费等）。</w:t>
      </w:r>
    </w:p>
    <w:p w14:paraId="43E6336B">
      <w:pPr>
        <w:autoSpaceDE w:val="0"/>
        <w:autoSpaceDN w:val="0"/>
        <w:spacing w:line="596" w:lineRule="exact"/>
        <w:rPr>
          <w:rFonts w:hint="default" w:ascii="Times New Roman" w:hAnsi="Times New Roman" w:eastAsia="方正小标宋_GBK" w:cs="Times New Roman"/>
          <w:color w:val="000000" w:themeColor="text1"/>
          <w:sz w:val="44"/>
          <w:szCs w:val="24"/>
          <w14:textFill>
            <w14:solidFill>
              <w14:schemeClr w14:val="tx1"/>
            </w14:solidFill>
          </w14:textFill>
        </w:rPr>
      </w:pPr>
      <w:r>
        <w:rPr>
          <w:rFonts w:hint="default" w:ascii="Times New Roman" w:hAnsi="Times New Roman" w:eastAsia="方正小标宋_GBK" w:cs="Times New Roman"/>
          <w:color w:val="000000" w:themeColor="text1"/>
          <w:sz w:val="44"/>
          <w:szCs w:val="24"/>
          <w14:textFill>
            <w14:solidFill>
              <w14:schemeClr w14:val="tx1"/>
            </w14:solidFill>
          </w14:textFill>
        </w:rPr>
        <w:br w:type="page"/>
      </w:r>
    </w:p>
    <w:p w14:paraId="166F4C82">
      <w:pPr>
        <w:autoSpaceDE w:val="0"/>
        <w:autoSpaceDN w:val="0"/>
        <w:spacing w:after="600" w:afterLines="100" w:line="596" w:lineRule="exact"/>
        <w:jc w:val="center"/>
        <w:outlineLvl w:val="0"/>
        <w:rPr>
          <w:rFonts w:hint="default" w:ascii="Times New Roman" w:hAnsi="Times New Roman" w:eastAsia="方正小标宋_GBK" w:cs="Times New Roman"/>
          <w:color w:val="000000" w:themeColor="text1"/>
          <w:sz w:val="44"/>
          <w:szCs w:val="24"/>
          <w14:textFill>
            <w14:solidFill>
              <w14:schemeClr w14:val="tx1"/>
            </w14:solidFill>
          </w14:textFill>
        </w:rPr>
      </w:pPr>
      <w:r>
        <w:rPr>
          <w:rFonts w:hint="default" w:ascii="Times New Roman" w:hAnsi="Times New Roman" w:eastAsia="方正小标宋_GBK" w:cs="Times New Roman"/>
          <w:color w:val="000000" w:themeColor="text1"/>
          <w:sz w:val="44"/>
          <w:szCs w:val="24"/>
          <w14:textFill>
            <w14:solidFill>
              <w14:schemeClr w14:val="tx1"/>
            </w14:solidFill>
          </w14:textFill>
        </w:rPr>
        <w:t>中共新平彝族傣族自治县纪律检查委员会</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2026年部门预算重点领域财政</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项目文本（三）</w:t>
      </w:r>
    </w:p>
    <w:p w14:paraId="75731731">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一、项目名称</w:t>
      </w:r>
    </w:p>
    <w:p w14:paraId="487FED28">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物业管理服务派遣经费。</w:t>
      </w:r>
    </w:p>
    <w:p w14:paraId="55B9A654">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二、立项依据</w:t>
      </w:r>
    </w:p>
    <w:p w14:paraId="2642D043">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在2026年12月31日与物业公司签订了合同，为期2年。2026年1月1日起至2027年12月31日止。</w:t>
      </w:r>
    </w:p>
    <w:p w14:paraId="24C6A24A">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三、项目实施单位</w:t>
      </w:r>
    </w:p>
    <w:p w14:paraId="68BA1515">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新平彝族傣族自治县反腐倡廉警示教育中心。</w:t>
      </w:r>
    </w:p>
    <w:p w14:paraId="5B9AAE5C">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四、项目基本概况</w:t>
      </w:r>
    </w:p>
    <w:p w14:paraId="50E386D0">
      <w:pPr>
        <w:pStyle w:val="2"/>
        <w:autoSpaceDE w:val="0"/>
        <w:autoSpaceDN w:val="0"/>
        <w:spacing w:beforeAutospacing="0" w:afterAutospacing="0" w:line="596" w:lineRule="exact"/>
        <w:ind w:firstLine="632" w:firstLineChars="200"/>
        <w:jc w:val="both"/>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2018年8月，中心负责管理的办案点被省纪委监委、市纪委监委确定为“玉溪市监察委员会留置场所新平分点”，开始负责承担省、市、县纪委监委驻点查办留置案件的后勤服务、技术保障和综合协调等工作。2022年6月按省市纪委监委部署，为进一步加强纪检监察机关留置对象的疫情防控工作，要求中心在“玉溪市监察委员会留置场所新平分点”的基础上提升打造“玉溪市留置隔离专区”，负责承接市纪委监委统一安排的驻点留置隔离任务。为解决“专区”后勤服务保障力量不足等问题，经县纪委第45期常委会研究同意中心采用“政府购买服务+物业管理”模式解决上述问题，新增物业管理人员6人。该模式一直运行至今。</w:t>
      </w:r>
    </w:p>
    <w:p w14:paraId="3AC34ACE">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五、项目实施内容</w:t>
      </w:r>
    </w:p>
    <w:p w14:paraId="10658C88">
      <w:pPr>
        <w:pStyle w:val="2"/>
        <w:autoSpaceDE w:val="0"/>
        <w:autoSpaceDN w:val="0"/>
        <w:spacing w:beforeAutospacing="0" w:afterAutospacing="0" w:line="596" w:lineRule="exact"/>
        <w:ind w:firstLine="632" w:firstLineChars="200"/>
        <w:jc w:val="both"/>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物业管理人员6人。2026年度按全年来计算，人员经费183,600.00元（2,550.00元/人/月）；管理服务费18,360.00元（10月份做该项目编制时按原合同总人员经费的10.00%来计算，后于12月31日签订新合同时管理服务费为3,672.00元，按2.00%来计算）；以上均为采购。</w:t>
      </w:r>
    </w:p>
    <w:p w14:paraId="56AA13D0">
      <w:pPr>
        <w:pStyle w:val="2"/>
        <w:autoSpaceDE w:val="0"/>
        <w:autoSpaceDN w:val="0"/>
        <w:spacing w:beforeAutospacing="0" w:afterAutospacing="0" w:line="596" w:lineRule="exact"/>
        <w:ind w:firstLine="632" w:firstLineChars="200"/>
        <w:jc w:val="both"/>
        <w:rPr>
          <w:rFonts w:hint="default" w:ascii="Times New Roman" w:hAnsi="Times New Roman" w:eastAsia="仿宋_GB2312" w:cs="Times New Roman"/>
          <w:b w:val="0"/>
          <w:bCs/>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其他按实际产生结算支出费用预算18,040.00元（含2025年度12月欠发放人员经费15,300.00元。此笔费用不包含在2026年采购项目里）共计220,000.00元。</w:t>
      </w:r>
    </w:p>
    <w:p w14:paraId="238929D5">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六、资金安排情况</w:t>
      </w:r>
    </w:p>
    <w:p w14:paraId="1890CD5C">
      <w:pPr>
        <w:pStyle w:val="2"/>
        <w:autoSpaceDE w:val="0"/>
        <w:autoSpaceDN w:val="0"/>
        <w:spacing w:beforeAutospacing="0" w:afterAutospacing="0" w:line="596" w:lineRule="exact"/>
        <w:ind w:firstLine="632" w:firstLineChars="200"/>
        <w:jc w:val="both"/>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2026年度按全年来计算，人员经费183,600.00元（2,550.00元/人/月）；管理服务费3,672.00元（总人员经费的2.00%）；其他按实际产生结算支出费用预算（额外服务费用按此表中实际产生结算）。</w:t>
      </w:r>
    </w:p>
    <w:tbl>
      <w:tblPr>
        <w:tblStyle w:val="8"/>
        <w:tblW w:w="9695" w:type="dxa"/>
        <w:jc w:val="center"/>
        <w:tblLayout w:type="fixed"/>
        <w:tblCellMar>
          <w:top w:w="0" w:type="dxa"/>
          <w:left w:w="0" w:type="dxa"/>
          <w:bottom w:w="0" w:type="dxa"/>
          <w:right w:w="0" w:type="dxa"/>
        </w:tblCellMar>
      </w:tblPr>
      <w:tblGrid>
        <w:gridCol w:w="416"/>
        <w:gridCol w:w="751"/>
        <w:gridCol w:w="793"/>
        <w:gridCol w:w="416"/>
        <w:gridCol w:w="4467"/>
        <w:gridCol w:w="459"/>
        <w:gridCol w:w="2393"/>
      </w:tblGrid>
      <w:tr w14:paraId="0DE512E4">
        <w:tblPrEx>
          <w:tblCellMar>
            <w:top w:w="0" w:type="dxa"/>
            <w:left w:w="0" w:type="dxa"/>
            <w:bottom w:w="0" w:type="dxa"/>
            <w:right w:w="0" w:type="dxa"/>
          </w:tblCellMar>
        </w:tblPrEx>
        <w:trPr>
          <w:trHeight w:val="1115" w:hRule="atLeast"/>
          <w:jc w:val="center"/>
        </w:trPr>
        <w:tc>
          <w:tcPr>
            <w:tcW w:w="96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466DF">
            <w:pPr>
              <w:widowControl/>
              <w:autoSpaceDE w:val="0"/>
              <w:autoSpaceDN w:val="0"/>
              <w:jc w:val="center"/>
              <w:textAlignment w:val="center"/>
              <w:rPr>
                <w:rFonts w:hint="default" w:ascii="Times New Roman" w:hAnsi="Times New Roman" w:eastAsia="方正仿宋_GBK" w:cs="Times New Roman"/>
                <w:b/>
                <w:color w:val="000000" w:themeColor="text1"/>
                <w:szCs w:val="32"/>
                <w14:textFill>
                  <w14:solidFill>
                    <w14:schemeClr w14:val="tx1"/>
                  </w14:solidFill>
                </w14:textFill>
              </w:rPr>
            </w:pPr>
            <w:r>
              <w:rPr>
                <w:rFonts w:hint="default" w:ascii="Times New Roman" w:hAnsi="Times New Roman" w:eastAsia="方正仿宋_GBK" w:cs="Times New Roman"/>
                <w:bCs/>
                <w:color w:val="000000" w:themeColor="text1"/>
                <w:kern w:val="0"/>
                <w:szCs w:val="32"/>
                <w:lang w:bidi="ar"/>
                <w14:textFill>
                  <w14:solidFill>
                    <w14:schemeClr w14:val="tx1"/>
                  </w14:solidFill>
                </w14:textFill>
              </w:rPr>
              <w:t>新平彝族傣族自治县反腐倡廉警示教育中心物业管理服务费用测算表</w:t>
            </w:r>
          </w:p>
        </w:tc>
      </w:tr>
      <w:tr w14:paraId="48A385DB">
        <w:tblPrEx>
          <w:tblCellMar>
            <w:top w:w="0" w:type="dxa"/>
            <w:left w:w="0" w:type="dxa"/>
            <w:bottom w:w="0" w:type="dxa"/>
            <w:right w:w="0" w:type="dxa"/>
          </w:tblCellMar>
        </w:tblPrEx>
        <w:trPr>
          <w:trHeight w:val="665"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31FB1">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一</w:t>
            </w:r>
          </w:p>
        </w:tc>
        <w:tc>
          <w:tcPr>
            <w:tcW w:w="927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CE17D">
            <w:pPr>
              <w:widowControl/>
              <w:autoSpaceDE w:val="0"/>
              <w:autoSpaceDN w:val="0"/>
              <w:jc w:val="left"/>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人员配置及待遇 （共计6人，通过县国源人力资源公司派遣）</w:t>
            </w:r>
          </w:p>
        </w:tc>
      </w:tr>
      <w:tr w14:paraId="2A046338">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DF158">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序号</w:t>
            </w:r>
          </w:p>
        </w:tc>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CA611">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班组</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55698">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岗位</w:t>
            </w:r>
          </w:p>
        </w:tc>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70230">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人数</w:t>
            </w:r>
          </w:p>
        </w:tc>
        <w:tc>
          <w:tcPr>
            <w:tcW w:w="4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E75D">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岗位职责</w:t>
            </w: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1C7E0">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配制情况</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EA3C7">
            <w:pPr>
              <w:widowControl/>
              <w:autoSpaceDE w:val="0"/>
              <w:autoSpaceDN w:val="0"/>
              <w:jc w:val="center"/>
              <w:textAlignment w:val="center"/>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bidi="ar"/>
                <w14:textFill>
                  <w14:solidFill>
                    <w14:schemeClr w14:val="tx1"/>
                  </w14:solidFill>
                </w14:textFill>
              </w:rPr>
              <w:t>备注</w:t>
            </w:r>
          </w:p>
        </w:tc>
      </w:tr>
      <w:tr w14:paraId="41E2AB7B">
        <w:tblPrEx>
          <w:tblCellMar>
            <w:top w:w="0" w:type="dxa"/>
            <w:left w:w="0" w:type="dxa"/>
            <w:bottom w:w="0" w:type="dxa"/>
            <w:right w:w="0" w:type="dxa"/>
          </w:tblCellMar>
        </w:tblPrEx>
        <w:trPr>
          <w:trHeight w:val="1305"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E516A">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1</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E61CB">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水电绿化</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2740E">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维护人员</w:t>
            </w:r>
          </w:p>
        </w:tc>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85728">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1</w:t>
            </w:r>
          </w:p>
        </w:tc>
        <w:tc>
          <w:tcPr>
            <w:tcW w:w="4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64784">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日常水电维护维修及绿篱修剪作业，按照绿植高度和宽度进行修剪，侧面应垂直或略带坡度（外侧略小于内侧），顶部平整，线条流畅。对于生长较快的绿篱品种，可适当增加修剪频率，维持整齐形态。</w:t>
            </w: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B9C3C">
            <w:pPr>
              <w:autoSpaceDE w:val="0"/>
              <w:autoSpaceDN w:val="0"/>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48F8D">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定岗定责、实行行政班坐班制</w:t>
            </w:r>
          </w:p>
        </w:tc>
      </w:tr>
      <w:tr w14:paraId="20A4F46A">
        <w:tblPrEx>
          <w:tblCellMar>
            <w:top w:w="0" w:type="dxa"/>
            <w:left w:w="0" w:type="dxa"/>
            <w:bottom w:w="0" w:type="dxa"/>
            <w:right w:w="0" w:type="dxa"/>
          </w:tblCellMar>
        </w:tblPrEx>
        <w:trPr>
          <w:trHeight w:val="968"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3DF02">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2</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AD86C">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驾驶员</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F8DF7">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后勤人员</w:t>
            </w:r>
          </w:p>
        </w:tc>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3A519">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1</w:t>
            </w:r>
          </w:p>
        </w:tc>
        <w:tc>
          <w:tcPr>
            <w:tcW w:w="4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5C1F9">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遵守调度安排，妥善保管车辆及所载物品，发生事故或者异常情况及时上报并配合处理。</w:t>
            </w: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16B1D">
            <w:pPr>
              <w:autoSpaceDE w:val="0"/>
              <w:autoSpaceDN w:val="0"/>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4CDAB">
            <w:pPr>
              <w:autoSpaceDE w:val="0"/>
              <w:autoSpaceDN w:val="0"/>
              <w:rPr>
                <w:rFonts w:hint="default" w:ascii="Times New Roman" w:hAnsi="Times New Roman" w:eastAsia="方正仿宋_GBK" w:cs="Times New Roman"/>
                <w:color w:val="000000" w:themeColor="text1"/>
                <w:sz w:val="22"/>
                <w14:textFill>
                  <w14:solidFill>
                    <w14:schemeClr w14:val="tx1"/>
                  </w14:solidFill>
                </w14:textFill>
              </w:rPr>
            </w:pPr>
          </w:p>
        </w:tc>
      </w:tr>
      <w:tr w14:paraId="742B15E1">
        <w:tblPrEx>
          <w:tblCellMar>
            <w:top w:w="0" w:type="dxa"/>
            <w:left w:w="0" w:type="dxa"/>
            <w:bottom w:w="0" w:type="dxa"/>
            <w:right w:w="0" w:type="dxa"/>
          </w:tblCellMar>
        </w:tblPrEx>
        <w:trPr>
          <w:trHeight w:val="930"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88F13">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3</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DB10F">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公共秩序 维护组</w:t>
            </w:r>
          </w:p>
        </w:tc>
        <w:tc>
          <w:tcPr>
            <w:tcW w:w="7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FACF66">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2"/>
                <w:lang w:bidi="ar"/>
                <w14:textFill>
                  <w14:solidFill>
                    <w14:schemeClr w14:val="tx1"/>
                  </w14:solidFill>
                </w14:textFill>
              </w:rPr>
              <w:t>保安员</w:t>
            </w:r>
          </w:p>
        </w:tc>
        <w:tc>
          <w:tcPr>
            <w:tcW w:w="41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9E2D7DE">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2</w:t>
            </w:r>
          </w:p>
        </w:tc>
        <w:tc>
          <w:tcPr>
            <w:tcW w:w="44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06ACCAB">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门岗值勤、登记，</w:t>
            </w:r>
            <w:r>
              <w:rPr>
                <w:rFonts w:hint="default" w:ascii="Times New Roman" w:hAnsi="Times New Roman" w:eastAsia="方正仿宋_GBK" w:cs="Times New Roman"/>
                <w:color w:val="000000" w:themeColor="text1"/>
                <w:kern w:val="0"/>
                <w:sz w:val="22"/>
                <w:lang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2"/>
                <w:lang w:bidi="ar"/>
                <w14:textFill>
                  <w14:solidFill>
                    <w14:schemeClr w14:val="tx1"/>
                  </w14:solidFill>
                </w14:textFill>
              </w:rPr>
              <w:t>安全巡逻等工作</w:t>
            </w:r>
          </w:p>
        </w:tc>
        <w:tc>
          <w:tcPr>
            <w:tcW w:w="4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53508EB">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B3E7EED">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定岗定责、实行行政班坐班制</w:t>
            </w:r>
          </w:p>
        </w:tc>
      </w:tr>
      <w:tr w14:paraId="3DC2DF7C">
        <w:tblPrEx>
          <w:tblCellMar>
            <w:top w:w="0" w:type="dxa"/>
            <w:left w:w="0" w:type="dxa"/>
            <w:bottom w:w="0" w:type="dxa"/>
            <w:right w:w="0" w:type="dxa"/>
          </w:tblCellMar>
        </w:tblPrEx>
        <w:trPr>
          <w:trHeight w:val="1091"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12A4D">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4</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D0F2D">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公共保洁</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14D2E">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 xml:space="preserve">保洁人员  </w:t>
            </w:r>
          </w:p>
        </w:tc>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247AD">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2</w:t>
            </w:r>
          </w:p>
        </w:tc>
        <w:tc>
          <w:tcPr>
            <w:tcW w:w="4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FB3D7">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中心所属区域卫生保洁、</w:t>
            </w:r>
            <w:r>
              <w:rPr>
                <w:rFonts w:hint="default" w:ascii="Times New Roman" w:hAnsi="Times New Roman" w:eastAsia="方正仿宋_GBK" w:cs="Times New Roman"/>
                <w:color w:val="000000" w:themeColor="text1"/>
                <w:kern w:val="0"/>
                <w:sz w:val="22"/>
                <w:lang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2"/>
                <w:lang w:bidi="ar"/>
                <w14:textFill>
                  <w14:solidFill>
                    <w14:schemeClr w14:val="tx1"/>
                  </w14:solidFill>
                </w14:textFill>
              </w:rPr>
              <w:t>清洗消毒等工作</w:t>
            </w: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E5617">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135D8">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定岗定责、实行行政班坐班制</w:t>
            </w:r>
          </w:p>
        </w:tc>
      </w:tr>
      <w:tr w14:paraId="56B6B587">
        <w:tblPrEx>
          <w:tblCellMar>
            <w:top w:w="0" w:type="dxa"/>
            <w:left w:w="0" w:type="dxa"/>
            <w:bottom w:w="0" w:type="dxa"/>
            <w:right w:w="0" w:type="dxa"/>
          </w:tblCellMar>
        </w:tblPrEx>
        <w:trPr>
          <w:trHeight w:val="755"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C3325">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5</w:t>
            </w:r>
          </w:p>
        </w:tc>
        <w:tc>
          <w:tcPr>
            <w:tcW w:w="15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6D720">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人员待遇</w:t>
            </w:r>
          </w:p>
        </w:tc>
        <w:tc>
          <w:tcPr>
            <w:tcW w:w="48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88175">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6人×2,500.00元/人*月×12月=180,000.00元/年</w:t>
            </w: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D2F93">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1B4074">
            <w:pPr>
              <w:autoSpaceDE w:val="0"/>
              <w:autoSpaceDN w:val="0"/>
              <w:jc w:val="center"/>
              <w:rPr>
                <w:rFonts w:hint="default" w:ascii="Times New Roman" w:hAnsi="Times New Roman" w:eastAsia="方正仿宋_GBK" w:cs="Times New Roman"/>
                <w:color w:val="000000" w:themeColor="text1"/>
                <w:sz w:val="20"/>
                <w:szCs w:val="20"/>
                <w14:textFill>
                  <w14:solidFill>
                    <w14:schemeClr w14:val="tx1"/>
                  </w14:solidFill>
                </w14:textFill>
              </w:rPr>
            </w:pPr>
          </w:p>
        </w:tc>
      </w:tr>
      <w:tr w14:paraId="5E0FBC07">
        <w:tblPrEx>
          <w:tblCellMar>
            <w:top w:w="0" w:type="dxa"/>
            <w:left w:w="0" w:type="dxa"/>
            <w:bottom w:w="0" w:type="dxa"/>
            <w:right w:w="0" w:type="dxa"/>
          </w:tblCellMar>
        </w:tblPrEx>
        <w:trPr>
          <w:trHeight w:val="949"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BF4FA">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8</w:t>
            </w:r>
          </w:p>
        </w:tc>
        <w:tc>
          <w:tcPr>
            <w:tcW w:w="1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3B3AA">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人员派遣服务</w:t>
            </w:r>
          </w:p>
        </w:tc>
        <w:tc>
          <w:tcPr>
            <w:tcW w:w="48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42A3F">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6人×50.00元/人*月×12月=3,600.00元/年</w:t>
            </w:r>
          </w:p>
        </w:tc>
        <w:tc>
          <w:tcPr>
            <w:tcW w:w="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77BA">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F648D">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按实际产生结算、支付人力资源公司</w:t>
            </w:r>
            <w:r>
              <w:rPr>
                <w:rFonts w:hint="default" w:ascii="Times New Roman" w:hAnsi="Times New Roman" w:eastAsia="方正仿宋_GBK" w:cs="Times New Roman"/>
                <w:color w:val="000000" w:themeColor="text1"/>
                <w:kern w:val="0"/>
                <w:sz w:val="22"/>
                <w:lang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2"/>
                <w:lang w:bidi="ar"/>
                <w14:textFill>
                  <w14:solidFill>
                    <w14:schemeClr w14:val="tx1"/>
                  </w14:solidFill>
                </w14:textFill>
              </w:rPr>
              <w:t>派遣费用</w:t>
            </w:r>
          </w:p>
        </w:tc>
      </w:tr>
      <w:tr w14:paraId="5E7DD24F">
        <w:tblPrEx>
          <w:tblCellMar>
            <w:top w:w="0" w:type="dxa"/>
            <w:left w:w="0" w:type="dxa"/>
            <w:bottom w:w="0" w:type="dxa"/>
            <w:right w:w="0" w:type="dxa"/>
          </w:tblCellMar>
        </w:tblPrEx>
        <w:trPr>
          <w:trHeight w:val="641"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A4766">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11</w:t>
            </w:r>
          </w:p>
        </w:tc>
        <w:tc>
          <w:tcPr>
            <w:tcW w:w="15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5C8EA">
            <w:pPr>
              <w:widowControl/>
              <w:autoSpaceDE w:val="0"/>
              <w:autoSpaceDN w:val="0"/>
              <w:jc w:val="center"/>
              <w:textAlignment w:val="center"/>
              <w:rPr>
                <w:rFonts w:hint="default" w:ascii="Times New Roman" w:hAnsi="Times New Roman" w:eastAsia="方正仿宋_GBK" w:cs="Times New Roman"/>
                <w:b/>
                <w:color w:val="000000" w:themeColor="text1"/>
                <w:sz w:val="22"/>
                <w14:textFill>
                  <w14:solidFill>
                    <w14:schemeClr w14:val="tx1"/>
                  </w14:solidFill>
                </w14:textFill>
              </w:rPr>
            </w:pPr>
            <w:r>
              <w:rPr>
                <w:rFonts w:hint="default" w:ascii="Times New Roman" w:hAnsi="Times New Roman" w:eastAsia="方正仿宋_GBK" w:cs="Times New Roman"/>
                <w:b/>
                <w:color w:val="000000" w:themeColor="text1"/>
                <w:kern w:val="0"/>
                <w:sz w:val="22"/>
                <w:lang w:bidi="ar"/>
                <w14:textFill>
                  <w14:solidFill>
                    <w14:schemeClr w14:val="tx1"/>
                  </w14:solidFill>
                </w14:textFill>
              </w:rPr>
              <w:t>合计</w:t>
            </w:r>
          </w:p>
        </w:tc>
        <w:tc>
          <w:tcPr>
            <w:tcW w:w="48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40FA2">
            <w:pPr>
              <w:widowControl/>
              <w:autoSpaceDE w:val="0"/>
              <w:autoSpaceDN w:val="0"/>
              <w:jc w:val="center"/>
              <w:textAlignment w:val="center"/>
              <w:rPr>
                <w:rFonts w:hint="default" w:ascii="Times New Roman" w:hAnsi="Times New Roman" w:eastAsia="方正仿宋_GBK" w:cs="Times New Roman"/>
                <w:b/>
                <w:color w:val="000000" w:themeColor="text1"/>
                <w:sz w:val="22"/>
                <w14:textFill>
                  <w14:solidFill>
                    <w14:schemeClr w14:val="tx1"/>
                  </w14:solidFill>
                </w14:textFill>
              </w:rPr>
            </w:pPr>
            <w:r>
              <w:rPr>
                <w:rFonts w:hint="default" w:ascii="Times New Roman" w:hAnsi="Times New Roman" w:eastAsia="方正仿宋_GBK" w:cs="Times New Roman"/>
                <w:b/>
                <w:color w:val="000000" w:themeColor="text1"/>
                <w:kern w:val="0"/>
                <w:sz w:val="22"/>
                <w:lang w:bidi="ar"/>
                <w14:textFill>
                  <w14:solidFill>
                    <w14:schemeClr w14:val="tx1"/>
                  </w14:solidFill>
                </w14:textFill>
              </w:rPr>
              <w:t>183,600.00元</w:t>
            </w:r>
          </w:p>
        </w:tc>
        <w:tc>
          <w:tcPr>
            <w:tcW w:w="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0E6A7">
            <w:pPr>
              <w:autoSpaceDE w:val="0"/>
              <w:autoSpaceDN w:val="0"/>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D8F30">
            <w:pPr>
              <w:widowControl/>
              <w:autoSpaceDE w:val="0"/>
              <w:autoSpaceDN w:val="0"/>
              <w:jc w:val="left"/>
              <w:textAlignment w:val="center"/>
              <w:rPr>
                <w:rFonts w:hint="default" w:ascii="Times New Roman" w:hAnsi="Times New Roman" w:eastAsia="方正仿宋_GBK" w:cs="Times New Roman"/>
                <w:color w:val="000000" w:themeColor="text1"/>
                <w:sz w:val="22"/>
                <w14:textFill>
                  <w14:solidFill>
                    <w14:schemeClr w14:val="tx1"/>
                  </w14:solidFill>
                </w14:textFill>
              </w:rPr>
            </w:pPr>
          </w:p>
        </w:tc>
      </w:tr>
      <w:tr w14:paraId="5C7D5BAB">
        <w:tblPrEx>
          <w:tblCellMar>
            <w:top w:w="0" w:type="dxa"/>
            <w:left w:w="0" w:type="dxa"/>
            <w:bottom w:w="0" w:type="dxa"/>
            <w:right w:w="0" w:type="dxa"/>
          </w:tblCellMar>
        </w:tblPrEx>
        <w:trPr>
          <w:trHeight w:val="579" w:hRule="atLeast"/>
          <w:jc w:val="center"/>
        </w:trPr>
        <w:tc>
          <w:tcPr>
            <w:tcW w:w="730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BC12A">
            <w:pPr>
              <w:autoSpaceDE w:val="0"/>
              <w:autoSpaceDN w:val="0"/>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1541">
            <w:pPr>
              <w:autoSpaceDE w:val="0"/>
              <w:autoSpaceDN w:val="0"/>
              <w:jc w:val="center"/>
              <w:rPr>
                <w:rFonts w:hint="default" w:ascii="Times New Roman" w:hAnsi="Times New Roman" w:eastAsia="方正仿宋_GBK" w:cs="Times New Roman"/>
                <w:b/>
                <w:color w:val="000000" w:themeColor="text1"/>
                <w:sz w:val="22"/>
                <w14:textFill>
                  <w14:solidFill>
                    <w14:schemeClr w14:val="tx1"/>
                  </w14:solidFill>
                </w14:textFill>
              </w:rPr>
            </w:pPr>
          </w:p>
        </w:tc>
      </w:tr>
      <w:tr w14:paraId="7009CAE7">
        <w:tblPrEx>
          <w:tblCellMar>
            <w:top w:w="0" w:type="dxa"/>
            <w:left w:w="0" w:type="dxa"/>
            <w:bottom w:w="0" w:type="dxa"/>
            <w:right w:w="0" w:type="dxa"/>
          </w:tblCellMar>
        </w:tblPrEx>
        <w:trPr>
          <w:trHeight w:val="1133"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85A81">
            <w:pPr>
              <w:widowControl/>
              <w:autoSpaceDE w:val="0"/>
              <w:autoSpaceDN w:val="0"/>
              <w:jc w:val="center"/>
              <w:textAlignment w:val="center"/>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二</w:t>
            </w:r>
          </w:p>
        </w:tc>
        <w:tc>
          <w:tcPr>
            <w:tcW w:w="68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8ED17">
            <w:pPr>
              <w:widowControl/>
              <w:autoSpaceDE w:val="0"/>
              <w:autoSpaceDN w:val="0"/>
              <w:jc w:val="left"/>
              <w:textAlignment w:val="center"/>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运营服务管理费</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784C5">
            <w:pPr>
              <w:autoSpaceDE w:val="0"/>
              <w:autoSpaceDN w:val="0"/>
              <w:jc w:val="center"/>
              <w:rPr>
                <w:rFonts w:hint="default" w:ascii="Times New Roman" w:hAnsi="Times New Roman" w:eastAsia="方正仿宋_GBK" w:cs="Times New Roman"/>
                <w:b/>
                <w:color w:val="000000" w:themeColor="text1"/>
                <w:sz w:val="28"/>
                <w:szCs w:val="28"/>
                <w14:textFill>
                  <w14:solidFill>
                    <w14:schemeClr w14:val="tx1"/>
                  </w14:solidFill>
                </w14:textFill>
              </w:rPr>
            </w:pPr>
          </w:p>
        </w:tc>
      </w:tr>
      <w:tr w14:paraId="3C3170C8">
        <w:tblPrEx>
          <w:tblCellMar>
            <w:top w:w="0" w:type="dxa"/>
            <w:left w:w="0" w:type="dxa"/>
            <w:bottom w:w="0" w:type="dxa"/>
            <w:right w:w="0" w:type="dxa"/>
          </w:tblCellMar>
        </w:tblPrEx>
        <w:trPr>
          <w:trHeight w:val="830"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02C25">
            <w:pPr>
              <w:autoSpaceDE w:val="0"/>
              <w:autoSpaceDN w:val="0"/>
              <w:jc w:val="center"/>
              <w:rPr>
                <w:rFonts w:hint="default" w:ascii="Times New Roman" w:hAnsi="Times New Roman" w:eastAsia="方正仿宋_GBK" w:cs="Times New Roman"/>
                <w:b/>
                <w:color w:val="000000" w:themeColor="text1"/>
                <w:sz w:val="28"/>
                <w:szCs w:val="28"/>
                <w14:textFill>
                  <w14:solidFill>
                    <w14:schemeClr w14:val="tx1"/>
                  </w14:solidFill>
                </w14:textFill>
              </w:rPr>
            </w:pPr>
          </w:p>
        </w:tc>
        <w:tc>
          <w:tcPr>
            <w:tcW w:w="927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A47A0">
            <w:pPr>
              <w:autoSpaceDE w:val="0"/>
              <w:autoSpaceDN w:val="0"/>
              <w:jc w:val="left"/>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sz w:val="24"/>
                <w:szCs w:val="24"/>
                <w14:textFill>
                  <w14:solidFill>
                    <w14:schemeClr w14:val="tx1"/>
                  </w14:solidFill>
                </w14:textFill>
              </w:rPr>
              <w:t>183</w:t>
            </w:r>
            <w:r>
              <w:rPr>
                <w:rFonts w:ascii="Times New Roman" w:hAnsi="Times New Roman" w:eastAsia="方正仿宋_GBK" w:cs="Times New Roman"/>
                <w:b/>
                <w:color w:val="000000" w:themeColor="text1"/>
                <w:sz w:val="24"/>
                <w:szCs w:val="24"/>
                <w14:textFill>
                  <w14:solidFill>
                    <w14:schemeClr w14:val="tx1"/>
                  </w14:solidFill>
                </w14:textFill>
              </w:rPr>
              <w:t>,</w:t>
            </w:r>
            <w:r>
              <w:rPr>
                <w:rFonts w:hint="default" w:ascii="Times New Roman" w:hAnsi="Times New Roman" w:eastAsia="方正仿宋_GBK" w:cs="Times New Roman"/>
                <w:b/>
                <w:color w:val="000000" w:themeColor="text1"/>
                <w:sz w:val="24"/>
                <w:szCs w:val="24"/>
                <w14:textFill>
                  <w14:solidFill>
                    <w14:schemeClr w14:val="tx1"/>
                  </w14:solidFill>
                </w14:textFill>
              </w:rPr>
              <w:t>600*2%=3</w:t>
            </w:r>
            <w:r>
              <w:rPr>
                <w:rFonts w:ascii="Times New Roman" w:hAnsi="Times New Roman" w:eastAsia="方正仿宋_GBK" w:cs="Times New Roman"/>
                <w:b/>
                <w:color w:val="000000" w:themeColor="text1"/>
                <w:sz w:val="24"/>
                <w:szCs w:val="24"/>
                <w14:textFill>
                  <w14:solidFill>
                    <w14:schemeClr w14:val="tx1"/>
                  </w14:solidFill>
                </w14:textFill>
              </w:rPr>
              <w:t>,</w:t>
            </w:r>
            <w:r>
              <w:rPr>
                <w:rFonts w:hint="default" w:ascii="Times New Roman" w:hAnsi="Times New Roman" w:eastAsia="方正仿宋_GBK" w:cs="Times New Roman"/>
                <w:b/>
                <w:color w:val="000000" w:themeColor="text1"/>
                <w:sz w:val="24"/>
                <w:szCs w:val="24"/>
                <w14:textFill>
                  <w14:solidFill>
                    <w14:schemeClr w14:val="tx1"/>
                  </w14:solidFill>
                </w14:textFill>
              </w:rPr>
              <w:t>672.00元</w:t>
            </w:r>
          </w:p>
        </w:tc>
      </w:tr>
      <w:tr w14:paraId="76D4CA64">
        <w:tblPrEx>
          <w:tblCellMar>
            <w:top w:w="0" w:type="dxa"/>
            <w:left w:w="0" w:type="dxa"/>
            <w:bottom w:w="0" w:type="dxa"/>
            <w:right w:w="0" w:type="dxa"/>
          </w:tblCellMar>
        </w:tblPrEx>
        <w:trPr>
          <w:trHeight w:val="538" w:hRule="atLeast"/>
          <w:jc w:val="center"/>
        </w:trPr>
        <w:tc>
          <w:tcPr>
            <w:tcW w:w="96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FAA65">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r>
      <w:tr w14:paraId="478246C6">
        <w:tblPrEx>
          <w:tblCellMar>
            <w:top w:w="0" w:type="dxa"/>
            <w:left w:w="0" w:type="dxa"/>
            <w:bottom w:w="0" w:type="dxa"/>
            <w:right w:w="0" w:type="dxa"/>
          </w:tblCellMar>
        </w:tblPrEx>
        <w:trPr>
          <w:trHeight w:val="948"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E56ED">
            <w:pPr>
              <w:widowControl/>
              <w:autoSpaceDE w:val="0"/>
              <w:autoSpaceDN w:val="0"/>
              <w:jc w:val="center"/>
              <w:textAlignment w:val="center"/>
              <w:rPr>
                <w:rFonts w:hint="default" w:ascii="Times New Roman" w:hAnsi="Times New Roman" w:eastAsia="方正仿宋_GBK" w:cs="Times New Roman"/>
                <w:b/>
                <w:color w:val="000000" w:themeColor="text1"/>
                <w:szCs w:val="32"/>
                <w14:textFill>
                  <w14:solidFill>
                    <w14:schemeClr w14:val="tx1"/>
                  </w14:solidFill>
                </w14:textFill>
              </w:rPr>
            </w:pPr>
            <w:r>
              <w:rPr>
                <w:rFonts w:hint="default" w:ascii="Times New Roman" w:hAnsi="Times New Roman" w:eastAsia="方正仿宋_GBK" w:cs="Times New Roman"/>
                <w:b/>
                <w:color w:val="000000" w:themeColor="text1"/>
                <w:kern w:val="0"/>
                <w:szCs w:val="32"/>
                <w:lang w:bidi="ar"/>
                <w14:textFill>
                  <w14:solidFill>
                    <w14:schemeClr w14:val="tx1"/>
                  </w14:solidFill>
                </w14:textFill>
              </w:rPr>
              <w:t>三</w:t>
            </w:r>
          </w:p>
        </w:tc>
        <w:tc>
          <w:tcPr>
            <w:tcW w:w="92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0DC79">
            <w:pPr>
              <w:widowControl/>
              <w:autoSpaceDE w:val="0"/>
              <w:autoSpaceDN w:val="0"/>
              <w:jc w:val="left"/>
              <w:textAlignment w:val="center"/>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税费</w:t>
            </w:r>
          </w:p>
        </w:tc>
      </w:tr>
      <w:tr w14:paraId="07EC67EC">
        <w:tblPrEx>
          <w:tblCellMar>
            <w:top w:w="0" w:type="dxa"/>
            <w:left w:w="0" w:type="dxa"/>
            <w:bottom w:w="0" w:type="dxa"/>
            <w:right w:w="0" w:type="dxa"/>
          </w:tblCellMar>
        </w:tblPrEx>
        <w:trPr>
          <w:trHeight w:val="573"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AEA44">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2"/>
                <w14:textFill>
                  <w14:solidFill>
                    <w14:schemeClr w14:val="tx1"/>
                  </w14:solidFill>
                </w14:textFill>
              </w:rPr>
              <w:t>序号</w:t>
            </w:r>
          </w:p>
        </w:tc>
        <w:tc>
          <w:tcPr>
            <w:tcW w:w="19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E75196E">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b/>
                <w:bCs/>
                <w:color w:val="000000" w:themeColor="text1"/>
                <w:sz w:val="24"/>
                <w14:textFill>
                  <w14:solidFill>
                    <w14:schemeClr w14:val="tx1"/>
                  </w14:solidFill>
                </w14:textFill>
              </w:rPr>
              <w:t>项目</w:t>
            </w:r>
          </w:p>
        </w:tc>
        <w:tc>
          <w:tcPr>
            <w:tcW w:w="4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BFFA06B">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b/>
                <w:bCs/>
                <w:color w:val="000000" w:themeColor="text1"/>
                <w:sz w:val="24"/>
                <w14:textFill>
                  <w14:solidFill>
                    <w14:schemeClr w14:val="tx1"/>
                  </w14:solidFill>
                </w14:textFill>
              </w:rPr>
              <w:t>测算公式</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ED2AD58">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b/>
                <w:bCs/>
                <w:color w:val="000000" w:themeColor="text1"/>
                <w:sz w:val="24"/>
                <w14:textFill>
                  <w14:solidFill>
                    <w14:schemeClr w14:val="tx1"/>
                  </w14:solidFill>
                </w14:textFill>
              </w:rPr>
              <w:t>费用</w:t>
            </w:r>
          </w:p>
        </w:tc>
      </w:tr>
      <w:tr w14:paraId="76C288B3">
        <w:tblPrEx>
          <w:tblCellMar>
            <w:top w:w="0" w:type="dxa"/>
            <w:left w:w="0" w:type="dxa"/>
            <w:bottom w:w="0" w:type="dxa"/>
            <w:right w:w="0" w:type="dxa"/>
          </w:tblCellMar>
        </w:tblPrEx>
        <w:trPr>
          <w:trHeight w:val="991"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EC348">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1</w:t>
            </w:r>
          </w:p>
        </w:tc>
        <w:tc>
          <w:tcPr>
            <w:tcW w:w="19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A7E01">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增值税</w:t>
            </w:r>
          </w:p>
        </w:tc>
        <w:tc>
          <w:tcPr>
            <w:tcW w:w="4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4A011">
            <w:pPr>
              <w:autoSpaceDE w:val="0"/>
              <w:autoSpaceDN w:val="0"/>
              <w:spacing w:line="300" w:lineRule="exact"/>
              <w:jc w:val="center"/>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收入总额÷1.06×0.06</w:t>
            </w:r>
          </w:p>
          <w:p w14:paraId="06BDAE1A">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【收入总额估183,600.00元】</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8DFA">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bidi="ar"/>
                <w14:textFill>
                  <w14:solidFill>
                    <w14:schemeClr w14:val="tx1"/>
                  </w14:solidFill>
                </w14:textFill>
              </w:rPr>
              <w:t>10,600.30元</w:t>
            </w:r>
          </w:p>
        </w:tc>
      </w:tr>
      <w:tr w14:paraId="3006CE35">
        <w:tblPrEx>
          <w:tblCellMar>
            <w:top w:w="0" w:type="dxa"/>
            <w:left w:w="0" w:type="dxa"/>
            <w:bottom w:w="0" w:type="dxa"/>
            <w:right w:w="0" w:type="dxa"/>
          </w:tblCellMar>
        </w:tblPrEx>
        <w:trPr>
          <w:trHeight w:val="906"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98E6B">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2</w:t>
            </w:r>
          </w:p>
        </w:tc>
        <w:tc>
          <w:tcPr>
            <w:tcW w:w="19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3F2E8">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城市维护建设税</w:t>
            </w:r>
          </w:p>
        </w:tc>
        <w:tc>
          <w:tcPr>
            <w:tcW w:w="4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DEB40">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增值税×0.05</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06CF0">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bidi="ar"/>
                <w14:textFill>
                  <w14:solidFill>
                    <w14:schemeClr w14:val="tx1"/>
                  </w14:solidFill>
                </w14:textFill>
              </w:rPr>
              <w:t>530.02元</w:t>
            </w:r>
          </w:p>
        </w:tc>
      </w:tr>
      <w:tr w14:paraId="0F485C21">
        <w:tblPrEx>
          <w:tblCellMar>
            <w:top w:w="0" w:type="dxa"/>
            <w:left w:w="0" w:type="dxa"/>
            <w:bottom w:w="0" w:type="dxa"/>
            <w:right w:w="0" w:type="dxa"/>
          </w:tblCellMar>
        </w:tblPrEx>
        <w:trPr>
          <w:trHeight w:val="845"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32B15">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3</w:t>
            </w:r>
          </w:p>
        </w:tc>
        <w:tc>
          <w:tcPr>
            <w:tcW w:w="19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604D8">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教育费附加</w:t>
            </w:r>
          </w:p>
        </w:tc>
        <w:tc>
          <w:tcPr>
            <w:tcW w:w="4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814D5">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增值税×0.03</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299FE">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bidi="ar"/>
                <w14:textFill>
                  <w14:solidFill>
                    <w14:schemeClr w14:val="tx1"/>
                  </w14:solidFill>
                </w14:textFill>
              </w:rPr>
              <w:t>318.01元</w:t>
            </w:r>
          </w:p>
        </w:tc>
      </w:tr>
      <w:tr w14:paraId="09B028A1">
        <w:tblPrEx>
          <w:tblCellMar>
            <w:top w:w="0" w:type="dxa"/>
            <w:left w:w="0" w:type="dxa"/>
            <w:bottom w:w="0" w:type="dxa"/>
            <w:right w:w="0" w:type="dxa"/>
          </w:tblCellMar>
        </w:tblPrEx>
        <w:trPr>
          <w:trHeight w:val="906"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E5C2">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4</w:t>
            </w:r>
          </w:p>
        </w:tc>
        <w:tc>
          <w:tcPr>
            <w:tcW w:w="19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1EE6B">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地方教育费附加</w:t>
            </w:r>
          </w:p>
        </w:tc>
        <w:tc>
          <w:tcPr>
            <w:tcW w:w="4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54B0F">
            <w:pPr>
              <w:autoSpaceDE w:val="0"/>
              <w:autoSpaceDN w:val="0"/>
              <w:spacing w:line="300" w:lineRule="exact"/>
              <w:jc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增值税×0.02</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484D1">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bidi="ar"/>
                <w14:textFill>
                  <w14:solidFill>
                    <w14:schemeClr w14:val="tx1"/>
                  </w14:solidFill>
                </w14:textFill>
              </w:rPr>
              <w:t>212.01元</w:t>
            </w:r>
          </w:p>
        </w:tc>
      </w:tr>
      <w:tr w14:paraId="04B7D4D2">
        <w:tblPrEx>
          <w:tblCellMar>
            <w:top w:w="0" w:type="dxa"/>
            <w:left w:w="0" w:type="dxa"/>
            <w:bottom w:w="0" w:type="dxa"/>
            <w:right w:w="0" w:type="dxa"/>
          </w:tblCellMar>
        </w:tblPrEx>
        <w:trPr>
          <w:trHeight w:val="825" w:hRule="atLeast"/>
          <w:jc w:val="center"/>
        </w:trPr>
        <w:tc>
          <w:tcPr>
            <w:tcW w:w="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90DB7">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5</w:t>
            </w:r>
          </w:p>
        </w:tc>
        <w:tc>
          <w:tcPr>
            <w:tcW w:w="688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4E6BF">
            <w:pPr>
              <w:widowControl/>
              <w:autoSpaceDE w:val="0"/>
              <w:autoSpaceDN w:val="0"/>
              <w:jc w:val="center"/>
              <w:textAlignment w:val="center"/>
              <w:rPr>
                <w:rFonts w:hint="default" w:ascii="Times New Roman" w:hAnsi="Times New Roman" w:eastAsia="方正仿宋_GBK" w:cs="Times New Roman"/>
                <w:b/>
                <w:bCs/>
                <w:color w:val="000000" w:themeColor="text1"/>
                <w:sz w:val="28"/>
                <w:szCs w:val="28"/>
                <w14:textFill>
                  <w14:solidFill>
                    <w14:schemeClr w14:val="tx1"/>
                  </w14:solidFill>
                </w14:textFill>
              </w:rPr>
            </w:pPr>
            <w:r>
              <w:rPr>
                <w:rFonts w:hint="default" w:ascii="Times New Roman" w:hAnsi="Times New Roman" w:eastAsia="方正仿宋_GBK" w:cs="Times New Roman"/>
                <w:b/>
                <w:bCs/>
                <w:color w:val="000000" w:themeColor="text1"/>
                <w:sz w:val="28"/>
                <w:szCs w:val="28"/>
                <w14:textFill>
                  <w14:solidFill>
                    <w14:schemeClr w14:val="tx1"/>
                  </w14:solidFill>
                </w14:textFill>
              </w:rPr>
              <w:t>合计</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8CDC6">
            <w:pPr>
              <w:widowControl/>
              <w:autoSpaceDE w:val="0"/>
              <w:autoSpaceDN w:val="0"/>
              <w:jc w:val="center"/>
              <w:textAlignment w:val="center"/>
              <w:rPr>
                <w:rFonts w:hint="default" w:ascii="Times New Roman" w:hAnsi="Times New Roman" w:eastAsia="方正仿宋_GBK" w:cs="Times New Roman"/>
                <w:b/>
                <w:bCs/>
                <w:color w:val="000000" w:themeColor="text1"/>
                <w:sz w:val="28"/>
                <w:szCs w:val="28"/>
                <w14:textFill>
                  <w14:solidFill>
                    <w14:schemeClr w14:val="tx1"/>
                  </w14:solidFill>
                </w14:textFill>
              </w:rPr>
            </w:pPr>
            <w:r>
              <w:rPr>
                <w:rFonts w:hint="default" w:ascii="Times New Roman" w:hAnsi="Times New Roman" w:eastAsia="方正仿宋_GBK" w:cs="Times New Roman"/>
                <w:b/>
                <w:bCs/>
                <w:color w:val="000000" w:themeColor="text1"/>
                <w:sz w:val="28"/>
                <w:szCs w:val="28"/>
                <w14:textFill>
                  <w14:solidFill>
                    <w14:schemeClr w14:val="tx1"/>
                  </w14:solidFill>
                </w14:textFill>
              </w:rPr>
              <w:t>11,660.33元</w:t>
            </w:r>
          </w:p>
        </w:tc>
      </w:tr>
      <w:tr w14:paraId="2A257AC7">
        <w:tblPrEx>
          <w:tblCellMar>
            <w:top w:w="0" w:type="dxa"/>
            <w:left w:w="0" w:type="dxa"/>
            <w:bottom w:w="0" w:type="dxa"/>
            <w:right w:w="0" w:type="dxa"/>
          </w:tblCellMar>
        </w:tblPrEx>
        <w:trPr>
          <w:trHeight w:val="665" w:hRule="atLeast"/>
          <w:jc w:val="center"/>
        </w:trPr>
        <w:tc>
          <w:tcPr>
            <w:tcW w:w="730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DF58D">
            <w:pPr>
              <w:autoSpaceDE w:val="0"/>
              <w:autoSpaceDN w:val="0"/>
              <w:jc w:val="center"/>
              <w:rPr>
                <w:rFonts w:hint="default" w:ascii="Times New Roman" w:hAnsi="Times New Roman" w:eastAsia="方正仿宋_GBK" w:cs="Times New Roman"/>
                <w:b/>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71E2D">
            <w:pPr>
              <w:autoSpaceDE w:val="0"/>
              <w:autoSpaceDN w:val="0"/>
              <w:rPr>
                <w:rFonts w:hint="default" w:ascii="Times New Roman" w:hAnsi="Times New Roman" w:eastAsia="方正仿宋_GBK" w:cs="Times New Roman"/>
                <w:color w:val="000000" w:themeColor="text1"/>
                <w:sz w:val="44"/>
                <w:szCs w:val="44"/>
                <w14:textFill>
                  <w14:solidFill>
                    <w14:schemeClr w14:val="tx1"/>
                  </w14:solidFill>
                </w14:textFill>
              </w:rPr>
            </w:pPr>
          </w:p>
        </w:tc>
      </w:tr>
      <w:tr w14:paraId="6F202BCB">
        <w:tblPrEx>
          <w:tblCellMar>
            <w:top w:w="0" w:type="dxa"/>
            <w:left w:w="0" w:type="dxa"/>
            <w:bottom w:w="0" w:type="dxa"/>
            <w:right w:w="0" w:type="dxa"/>
          </w:tblCellMar>
        </w:tblPrEx>
        <w:trPr>
          <w:trHeight w:val="665"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9EFB8">
            <w:pPr>
              <w:widowControl/>
              <w:autoSpaceDE w:val="0"/>
              <w:autoSpaceDN w:val="0"/>
              <w:jc w:val="center"/>
              <w:textAlignment w:val="center"/>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四</w:t>
            </w:r>
          </w:p>
        </w:tc>
        <w:tc>
          <w:tcPr>
            <w:tcW w:w="68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6A265">
            <w:pPr>
              <w:widowControl/>
              <w:autoSpaceDE w:val="0"/>
              <w:autoSpaceDN w:val="0"/>
              <w:jc w:val="left"/>
              <w:textAlignment w:val="center"/>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运行成本合计（甲、乙双方据实结算）此项为预计成本</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48B91">
            <w:pPr>
              <w:autoSpaceDE w:val="0"/>
              <w:autoSpaceDN w:val="0"/>
              <w:rPr>
                <w:rFonts w:hint="default" w:ascii="Times New Roman" w:hAnsi="Times New Roman" w:eastAsia="方正仿宋_GBK" w:cs="Times New Roman"/>
                <w:color w:val="000000" w:themeColor="text1"/>
                <w:sz w:val="44"/>
                <w:szCs w:val="44"/>
                <w14:textFill>
                  <w14:solidFill>
                    <w14:schemeClr w14:val="tx1"/>
                  </w14:solidFill>
                </w14:textFill>
              </w:rPr>
            </w:pPr>
          </w:p>
        </w:tc>
      </w:tr>
      <w:tr w14:paraId="6E192EEF">
        <w:tblPrEx>
          <w:tblCellMar>
            <w:top w:w="0" w:type="dxa"/>
            <w:left w:w="0" w:type="dxa"/>
            <w:bottom w:w="0" w:type="dxa"/>
            <w:right w:w="0" w:type="dxa"/>
          </w:tblCellMar>
        </w:tblPrEx>
        <w:trPr>
          <w:trHeight w:val="665"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AA43A">
            <w:pPr>
              <w:autoSpaceDE w:val="0"/>
              <w:autoSpaceDN w:val="0"/>
              <w:jc w:val="center"/>
              <w:rPr>
                <w:rFonts w:hint="default" w:ascii="Times New Roman" w:hAnsi="Times New Roman" w:eastAsia="方正仿宋_GBK" w:cs="Times New Roman"/>
                <w:b/>
                <w:color w:val="000000" w:themeColor="text1"/>
                <w:sz w:val="28"/>
                <w:szCs w:val="28"/>
                <w14:textFill>
                  <w14:solidFill>
                    <w14:schemeClr w14:val="tx1"/>
                  </w14:solidFill>
                </w14:textFill>
              </w:rPr>
            </w:pPr>
          </w:p>
        </w:tc>
        <w:tc>
          <w:tcPr>
            <w:tcW w:w="68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E266C">
            <w:pPr>
              <w:widowControl/>
              <w:autoSpaceDE w:val="0"/>
              <w:autoSpaceDN w:val="0"/>
              <w:jc w:val="left"/>
              <w:textAlignment w:val="center"/>
              <w:rPr>
                <w:rFonts w:hint="default" w:ascii="Times New Roman" w:hAnsi="Times New Roman" w:eastAsia="方正仿宋_GBK" w:cs="Times New Roman"/>
                <w:b/>
                <w:color w:val="000000" w:themeColor="text1"/>
                <w:sz w:val="22"/>
                <w14:textFill>
                  <w14:solidFill>
                    <w14:schemeClr w14:val="tx1"/>
                  </w14:solidFill>
                </w14:textFill>
              </w:rPr>
            </w:pPr>
            <w:r>
              <w:rPr>
                <w:rFonts w:hint="default" w:ascii="Times New Roman" w:hAnsi="Times New Roman" w:eastAsia="方正仿宋_GBK" w:cs="Times New Roman"/>
                <w:b/>
                <w:color w:val="000000" w:themeColor="text1"/>
                <w:kern w:val="0"/>
                <w:sz w:val="22"/>
                <w:lang w:bidi="ar"/>
                <w14:textFill>
                  <w14:solidFill>
                    <w14:schemeClr w14:val="tx1"/>
                  </w14:solidFill>
                </w14:textFill>
              </w:rPr>
              <w:t>183,600.00元+3,672.00元+11,660.33元=198,932.33元</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7BFF">
            <w:pPr>
              <w:widowControl/>
              <w:autoSpaceDE w:val="0"/>
              <w:autoSpaceDN w:val="0"/>
              <w:jc w:val="center"/>
              <w:textAlignment w:val="center"/>
              <w:rPr>
                <w:rFonts w:hint="default" w:ascii="Times New Roman" w:hAnsi="Times New Roman" w:eastAsia="方正仿宋_GBK" w:cs="Times New Roman"/>
                <w:color w:val="000000" w:themeColor="text1"/>
                <w:sz w:val="22"/>
                <w14:textFill>
                  <w14:solidFill>
                    <w14:schemeClr w14:val="tx1"/>
                  </w14:solidFill>
                </w14:textFill>
              </w:rPr>
            </w:pPr>
            <w:r>
              <w:rPr>
                <w:rFonts w:hint="default" w:ascii="Times New Roman" w:hAnsi="Times New Roman" w:eastAsia="方正仿宋_GBK" w:cs="Times New Roman"/>
                <w:color w:val="000000" w:themeColor="text1"/>
                <w:kern w:val="0"/>
                <w:sz w:val="22"/>
                <w:lang w:bidi="ar"/>
                <w14:textFill>
                  <w14:solidFill>
                    <w14:schemeClr w14:val="tx1"/>
                  </w14:solidFill>
                </w14:textFill>
              </w:rPr>
              <w:t>按实际产生结算</w:t>
            </w:r>
          </w:p>
        </w:tc>
      </w:tr>
      <w:tr w14:paraId="27F209E8">
        <w:tblPrEx>
          <w:tblCellMar>
            <w:top w:w="0" w:type="dxa"/>
            <w:left w:w="0" w:type="dxa"/>
            <w:bottom w:w="0" w:type="dxa"/>
            <w:right w:w="0" w:type="dxa"/>
          </w:tblCellMar>
        </w:tblPrEx>
        <w:trPr>
          <w:trHeight w:val="414" w:hRule="atLeast"/>
          <w:jc w:val="center"/>
        </w:trPr>
        <w:tc>
          <w:tcPr>
            <w:tcW w:w="730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909E0">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AB595">
            <w:pPr>
              <w:autoSpaceDE w:val="0"/>
              <w:autoSpaceDN w:val="0"/>
              <w:jc w:val="center"/>
              <w:rPr>
                <w:rFonts w:hint="default" w:ascii="Times New Roman" w:hAnsi="Times New Roman" w:eastAsia="方正仿宋_GBK" w:cs="Times New Roman"/>
                <w:color w:val="000000" w:themeColor="text1"/>
                <w:sz w:val="22"/>
                <w14:textFill>
                  <w14:solidFill>
                    <w14:schemeClr w14:val="tx1"/>
                  </w14:solidFill>
                </w14:textFill>
              </w:rPr>
            </w:pPr>
          </w:p>
        </w:tc>
      </w:tr>
      <w:tr w14:paraId="3B2F95B1">
        <w:tblPrEx>
          <w:tblCellMar>
            <w:top w:w="0" w:type="dxa"/>
            <w:left w:w="0" w:type="dxa"/>
            <w:bottom w:w="0" w:type="dxa"/>
            <w:right w:w="0" w:type="dxa"/>
          </w:tblCellMar>
        </w:tblPrEx>
        <w:trPr>
          <w:trHeight w:val="732" w:hRule="atLeast"/>
          <w:jc w:val="center"/>
        </w:trPr>
        <w:tc>
          <w:tcPr>
            <w:tcW w:w="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848CF">
            <w:pPr>
              <w:autoSpaceDE w:val="0"/>
              <w:autoSpaceDN w:val="0"/>
              <w:jc w:val="center"/>
              <w:rPr>
                <w:rFonts w:hint="default" w:ascii="Times New Roman" w:hAnsi="Times New Roman" w:eastAsia="方正仿宋_GBK" w:cs="Times New Roman"/>
                <w:b/>
                <w:color w:val="000000" w:themeColor="text1"/>
                <w:szCs w:val="32"/>
                <w14:textFill>
                  <w14:solidFill>
                    <w14:schemeClr w14:val="tx1"/>
                  </w14:solidFill>
                </w14:textFill>
              </w:rPr>
            </w:pPr>
          </w:p>
        </w:tc>
        <w:tc>
          <w:tcPr>
            <w:tcW w:w="688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3C890">
            <w:pPr>
              <w:widowControl/>
              <w:autoSpaceDE w:val="0"/>
              <w:autoSpaceDN w:val="0"/>
              <w:jc w:val="left"/>
              <w:textAlignment w:val="center"/>
              <w:rPr>
                <w:rFonts w:hint="default" w:ascii="Times New Roman" w:hAnsi="Times New Roman" w:eastAsia="方正仿宋_GBK" w:cs="Times New Roman"/>
                <w:b/>
                <w:color w:val="000000" w:themeColor="text1"/>
                <w:szCs w:val="32"/>
                <w14:textFill>
                  <w14:solidFill>
                    <w14:schemeClr w14:val="tx1"/>
                  </w14:solidFill>
                </w14:textFill>
              </w:rPr>
            </w:pPr>
            <w:r>
              <w:rPr>
                <w:rFonts w:hint="default" w:ascii="Times New Roman" w:hAnsi="Times New Roman" w:eastAsia="方正仿宋_GBK" w:cs="Times New Roman"/>
                <w:b/>
                <w:color w:val="000000" w:themeColor="text1"/>
                <w:kern w:val="0"/>
                <w:szCs w:val="32"/>
                <w:lang w:bidi="ar"/>
                <w14:textFill>
                  <w14:solidFill>
                    <w14:schemeClr w14:val="tx1"/>
                  </w14:solidFill>
                </w14:textFill>
              </w:rPr>
              <w:t>费用总计：</w:t>
            </w:r>
            <w:r>
              <w:rPr>
                <w:rFonts w:hint="default" w:ascii="Times New Roman" w:hAnsi="Times New Roman" w:eastAsia="方正仿宋_GBK" w:cs="Times New Roman"/>
                <w:b/>
                <w:color w:val="000000" w:themeColor="text1"/>
                <w:kern w:val="0"/>
                <w:sz w:val="28"/>
                <w:szCs w:val="28"/>
                <w:lang w:bidi="ar"/>
                <w14:textFill>
                  <w14:solidFill>
                    <w14:schemeClr w14:val="tx1"/>
                  </w14:solidFill>
                </w14:textFill>
              </w:rPr>
              <w:t>198,932.33元</w:t>
            </w:r>
          </w:p>
        </w:tc>
        <w:tc>
          <w:tcPr>
            <w:tcW w:w="23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050A9">
            <w:pPr>
              <w:autoSpaceDE w:val="0"/>
              <w:autoSpaceDN w:val="0"/>
              <w:jc w:val="center"/>
              <w:rPr>
                <w:rFonts w:hint="default" w:ascii="Times New Roman" w:hAnsi="Times New Roman" w:eastAsia="方正仿宋_GBK" w:cs="Times New Roman"/>
                <w:b/>
                <w:color w:val="000000" w:themeColor="text1"/>
                <w:sz w:val="22"/>
                <w14:textFill>
                  <w14:solidFill>
                    <w14:schemeClr w14:val="tx1"/>
                  </w14:solidFill>
                </w14:textFill>
              </w:rPr>
            </w:pPr>
          </w:p>
        </w:tc>
      </w:tr>
    </w:tbl>
    <w:p w14:paraId="11BA42F5">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七、项目实施计划</w:t>
      </w:r>
    </w:p>
    <w:p w14:paraId="6D7042A0">
      <w:pPr>
        <w:widowControl/>
        <w:autoSpaceDE w:val="0"/>
        <w:autoSpaceDN w:val="0"/>
        <w:spacing w:line="596" w:lineRule="exact"/>
        <w:ind w:firstLine="632" w:firstLineChars="200"/>
        <w:rPr>
          <w:rFonts w:hint="default" w:ascii="Times New Roman" w:hAnsi="Times New Roman" w:eastAsia="方正仿宋_GBK" w:cs="Times New Roman"/>
          <w:color w:val="000000" w:themeColor="text1"/>
          <w:kern w:val="0"/>
          <w:szCs w:val="32"/>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计划开展时间：2026年1月至12月</w:t>
      </w:r>
    </w:p>
    <w:p w14:paraId="08BE9356">
      <w:pPr>
        <w:widowControl/>
        <w:autoSpaceDE w:val="0"/>
        <w:autoSpaceDN w:val="0"/>
        <w:spacing w:line="596" w:lineRule="exact"/>
        <w:ind w:firstLine="632" w:firstLineChars="200"/>
        <w:rPr>
          <w:rFonts w:hint="default" w:ascii="Times New Roman" w:hAnsi="Times New Roman" w:eastAsia="方正黑体_GBK" w:cs="Times New Roman"/>
          <w:color w:val="000000" w:themeColor="text1"/>
          <w:kern w:val="0"/>
          <w:szCs w:val="32"/>
          <w14:textFill>
            <w14:solidFill>
              <w14:schemeClr w14:val="tx1"/>
            </w14:solidFill>
          </w14:textFill>
        </w:rPr>
      </w:pPr>
      <w:r>
        <w:rPr>
          <w:rFonts w:hint="default" w:ascii="Times New Roman" w:hAnsi="Times New Roman" w:eastAsia="方正黑体_GBK" w:cs="Times New Roman"/>
          <w:color w:val="000000" w:themeColor="text1"/>
          <w:kern w:val="0"/>
          <w:szCs w:val="32"/>
          <w14:textFill>
            <w14:solidFill>
              <w14:schemeClr w14:val="tx1"/>
            </w14:solidFill>
          </w14:textFill>
        </w:rPr>
        <w:t>八、项目实施成效</w:t>
      </w:r>
    </w:p>
    <w:p w14:paraId="302C4636">
      <w:pPr>
        <w:widowControl/>
        <w:autoSpaceDE w:val="0"/>
        <w:autoSpaceDN w:val="0"/>
        <w:spacing w:line="596" w:lineRule="exact"/>
        <w:ind w:firstLine="63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Cs w:val="32"/>
          <w14:textFill>
            <w14:solidFill>
              <w14:schemeClr w14:val="tx1"/>
            </w14:solidFill>
          </w14:textFill>
        </w:rPr>
        <w:t>完成设施设备安全检查次数大于300天以上，保证设备正常运行；保证警示教育基地日常运行、管理维护“玉溪市监察委员会留置场所新平分点”办案点；进一步提升玉溪市留置隔离专区服务保障能力和水平；维护基础设施正常运转，保证单位日常运行；推进纪律教育常态化、警示教育长效化，提高后勤服务质量助推市县纪委监委审查调查工作。</w:t>
      </w: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9DCC">
    <w:pPr>
      <w:ind w:right="320" w:rightChars="100"/>
      <w:jc w:val="righ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45CA">
    <w:pPr>
      <w:ind w:left="320" w:leftChars="100"/>
      <w:jc w:val="lef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2</w:t>
    </w:r>
    <w:r>
      <w:rPr>
        <w:rFonts w:ascii="宋体" w:hAnsi="宋体" w:eastAsia="宋体" w:cs="宋体"/>
        <w:sz w:val="28"/>
      </w:rPr>
      <w:fldChar w:fldCharType="end"/>
    </w:r>
    <w:r>
      <w:rPr>
        <w:rFonts w:ascii="宋体" w:hAnsi="宋体" w:eastAsia="宋体" w:cs="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0104F"/>
    <w:multiLevelType w:val="singleLevel"/>
    <w:tmpl w:val="90C0104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OTliNGUyNzQ3YTNhYzdlMWQzNzkxMDVlNTYxN2QifQ=="/>
  </w:docVars>
  <w:rsids>
    <w:rsidRoot w:val="00172A27"/>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2A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3671D"/>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1469"/>
    <w:rsid w:val="00465E84"/>
    <w:rsid w:val="00496ABE"/>
    <w:rsid w:val="004A7E26"/>
    <w:rsid w:val="004B325C"/>
    <w:rsid w:val="004B5939"/>
    <w:rsid w:val="004B60FF"/>
    <w:rsid w:val="004C6EB6"/>
    <w:rsid w:val="004D502C"/>
    <w:rsid w:val="004D57C0"/>
    <w:rsid w:val="004D5CDD"/>
    <w:rsid w:val="004E5A48"/>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6CB5"/>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7C516A"/>
    <w:rsid w:val="0534627A"/>
    <w:rsid w:val="05542DE0"/>
    <w:rsid w:val="055D4B81"/>
    <w:rsid w:val="075449B1"/>
    <w:rsid w:val="07E600B5"/>
    <w:rsid w:val="07F25F78"/>
    <w:rsid w:val="09012917"/>
    <w:rsid w:val="09313610"/>
    <w:rsid w:val="09AF5ECF"/>
    <w:rsid w:val="0B512FB6"/>
    <w:rsid w:val="0C0753B5"/>
    <w:rsid w:val="0D6B4803"/>
    <w:rsid w:val="0E303356"/>
    <w:rsid w:val="0E686F94"/>
    <w:rsid w:val="0F800C17"/>
    <w:rsid w:val="0F8F6FC4"/>
    <w:rsid w:val="10572E1C"/>
    <w:rsid w:val="10F349E6"/>
    <w:rsid w:val="123A0C48"/>
    <w:rsid w:val="13345697"/>
    <w:rsid w:val="135D699C"/>
    <w:rsid w:val="140825FF"/>
    <w:rsid w:val="146143A3"/>
    <w:rsid w:val="154B260C"/>
    <w:rsid w:val="163B0AEA"/>
    <w:rsid w:val="16D76A65"/>
    <w:rsid w:val="177E3384"/>
    <w:rsid w:val="17C0574B"/>
    <w:rsid w:val="17E852C8"/>
    <w:rsid w:val="196A02A3"/>
    <w:rsid w:val="19EA1BE6"/>
    <w:rsid w:val="1A02029D"/>
    <w:rsid w:val="1A450189"/>
    <w:rsid w:val="1B9E10E6"/>
    <w:rsid w:val="1BA535D6"/>
    <w:rsid w:val="1C8E7D0D"/>
    <w:rsid w:val="1D412E8A"/>
    <w:rsid w:val="1D4F1A4B"/>
    <w:rsid w:val="1D5C6B5B"/>
    <w:rsid w:val="1DB93368"/>
    <w:rsid w:val="1E676920"/>
    <w:rsid w:val="1E696B3C"/>
    <w:rsid w:val="1E6F3A27"/>
    <w:rsid w:val="1EE64AB5"/>
    <w:rsid w:val="1F5D7D23"/>
    <w:rsid w:val="202A5E57"/>
    <w:rsid w:val="20C4005A"/>
    <w:rsid w:val="2123408C"/>
    <w:rsid w:val="21A165ED"/>
    <w:rsid w:val="21D35127"/>
    <w:rsid w:val="224E1B51"/>
    <w:rsid w:val="22596EC8"/>
    <w:rsid w:val="230E380E"/>
    <w:rsid w:val="234B6811"/>
    <w:rsid w:val="247B3D0C"/>
    <w:rsid w:val="25951FC5"/>
    <w:rsid w:val="25E90563"/>
    <w:rsid w:val="27093862"/>
    <w:rsid w:val="279F35CF"/>
    <w:rsid w:val="27A91D58"/>
    <w:rsid w:val="28013942"/>
    <w:rsid w:val="29D049D8"/>
    <w:rsid w:val="2AA50EFC"/>
    <w:rsid w:val="2B33475A"/>
    <w:rsid w:val="2BAC0068"/>
    <w:rsid w:val="2CBE44F7"/>
    <w:rsid w:val="2F6D2A2C"/>
    <w:rsid w:val="2FD86035"/>
    <w:rsid w:val="30106060"/>
    <w:rsid w:val="30510AD9"/>
    <w:rsid w:val="30DD6F16"/>
    <w:rsid w:val="31A97DB4"/>
    <w:rsid w:val="31B934DF"/>
    <w:rsid w:val="32806A25"/>
    <w:rsid w:val="33C06DA7"/>
    <w:rsid w:val="342804A8"/>
    <w:rsid w:val="34D128EE"/>
    <w:rsid w:val="35092088"/>
    <w:rsid w:val="357E0CC8"/>
    <w:rsid w:val="36D14E09"/>
    <w:rsid w:val="37103BA1"/>
    <w:rsid w:val="37F66FC7"/>
    <w:rsid w:val="38312021"/>
    <w:rsid w:val="386B4E07"/>
    <w:rsid w:val="39237490"/>
    <w:rsid w:val="39A6259B"/>
    <w:rsid w:val="39CD7B28"/>
    <w:rsid w:val="3A4A6042"/>
    <w:rsid w:val="3A900B55"/>
    <w:rsid w:val="3C4A62D6"/>
    <w:rsid w:val="3DCD5707"/>
    <w:rsid w:val="3DFA638C"/>
    <w:rsid w:val="3ECA2A00"/>
    <w:rsid w:val="41DA7064"/>
    <w:rsid w:val="422A126E"/>
    <w:rsid w:val="425251EE"/>
    <w:rsid w:val="42537038"/>
    <w:rsid w:val="42AE426E"/>
    <w:rsid w:val="42D71A17"/>
    <w:rsid w:val="43025CBC"/>
    <w:rsid w:val="43122A4F"/>
    <w:rsid w:val="448B4867"/>
    <w:rsid w:val="44CB1108"/>
    <w:rsid w:val="44D97CC8"/>
    <w:rsid w:val="460D74FE"/>
    <w:rsid w:val="48482A6F"/>
    <w:rsid w:val="49B72FF8"/>
    <w:rsid w:val="4E8C5DAC"/>
    <w:rsid w:val="4F367AC5"/>
    <w:rsid w:val="50792360"/>
    <w:rsid w:val="509E3B74"/>
    <w:rsid w:val="50D13095"/>
    <w:rsid w:val="521D6D1B"/>
    <w:rsid w:val="53B10062"/>
    <w:rsid w:val="545A24A8"/>
    <w:rsid w:val="552D54C7"/>
    <w:rsid w:val="554967A4"/>
    <w:rsid w:val="55AA2FBB"/>
    <w:rsid w:val="56BA722E"/>
    <w:rsid w:val="576860F3"/>
    <w:rsid w:val="596325B8"/>
    <w:rsid w:val="596F6AFD"/>
    <w:rsid w:val="59807B66"/>
    <w:rsid w:val="59C06909"/>
    <w:rsid w:val="5A105AE3"/>
    <w:rsid w:val="5B0171D9"/>
    <w:rsid w:val="5D5D1835"/>
    <w:rsid w:val="5DA54794"/>
    <w:rsid w:val="5DF474C9"/>
    <w:rsid w:val="5EB84053"/>
    <w:rsid w:val="611834CF"/>
    <w:rsid w:val="61F061FA"/>
    <w:rsid w:val="63604CB9"/>
    <w:rsid w:val="63BC6393"/>
    <w:rsid w:val="64B81F86"/>
    <w:rsid w:val="64F3678D"/>
    <w:rsid w:val="65200BA4"/>
    <w:rsid w:val="65293EFC"/>
    <w:rsid w:val="657131AE"/>
    <w:rsid w:val="65766C11"/>
    <w:rsid w:val="659155FE"/>
    <w:rsid w:val="65A87403"/>
    <w:rsid w:val="67311233"/>
    <w:rsid w:val="67422DB4"/>
    <w:rsid w:val="6910451E"/>
    <w:rsid w:val="6B882FFF"/>
    <w:rsid w:val="6BDA23CE"/>
    <w:rsid w:val="6BDF3567"/>
    <w:rsid w:val="6DD0710B"/>
    <w:rsid w:val="6E361438"/>
    <w:rsid w:val="6EDC1FE0"/>
    <w:rsid w:val="6EEF1D13"/>
    <w:rsid w:val="6F1C062E"/>
    <w:rsid w:val="6FD131C7"/>
    <w:rsid w:val="71F31B1A"/>
    <w:rsid w:val="72866B6B"/>
    <w:rsid w:val="731D5B13"/>
    <w:rsid w:val="744A45A0"/>
    <w:rsid w:val="746A3800"/>
    <w:rsid w:val="74E4574A"/>
    <w:rsid w:val="755C1784"/>
    <w:rsid w:val="765608C9"/>
    <w:rsid w:val="770E1791"/>
    <w:rsid w:val="777D1E86"/>
    <w:rsid w:val="77C14AB5"/>
    <w:rsid w:val="78A376CA"/>
    <w:rsid w:val="78BE09DE"/>
    <w:rsid w:val="78DB6E64"/>
    <w:rsid w:val="79BC0A44"/>
    <w:rsid w:val="79FE6D5C"/>
    <w:rsid w:val="7A2828BE"/>
    <w:rsid w:val="7AD51C12"/>
    <w:rsid w:val="7B8B4B71"/>
    <w:rsid w:val="7BDC0473"/>
    <w:rsid w:val="7CFA3BCB"/>
    <w:rsid w:val="7D4150B6"/>
    <w:rsid w:val="7DD319AC"/>
    <w:rsid w:val="7DEC6E08"/>
    <w:rsid w:val="7EC9775F"/>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2"/>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b/>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basedOn w:val="10"/>
    <w:link w:val="6"/>
    <w:semiHidden/>
    <w:qFormat/>
    <w:uiPriority w:val="99"/>
    <w:rPr>
      <w:kern w:val="2"/>
      <w:sz w:val="18"/>
      <w:szCs w:val="18"/>
    </w:rPr>
  </w:style>
  <w:style w:type="character" w:customStyle="1" w:styleId="12">
    <w:name w:val="页眉 字符"/>
    <w:basedOn w:val="10"/>
    <w:link w:val="7"/>
    <w:semiHidden/>
    <w:qFormat/>
    <w:uiPriority w:val="99"/>
    <w:rPr>
      <w:kern w:val="2"/>
      <w:sz w:val="18"/>
      <w:szCs w:val="18"/>
    </w:rPr>
  </w:style>
  <w:style w:type="paragraph" w:customStyle="1" w:styleId="13">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4">
    <w:name w:val="font161"/>
    <w:basedOn w:val="10"/>
    <w:qFormat/>
    <w:uiPriority w:val="0"/>
    <w:rPr>
      <w:rFonts w:hint="eastAsia" w:ascii="楷体" w:hAnsi="楷体" w:eastAsia="楷体" w:cs="楷体"/>
      <w:color w:val="000000"/>
      <w:sz w:val="22"/>
      <w:szCs w:val="22"/>
      <w:u w:val="none"/>
    </w:rPr>
  </w:style>
  <w:style w:type="character" w:customStyle="1" w:styleId="15">
    <w:name w:val="font01"/>
    <w:basedOn w:val="1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4d100024-2dfe-4e20-92a9-5ffd8a749f56</errorID>
      <errorWord>人左右</errorWord>
      <group>L1_Grammar</group>
      <groupName>语法问题</groupName>
      <ability>L2_Illogical</ability>
      <abilityName>不合逻辑</abilityName>
      <candidateList>
        <item>人</item>
      </candidateList>
      <explain>句子中可能存在因果关系错误、自相矛盾、概念误用、主客倒置、否定不当、前后缺乏呼应等问题。</explain>
      <paraID>183619B5</paraID>
      <start>168</start>
      <end>171</end>
      <status>unmodified</status>
      <modifiedWord/>
      <trackRevisions>false</trackRevisions>
    </reviewItem>
    <reviewItem>
      <errorID>18278fa2-78cb-43e4-bab2-3e111d562542</errorID>
      <errorWord>人左右</errorWord>
      <group>L1_Grammar</group>
      <groupName>语法问题</groupName>
      <ability>L2_Illogical</ability>
      <abilityName>不合逻辑</abilityName>
      <candidateList>
        <item>人</item>
      </candidateList>
      <explain>句子中可能存在因果关系错误、自相矛盾、概念误用、主客倒置、否定不当、前后缺乏呼应等问题。</explain>
      <paraID>3904ED79</paraID>
      <start>168</start>
      <end>171</end>
      <status>unmodified</status>
      <modifiedWord/>
      <trackRevisions>false</trackRevisions>
    </reviewItem>
    <reviewItem>
      <errorID>32c2458c-b942-41c9-9ad2-d35d0a3e67d9</errorID>
      <errorWord>期</errorWord>
      <group>L1_Word</group>
      <groupName>字词问题</groupName>
      <ability>L2_Typo</ability>
      <abilityName>字词错误</abilityName>
      <candidateList>
        <item>次</item>
      </candidateList>
      <explain/>
      <paraID>688D36AE</paraID>
      <start>156</start>
      <end>157</end>
      <status>unmodified</status>
      <modifiedWord/>
      <trackRevisions>false</trackRevisions>
    </reviewItem>
    <reviewItem>
      <errorID>519236a7-7d8f-4a32-9a3d-ccdb13823f69</errorID>
      <errorWord>议</errorWord>
      <group>L1_Grammar</group>
      <groupName>语法问题</groupName>
      <ability>L2_Collocation</ability>
      <abilityName>搭配不当</abilityName>
      <candidateList>
        <item>议的决议</item>
      </candidateList>
      <explain>句子中可能存在主谓、动宾、定语中心语、状语中心语、补语中心语、关联词搭配不当等问题。</explain>
      <paraID>688D36AE</paraID>
      <start>158</start>
      <end>159</end>
      <status>unmodified</status>
      <modifiedWord/>
      <trackRevisions>false</trackRevisions>
    </reviewItem>
    <reviewItem>
      <errorID>7f4b30c6-214b-49ef-87bd-1db9f4f210b0</errorID>
      <errorWord>%以上</errorWord>
      <group>L1_Other</group>
      <groupName>其他问题</groupName>
      <ability>L2_UserTypo</ability>
      <abilityName>自定义错误</abilityName>
      <candidateList>
        <item>%</item>
      </candidateList>
      <explain>来自自定义错词库。</explain>
      <paraID>40BC4506</paraID>
      <start>394</start>
      <end>397</end>
      <status>unmodified</status>
      <modifiedWord/>
      <trackRevisions>false</trackRevisions>
    </reviewItem>
  </reviewItems>
  <config/>
</contractReview>
</file>

<file path=customXml/itemProps1.xml><?xml version="1.0" encoding="utf-8"?>
<ds:datastoreItem xmlns:ds="http://schemas.openxmlformats.org/officeDocument/2006/customXml" ds:itemID="{297E7162-B6D3-4F61-A3A1-5E1B6690A79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3741</Words>
  <Characters>4378</Characters>
  <Lines>32</Lines>
  <Paragraphs>9</Paragraphs>
  <TotalTime>0</TotalTime>
  <ScaleCrop>false</ScaleCrop>
  <LinksUpToDate>false</LinksUpToDate>
  <CharactersWithSpaces>4386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2021-01-14T08:48:00Z</cp:lastPrinted>
  <dcterms:modified xsi:type="dcterms:W3CDTF">2026-03-10T03:06:23Z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515C03C754FB4153BE1EB95FB93808FD_13</vt:lpwstr>
  </property>
  <property fmtid="{D5CDD505-2E9C-101B-9397-08002B2CF9AE}" pid="4" name="KSOTemplateDocerSaveRecord">
    <vt:lpwstr>eyJoZGlkIjoiNDhkOGYyZTBhYjZkYmZhYjNmYjVjNTUxMzY1MzhjZDgiLCJ1c2VySWQiOiIxNjA2NTAyNTEwIn0=</vt:lpwstr>
  </property>
</Properties>
</file>