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264D6">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2B025186">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3F0620FF">
      <w:pPr>
        <w:spacing w:after="156" w:afterLines="50" w:line="540" w:lineRule="exact"/>
        <w:jc w:val="center"/>
        <w:outlineLvl w:val="0"/>
        <w:rPr>
          <w:rFonts w:hint="eastAsia" w:ascii="宋体" w:hAnsi="宋体" w:cs="宋体"/>
          <w:color w:val="FF0000"/>
          <w:sz w:val="28"/>
          <w:szCs w:val="28"/>
        </w:rPr>
      </w:pPr>
    </w:p>
    <w:p w14:paraId="57643C8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5D1EA046">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历史建筑实施原址保护审批</w:t>
      </w:r>
    </w:p>
    <w:p w14:paraId="307131D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48DD517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77742F0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377C8A6E">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文化和旅游局（县级政府依法确定的部门会同文化和旅游部门）</w:t>
      </w:r>
    </w:p>
    <w:p w14:paraId="6FB6C6F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4E703493">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《历史文化名城名镇名村保护条例》</w:t>
      </w:r>
    </w:p>
    <w:p w14:paraId="7B71D4E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41C246F7">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历史建筑实施原址保护审批</w:t>
      </w:r>
    </w:p>
    <w:p w14:paraId="580A350F">
      <w:pPr>
        <w:spacing w:line="540" w:lineRule="exact"/>
        <w:ind w:firstLine="560" w:firstLineChars="200"/>
        <w:rPr>
          <w:rFonts w:hint="eastAsia" w:ascii="Times New Roman" w:hAnsi="Times New Roman" w:eastAsia="仿宋GB2312"/>
          <w:sz w:val="28"/>
          <w:szCs w:val="28"/>
        </w:rPr>
      </w:pPr>
    </w:p>
    <w:p w14:paraId="5624F92E">
      <w:pPr>
        <w:spacing w:line="540" w:lineRule="exact"/>
        <w:ind w:firstLine="560" w:firstLineChars="200"/>
        <w:rPr>
          <w:rFonts w:hint="eastAsia" w:ascii="Times New Roman" w:hAnsi="Times New Roman" w:eastAsia="仿宋GB2312"/>
          <w:sz w:val="28"/>
          <w:szCs w:val="28"/>
        </w:rPr>
      </w:pPr>
    </w:p>
    <w:p w14:paraId="4F0D05B2">
      <w:pPr>
        <w:spacing w:line="540" w:lineRule="exact"/>
        <w:ind w:firstLine="560" w:firstLineChars="200"/>
        <w:rPr>
          <w:rFonts w:hint="eastAsia" w:ascii="Times New Roman" w:hAnsi="Times New Roman" w:eastAsia="仿宋GB2312"/>
          <w:sz w:val="28"/>
          <w:szCs w:val="28"/>
        </w:rPr>
      </w:pPr>
    </w:p>
    <w:p w14:paraId="70E65C0F">
      <w:pPr>
        <w:spacing w:line="540" w:lineRule="exact"/>
        <w:ind w:firstLine="560" w:firstLineChars="200"/>
        <w:rPr>
          <w:rFonts w:hint="eastAsia" w:ascii="Times New Roman" w:hAnsi="Times New Roman" w:eastAsia="仿宋GB2312"/>
          <w:sz w:val="28"/>
          <w:szCs w:val="28"/>
        </w:rPr>
      </w:pPr>
    </w:p>
    <w:p w14:paraId="18255DC8">
      <w:pPr>
        <w:spacing w:line="540" w:lineRule="exact"/>
        <w:ind w:firstLine="560" w:firstLineChars="200"/>
        <w:rPr>
          <w:rFonts w:hint="eastAsia" w:ascii="Times New Roman" w:hAnsi="Times New Roman" w:eastAsia="仿宋GB2312"/>
          <w:sz w:val="28"/>
          <w:szCs w:val="28"/>
        </w:rPr>
      </w:pPr>
    </w:p>
    <w:p w14:paraId="69BE8E86">
      <w:pPr>
        <w:spacing w:line="540" w:lineRule="exact"/>
        <w:ind w:firstLine="560" w:firstLineChars="200"/>
        <w:rPr>
          <w:rFonts w:hint="eastAsia" w:ascii="Times New Roman" w:hAnsi="Times New Roman" w:eastAsia="仿宋GB2312"/>
          <w:sz w:val="28"/>
          <w:szCs w:val="28"/>
        </w:rPr>
      </w:pPr>
    </w:p>
    <w:p w14:paraId="482C6753">
      <w:pPr>
        <w:spacing w:line="540" w:lineRule="exact"/>
        <w:ind w:firstLine="560" w:firstLineChars="200"/>
        <w:rPr>
          <w:rFonts w:hint="eastAsia" w:ascii="Times New Roman" w:hAnsi="Times New Roman" w:eastAsia="仿宋GB2312"/>
          <w:sz w:val="28"/>
          <w:szCs w:val="28"/>
        </w:rPr>
      </w:pPr>
    </w:p>
    <w:p w14:paraId="0825E84E">
      <w:pPr>
        <w:spacing w:line="540" w:lineRule="exact"/>
        <w:ind w:firstLine="560" w:firstLineChars="200"/>
        <w:rPr>
          <w:rFonts w:hint="eastAsia" w:ascii="Times New Roman" w:hAnsi="Times New Roman" w:eastAsia="仿宋GB2312"/>
          <w:sz w:val="28"/>
          <w:szCs w:val="28"/>
        </w:rPr>
      </w:pPr>
    </w:p>
    <w:p w14:paraId="759E1BD2">
      <w:pPr>
        <w:spacing w:line="540" w:lineRule="exact"/>
        <w:ind w:firstLine="560" w:firstLineChars="200"/>
        <w:rPr>
          <w:rFonts w:hint="eastAsia" w:ascii="Times New Roman" w:hAnsi="Times New Roman" w:eastAsia="仿宋GB2312"/>
          <w:sz w:val="28"/>
          <w:szCs w:val="28"/>
        </w:rPr>
      </w:pPr>
    </w:p>
    <w:p w14:paraId="018E9F6B">
      <w:pPr>
        <w:spacing w:line="540" w:lineRule="exact"/>
        <w:ind w:firstLine="560" w:firstLineChars="200"/>
        <w:rPr>
          <w:rFonts w:hint="eastAsia" w:ascii="Times New Roman" w:hAnsi="Times New Roman" w:eastAsia="仿宋GB2312"/>
          <w:sz w:val="28"/>
          <w:szCs w:val="28"/>
        </w:rPr>
      </w:pPr>
    </w:p>
    <w:p w14:paraId="77D81CDF">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历史建筑实施原址保护审批</w:t>
      </w:r>
    </w:p>
    <w:p w14:paraId="3A6363ED">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【00011713300301】</w:t>
      </w:r>
    </w:p>
    <w:p w14:paraId="30D50ABD">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4D7E70B6">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C6FC514">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历史建筑实施原址保护审批【00011713300Y】</w:t>
      </w:r>
    </w:p>
    <w:p w14:paraId="6B2244F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3C46098E">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历史建筑实施原址保护审批【000117133003】</w:t>
      </w:r>
    </w:p>
    <w:p w14:paraId="3AB630B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12AE12D0">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历史建筑实施原址保护审批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0</w:t>
      </w:r>
      <w:r>
        <w:rPr>
          <w:rFonts w:hint="eastAsia" w:ascii="方正仿宋_GBK" w:hAnsi="方正仿宋_GBK" w:eastAsia="方正仿宋_GBK" w:cs="方正仿宋_GBK"/>
          <w:sz w:val="28"/>
          <w:szCs w:val="28"/>
        </w:rPr>
        <w:t>00011713300301</w:t>
      </w:r>
      <w:r>
        <w:rPr>
          <w:rFonts w:hint="eastAsia" w:ascii="方正仿宋_GBK" w:hAnsi="方正仿宋_GBK" w:eastAsia="方正仿宋_GBK" w:cs="方正仿宋_GBK"/>
          <w:sz w:val="28"/>
          <w:szCs w:val="28"/>
          <w:lang w:eastAsia="zh-CN"/>
        </w:rPr>
        <w:t>）</w:t>
      </w:r>
    </w:p>
    <w:p w14:paraId="3EF8FD2B">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0B33E0D0">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（1）《历史文化名城名镇名村保护条例》第三十四条</w:t>
      </w:r>
    </w:p>
    <w:p w14:paraId="0516F4CA">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w:t>
      </w:r>
    </w:p>
    <w:p w14:paraId="51732BA0">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3BFB1B73">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（1）《历史文化名城名镇名村保护条例》第三十四条</w:t>
      </w:r>
    </w:p>
    <w:p w14:paraId="53532ECB">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w:t>
      </w:r>
    </w:p>
    <w:p w14:paraId="2CC1BF6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2CAF81B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（1）《历史文化名城名镇名村保护条例》第三十四条</w:t>
      </w:r>
    </w:p>
    <w:p w14:paraId="46137E58">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（2）《历史文化名城名镇名村保护条例》第三十九条</w:t>
      </w:r>
    </w:p>
    <w:p w14:paraId="214FCD44">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w:t>
      </w:r>
    </w:p>
    <w:p w14:paraId="121D3A2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文化和旅游局</w:t>
      </w:r>
    </w:p>
    <w:p w14:paraId="60C5839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549604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510BEE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1060C60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825245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D029531">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718EE96">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33702CA2">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34AC1A5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59774EC5">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5192A42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469F213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已取得建设工程选址批准文件（如果没有选址批准文件，应有产权证明）。</w:t>
      </w:r>
    </w:p>
    <w:p w14:paraId="38A138A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建设项目对历史建筑的真实性和完整性不造成损害，不影响其历史文化价值。</w:t>
      </w:r>
    </w:p>
    <w:p w14:paraId="6AC2C05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历史建筑原址保护所需费用，已列入建设工程预算。</w:t>
      </w:r>
    </w:p>
    <w:p w14:paraId="52166C3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lang w:eastAsia="zh-CN"/>
        </w:rPr>
        <w:t>《中华人民共和国文物保护法</w:t>
      </w:r>
      <w:r>
        <w:rPr>
          <w:rFonts w:ascii="方正仿宋_GBK" w:hAnsi="方正仿宋_GBK" w:eastAsia="方正仿宋_GBK" w:cs="方正仿宋_GBK"/>
          <w:sz w:val="28"/>
          <w:szCs w:val="28"/>
        </w:rPr>
        <w:t>》《历史文化名城名镇名村保护条例》《云南省历史文化名城名镇名村名街保护条例》《中共中央办公厅 国务院办公厅关于在城乡建设中加强历史文化保护传承的意见》《</w:t>
      </w:r>
      <w:r>
        <w:rPr>
          <w:rFonts w:hint="eastAsia" w:ascii="方正仿宋_GBK" w:hAnsi="方正仿宋_GBK" w:eastAsia="方正仿宋_GBK" w:cs="方正仿宋_GBK"/>
          <w:sz w:val="28"/>
          <w:szCs w:val="28"/>
        </w:rPr>
        <w:t>云南省住房和城乡建设厅等</w:t>
      </w:r>
      <w:r>
        <w:rPr>
          <w:rFonts w:ascii="方正仿宋_GBK" w:hAnsi="方正仿宋_GBK" w:eastAsia="方正仿宋_GBK" w:cs="方正仿宋_GBK"/>
          <w:sz w:val="28"/>
          <w:szCs w:val="28"/>
        </w:rPr>
        <w:t>关于在城乡建设中加强历史文化保护传承的实施方案》等法律、法规、政策要求。</w:t>
      </w:r>
    </w:p>
    <w:p w14:paraId="45CC874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在历史文化名城、名镇、名村、街区保护范围内的，</w:t>
      </w:r>
      <w:r>
        <w:rPr>
          <w:rFonts w:hint="eastAsia" w:ascii="方正仿宋_GBK" w:hAnsi="方正仿宋_GBK" w:eastAsia="方正仿宋_GBK" w:cs="方正仿宋_GBK"/>
          <w:sz w:val="28"/>
          <w:szCs w:val="28"/>
        </w:rPr>
        <w:t>应符合经批准的历史文化名城、名镇、名村和街区保护规划或相关专项规划要求。</w:t>
      </w:r>
    </w:p>
    <w:p w14:paraId="21C9D8A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6E1BED7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（1）《历史文化名城名镇名村保护条例》第三十四条建设工程选址，应当尽可能避开历史建筑；因特殊情况不能避开的，应当尽可能实施原址保护。</w:t>
      </w:r>
    </w:p>
    <w:p w14:paraId="4D03E59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对历史建筑实施原址保护的，建设单位应当事先确定保护措施，报城市、县人民政府城乡规划主管部门会同同级文物主管部门批准。</w:t>
      </w:r>
    </w:p>
    <w:p w14:paraId="3125DA1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14:paraId="1FDB507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本条规定的历史建筑原址保护、迁移、拆除所需费用，由建设单位列入建设工程预算。</w:t>
      </w:r>
    </w:p>
    <w:p w14:paraId="61CAC4E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w:t>
      </w:r>
      <w:r>
        <w:rPr>
          <w:rFonts w:hint="eastAsia" w:ascii="方正仿宋_GBK" w:hAnsi="方正仿宋_GBK" w:eastAsia="方正仿宋_GBK" w:cs="方正仿宋_GBK"/>
          <w:sz w:val="28"/>
          <w:szCs w:val="28"/>
        </w:rPr>
        <w:t>第二十三条 在历史文化名城、名镇、名村保护范围内从事建设活动，应当符合保护规划的要求，不得损害历史文化遗产的真实性和完整性，不得对其传统格局和历史风貌构成破坏性影响。</w:t>
      </w:r>
    </w:p>
    <w:p w14:paraId="4B63100B">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 对确定保护的建筑物、构筑物或者其他设施，使用人有保持原样和安全的义务，在修缮和改建时不得影响其传统格局和历史风貌，其设计方案应当征得所在地规划（建设）行政主管部门的同意，涉及到文物保护单位的，还应当征得所在地文物行政主管部门的同意。第三十条历史文化名城、名镇、名村、名街保护范围内的土地利用和各项建设，应当符合经批准的保护规划和保护详细规划。</w:t>
      </w:r>
    </w:p>
    <w:p w14:paraId="69AF9B5D">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39FA86B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p>
    <w:p w14:paraId="6530BF1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7A439CA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08E8A19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CCE486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00F63FD7">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493EC42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实行电子化申报和审批。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不再要求申请人提供人员身份证明、社保证明、营业执照、资质资格证书等材料。</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将承诺审批时限由20个工作日压减至5个工作日。</w:t>
      </w:r>
    </w:p>
    <w:p w14:paraId="00E915CC">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440502D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通过开展城乡历史文化保护传承专项评估和监督检查，对历史建筑实施原址保护审批事项进行监管，依法查处违法违规行为。</w:t>
      </w:r>
    </w:p>
    <w:p w14:paraId="357095C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ascii="方正仿宋_GBK" w:hAnsi="方正仿宋_GBK" w:eastAsia="方正仿宋_GBK" w:cs="方正仿宋_GBK"/>
          <w:sz w:val="28"/>
          <w:szCs w:val="28"/>
        </w:rPr>
        <w:t>对历史建筑实施原址保护工程项目进行监管，依法查处违法违规行为。</w:t>
      </w:r>
    </w:p>
    <w:p w14:paraId="5CC5172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开展对历史建筑实施原址保护审批“双随机、一公开”监管，通过信息公示、抽查、评估等方式，综合运用提醒、约谈、告诫、通报等手段，依法查处违法违规行为并公开结果。</w:t>
      </w:r>
    </w:p>
    <w:p w14:paraId="78C8317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（4）</w:t>
      </w:r>
      <w:r>
        <w:rPr>
          <w:rFonts w:ascii="方正仿宋_GBK" w:hAnsi="方正仿宋_GBK" w:eastAsia="方正仿宋_GBK" w:cs="方正仿宋_GBK"/>
          <w:sz w:val="28"/>
          <w:szCs w:val="28"/>
        </w:rPr>
        <w:t>加强历史建筑实施原址保护信用监管，依法依规对失信主体开展失信惩戒。</w:t>
      </w:r>
    </w:p>
    <w:p w14:paraId="1EBC756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04141CF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61DBB58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历史建筑实施原址保护申报书，内容包括：建设单位名称及法人登记证明；建设工程名称、地点、规模；历史建筑公布文件以及所有权情况说明；保护措施名称、主要内容；建设项目无法避让历史建筑的说明。 </w:t>
      </w:r>
    </w:p>
    <w:p w14:paraId="06371F3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建设工程选址批准文件</w:t>
      </w:r>
      <w:r>
        <w:rPr>
          <w:rFonts w:ascii="方正仿宋_GBK" w:hAnsi="方正仿宋_GBK" w:eastAsia="方正仿宋_GBK" w:cs="方正仿宋_GBK"/>
          <w:sz w:val="28"/>
          <w:szCs w:val="28"/>
        </w:rPr>
        <w:t>（如果没有选址批准文件，应有产权证明）</w:t>
      </w:r>
      <w:r>
        <w:rPr>
          <w:rFonts w:hint="eastAsia" w:ascii="方正仿宋_GBK" w:hAnsi="方正仿宋_GBK" w:eastAsia="方正仿宋_GBK" w:cs="方正仿宋_GBK"/>
          <w:sz w:val="28"/>
          <w:szCs w:val="28"/>
        </w:rPr>
        <w:t>。</w:t>
      </w:r>
    </w:p>
    <w:p w14:paraId="4019C7A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历史建筑保护措施具体方案及影响评估报告。</w:t>
      </w:r>
    </w:p>
    <w:p w14:paraId="5415728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建设工程预算相关材料。</w:t>
      </w:r>
    </w:p>
    <w:p w14:paraId="3E4FE0C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近一个月内历史建筑的正面、侧面、后面照片各一张。</w:t>
      </w:r>
    </w:p>
    <w:p w14:paraId="5F828B1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712AA7B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（1）《历史文化名城名镇名村保护条例》第三十四条 建设工程选址，应当尽可能避开历史建筑；因特殊情况不能避开的，应当尽可能实施原址保护。</w:t>
      </w:r>
    </w:p>
    <w:p w14:paraId="366AB87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对历史建筑实施原址保护的，建设单位应当事先确定保护措施，报城市、县人民政府城乡规划主管部门会同同级文物主管部门批准。</w:t>
      </w:r>
    </w:p>
    <w:p w14:paraId="32D7D8F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14:paraId="71CAA25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本条规定的历史建筑原址保护、迁移、拆除所需费用，由建设单位列入建设工程预算。</w:t>
      </w:r>
    </w:p>
    <w:p w14:paraId="5CF86349">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 对确定保护的建筑物、构筑物或者其他设施，使用人有保持原样和安全的义务，在修缮和改建时不得影响其传统格局和历史风貌，其设计方案应当征得所在地规划（建设）行政主管部门的同意，涉及到文物保护单位的，还应当征得所在地文物行政主管部门的同意。</w:t>
      </w:r>
    </w:p>
    <w:p w14:paraId="7FD14AE6">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5C9B04B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47600348">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5FB6E8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AC4F4A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9CD7BA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1F4920A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6AEF215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7DDB5F3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1.</w:t>
      </w:r>
      <w:r>
        <w:rPr>
          <w:rFonts w:ascii="方正仿宋_GBK" w:hAnsi="方正仿宋_GBK" w:eastAsia="方正仿宋_GBK" w:cs="方正仿宋_GBK"/>
          <w:sz w:val="28"/>
          <w:szCs w:val="28"/>
        </w:rPr>
        <w:t>申请</w:t>
      </w:r>
      <w:r>
        <w:rPr>
          <w:rFonts w:hint="eastAsia" w:ascii="方正仿宋_GBK" w:hAnsi="方正仿宋_GBK" w:eastAsia="方正仿宋_GBK" w:cs="方正仿宋_GBK"/>
          <w:sz w:val="28"/>
          <w:szCs w:val="28"/>
          <w:lang w:eastAsia="zh-CN"/>
        </w:rPr>
        <w:t>；</w:t>
      </w:r>
    </w:p>
    <w:p w14:paraId="69D3C6A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w:t>
      </w:r>
      <w:r>
        <w:rPr>
          <w:rFonts w:hint="eastAsia" w:ascii="方正仿宋_GBK" w:hAnsi="方正仿宋_GBK" w:eastAsia="方正仿宋_GBK" w:cs="方正仿宋_GBK"/>
          <w:sz w:val="28"/>
          <w:szCs w:val="28"/>
          <w:lang w:eastAsia="zh-CN"/>
        </w:rPr>
        <w:t>；</w:t>
      </w:r>
    </w:p>
    <w:p w14:paraId="5EC8266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w:t>
      </w:r>
      <w:r>
        <w:rPr>
          <w:rFonts w:hint="eastAsia" w:ascii="方正仿宋_GBK" w:hAnsi="方正仿宋_GBK" w:eastAsia="方正仿宋_GBK" w:cs="方正仿宋_GBK"/>
          <w:sz w:val="28"/>
          <w:szCs w:val="28"/>
          <w:lang w:eastAsia="zh-CN"/>
        </w:rPr>
        <w:t>；</w:t>
      </w:r>
    </w:p>
    <w:p w14:paraId="0D63D95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现场勘验、开展技术服务（部分情况下开展）、鉴定（部分情况下开展）、专家评审（部分情况下开展）、组织听证（部分情况下开展）</w:t>
      </w:r>
      <w:r>
        <w:rPr>
          <w:rFonts w:hint="eastAsia" w:ascii="方正仿宋_GBK" w:hAnsi="方正仿宋_GBK" w:eastAsia="方正仿宋_GBK" w:cs="方正仿宋_GBK"/>
          <w:sz w:val="28"/>
          <w:szCs w:val="28"/>
          <w:lang w:eastAsia="zh-CN"/>
        </w:rPr>
        <w:t>；</w:t>
      </w:r>
    </w:p>
    <w:p w14:paraId="35382FF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公示（部分情况下开展）</w:t>
      </w:r>
      <w:r>
        <w:rPr>
          <w:rFonts w:hint="eastAsia" w:ascii="方正仿宋_GBK" w:hAnsi="方正仿宋_GBK" w:eastAsia="方正仿宋_GBK" w:cs="方正仿宋_GBK"/>
          <w:sz w:val="28"/>
          <w:szCs w:val="28"/>
          <w:lang w:eastAsia="zh-CN"/>
        </w:rPr>
        <w:t>；</w:t>
      </w:r>
    </w:p>
    <w:p w14:paraId="033D1CD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发放许可。</w:t>
      </w:r>
    </w:p>
    <w:p w14:paraId="651D7C5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3A6294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第四章 行政许可的实施程序</w:t>
      </w:r>
    </w:p>
    <w:p w14:paraId="1F55EE7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73C14D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47EC5F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6B5A50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DBA180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FDE6FC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0E6059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2DD8B4A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6F16E20">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部分情况下开展</w:t>
      </w:r>
    </w:p>
    <w:p w14:paraId="0E73C0D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5CCD33D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64F6E48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2E6345E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75D2926B">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第二十六条　行政许可需要行政机关内设的多个机构办理的，该行政机关应当确定一个机构统一受理行政许可申请，统一送达行政许可决定。</w:t>
      </w:r>
    </w:p>
    <w:p w14:paraId="163337A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行政许可依法由地方人民政府两个以上部门分别实施的，本级人民政府可以确定一个部门受理行政许可申请并转告有关部门分别提出意见后统一办理，或者组织有关部门联合办理、集中办理。</w:t>
      </w:r>
    </w:p>
    <w:p w14:paraId="0A53D29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5044335B">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依照本法第二十六条的规定，行政许可采取统一办理或者联合办理、集中办理的，办理的时间不得超过四十五日</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四十五日内不能办结的，经本级人民政府负责人批准，可以延长十五日，并应当将延长期限的理由告知申请人。</w:t>
      </w:r>
    </w:p>
    <w:p w14:paraId="167885D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5F9A1EA6">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07F0E3B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503A58D3">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A805AC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0C20208E">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3C31E95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历史建筑实施原址保护许可决定书</w:t>
      </w:r>
    </w:p>
    <w:p w14:paraId="183328E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727D81F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249CEF9B">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《历史文化名城名镇名村保护条例》第三十四条　建设工程选址，应当尽可能避开历史建筑；因特殊情况不能避开的，应当尽可能实施原址保护。</w:t>
      </w:r>
    </w:p>
    <w:p w14:paraId="22760DA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对历史建筑实施原址保护的，建设单位应当事先确定保护措施，报城市、县人民政府城乡规划主管部门会同同级文物主管部门批准。</w:t>
      </w:r>
    </w:p>
    <w:p w14:paraId="3DB450D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14:paraId="6E4003D9">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本条规定的历史建筑原址保护、迁移、拆除所需费用，由建设单位列入建设工程预算。</w:t>
      </w:r>
    </w:p>
    <w:p w14:paraId="05072B7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78AB19F1">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9B5DFA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0FFBB717">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FDACD0F">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69AD41C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0530BB38">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 法律、行政法规设定的行政许可，其适用范围没有地域限制的，申请人取得的行政许可在全国范围内有效。</w:t>
      </w:r>
    </w:p>
    <w:p w14:paraId="4FA8D892">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01E2B0D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6C0282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3880BD6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2D2FFD2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56C3EF9E">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9B74121">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585C67E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5105D73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C711A0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05FF9AE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45899D8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3E1A7E7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EDECDE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CDB6B7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1DE7ABA8">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0675CE7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62663A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9F7D808">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1F3AA7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77FAA98">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410B986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县政府依法确定的部门会同文化和旅游部门</w:t>
      </w:r>
    </w:p>
    <w:p w14:paraId="706E5709">
      <w:pPr>
        <w:spacing w:line="600" w:lineRule="exact"/>
        <w:ind w:firstLine="560" w:firstLineChars="200"/>
        <w:rPr>
          <w:rFonts w:hint="eastAsia" w:ascii="Times New Roman" w:hAnsi="Times New Roman" w:eastAsia="黑体"/>
          <w:sz w:val="28"/>
          <w:szCs w:val="28"/>
        </w:rPr>
      </w:pPr>
      <w:bookmarkStart w:id="0" w:name="_GoBack"/>
      <w:bookmarkEnd w:id="0"/>
      <w:r>
        <w:rPr>
          <w:rFonts w:hint="eastAsia" w:ascii="Times New Roman" w:hAnsi="Times New Roman" w:eastAsia="黑体"/>
          <w:sz w:val="28"/>
          <w:szCs w:val="28"/>
        </w:rPr>
        <w:t>十五、备注</w:t>
      </w:r>
    </w:p>
    <w:p w14:paraId="1ED7C543">
      <w:pPr>
        <w:spacing w:line="540" w:lineRule="exact"/>
        <w:outlineLvl w:val="1"/>
        <w:rPr>
          <w:rFonts w:ascii="Times New Roman" w:hAnsi="Times New Roman" w:eastAsia="黑体"/>
          <w:sz w:val="28"/>
          <w:szCs w:val="28"/>
        </w:rPr>
      </w:pPr>
    </w:p>
    <w:p w14:paraId="3AE834C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F713C"/>
    <w:multiLevelType w:val="singleLevel"/>
    <w:tmpl w:val="DEFF713C"/>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72597129"/>
    <w:rsid w:val="016B1D04"/>
    <w:rsid w:val="0C647B07"/>
    <w:rsid w:val="10122F8E"/>
    <w:rsid w:val="1AF75BCC"/>
    <w:rsid w:val="2231034E"/>
    <w:rsid w:val="24A82C4D"/>
    <w:rsid w:val="27DB46E6"/>
    <w:rsid w:val="2DD11D2F"/>
    <w:rsid w:val="354D392C"/>
    <w:rsid w:val="3E480D95"/>
    <w:rsid w:val="42F62DE4"/>
    <w:rsid w:val="4A4E3D1D"/>
    <w:rsid w:val="4FD84FE4"/>
    <w:rsid w:val="51EC1700"/>
    <w:rsid w:val="57E3521F"/>
    <w:rsid w:val="5F9918C7"/>
    <w:rsid w:val="604D2A14"/>
    <w:rsid w:val="60AF05DA"/>
    <w:rsid w:val="633C6041"/>
    <w:rsid w:val="72597129"/>
    <w:rsid w:val="7B7F7218"/>
    <w:rsid w:val="7C8B7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11</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2023-11-07T19:02:00Z</dcterms:created>
  <dc:creator>DELL</dc:creator>
  <cp:lastModifiedBy>陶然</cp:lastModifiedBy>
  <dcterms:modified xsi:type="dcterms:W3CDTF">2026-03-10T15:07:19Z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ED5669F5A6E84D28947738560D75D522_13</vt:lpwstr>
  </property>
</Properties>
</file>