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FAA97">
      <w:pPr>
        <w:spacing w:after="156" w:afterLines="50" w:line="540" w:lineRule="exact"/>
        <w:jc w:val="center"/>
        <w:outlineLvl w:val="0"/>
        <w:rPr>
          <w:rFonts w:hint="eastAsia" w:ascii="方正小标宋_GBK" w:hAnsi="方正小标宋_GBK" w:eastAsia="方正小标宋_GBK" w:cs="方正小标宋_GBK"/>
          <w:sz w:val="40"/>
          <w:szCs w:val="40"/>
        </w:rPr>
      </w:pPr>
      <w:bookmarkStart w:id="0" w:name="_GoBack"/>
      <w:bookmarkEnd w:id="0"/>
    </w:p>
    <w:p w14:paraId="457DCF13">
      <w:pPr>
        <w:spacing w:after="156" w:afterLines="50" w:line="540" w:lineRule="exact"/>
        <w:jc w:val="center"/>
        <w:outlineLvl w:val="0"/>
        <w:rPr>
          <w:rFonts w:hint="eastAsia" w:ascii="宋体" w:hAnsi="宋体" w:cs="宋体"/>
          <w:color w:val="FF0000"/>
          <w:sz w:val="28"/>
          <w:szCs w:val="28"/>
        </w:rPr>
      </w:pPr>
      <w:r>
        <w:rPr>
          <w:rFonts w:hint="eastAsia" w:ascii="方正小标宋_GBK" w:hAnsi="方正小标宋_GBK" w:eastAsia="方正小标宋_GBK" w:cs="方正小标宋_GBK"/>
          <w:sz w:val="40"/>
          <w:szCs w:val="40"/>
        </w:rPr>
        <w:t>行政许可事项实施规范</w:t>
      </w:r>
    </w:p>
    <w:p w14:paraId="5D6A4BDA">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14:paraId="2171450C">
      <w:pPr>
        <w:spacing w:after="156" w:afterLines="50" w:line="540" w:lineRule="exact"/>
        <w:jc w:val="center"/>
        <w:outlineLvl w:val="0"/>
        <w:rPr>
          <w:rFonts w:hint="eastAsia" w:ascii="宋体" w:hAnsi="宋体" w:cs="宋体"/>
          <w:color w:val="FF0000"/>
          <w:sz w:val="28"/>
          <w:szCs w:val="28"/>
        </w:rPr>
      </w:pPr>
    </w:p>
    <w:p w14:paraId="36B7B634">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14:paraId="056A47E4">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燃气经营者改动市政燃气设施审批</w:t>
      </w:r>
    </w:p>
    <w:p w14:paraId="3D247E9F">
      <w:pPr>
        <w:spacing w:line="540" w:lineRule="exact"/>
        <w:outlineLvl w:val="1"/>
        <w:rPr>
          <w:rFonts w:hint="eastAsia" w:ascii="Times New Roman" w:hAnsi="Times New Roman" w:eastAsia="黑体"/>
          <w:color w:val="auto"/>
          <w:sz w:val="28"/>
          <w:szCs w:val="28"/>
        </w:rPr>
      </w:pPr>
      <w:r>
        <w:rPr>
          <w:rFonts w:hint="eastAsia" w:ascii="Times New Roman" w:hAnsi="Times New Roman" w:eastAsia="黑体"/>
          <w:color w:val="auto"/>
          <w:sz w:val="28"/>
          <w:szCs w:val="28"/>
        </w:rPr>
        <w:t>二、主管部门：</w:t>
      </w:r>
    </w:p>
    <w:p w14:paraId="5269E842">
      <w:pPr>
        <w:spacing w:line="540" w:lineRule="exact"/>
        <w:ind w:firstLine="560" w:firstLineChars="200"/>
        <w:outlineLvl w:val="1"/>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新平县综合行政执法局</w:t>
      </w:r>
    </w:p>
    <w:p w14:paraId="1B7EC3D3">
      <w:pPr>
        <w:spacing w:line="540" w:lineRule="exact"/>
        <w:outlineLvl w:val="1"/>
        <w:rPr>
          <w:rFonts w:hint="eastAsia" w:ascii="Times New Roman" w:hAnsi="Times New Roman" w:eastAsia="黑体"/>
          <w:color w:val="auto"/>
          <w:sz w:val="28"/>
          <w:szCs w:val="28"/>
        </w:rPr>
      </w:pPr>
      <w:r>
        <w:rPr>
          <w:rFonts w:hint="eastAsia" w:ascii="Times New Roman" w:hAnsi="Times New Roman" w:eastAsia="黑体"/>
          <w:color w:val="auto"/>
          <w:sz w:val="28"/>
          <w:szCs w:val="28"/>
        </w:rPr>
        <w:t>三、实施机关：</w:t>
      </w:r>
    </w:p>
    <w:p w14:paraId="66DAEC79">
      <w:pPr>
        <w:spacing w:line="540" w:lineRule="exact"/>
        <w:ind w:firstLine="560" w:firstLineChars="200"/>
        <w:outlineLvl w:val="1"/>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新平县综合行政执法局</w:t>
      </w:r>
    </w:p>
    <w:p w14:paraId="68A693C3">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四、设定和实施依据：</w:t>
      </w:r>
    </w:p>
    <w:p w14:paraId="3B1B1CAB">
      <w:pPr>
        <w:spacing w:line="540" w:lineRule="exact"/>
        <w:ind w:firstLine="560" w:firstLineChars="20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《城镇燃气管理条例》</w:t>
      </w:r>
    </w:p>
    <w:p w14:paraId="71CE96AD">
      <w:pPr>
        <w:spacing w:line="540" w:lineRule="exact"/>
        <w:ind w:firstLine="560" w:firstLineChars="200"/>
        <w:outlineLvl w:val="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《国务院关于第六批取消和调整行政审批项目的决定》（国发〔2012〕52号）</w:t>
      </w:r>
    </w:p>
    <w:p w14:paraId="568D4FBE">
      <w:pPr>
        <w:spacing w:line="540" w:lineRule="exact"/>
        <w:outlineLvl w:val="1"/>
        <w:rPr>
          <w:rFonts w:hint="eastAsia" w:ascii="Times New Roman" w:hAnsi="Times New Roman" w:eastAsia="黑体"/>
          <w:sz w:val="28"/>
          <w:szCs w:val="28"/>
          <w:lang w:val="en-US" w:eastAsia="zh-CN"/>
        </w:rPr>
      </w:pPr>
      <w:r>
        <w:rPr>
          <w:rFonts w:hint="eastAsia" w:ascii="Times New Roman" w:hAnsi="Times New Roman" w:eastAsia="黑体"/>
          <w:sz w:val="28"/>
          <w:szCs w:val="28"/>
        </w:rPr>
        <w:t>五、子项：</w:t>
      </w:r>
      <w:r>
        <w:rPr>
          <w:rFonts w:hint="eastAsia" w:ascii="Times New Roman" w:hAnsi="Times New Roman" w:eastAsia="黑体"/>
          <w:sz w:val="28"/>
          <w:szCs w:val="28"/>
          <w:lang w:val="en-US" w:eastAsia="zh-CN"/>
        </w:rPr>
        <w:t>无</w:t>
      </w:r>
    </w:p>
    <w:p w14:paraId="726E66F3">
      <w:pPr>
        <w:spacing w:line="540" w:lineRule="exact"/>
        <w:ind w:firstLine="560" w:firstLineChars="200"/>
        <w:rPr>
          <w:rFonts w:hint="eastAsia" w:ascii="Times New Roman" w:hAnsi="Times New Roman" w:eastAsia="仿宋GB2312"/>
          <w:sz w:val="28"/>
          <w:szCs w:val="28"/>
        </w:rPr>
      </w:pPr>
    </w:p>
    <w:p w14:paraId="06414F7E">
      <w:pPr>
        <w:spacing w:line="540" w:lineRule="exact"/>
        <w:ind w:firstLine="560" w:firstLineChars="200"/>
        <w:rPr>
          <w:rFonts w:hint="eastAsia" w:ascii="Times New Roman" w:hAnsi="Times New Roman" w:eastAsia="仿宋GB2312"/>
          <w:sz w:val="28"/>
          <w:szCs w:val="28"/>
        </w:rPr>
      </w:pPr>
    </w:p>
    <w:p w14:paraId="462133A6">
      <w:pPr>
        <w:spacing w:line="540" w:lineRule="exact"/>
        <w:ind w:firstLine="560" w:firstLineChars="200"/>
        <w:rPr>
          <w:rFonts w:hint="eastAsia" w:ascii="Times New Roman" w:hAnsi="Times New Roman" w:eastAsia="仿宋GB2312"/>
          <w:sz w:val="28"/>
          <w:szCs w:val="28"/>
        </w:rPr>
      </w:pPr>
    </w:p>
    <w:p w14:paraId="077D3219">
      <w:pPr>
        <w:spacing w:line="540" w:lineRule="exact"/>
        <w:ind w:firstLine="560" w:firstLineChars="200"/>
        <w:rPr>
          <w:rFonts w:hint="eastAsia" w:ascii="Times New Roman" w:hAnsi="Times New Roman" w:eastAsia="仿宋GB2312"/>
          <w:sz w:val="28"/>
          <w:szCs w:val="28"/>
        </w:rPr>
      </w:pPr>
    </w:p>
    <w:p w14:paraId="273D5E8E">
      <w:pPr>
        <w:spacing w:line="540" w:lineRule="exact"/>
        <w:ind w:firstLine="560" w:firstLineChars="200"/>
        <w:rPr>
          <w:rFonts w:hint="eastAsia" w:ascii="Times New Roman" w:hAnsi="Times New Roman" w:eastAsia="仿宋GB2312"/>
          <w:sz w:val="28"/>
          <w:szCs w:val="28"/>
        </w:rPr>
      </w:pPr>
    </w:p>
    <w:p w14:paraId="119F8FE3">
      <w:pPr>
        <w:spacing w:line="540" w:lineRule="exact"/>
        <w:ind w:firstLine="560" w:firstLineChars="200"/>
        <w:rPr>
          <w:rFonts w:hint="eastAsia" w:ascii="Times New Roman" w:hAnsi="Times New Roman" w:eastAsia="仿宋GB2312"/>
          <w:sz w:val="28"/>
          <w:szCs w:val="28"/>
        </w:rPr>
      </w:pPr>
    </w:p>
    <w:p w14:paraId="3986A419">
      <w:pPr>
        <w:spacing w:line="540" w:lineRule="exact"/>
        <w:ind w:firstLine="560" w:firstLineChars="200"/>
        <w:rPr>
          <w:rFonts w:hint="eastAsia" w:ascii="Times New Roman" w:hAnsi="Times New Roman" w:eastAsia="仿宋GB2312"/>
          <w:sz w:val="28"/>
          <w:szCs w:val="28"/>
        </w:rPr>
      </w:pPr>
    </w:p>
    <w:p w14:paraId="091479A4">
      <w:pPr>
        <w:spacing w:line="540" w:lineRule="exact"/>
        <w:ind w:firstLine="560" w:firstLineChars="200"/>
        <w:rPr>
          <w:rFonts w:hint="eastAsia" w:ascii="Times New Roman" w:hAnsi="Times New Roman" w:eastAsia="仿宋GB2312"/>
          <w:sz w:val="28"/>
          <w:szCs w:val="28"/>
        </w:rPr>
      </w:pPr>
    </w:p>
    <w:p w14:paraId="4BB63349">
      <w:pPr>
        <w:spacing w:line="540" w:lineRule="exact"/>
        <w:rPr>
          <w:rFonts w:hint="eastAsia" w:ascii="Times New Roman" w:hAnsi="Times New Roman" w:eastAsia="仿宋GB2312"/>
          <w:sz w:val="28"/>
          <w:szCs w:val="28"/>
        </w:rPr>
      </w:pPr>
    </w:p>
    <w:p w14:paraId="562EA6E6">
      <w:pPr>
        <w:spacing w:line="600" w:lineRule="exact"/>
        <w:ind w:firstLine="560" w:firstLineChars="200"/>
        <w:rPr>
          <w:rFonts w:hint="eastAsia" w:ascii="方正仿宋_GBK" w:hAnsi="方正仿宋_GBK" w:eastAsia="方正仿宋_GBK" w:cs="方正仿宋_GBK"/>
          <w:sz w:val="28"/>
          <w:szCs w:val="28"/>
        </w:rPr>
      </w:pPr>
    </w:p>
    <w:p w14:paraId="0468CFD7">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燃气经营者改动市政燃气设施审批（县级权限）</w:t>
      </w:r>
    </w:p>
    <w:p w14:paraId="38ED9E5F">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【000117128002】</w:t>
      </w:r>
    </w:p>
    <w:p w14:paraId="4B2C8B2D">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14:paraId="0B87272E">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14:paraId="5D91B3E4">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燃气经营者改动市政燃气设施审批【00011712800Y】</w:t>
      </w:r>
    </w:p>
    <w:p w14:paraId="798641E7">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14:paraId="7FDF5C12">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燃气经营者改动市政燃气设施审批（县级权限）【000117128002】</w:t>
      </w:r>
    </w:p>
    <w:p w14:paraId="3ECED4E0">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14:paraId="19BC576E">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1.燃气经营者改动市政燃气设施审批(县级权限)(00011712800201)</w:t>
      </w:r>
    </w:p>
    <w:p w14:paraId="2952BC0C">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14:paraId="5DCD0CFE">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（1）《城镇燃气管理条例》第三十八条</w:t>
      </w:r>
    </w:p>
    <w:p w14:paraId="54EB0995">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（2）《国务院关于第六批取消和调整行政审批项目的决定》附件2第21条</w:t>
      </w:r>
    </w:p>
    <w:p w14:paraId="7ECA50AB">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14:paraId="5BF3F509">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（1）《城镇燃气管理条例》第三十八条</w:t>
      </w:r>
    </w:p>
    <w:p w14:paraId="0F427927">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（2）《国务院关于第六批取消和调整行政审批项目的决定》附件2第21条</w:t>
      </w:r>
    </w:p>
    <w:p w14:paraId="5B5A0ADD">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14:paraId="34E5CE24">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（1）《城镇燃气管理条例》第三十八条</w:t>
      </w:r>
    </w:p>
    <w:p w14:paraId="127BA347">
      <w:pPr>
        <w:spacing w:line="600" w:lineRule="exact"/>
        <w:ind w:firstLine="562" w:firstLineChars="200"/>
        <w:rPr>
          <w:rFonts w:hint="default" w:ascii="Times New Roman" w:hAnsi="Times New Roman" w:eastAsia="仿宋GB2312"/>
          <w:sz w:val="28"/>
          <w:szCs w:val="28"/>
          <w:lang w:val="en-US"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color w:val="auto"/>
          <w:sz w:val="28"/>
          <w:szCs w:val="28"/>
          <w:lang w:val="en-US" w:eastAsia="zh-CN"/>
        </w:rPr>
        <w:t>新平县综合行政执法局</w:t>
      </w:r>
    </w:p>
    <w:p w14:paraId="309C6E51">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42C116DB">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4D68470F">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1DCCCFA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58CD2779">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2A35DDBB">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0071394E">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燃气经营者改动市政燃气设施审批</w:t>
      </w:r>
    </w:p>
    <w:p w14:paraId="7BB11C82">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14:paraId="76E9C40E">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14:paraId="20E33E5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14:paraId="73657037">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14:paraId="1D9C83F2">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14:paraId="0CF1DE3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制定改动方案，报县级以上地方人民政府燃气管理部门批准；</w:t>
      </w:r>
    </w:p>
    <w:p w14:paraId="5B2F403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改动方案应当符合燃气发展规划，明确安全施工要求，有安全防护和保障正常用气的措施。</w:t>
      </w:r>
    </w:p>
    <w:p w14:paraId="0A32745F">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14:paraId="47C0F8E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（1）《城镇燃气管理条例》第三十八条燃气经营者改动市政燃气设施，应当制定改动方案，报县级以上地方人民政府燃气管理部门批准。</w:t>
      </w:r>
    </w:p>
    <w:p w14:paraId="5721995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改动方案应当符合燃气发展规划，明确安全施工要求，有安全防护和保障正常用气的措施。</w:t>
      </w:r>
    </w:p>
    <w:p w14:paraId="503E75D8">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14:paraId="0D82A65A">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14:paraId="627AC7A0">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是</w:t>
      </w:r>
    </w:p>
    <w:p w14:paraId="7AEB504E">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燃气经营者改动市政燃气设施审批</w:t>
      </w:r>
    </w:p>
    <w:p w14:paraId="347B799E">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燃气设施改动许可</w:t>
      </w:r>
    </w:p>
    <w:p w14:paraId="6F92D676">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优化审批服务</w:t>
      </w:r>
    </w:p>
    <w:p w14:paraId="2EC9005D">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14:paraId="10996EC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1.实行电子化申报和审批。</w:t>
      </w:r>
    </w:p>
    <w:p w14:paraId="654081C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2.不再要求申请人提供人员身份证明、社保证明、资质资格证书等材料。</w:t>
      </w:r>
    </w:p>
    <w:p w14:paraId="0827F513">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3.将承诺审批时限由20个工作日压减至5个工作日。</w:t>
      </w:r>
    </w:p>
    <w:p w14:paraId="74D1C0E9">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14:paraId="0D9E3EA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1.许可管理部门对申请许可的重要内容进行真实性检查，监督检查的主要内容是燃气经营企业的人员及其基础设施是否符合本办法及有关技术规范要求。</w:t>
      </w:r>
    </w:p>
    <w:p w14:paraId="6BED827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2.事中监管。对事中监管实施“双随机、一公开”的监管手段，通过信息公示、抽查、抽检及对重点领域、重点问题进行专项整治等方式实施监管。</w:t>
      </w:r>
    </w:p>
    <w:p w14:paraId="331D0C5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事后处置。监督管理部门要依法及时认定违法违规行为种类和性质并予以处置，建立健全联合惩戒机制和市场退出机制，对违法燃气经营企业依法实施吊销、注销、撤销燃气经营许可，对违法有关人员实施从业限制，并采取列入经营异常名录、失信企业、黑名单或限制申请经营许可等惩戒措施。</w:t>
      </w:r>
    </w:p>
    <w:p w14:paraId="3801816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4.鼓励社会公众共同参与燃气经营和安全管理。任何组织和个人有权向各级政府燃气管理部门举报，各级政府燃气管理部门应当进行核实，按照有关规定予以处理。</w:t>
      </w:r>
    </w:p>
    <w:p w14:paraId="60F405AF">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14:paraId="6192FAFC">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14:paraId="74B68E44">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燃气设施改动申请书原件一份；</w:t>
      </w:r>
    </w:p>
    <w:p w14:paraId="1D4F2016">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企业营业执照、法人身份证、授权委托书、.受委托人身份证复印件各一份；（需比对原件留存复印件）（除授权委托书外，信息共享后无需提供）；</w:t>
      </w:r>
    </w:p>
    <w:p w14:paraId="6AF71631">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燃气工程项目规划复印件一份（各地根据实际情况决定是否需要提供）；</w:t>
      </w:r>
    </w:p>
    <w:p w14:paraId="602A688F">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设计、施工、监理等相关资质证书复印件（需对比原件留存复印件）</w:t>
      </w:r>
    </w:p>
    <w:p w14:paraId="2CDA2CCD">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燃气设计资质单位出具的燃气设施改动可行性报告原件一份；</w:t>
      </w:r>
    </w:p>
    <w:p w14:paraId="18014AAA">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燃气设计资质单位出具的燃气设施改动平面布置图原件一份；</w:t>
      </w:r>
    </w:p>
    <w:p w14:paraId="372FFC4C">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燃气施工资质单位出具的燃气设施改动施工组织及实施方案原件一份；</w:t>
      </w:r>
    </w:p>
    <w:p w14:paraId="7CC8973C">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企业安全防护及用户正常供气方案原件一份。</w:t>
      </w:r>
    </w:p>
    <w:p w14:paraId="748DFC94">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14:paraId="23FAE34B">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（1）《城镇燃气管理条例》第三十八条燃气经营者改动市政燃气设施，应当制定改动方案，报县级以上地方人民政府燃气管理部门批准。</w:t>
      </w:r>
    </w:p>
    <w:p w14:paraId="653C57CB">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改动方案应当符合燃气发展规划，明确安全施工要求，有安全防护和保障正常用气的措施。</w:t>
      </w:r>
    </w:p>
    <w:p w14:paraId="537DFBF4">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14:paraId="35AED376">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14:paraId="7C05B9E0">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6A90E2C9">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14:paraId="1EBE722A">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59C6695E">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0898E72F">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14:paraId="6F591A8B">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14:paraId="2A8F69AD">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w:t>
      </w:r>
    </w:p>
    <w:p w14:paraId="0E08CF8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受理</w:t>
      </w:r>
    </w:p>
    <w:p w14:paraId="38EB662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审核</w:t>
      </w:r>
    </w:p>
    <w:p w14:paraId="3620E31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w:t>
      </w:r>
    </w:p>
    <w:p w14:paraId="094F2D9A">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14:paraId="2273061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（1）《中华人民共和国行政许可法》第二十九条至第四十条第四章　行政许可的实施程序</w:t>
      </w:r>
    </w:p>
    <w:p w14:paraId="726DC15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第一节申请与受理</w:t>
      </w:r>
    </w:p>
    <w:p w14:paraId="21B8C43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14:paraId="7B3D9C5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14:paraId="0F10C38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14:paraId="299C8ED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　行政机关应当将法律、法规、规章规定的有关行政许可的事项、依据、条件、数量、程序、期限以及需要提交的全部材料的目录和申请书示范文本等在办公场所公示。</w:t>
      </w:r>
    </w:p>
    <w:p w14:paraId="247E484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14:paraId="5AB0048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14:paraId="753E415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行政机关及其工作人员不得以转让技术作为取得行政许可的条件;不得在实施行政许可的过程中，直接或者间接地要求转让技术。</w:t>
      </w:r>
    </w:p>
    <w:p w14:paraId="7AFA34E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　行政机关对申请人提出的行政许可申请，应当根据下列情况分别作出处理：</w:t>
      </w:r>
    </w:p>
    <w:p w14:paraId="6508A4E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14:paraId="33EBAF9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14:paraId="4C35201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14:paraId="1E8983A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14:paraId="59E74E9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14:paraId="0CC31B4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14:paraId="5A3141B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　行政机关应当建立和完善有关制度，推行电子政务，在行政机关的网站上公布行政许可事项，方便申请人采取数据电文等方式提出行政许可申请;应当与其他行政机关共享有关行政许可信息，提高办事效率。</w:t>
      </w:r>
    </w:p>
    <w:p w14:paraId="51DBFD9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第二节审查与决定</w:t>
      </w:r>
    </w:p>
    <w:p w14:paraId="3EA0048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　行政机关应当对申请人提交的申请材料进行审查。</w:t>
      </w:r>
    </w:p>
    <w:p w14:paraId="1B73865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14:paraId="0AA70AA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14:paraId="5B510C8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14:paraId="56AF8BC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　行政机关对行政许可申请进行审查时，发现行政许可事项直接关系他人重大利益的，应当告知该利害关系人。申请人、利害关系人有权进行陈述和申辩。行政机关应当听取申请人、利害关系人的意见。</w:t>
      </w:r>
    </w:p>
    <w:p w14:paraId="286A6B4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　行政机关对行政许可申请进行审查后，除当场作出行政许可决定的外，应当在法定期限内按照规定程序作出行政许可决定。</w:t>
      </w:r>
    </w:p>
    <w:p w14:paraId="20B0830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　申请人的申请符合法定条件、标准的，行政机关应当依法作出准予行政许可的书面决定。</w:t>
      </w:r>
    </w:p>
    <w:p w14:paraId="016B6CC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14:paraId="59236E4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　行政机关作出准予行政许可的决定，需要颁发行政许可证件的，应当向申请人颁发加盖本行政机关印章的下列行政许可证件：</w:t>
      </w:r>
    </w:p>
    <w:p w14:paraId="05BEEB9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14:paraId="078C439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14:paraId="0DD9045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14:paraId="428F6C6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14:paraId="5DEE048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　行政机关作出的准予行政许可决定，应当予以公开，公众有权查阅。</w:t>
      </w:r>
    </w:p>
    <w:p w14:paraId="45255270">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7DF56375">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04D43310">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49B1162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1F8D34FE">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6572581D">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7EC9A6CE">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39F9B73A">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2C4433C4">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14:paraId="69600EE4">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14:paraId="16F6B3A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14:paraId="2770D252">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14:paraId="0E4A9D25">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14:paraId="26EC80F1">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w:t>
      </w:r>
    </w:p>
    <w:p w14:paraId="71237D1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14:paraId="067EB6CE">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14:paraId="5F40EF35">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14:paraId="2EA341FC">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5176D40D">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14:paraId="4B816787">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14:paraId="4E818593">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燃气设施改动许可</w:t>
      </w:r>
    </w:p>
    <w:p w14:paraId="553A1EA0">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暂由地方规定有无行政许可证件的有效期限</w:t>
      </w:r>
    </w:p>
    <w:p w14:paraId="1CC17C8A">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14:paraId="21619AEB">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（1）《城镇燃气管理条例》第三十八条燃气经营者改动市政燃气设施，应当制定改动方案，报县级以上地方人民政府燃气管理部门批准。</w:t>
      </w:r>
    </w:p>
    <w:p w14:paraId="4CDBEC1F">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改动方案应当符合燃气发展规划，明确安全施工要求，有安全防护和保障正常用气的措施。</w:t>
      </w:r>
    </w:p>
    <w:p w14:paraId="14394474">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14:paraId="5071E2F9">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59465A6A">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14:paraId="2ACEE2B5">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33853D9A">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本级审批权限范围</w:t>
      </w:r>
    </w:p>
    <w:p w14:paraId="798E3835">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14:paraId="2C600C35">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（1）《城镇燃气管理条例》第三十八条燃气经营者改动市政燃气设施，应当制定改动方案，报县级以上地方人民政府燃气管理部门批准。</w:t>
      </w:r>
    </w:p>
    <w:p w14:paraId="2199568A">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改动方案应当符合燃气发展规划，明确安全施工要求，有安全防护和保障正常用气的措施。</w:t>
      </w:r>
    </w:p>
    <w:p w14:paraId="68B9DD93">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14:paraId="1F696541">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14:paraId="73BB37BA">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14:paraId="717C05EF">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14:paraId="273DDDD1">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14:paraId="276C92D5">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77181D5C">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14:paraId="55BFFDEB">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14:paraId="7C1EF39E">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4642CEBB">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14:paraId="560F3C48">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14:paraId="48D29F73">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14:paraId="01F8BDBD">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14:paraId="1B8FCDFB">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5CCACE4A">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14:paraId="02F504BE">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14:paraId="2E866622">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4FAC12C8">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15FB6941">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58EBDB3E">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5D50A5B1">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14:paraId="2CBB86CD">
      <w:pPr>
        <w:spacing w:line="540" w:lineRule="exact"/>
        <w:ind w:firstLine="560" w:firstLineChars="200"/>
        <w:outlineLvl w:val="1"/>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新平县综合行政执法局</w:t>
      </w:r>
    </w:p>
    <w:p w14:paraId="78B9FE83">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14:paraId="1E6B7ED0">
      <w:pPr>
        <w:spacing w:line="600" w:lineRule="exact"/>
        <w:ind w:firstLine="560" w:firstLineChars="200"/>
        <w:rPr>
          <w:rFonts w:hint="eastAsia" w:ascii="方正仿宋_GBK" w:hAnsi="方正仿宋_GBK" w:eastAsia="方正仿宋_GBK" w:cs="方正仿宋_GBK"/>
          <w:sz w:val="28"/>
          <w:szCs w:val="28"/>
        </w:rPr>
      </w:pPr>
    </w:p>
    <w:p w14:paraId="682D93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14FC7"/>
    <w:rsid w:val="0AA452D9"/>
    <w:rsid w:val="16A61B76"/>
    <w:rsid w:val="2B014FC7"/>
    <w:rsid w:val="38460883"/>
    <w:rsid w:val="45F122AB"/>
    <w:rsid w:val="657E044E"/>
    <w:rsid w:val="699D03B6"/>
    <w:rsid w:val="73356A57"/>
    <w:rsid w:val="7F579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12</Pages>
  <Words>0</Words>
  <Characters>0</Characters>
  <Lines>0</Lines>
  <Paragraphs>0</Paragraphs>
  <TotalTime>1</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2023-11-07T10:54:00Z</dcterms:created>
  <dc:creator>DELL</dc:creator>
  <cp:lastModifiedBy>kylin</cp:lastModifiedBy>
  <dcterms:modified xsi:type="dcterms:W3CDTF">2026-03-04T16:28:28Z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D38EAFBF2F5133322CEDA769CCB28148_42</vt:lpwstr>
  </property>
</Properties>
</file>