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68876">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0BF4D862">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6F0E13D2">
      <w:pPr>
        <w:spacing w:after="156" w:afterLines="50" w:line="540" w:lineRule="exact"/>
        <w:jc w:val="center"/>
        <w:outlineLvl w:val="0"/>
        <w:rPr>
          <w:rFonts w:hint="eastAsia" w:ascii="宋体" w:hAnsi="宋体" w:cs="宋体"/>
          <w:color w:val="FF0000"/>
          <w:sz w:val="28"/>
          <w:szCs w:val="28"/>
        </w:rPr>
      </w:pPr>
    </w:p>
    <w:p w14:paraId="275F2CC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6DFD9313">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w:t>
      </w:r>
    </w:p>
    <w:p w14:paraId="2ACB6FA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22AA5648">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0A18CBD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550E67A8">
      <w:pPr>
        <w:spacing w:line="540" w:lineRule="exact"/>
        <w:ind w:firstLine="420"/>
        <w:outlineLvl w:val="1"/>
        <w:rPr>
          <w:rFonts w:hint="eastAsia" w:ascii="方正仿宋_GBK" w:hAnsi="方正仿宋_GBK" w:eastAsia="方正仿宋_GBK" w:cs="方正仿宋_GBK"/>
          <w:sz w:val="28"/>
          <w:szCs w:val="28"/>
        </w:rPr>
      </w:pPr>
      <w:bookmarkStart w:id="0" w:name="_GoBack"/>
      <w:bookmarkEnd w:id="0"/>
      <w:r>
        <w:rPr>
          <w:rFonts w:hint="eastAsia" w:ascii="方正仿宋_GBK" w:hAnsi="方正仿宋_GBK" w:eastAsia="方正仿宋_GBK" w:cs="方正仿宋_GBK"/>
          <w:sz w:val="28"/>
          <w:szCs w:val="28"/>
          <w:lang w:val="en-US" w:eastAsia="zh-CN"/>
        </w:rPr>
        <w:t>新平县综合行政执法局</w:t>
      </w:r>
    </w:p>
    <w:p w14:paraId="7CA3AA8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726C6BF7">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《城市道路管理条例》</w:t>
      </w:r>
    </w:p>
    <w:p w14:paraId="0FFF52B7">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《云南省人民政府关于调整 112 项涉及州级及以下行政权力事项的决定》（云政发〔2020〕21 号）</w:t>
      </w:r>
    </w:p>
    <w:p w14:paraId="0FF44AB2">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2DE06CF9">
      <w:pPr>
        <w:spacing w:line="540" w:lineRule="exact"/>
        <w:ind w:firstLine="560" w:firstLineChars="200"/>
        <w:rPr>
          <w:rFonts w:hint="eastAsia" w:ascii="Times New Roman" w:hAnsi="Times New Roman" w:eastAsia="仿宋GB2312"/>
          <w:sz w:val="28"/>
          <w:szCs w:val="28"/>
        </w:rPr>
      </w:pPr>
    </w:p>
    <w:p w14:paraId="066449F8">
      <w:pPr>
        <w:spacing w:line="540" w:lineRule="exact"/>
        <w:ind w:firstLine="560" w:firstLineChars="200"/>
        <w:rPr>
          <w:rFonts w:hint="eastAsia" w:ascii="Times New Roman" w:hAnsi="Times New Roman" w:eastAsia="仿宋GB2312"/>
          <w:sz w:val="28"/>
          <w:szCs w:val="28"/>
        </w:rPr>
      </w:pPr>
    </w:p>
    <w:p w14:paraId="4078780C">
      <w:pPr>
        <w:spacing w:line="540" w:lineRule="exact"/>
        <w:ind w:firstLine="560" w:firstLineChars="200"/>
        <w:rPr>
          <w:rFonts w:hint="eastAsia" w:ascii="Times New Roman" w:hAnsi="Times New Roman" w:eastAsia="仿宋GB2312"/>
          <w:sz w:val="28"/>
          <w:szCs w:val="28"/>
        </w:rPr>
      </w:pPr>
    </w:p>
    <w:p w14:paraId="2B6BCD29">
      <w:pPr>
        <w:spacing w:line="540" w:lineRule="exact"/>
        <w:ind w:firstLine="560" w:firstLineChars="200"/>
        <w:rPr>
          <w:rFonts w:hint="eastAsia" w:ascii="Times New Roman" w:hAnsi="Times New Roman" w:eastAsia="仿宋GB2312"/>
          <w:sz w:val="28"/>
          <w:szCs w:val="28"/>
        </w:rPr>
      </w:pPr>
    </w:p>
    <w:p w14:paraId="5FB1F1E5">
      <w:pPr>
        <w:spacing w:line="540" w:lineRule="exact"/>
        <w:ind w:firstLine="560" w:firstLineChars="200"/>
        <w:rPr>
          <w:rFonts w:hint="eastAsia" w:ascii="Times New Roman" w:hAnsi="Times New Roman" w:eastAsia="仿宋GB2312"/>
          <w:sz w:val="28"/>
          <w:szCs w:val="28"/>
        </w:rPr>
      </w:pPr>
    </w:p>
    <w:p w14:paraId="135F36AA">
      <w:pPr>
        <w:spacing w:line="540" w:lineRule="exact"/>
        <w:ind w:firstLine="560" w:firstLineChars="200"/>
        <w:rPr>
          <w:rFonts w:hint="eastAsia" w:ascii="Times New Roman" w:hAnsi="Times New Roman" w:eastAsia="仿宋GB2312"/>
          <w:sz w:val="28"/>
          <w:szCs w:val="28"/>
        </w:rPr>
      </w:pPr>
    </w:p>
    <w:p w14:paraId="304F2BD4">
      <w:pPr>
        <w:spacing w:line="540" w:lineRule="exact"/>
        <w:ind w:firstLine="560" w:firstLineChars="200"/>
        <w:rPr>
          <w:rFonts w:hint="eastAsia" w:ascii="Times New Roman" w:hAnsi="Times New Roman" w:eastAsia="仿宋GB2312"/>
          <w:sz w:val="28"/>
          <w:szCs w:val="28"/>
        </w:rPr>
      </w:pPr>
    </w:p>
    <w:p w14:paraId="6BECCD18">
      <w:pPr>
        <w:spacing w:line="600" w:lineRule="exact"/>
        <w:ind w:firstLine="560" w:firstLineChars="200"/>
        <w:rPr>
          <w:rFonts w:hint="eastAsia" w:ascii="方正仿宋_GBK" w:hAnsi="方正仿宋_GBK" w:eastAsia="方正仿宋_GBK" w:cs="方正仿宋_GBK"/>
          <w:sz w:val="28"/>
          <w:szCs w:val="28"/>
        </w:rPr>
      </w:pPr>
    </w:p>
    <w:p w14:paraId="52BEE34A">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特殊车辆在城市道路上行驶审批（县级权限）</w:t>
      </w:r>
    </w:p>
    <w:p w14:paraId="470B5C4A">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【000117130003】</w:t>
      </w:r>
    </w:p>
    <w:p w14:paraId="0557886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4FE2C89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571E3019">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特殊车辆在城市道路上行驶审批【00011713000Y】</w:t>
      </w:r>
    </w:p>
    <w:p w14:paraId="53DD2AB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18DAE411">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特殊车辆在城市道路上行驶审批（县级权限）【000117130003】</w:t>
      </w:r>
    </w:p>
    <w:p w14:paraId="0F53F6F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69CEB5CC">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1.特殊车辆在城市道路上行驶审批（县级权限）变更申请(00011713000301)</w:t>
      </w:r>
    </w:p>
    <w:p w14:paraId="20C1F69B">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2.特殊车辆在城市道路上行驶审批（县级权限）首次申请(00011713000302)</w:t>
      </w:r>
    </w:p>
    <w:p w14:paraId="3594BAE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5E09EF01">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（1）《城市道路管理条例》第二十八条</w:t>
      </w:r>
    </w:p>
    <w:p w14:paraId="0730881F">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0CFDD2B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（1）《城市道路管理条例》第二十八条</w:t>
      </w:r>
    </w:p>
    <w:p w14:paraId="2C191F19">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 112 项涉及州级及以下行政权力事项的决定》（云政发〔2020〕21 号）</w:t>
      </w:r>
    </w:p>
    <w:p w14:paraId="1BF969F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B1D9F5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w:t>
      </w:r>
    </w:p>
    <w:p w14:paraId="75E0F23F">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7A7652C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5BC170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97E6DA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5DEBF3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AA713F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7A9C09D">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DE215A4">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特殊车辆在城市道路上行驶（包括经过城市桥梁）审批</w:t>
      </w:r>
    </w:p>
    <w:p w14:paraId="2169B61E">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1406E35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22270A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295814F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06F1E71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310CAC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因城市建设发展或其他特殊事项需要；</w:t>
      </w:r>
    </w:p>
    <w:p w14:paraId="5A45A51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运输物品不可拆解；</w:t>
      </w:r>
    </w:p>
    <w:p w14:paraId="2FB87AB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必须遵守限载、限速、限高的规定；</w:t>
      </w:r>
    </w:p>
    <w:p w14:paraId="0BB3D1F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具备公安交通管理部门认可的指定时间、路线；</w:t>
      </w:r>
    </w:p>
    <w:p w14:paraId="262E039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有市政设施防护方案；</w:t>
      </w:r>
    </w:p>
    <w:p w14:paraId="5B92A74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2818A0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（1）城市道路管理条例第二十八条履带车、铁轮车或者超重、超高、超长车辆需要在城市道路上行驶的，事先须征得市政工程行政主管部门同意，并按照公安交通管理部门指定的时间、路线行驶。</w:t>
      </w:r>
    </w:p>
    <w:p w14:paraId="109E8D7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75FF73C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14:paraId="3CBF2E9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39A0640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369D1A5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7347AEC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483CD2EF">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3153EB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14:paraId="0DF31BD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14:paraId="59E46EEA">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14:paraId="13523508">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342584F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1.完善监管机制，制定检查监督方案。</w:t>
      </w:r>
    </w:p>
    <w:p w14:paraId="0E73300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2.压实特殊车辆安全生产责任，引导特殊车辆源头单位安装称重检测及视频监控等设备，并联网运行，对出场(站)特殊车辆进行检测，坚决杜绝未经许可或车证不符的特殊车辆上路行驶。</w:t>
      </w:r>
    </w:p>
    <w:p w14:paraId="47F244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现场核查，严格落实有关规定要求，对可能影响城市道路完好、安全、畅通情形的，要加大抽查力度;对申请的特殊车辆接近跨类临界值的，要重点抽查，对核查或抽查中发现与申请不符的，按隐瞒有关情况或者提供虚假材料申请许可，予以严肃处理。</w:t>
      </w:r>
    </w:p>
    <w:p w14:paraId="539C48D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强化特殊车辆动态监管，指导执法机构利用北斗定位、ETC门架信息等数据，及时发现车辆不按许可路线行驶问题；加强途中检查，发现违法情形的，依法严肃查处；建立跨区域联动监管机制，解决区域间信息不共享、出现问题相互推诿的问题。</w:t>
      </w:r>
    </w:p>
    <w:p w14:paraId="14CD18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严格特殊车辆通行数据分析比对，利用现有大数据资源，开展特殊车辆行驶轨迹分析比对，提高虚假填报、车证不符、不按许可路线行驶等违法情形的发现能力。探索特殊车辆企业信用风险分类管理，建立特殊车辆企业信用积分规则，进行信用评价，提高企业失信违法成本，引导诚信办证、规范行驶。</w:t>
      </w:r>
    </w:p>
    <w:p w14:paraId="1CA0304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5C04406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70D65D2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特殊车辆在城市道路上行驶许可申请书。</w:t>
      </w:r>
    </w:p>
    <w:p w14:paraId="498CA4D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14:paraId="7F4B7D1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车辆驾驶证、行驶证证明文件。</w:t>
      </w:r>
    </w:p>
    <w:p w14:paraId="459CE66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公安交警部门证明文件（经公安交通管理部门批准的车辆经过城市道路（城市桥梁）行驶方案，包括和通行时间示意图、行车路线）。</w:t>
      </w:r>
    </w:p>
    <w:p w14:paraId="5EA2D7B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所经过城市道路、桥梁的保护措施方案。</w:t>
      </w:r>
    </w:p>
    <w:p w14:paraId="73288CD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特殊车辆经过城市桥梁的，还应提交由第三方单位的安全检测与评估报告或桥梁原设计单位出具的技术安全意见、桥梁专家的审查意见和事故预警和应急加固方案。</w:t>
      </w:r>
    </w:p>
    <w:p w14:paraId="4E18BA17">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48FE2E9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（1）城市道路管理条例第二十八条履带车、铁轮车或者超重、超高、超长车辆需要在城市道路上行驶的，事先须征得市政工程行政主管部门同意，并按照公安交通管理部门指定的时间、路线行驶。</w:t>
      </w:r>
    </w:p>
    <w:p w14:paraId="07DD96C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71CAECD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59A2539C">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37EB94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BC3D69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F22C74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684CF0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A0CC71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24013F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7355547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539002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02AE3CF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2495B97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w:t>
      </w:r>
    </w:p>
    <w:p w14:paraId="49D80B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14:paraId="004EC75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14:paraId="59A48F1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2B4D997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24D0DC3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648F710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2A80062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6D46CD0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1B7B59D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27E065D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4298CFF3">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799245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3863A3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3ED17D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7785408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488B1F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1F86EF8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75E3FD8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0D8FCA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054203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113C4EB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66E6104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304E20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588B55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34464C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3AD9DF1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546AB12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18B4A1C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56157C7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0455D0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4684BD2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05FC018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3A384F9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0791C4B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09B79109">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7F4F9BA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629CA6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12645D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B61C40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8E9322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E47AFC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B9B2B0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6ABFE2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060F13FB">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7DE550F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14B6B53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0861566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0908574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35607B0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EFF32B9">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72F37E6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4684899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470526A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47C1115A">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F6E811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4B749ACA">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64F8910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特殊车辆在城市道路上行驶许可决定书</w:t>
      </w:r>
    </w:p>
    <w:p w14:paraId="404A3D9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359E805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21AA717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4CB9DAE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593274D5">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2BF9049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7900C80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5ABAF02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14:paraId="54A133CC">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通行的时间、路线发生变更</w:t>
      </w:r>
    </w:p>
    <w:p w14:paraId="27B88BB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619B8336">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CAC8686">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p>
    <w:p w14:paraId="111DFE2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090E15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14:paraId="577D647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14:paraId="262A887F">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14:paraId="57DC598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3653D05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60CD81D5">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376A2185">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652DD0F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2E61137B">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B4A993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57D86B5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36F3A3A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81EE32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13FE404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62376EF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222131B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43EDC56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24087C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7B3AD75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291E776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0A4206A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197EAEF">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9AB513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F94DA9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580456D9">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723EB0C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1BDA4988">
      <w:pPr>
        <w:spacing w:line="600" w:lineRule="exact"/>
        <w:ind w:firstLine="560" w:firstLineChars="200"/>
        <w:rPr>
          <w:rFonts w:hint="eastAsia" w:ascii="方正仿宋_GBK" w:hAnsi="方正仿宋_GBK" w:eastAsia="方正仿宋_GBK" w:cs="方正仿宋_GBK"/>
          <w:sz w:val="28"/>
          <w:szCs w:val="28"/>
        </w:rPr>
      </w:pPr>
    </w:p>
    <w:p w14:paraId="27F0FA4C">
      <w:pPr>
        <w:spacing w:line="600" w:lineRule="exact"/>
        <w:ind w:firstLine="560" w:firstLineChars="200"/>
        <w:rPr>
          <w:rFonts w:hint="eastAsia" w:ascii="方正仿宋_GBK" w:hAnsi="方正仿宋_GBK" w:eastAsia="方正仿宋_GBK" w:cs="方正仿宋_GBK"/>
          <w:sz w:val="28"/>
          <w:szCs w:val="28"/>
        </w:rPr>
      </w:pPr>
    </w:p>
    <w:p w14:paraId="354D1741">
      <w:pPr>
        <w:spacing w:line="540" w:lineRule="exact"/>
        <w:outlineLvl w:val="1"/>
        <w:rPr>
          <w:rFonts w:ascii="Times New Roman" w:hAnsi="Times New Roman" w:eastAsia="黑体"/>
          <w:sz w:val="28"/>
          <w:szCs w:val="28"/>
        </w:rPr>
      </w:pPr>
    </w:p>
    <w:p w14:paraId="7901E1E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E0350"/>
    <w:rsid w:val="25FB0DF8"/>
    <w:rsid w:val="46625733"/>
    <w:rsid w:val="7725414D"/>
    <w:rsid w:val="FFBFD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2023-12-07T17:48:00Z</dcterms:created>
  <dc:creator>Administrator</dc:creator>
  <cp:lastModifiedBy>kylin</cp:lastModifiedBy>
  <dcterms:modified xsi:type="dcterms:W3CDTF">2026-03-04T16:31:10Z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2F20D89EE6465BEDCEEDA769993E34C6_42</vt:lpwstr>
  </property>
</Properties>
</file>