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建设工程、临时建设工程规划许可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1.建设工程规划许可（设区的市级权限）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2.临时建设工程规划许可（设区的市级权限）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3.建设工程规划许可（县级权限）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4.临时建设工程规划许可（县级权限）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BF1D91"/>
    <w:rsid w:val="46AD0111"/>
    <w:rsid w:val="4A1947CF"/>
    <w:rsid w:val="5E3C4B2D"/>
    <w:rsid w:val="68DD2486"/>
    <w:rsid w:val="7E41756E"/>
    <w:rsid w:val="FE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2023-10-08T03:04:10Z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DAD75E0F06814EC99B9A0DC56ACEF074</vt:lpwstr>
  </property>
</Properties>
</file>