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highlight w:val="none"/>
        </w:rPr>
        <w:t>新平彝族傣族自治县残疾人联合会</w:t>
      </w:r>
    </w:p>
    <w:p w14:paraId="1F52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highlight w:val="none"/>
        </w:rPr>
        <w:t>2026年部门预算重点领域财政项目文本</w:t>
      </w:r>
    </w:p>
    <w:p w14:paraId="632D71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634E0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一、项目名称</w:t>
      </w:r>
    </w:p>
    <w:p w14:paraId="2965D8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残疾人就业和扶贫专项资金。</w:t>
      </w:r>
    </w:p>
    <w:p w14:paraId="73EA3F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75D27B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残疾人就业和扶贫专项资金根据《国务院关于印发“十四五”残疾人保障和发展规划的通知》（国发〔2021〕10号）、《云南省“十四五”残疾人职业技能提升计划》（云残就业〔2022〕55号）、《关于印发〈云南省“十四五”农村困难残疾人实用技术培训项目实施方案〉的通知》（云残就业〔2021〕64号）、《关于印发玉溪市“十四五”残疾人保障和发展规划任务分工方案的通知》（玉残工委〔2022〕3号）、《玉溪市残疾人联合会关于印发玉溪市残疾人联合会2024年工作要点的通知》（玉残发〔2024〕2号）、《关于印发〈云南省“十四五”助残就业“十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百千万工程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”实施方案〉的通知》（云残发〔2022〕36号）、《关于印发新平彝族傣族自治县促进残疾人就业三年行动实施方案（2022—2024年）的通知》（新政办发〔2023〕12号）设立重大项目。项目完全契合中央、省、市重大决策部署，紧扣残疾人保障和发展核心需求，是落实残疾人就业扶贫政策、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残疾人生活质量、推进残疾人事业高质量发展的重要举措。</w:t>
      </w:r>
    </w:p>
    <w:p w14:paraId="2C40CD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789B0F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新平彝族傣族自治县残疾人联合会。</w:t>
      </w:r>
    </w:p>
    <w:p w14:paraId="2EF02B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249A29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本项目建设期为1年，实施周期为2026年1月1日至2026年12月31日。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项目公开批复资金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983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00.00元（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项目预计总资金支出3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元，其中：本级财政预算1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983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00.00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元，上级财政补助1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278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00.00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元（依据玉财社〔2025〕135号文件）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highlight w:val="none"/>
          <w:lang w:val="en-US" w:eastAsia="zh-CN"/>
        </w:rPr>
        <w:t>）。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项目聚焦残疾人就业创业、技能提升、生活保障等核心需求，通过开展技能培训、创业扶持、临时救助、助学慰问、托养服务等工作，有效提升残疾人创业就业能力、拓宽就业渠道，切实改善残疾人生活水平，助力巩固残疾人脱贫攻坚成果，推动残疾人事业与经济社会协调发展，符合残疾人事业高质量发展规律，具有重要的现实意义和实施价值。</w:t>
      </w:r>
    </w:p>
    <w:p w14:paraId="3622F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0479DA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我县14户以上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盲人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保健按摩店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规范化管理工作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，提供相关资金补助。</w:t>
      </w:r>
    </w:p>
    <w:p w14:paraId="0D9FFC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（二）开展残疾人工作者提升业务培训60人，开展残疾人农村实用技术培训84人，开展残疾人职业技能培训100人次。</w:t>
      </w:r>
    </w:p>
    <w:p w14:paraId="583E38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助残就业“十百千万工程”残疾人就业创业，实施“助残就业，同奔小康”百企千人就业创业行动计划，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残疾人创业就业示范点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个；就业创业示范户15户；残疾人扶持发展生产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190人。</w:t>
      </w:r>
    </w:p>
    <w:p w14:paraId="058BF65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（四）开展贫困残疾人临时救助106人次。</w:t>
      </w:r>
    </w:p>
    <w:p w14:paraId="7153EE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（五）开展考取大中专残疾学生及残疾人子女助学补助115人，残疾学生六一节慰问170人次。</w:t>
      </w:r>
    </w:p>
    <w:p w14:paraId="309F0D4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（六）为智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力、精神及重度肢体残疾人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“阳光家园计划”提供专业化托养服务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200人。</w:t>
      </w:r>
    </w:p>
    <w:p w14:paraId="7544A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1353D6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项目公开批复资金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983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00.00元（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项目预计总资金支出3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1,000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元，其中：本级财政预算1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983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00.00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元，上级财政补助1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278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00.00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元（依据玉财社〔2025〕135号文件）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）。</w:t>
      </w:r>
    </w:p>
    <w:p w14:paraId="6CEF22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46282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(一)资金预算阶段</w:t>
      </w:r>
    </w:p>
    <w:p w14:paraId="436F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2025年10月—2026年1月，由新平县残疾人劳动服务所根据项目推进情况、前期工作筹备情况，提交财务室纳入2026年度年初预算。</w:t>
      </w:r>
    </w:p>
    <w:p w14:paraId="36D8C6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（二）预算批复阶段</w:t>
      </w:r>
    </w:p>
    <w:p w14:paraId="28D7D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2026年1月—2026年2月，县人大常委会、县财政局根据街道上报预算，完成对我单位预算批复工作。</w:t>
      </w:r>
    </w:p>
    <w:p w14:paraId="5CC4D0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（三）项目竣工验收阶段</w:t>
      </w:r>
    </w:p>
    <w:p w14:paraId="123E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2026年3月—2026年11月，由项目领导小组组织项目验收结算，提供结算验收材料至县残联财务室审核后报分管领导、主要领导审批，以备报账。</w:t>
      </w:r>
    </w:p>
    <w:p w14:paraId="020285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（四）资金兑付阶段</w:t>
      </w:r>
    </w:p>
    <w:p w14:paraId="166A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2026年3—11月，根据县级财力状况，积极争取县级财政支持，力争年度终了前完成资金兑付工作。</w:t>
      </w:r>
    </w:p>
    <w:p w14:paraId="5A419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1DA54A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（一）促进辖区残疾人稳定就业</w:t>
      </w:r>
    </w:p>
    <w:p w14:paraId="50A965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1"/>
          <w:highlight w:val="none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1"/>
          <w:highlight w:val="none"/>
          <w:shd w:val="clear" w:color="auto" w:fill="FFFFFF"/>
          <w:lang w:val="en-US" w:eastAsia="zh-CN" w:bidi="ar"/>
        </w:rPr>
        <w:t>．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完善落实残疾人就业保护和就业促进政策措施，千方百计促进残疾人及家庭就业增收，帮助和促进更多的残疾人实现就业创业，实现残疾人就业稳步推进。残疾人思想道德素养、科学文化素质和身心健康水平明显提高。</w:t>
      </w:r>
    </w:p>
    <w:p w14:paraId="3724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1"/>
          <w:highlight w:val="none"/>
          <w:shd w:val="clear" w:color="auto" w:fill="FFFFFF"/>
          <w:lang w:val="en-US" w:eastAsia="zh-CN" w:bidi="ar"/>
        </w:rPr>
        <w:t>2</w:t>
      </w:r>
      <w:r>
        <w:rPr>
          <w:rFonts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1"/>
          <w:highlight w:val="none"/>
          <w:shd w:val="clear" w:color="auto" w:fill="FFFFFF"/>
          <w:lang w:val="en-US" w:eastAsia="zh-CN" w:bidi="ar"/>
        </w:rPr>
        <w:t>．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巩固拓展残疾人脱贫攻坚成果。通过建设残疾人扶贫基地，扶持残疾人走脱贫致富的路子，该方法取得了一定成效。依托基地组织培训贫困残疾人及其家属，转移安置符合企业求职要求残疾人在基地集中就业，在残疾人扶贫、培训、就业工作中发挥了很大作用。保障相关群体积极参与社会生产和生活，效果较为明显。</w:t>
      </w:r>
    </w:p>
    <w:p w14:paraId="1734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（二）持续改善残疾人生产生活条件</w:t>
      </w:r>
    </w:p>
    <w:p w14:paraId="66626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继续加大就业扶贫项目的实施，残疾人受教育水平和生活生产能力不断提升，着力改善了残疾人生活状况，提高了残疾人融入社会生活的能力，残疾人社会适应能力得到显著提升，关心、理解、支持残疾人的社会氛围得到明显</w:t>
      </w:r>
      <w:bookmarkStart w:id="0" w:name="_GoBack"/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增强</w:t>
      </w:r>
      <w:bookmarkEnd w:id="0"/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22"/>
          <w:highlight w:val="none"/>
          <w:lang w:val="en-US" w:eastAsia="zh-CN"/>
        </w:rPr>
        <w:t>。从而减轻了残疾人家庭经济负担，促进残疾人回归、融入社会，更好地实现人生价值。</w:t>
      </w:r>
    </w:p>
    <w:p w14:paraId="003B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531" w:bottom="181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CF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314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314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D7C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57D5"/>
    <w:rsid w:val="159D25E0"/>
    <w:rsid w:val="234B4A63"/>
    <w:rsid w:val="28016068"/>
    <w:rsid w:val="2EE6F085"/>
    <w:rsid w:val="3BFECD00"/>
    <w:rsid w:val="3FD72BC0"/>
    <w:rsid w:val="4CDC1A73"/>
    <w:rsid w:val="57FDB1DE"/>
    <w:rsid w:val="5D3F21E0"/>
    <w:rsid w:val="5F3224C2"/>
    <w:rsid w:val="65BF2385"/>
    <w:rsid w:val="67AF4366"/>
    <w:rsid w:val="6B3F8683"/>
    <w:rsid w:val="6F1B8D92"/>
    <w:rsid w:val="73E7602B"/>
    <w:rsid w:val="777D3E91"/>
    <w:rsid w:val="7B6FAB44"/>
    <w:rsid w:val="7B77ED88"/>
    <w:rsid w:val="7CF39633"/>
    <w:rsid w:val="7DED9904"/>
    <w:rsid w:val="7DF3F323"/>
    <w:rsid w:val="7FFF2876"/>
    <w:rsid w:val="AF7FAD09"/>
    <w:rsid w:val="BFE75FB3"/>
    <w:rsid w:val="C7E71385"/>
    <w:rsid w:val="D7FEF18C"/>
    <w:rsid w:val="DE7F57D5"/>
    <w:rsid w:val="EAFDC494"/>
    <w:rsid w:val="EDFF6121"/>
    <w:rsid w:val="EFCFDD45"/>
    <w:rsid w:val="F1710F84"/>
    <w:rsid w:val="FD7CEC3E"/>
    <w:rsid w:val="FE6B1244"/>
    <w:rsid w:val="FF5D9129"/>
    <w:rsid w:val="FFBEC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b1bf0d17-b67e-4761-927e-ff6fa2e208a0</errorID>
      <errorWord>百千万工程</errorWord>
      <group>L1_Political</group>
      <groupName>政治性问题</groupName>
      <ability>L2_Keyword</ability>
      <abilityName>固定表述</abilityName>
      <candidateList>
        <item>‘百千万工程’</item>
      </candidateList>
      <explain>注意检查当前固定表述标点是否使用规范。</explain>
      <paraID>75D27BD4</paraID>
      <start>264</start>
      <end>269</end>
      <status>ignored</status>
      <modifiedWord/>
      <trackRevisions>false</trackRevisions>
    </reviewItem>
    <reviewItem>
      <errorID>0bde6989-3883-4fd9-a200-fd23ddff0f14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249A2969</paraID>
      <start>123</start>
      <end>124</end>
      <status>ignored</status>
      <modifiedWord/>
      <trackRevisions>false</trackRevisions>
    </reviewItem>
    <reviewItem>
      <errorID>fd27922b-1105-476e-9824-9fad861b83d4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249A2969</paraID>
      <start>141</start>
      <end>142</end>
      <status>ignored</status>
      <modifiedWord/>
      <trackRevisions>false</trackRevisions>
    </reviewItem>
    <reviewItem>
      <errorID>46ad06cd-1df1-472e-9953-1904295ad9c4</errorID>
      <errorWord>百千万工程</errorWord>
      <group>L1_Political</group>
      <groupName>政治性问题</groupName>
      <ability>L2_Keyword</ability>
      <abilityName>固定表述</abilityName>
      <candidateList>
        <item>‘百千万工程’</item>
      </candidateList>
      <explain>注意检查当前固定表述标点是否使用规范。</explain>
      <paraID>583E3811</paraID>
      <start>9</start>
      <end>14</end>
      <status>ignored</status>
      <modifiedWord/>
      <trackRevisions>false</trackRevisions>
    </reviewItem>
    <reviewItem>
      <errorID>35fe0990-6471-4089-a66a-58e10b9e1208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1353D620</paraID>
      <start>86</start>
      <end>87</end>
      <status>ignored</status>
      <modifiedWord/>
      <trackRevisions>false</trackRevisions>
    </reviewItem>
    <reviewItem>
      <errorID>3aca0585-b9da-4797-baa0-f905be9387d6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1353D620</paraID>
      <start>104</start>
      <end>105</end>
      <status>ignored</status>
      <modifiedWord/>
      <trackRevisions>false</trackRevisions>
    </reviewItem>
    <reviewItem>
      <errorID>bf149910-7b35-432a-846b-f6cbe530ddaa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46282669</paraID>
      <start>0</start>
      <end>3</end>
      <status>ignored</status>
      <modifiedWord/>
      <trackRevisions>false</trackRevisions>
    </reviewItem>
    <reviewItem>
      <errorID>7c791b2b-1a70-4a1b-b4d3-58cb6c362bbd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50A96583</paraID>
      <start>0</start>
      <end>2</end>
      <status>ignored</status>
      <modifiedWord/>
      <trackRevisions>false</trackRevisions>
    </reviewItem>
    <reviewItem>
      <errorID>cbcc279d-2f54-4921-ad7b-eee9adab3400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372422B8</paraID>
      <start>0</start>
      <end>2</end>
      <status>ignored</status>
      <modifiedWord/>
      <trackRevisions>false</trackRevisions>
    </reviewItem>
    <reviewItem>
      <errorID>794fb7bf-9b07-4a6d-a7b4-2fc50c54f367</errorID>
      <errorWord>脱</errorWord>
      <group>L1_Grammar</group>
      <groupName>语法问题</groupName>
      <ability>L2_Collocation</ability>
      <abilityName>搭配不当</abilityName>
      <candidateList>
        <item>走脱</item>
      </candidateList>
      <explain>句子中可能存在主谓、动宾、定语中心语、状语中心语、补语中心语、关联词搭配不当等问题。</explain>
      <paraID>372422B8</paraID>
      <start>33</start>
      <end>35</end>
      <status>modified</status>
      <modifiedWord>走脱</modifiedWord>
      <trackRevisions>false</trackRevisions>
    </reviewItem>
    <reviewItem>
      <errorID>b3248eba-19a6-415a-9925-872242d96316</errorID>
      <errorWord>提高</errorWord>
      <group>L1_Grammar</group>
      <groupName>语法问题</groupName>
      <ability>L2_Collocation</ability>
      <abilityName>搭配不当</abilityName>
      <candidateList>
        <item>增强</item>
      </candidateList>
      <explain>句子中可能存在主谓、动宾、定语中心语、状语中心语、补语中心语、关联词搭配不当等问题。</explain>
      <paraID>66626E16</paraID>
      <start>99</start>
      <end>101</end>
      <status>modified</status>
      <modifiedWord>增强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31919-5761-4a12-a46e-d57abb2767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1922</Characters>
  <Lines>0</Lines>
  <Paragraphs>0</Paragraphs>
  <TotalTime>2</TotalTime>
  <ScaleCrop>false</ScaleCrop>
  <LinksUpToDate>false</LinksUpToDate>
  <CharactersWithSpaces>1922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2026-03-08T01:19:00Z</dcterms:created>
  <dc:creator>user</dc:creator>
  <cp:lastModifiedBy>文祥</cp:lastModifiedBy>
  <dcterms:modified xsi:type="dcterms:W3CDTF">2026-03-06T05:01:04Z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F477E0B839862927C748AA6991A66605_43</vt:lpwstr>
  </property>
  <property fmtid="{D5CDD505-2E9C-101B-9397-08002B2CF9AE}" pid="4" name="KSOTemplateDocerSaveRecord">
    <vt:lpwstr>eyJoZGlkIjoiZTQ4ODQwNThiYTg4YTBlNDhkZDRmNGNiNWM5NWE1YzAiLCJ1c2VySWQiOiIzMjEzOTcxNDEifQ==</vt:lpwstr>
  </property>
</Properties>
</file>