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30749">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default" w:ascii="Times New Roman" w:hAnsi="Times New Roman" w:eastAsia="方正小标宋简体" w:cs="Times New Roman"/>
          <w:color w:val="auto"/>
          <w:spacing w:val="14"/>
          <w:sz w:val="44"/>
          <w:szCs w:val="44"/>
          <w:highlight w:val="none"/>
          <w:lang w:eastAsia="zh-CN"/>
        </w:rPr>
      </w:pPr>
      <w:r>
        <w:rPr>
          <w:rFonts w:hint="default" w:ascii="Times New Roman" w:hAnsi="Times New Roman" w:eastAsia="方正小标宋_GBK" w:cs="Times New Roman"/>
          <w:sz w:val="44"/>
          <w:szCs w:val="44"/>
          <w:lang w:val="en-US" w:eastAsia="zh-CN"/>
        </w:rPr>
        <w:t>新平彝族傣族自治县投资促进局</w:t>
      </w:r>
      <w:r>
        <w:rPr>
          <w:rFonts w:hint="default" w:ascii="Times New Roman" w:hAnsi="Times New Roman" w:eastAsia="方正小标宋_GBK" w:cs="Times New Roman"/>
          <w:sz w:val="44"/>
          <w:szCs w:val="44"/>
        </w:rPr>
        <w:br w:type="textWrapping"/>
      </w:r>
      <w:r>
        <w:rPr>
          <w:rFonts w:hint="default" w:ascii="Times New Roman" w:hAnsi="Times New Roman" w:eastAsia="方正小标宋_GBK" w:cs="Times New Roman"/>
          <w:sz w:val="44"/>
          <w:szCs w:val="44"/>
          <w:lang w:val="en-US" w:eastAsia="zh-CN"/>
        </w:rPr>
        <w:t>2026</w:t>
      </w:r>
      <w:r>
        <w:rPr>
          <w:rFonts w:hint="default" w:ascii="Times New Roman" w:hAnsi="Times New Roman" w:eastAsia="方正小标宋_GBK" w:cs="Times New Roman"/>
          <w:sz w:val="44"/>
          <w:szCs w:val="44"/>
          <w:lang w:eastAsia="zh-CN"/>
        </w:rPr>
        <w:t>年</w:t>
      </w:r>
      <w:r>
        <w:rPr>
          <w:rFonts w:hint="default" w:ascii="Times New Roman" w:hAnsi="Times New Roman" w:eastAsia="方正小标宋_GBK" w:cs="Times New Roman"/>
          <w:sz w:val="44"/>
          <w:szCs w:val="44"/>
          <w:lang w:val="en-US" w:eastAsia="zh-CN"/>
        </w:rPr>
        <w:t>部门</w:t>
      </w:r>
      <w:r>
        <w:rPr>
          <w:rFonts w:hint="default" w:ascii="Times New Roman" w:hAnsi="Times New Roman" w:eastAsia="方正小标宋_GBK" w:cs="Times New Roman"/>
          <w:color w:val="auto"/>
          <w:spacing w:val="14"/>
          <w:sz w:val="44"/>
          <w:szCs w:val="44"/>
          <w:highlight w:val="none"/>
          <w:lang w:val="en-US" w:eastAsia="zh-CN"/>
        </w:rPr>
        <w:t>预算重点领域财政项目文本</w:t>
      </w:r>
    </w:p>
    <w:p w14:paraId="780E893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val="en-US" w:eastAsia="zh-CN"/>
        </w:rPr>
        <w:t>一、</w:t>
      </w:r>
      <w:r>
        <w:rPr>
          <w:rFonts w:hint="default" w:ascii="Times New Roman" w:hAnsi="Times New Roman" w:eastAsia="方正黑体_GBK" w:cs="Times New Roman"/>
          <w:color w:val="auto"/>
          <w:kern w:val="0"/>
          <w:sz w:val="32"/>
          <w:szCs w:val="32"/>
          <w:highlight w:val="none"/>
          <w:lang w:eastAsia="zh-CN"/>
        </w:rPr>
        <w:t>项目名称</w:t>
      </w:r>
    </w:p>
    <w:p w14:paraId="7617A9A1">
      <w:pPr>
        <w:autoSpaceDN w:val="0"/>
        <w:spacing w:line="560" w:lineRule="exact"/>
        <w:ind w:firstLine="640" w:firstLineChars="200"/>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000000"/>
          <w:sz w:val="32"/>
        </w:rPr>
        <w:t>外出考察招商引资活动及日常工作补助经费</w:t>
      </w:r>
      <w:r>
        <w:rPr>
          <w:rFonts w:hint="default" w:ascii="Times New Roman" w:hAnsi="Times New Roman" w:eastAsia="方正仿宋_GBK" w:cs="Times New Roman"/>
          <w:color w:val="auto"/>
          <w:kern w:val="0"/>
          <w:sz w:val="32"/>
          <w:szCs w:val="32"/>
          <w:highlight w:val="none"/>
          <w:lang w:eastAsia="zh-CN"/>
        </w:rPr>
        <w:t>。</w:t>
      </w:r>
    </w:p>
    <w:p w14:paraId="3559655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二、立项依据</w:t>
      </w:r>
    </w:p>
    <w:p w14:paraId="70946A59">
      <w:pPr>
        <w:autoSpaceDN w:val="0"/>
        <w:spacing w:line="560" w:lineRule="exact"/>
        <w:ind w:firstLine="640" w:firstLineChars="200"/>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认真落实市委、市政府及县委、县政府一系列重要会议精神，聚焦省委3815战略发展目标和市委“绿色发展、工业强市、共同富裕”核心战略，坚持“12345”发展思路，立足于“引项目、促发展”，强化责任，狠抓落实</w:t>
      </w:r>
      <w:r>
        <w:rPr>
          <w:rFonts w:hint="default" w:ascii="Times New Roman" w:hAnsi="Times New Roman" w:eastAsia="方正仿宋_GBK" w:cs="Times New Roman"/>
          <w:color w:val="000000"/>
          <w:sz w:val="32"/>
          <w:lang w:eastAsia="zh-CN"/>
        </w:rPr>
        <w:t>。</w:t>
      </w:r>
    </w:p>
    <w:p w14:paraId="768FD2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三、项目实施单位</w:t>
      </w:r>
    </w:p>
    <w:p w14:paraId="48FF3DB9">
      <w:pPr>
        <w:autoSpaceDN w:val="0"/>
        <w:spacing w:line="560" w:lineRule="exact"/>
        <w:ind w:firstLine="640" w:firstLineChars="200"/>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新平彝族傣族自治县投资促进局。</w:t>
      </w:r>
    </w:p>
    <w:p w14:paraId="64E73DD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四、项目基本概况</w:t>
      </w:r>
    </w:p>
    <w:p w14:paraId="1EB52691">
      <w:pPr>
        <w:autoSpaceDN w:val="0"/>
        <w:spacing w:line="560" w:lineRule="exact"/>
        <w:ind w:firstLine="640" w:firstLineChars="200"/>
        <w:rPr>
          <w:rFonts w:hint="default" w:ascii="Times New Roman" w:hAnsi="Times New Roman" w:eastAsia="方正仿宋_GBK" w:cs="Times New Roman"/>
          <w:color w:val="000000"/>
          <w:sz w:val="32"/>
          <w:lang w:val="en-US" w:eastAsia="zh-CN"/>
        </w:rPr>
      </w:pPr>
      <w:r>
        <w:rPr>
          <w:rFonts w:hint="default" w:ascii="Times New Roman" w:hAnsi="Times New Roman" w:eastAsia="方正仿宋_GBK" w:cs="Times New Roman"/>
          <w:color w:val="000000"/>
          <w:sz w:val="32"/>
          <w:lang w:val="en-US" w:eastAsia="zh-CN"/>
        </w:rPr>
        <w:t>项目计划从2026年1月1日开始实施，完成时间为2026年12月31日。一是开展外出招商。2026年全年拟定外出考察活动12次，计划3月1次、4月1次、5月1次、6月1次、7月2次、8月1次、9月2次、10月1次、11月1次、12月1次，拟定每次考察人数控制在5人以内，考察经费严格按照外出人数、交通费用及差旅费补贴等按文件要求科学测算外出费用；二是制定招商引资宣传图谱。（具体计划见2026年开展外出招商引资活动计划表）。</w:t>
      </w:r>
    </w:p>
    <w:p w14:paraId="2DDC263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五、项目实施内容</w:t>
      </w:r>
    </w:p>
    <w:p w14:paraId="7980A5F7">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jc w:val="both"/>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楷体_GBK" w:cs="Times New Roman"/>
          <w:sz w:val="32"/>
          <w:szCs w:val="32"/>
          <w:lang w:val="en-US"/>
        </w:rPr>
        <w:t>（一）坚持党建引领招商引资发展。</w:t>
      </w:r>
      <w:r>
        <w:rPr>
          <w:rFonts w:hint="default" w:ascii="Times New Roman" w:hAnsi="Times New Roman" w:eastAsia="方正仿宋_GBK" w:cs="Times New Roman"/>
          <w:color w:val="000000"/>
          <w:sz w:val="32"/>
          <w:lang w:val="en-US" w:eastAsia="zh-CN"/>
        </w:rPr>
        <w:t>推动党建工作和业务工作深度融合，以更高站位、更实举措、更优服务，推动招商引资工作提质增效。以党建联建为纽带，整合多方资源，打造“党建引领、多方联动、协同作战”的招商格局。以党建引领作为破题之钥、开路之旗，激励党员干部勇当改革攻坚的“闯将”、创新突破的“先锋”，以党建赋能招商模式创新与服务升级。深化“四强”党支部创建，推动</w:t>
      </w:r>
      <w:r>
        <w:rPr>
          <w:rFonts w:hint="eastAsia" w:ascii="Times New Roman" w:hAnsi="Times New Roman" w:eastAsia="方正仿宋_GBK" w:cs="Times New Roman"/>
          <w:color w:val="000000"/>
          <w:sz w:val="32"/>
          <w:lang w:val="en-US" w:eastAsia="zh-CN"/>
        </w:rPr>
        <w:t>招商引资领域的作风建设常态化</w:t>
      </w:r>
      <w:r>
        <w:rPr>
          <w:rFonts w:hint="default" w:ascii="Times New Roman" w:hAnsi="Times New Roman" w:eastAsia="方正仿宋_GBK" w:cs="Times New Roman"/>
          <w:color w:val="000000"/>
          <w:sz w:val="32"/>
          <w:lang w:val="en-US" w:eastAsia="zh-CN"/>
        </w:rPr>
        <w:t>，打造招商引资战斗堡垒。</w:t>
      </w:r>
    </w:p>
    <w:p w14:paraId="209D2D47">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jc w:val="both"/>
        <w:textAlignment w:val="auto"/>
        <w:rPr>
          <w:rFonts w:hint="default" w:ascii="Times New Roman" w:hAnsi="Times New Roman" w:eastAsia="方正仿宋_GBK" w:cs="Times New Roman"/>
          <w:color w:val="000000"/>
          <w:sz w:val="32"/>
          <w:lang w:val="en-US" w:eastAsia="zh-CN"/>
        </w:rPr>
      </w:pPr>
      <w:r>
        <w:rPr>
          <w:rFonts w:hint="default" w:ascii="Times New Roman" w:hAnsi="Times New Roman" w:eastAsia="方正楷体_GBK" w:cs="Times New Roman"/>
          <w:sz w:val="32"/>
          <w:szCs w:val="32"/>
          <w:lang w:val="en-US" w:eastAsia="zh-CN"/>
        </w:rPr>
        <w:t>（二）加强重点产业重点区域招商谋划。</w:t>
      </w:r>
      <w:r>
        <w:rPr>
          <w:rFonts w:hint="default" w:ascii="Times New Roman" w:hAnsi="Times New Roman" w:eastAsia="方正仿宋_GBK" w:cs="Times New Roman"/>
          <w:color w:val="000000"/>
          <w:sz w:val="32"/>
          <w:lang w:val="en-US" w:eastAsia="zh-CN"/>
        </w:rPr>
        <w:t>以仙福集团、神龙腾达、正大集团“链主”企业为龙头，引</w:t>
      </w:r>
      <w:bookmarkStart w:id="0" w:name="_GoBack"/>
      <w:bookmarkEnd w:id="0"/>
      <w:r>
        <w:rPr>
          <w:rFonts w:hint="default" w:ascii="Times New Roman" w:hAnsi="Times New Roman" w:eastAsia="方正仿宋_GBK" w:cs="Times New Roman"/>
          <w:color w:val="000000"/>
          <w:sz w:val="32"/>
          <w:lang w:val="en-US" w:eastAsia="zh-CN"/>
        </w:rPr>
        <w:t>进废钢、矿冶配套、装备制造等延伸下游的产业项目。精准谋划生物资源加工、电子信息产品、农副食品加工、生物医药等轻工制造项目。一是认真盘点家底，动态管理招商项目储备库。聚焦重点产业招大引强，着力做深做精做特做优。闯出新型工业化的新路径，加快改造提升粮食、畜牧、烟草、水果、钢铁等传统产业，巩固提升钢铁、水果、铜加工、旅游等优势产业，培育壮大数字经济、生物医药、新材料、稀贵金属、光电等战略性新兴产业，加快研究布局未来产业。结合省委“3815”发展战略，市委“两壮两新”，县委产业“链式”发展的部署要求，着眼新平经济社会发展现状和现实需求，找准自身发展定位、发挥自身优势，认真谋划“招什么”“招哪些”，重点策划包装农特产品精深加工、工业转型升级、现代服务业等产业项目，延伸产业链，策划包装推出一批战略性、支撑性的招商投资项目，并根据</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十五五</w:t>
      </w:r>
      <w:r>
        <w:rPr>
          <w:rFonts w:hint="eastAsia" w:ascii="Times New Roman" w:hAnsi="Times New Roman" w:eastAsia="方正仿宋_GBK" w:cs="Times New Roman"/>
          <w:color w:val="000000"/>
          <w:sz w:val="32"/>
          <w:lang w:val="en-US" w:eastAsia="zh-CN"/>
        </w:rPr>
        <w:t>”</w:t>
      </w:r>
      <w:r>
        <w:rPr>
          <w:rFonts w:hint="default" w:ascii="Times New Roman" w:hAnsi="Times New Roman" w:eastAsia="方正仿宋_GBK" w:cs="Times New Roman"/>
          <w:color w:val="000000"/>
          <w:sz w:val="32"/>
          <w:lang w:val="en-US" w:eastAsia="zh-CN"/>
        </w:rPr>
        <w:t>规划及时更新储备项目，指导招商责任单位做好待招商项目储备，力争完成年初下达的目标任务，实现招商项目库的动态管理。二是着力谋划产业项目，提高招商效率。围绕“三区一样板”定位，扎实推进农业农村全面发展。以“绿色食品牌”为抓手，着力在品种优化、品质提升、品牌引领上下功夫，筑牢粮食保供基础，大力发展观光农业、休闲农业、体验农业，推进产业深度融合，不断提升农业质量和效益，打造云南高原特色现代农业示范区。围绕以冶金新材料为主导产业，以装备制造、生物资源加工和轻工制造为辅助产业的“一主三辅”产业定位，加快制定“产业链图谱”，以补链、延链、强链为核心储备项目。立足“两山一谷”自然资源和以花腰傣为代表的民族文化资源，积极构建一地、双极、三区的全域旅游发展格局，重点打造中国花腰傣文化旅游目的地，深入推进县域旅游全面发展。三是大小项目统筹推进，实行项目分级包装。积极做好项目储备库中的招商引资项目的项目包装、推介，进行全方位招商引资。积极争取招商引资项目开发经费，分级对项目进行包装策划。</w:t>
      </w:r>
    </w:p>
    <w:p w14:paraId="5938B775">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sz w:val="32"/>
          <w:szCs w:val="32"/>
          <w:lang w:val="en-US" w:eastAsia="zh-CN"/>
        </w:rPr>
        <w:t>（三）加大在谈项目签约力度。</w:t>
      </w:r>
      <w:r>
        <w:rPr>
          <w:rFonts w:hint="default" w:ascii="Times New Roman" w:hAnsi="Times New Roman" w:eastAsia="方正仿宋_GBK" w:cs="Times New Roman"/>
          <w:spacing w:val="0"/>
          <w:sz w:val="32"/>
          <w:szCs w:val="32"/>
          <w:lang w:val="en-US" w:eastAsia="zh-CN"/>
        </w:rPr>
        <w:t>加快推进京能（青州）液氢科技有限公司“绿电制氢—燃料电池—氢能重卡”氢能产业全产业链建设项目、云南玉溪仙福钢铁（集团）有限公司年产100万吨型钢生产项目、楚能新能源股份有限公司“源网荷储”一体化项目、DH澳大利亚投资有限公司哀牢山旅游资源合作开发项目等一批重点在谈项目签约。推动各主管部门利用所掌握优势，主动联络各地商会、工业协会、外商投资企业协会等商协会和跨国公司，有效发挥招商渠道作用，获取投资信息，有针对性地组织交流对接，促进投资合作。鼓励开展市场化招商，采取委托第三方国际投资服务机构等方式进行国际招商。借助南博会、进博会等平台活动，大力推介新平县特色产品、优势产业，要抢抓机遇，主动对接洽谈，招引优质客商到新平投资发展。</w:t>
      </w:r>
    </w:p>
    <w:p w14:paraId="1F4AE504">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楷体_GBK" w:cs="Times New Roman"/>
          <w:sz w:val="32"/>
          <w:szCs w:val="32"/>
          <w:lang w:val="en-US" w:eastAsia="zh-CN"/>
        </w:rPr>
        <w:t>（四）提升项目服务保障能力。</w:t>
      </w:r>
      <w:r>
        <w:rPr>
          <w:rFonts w:hint="default" w:ascii="Times New Roman" w:hAnsi="Times New Roman" w:eastAsia="方正仿宋_GBK" w:cs="Times New Roman"/>
          <w:spacing w:val="0"/>
          <w:sz w:val="32"/>
          <w:szCs w:val="32"/>
          <w:lang w:val="en-US" w:eastAsia="zh-CN"/>
        </w:rPr>
        <w:t>重点跟踪服务好新平县先进制造产业园项目、新平县长效（锌溴）无衰减液流储能电站项目、新平县金属制品精深加工建设项目、云南玉溪仙福钢铁（集团）有限公司物流仓储建设项目、新平县年产50万吨精矿提质项目等重大工业项目要素保障，推动项目尽快落地建设；积极协调建设好新平县现代设施农业（仔姜种业）产学研示范基地、新平县现代设施农业示范项目、新平县高标准农田现代农业示范项目、新平县哀牢山石羊江生态养殖基地建设项目等具有高原特色的现代农业产业项目。</w:t>
      </w:r>
    </w:p>
    <w:p w14:paraId="74C00DA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六、资金安排情况</w:t>
      </w:r>
    </w:p>
    <w:p w14:paraId="29D20AB9">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firstLine="640" w:firstLineChars="200"/>
        <w:textAlignment w:val="auto"/>
        <w:rPr>
          <w:rFonts w:hint="default" w:ascii="Times New Roman" w:hAnsi="Times New Roman" w:eastAsia="方正仿宋_GBK" w:cs="Times New Roman"/>
          <w:spacing w:val="-5"/>
          <w:kern w:val="2"/>
          <w:sz w:val="32"/>
          <w:szCs w:val="32"/>
          <w:lang w:val="en-US" w:eastAsia="zh-CN" w:bidi="ar-SA"/>
        </w:rPr>
      </w:pPr>
      <w:r>
        <w:rPr>
          <w:rFonts w:hint="default" w:ascii="Times New Roman" w:hAnsi="Times New Roman" w:eastAsia="方正仿宋_GBK" w:cs="Times New Roman"/>
          <w:spacing w:val="0"/>
          <w:kern w:val="2"/>
          <w:sz w:val="32"/>
          <w:szCs w:val="32"/>
          <w:lang w:val="en-US" w:eastAsia="zh-CN" w:bidi="ar-SA"/>
        </w:rPr>
        <w:t>本项目计划安排资金30万元，具体为：一是招商引资办公经费7.0万元，其中：会议费0.5万元、办公费6.5万元；二是委托业务费3.0万元，用于制作招商引资宣传图谱；三是公务接待费8.0万元，用于公务和商务接待；四是差旅费12.0万元，其</w:t>
      </w:r>
      <w:r>
        <w:rPr>
          <w:rFonts w:hint="default" w:ascii="Times New Roman" w:hAnsi="Times New Roman" w:eastAsia="方正仿宋_GBK" w:cs="Times New Roman"/>
          <w:spacing w:val="-5"/>
          <w:kern w:val="2"/>
          <w:sz w:val="32"/>
          <w:szCs w:val="32"/>
          <w:lang w:val="en-US" w:eastAsia="zh-CN" w:bidi="ar-SA"/>
        </w:rPr>
        <w:t>中：交通、住宿费、途中伙食补助费11.0万元、差旅补助1.0万元。</w:t>
      </w:r>
    </w:p>
    <w:p w14:paraId="4BEF5227">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jc w:val="both"/>
        <w:textAlignment w:val="auto"/>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补充说明：在以上的经费预算安排中，会议费是每季度或者</w:t>
      </w:r>
      <w:r>
        <w:rPr>
          <w:rFonts w:hint="eastAsia" w:ascii="Times New Roman" w:hAnsi="Times New Roman" w:eastAsia="方正仿宋_GBK" w:cs="Times New Roman"/>
          <w:spacing w:val="0"/>
          <w:sz w:val="32"/>
          <w:szCs w:val="32"/>
          <w:lang w:val="en-US" w:eastAsia="zh-CN"/>
        </w:rPr>
        <w:t>召集</w:t>
      </w:r>
      <w:r>
        <w:rPr>
          <w:rFonts w:hint="default" w:ascii="Times New Roman" w:hAnsi="Times New Roman" w:eastAsia="方正仿宋_GBK" w:cs="Times New Roman"/>
          <w:spacing w:val="0"/>
          <w:sz w:val="32"/>
          <w:szCs w:val="32"/>
          <w:lang w:val="en-US" w:eastAsia="zh-CN"/>
        </w:rPr>
        <w:t>全县招商引资责任单位召开1次统计工作</w:t>
      </w:r>
      <w:r>
        <w:rPr>
          <w:rFonts w:hint="eastAsia" w:ascii="Times New Roman" w:hAnsi="Times New Roman" w:eastAsia="方正仿宋_GBK" w:cs="Times New Roman"/>
          <w:spacing w:val="0"/>
          <w:sz w:val="32"/>
          <w:szCs w:val="32"/>
          <w:lang w:val="en-US" w:eastAsia="zh-CN"/>
        </w:rPr>
        <w:t>会议</w:t>
      </w:r>
      <w:r>
        <w:rPr>
          <w:rFonts w:hint="default" w:ascii="Times New Roman" w:hAnsi="Times New Roman" w:eastAsia="方正仿宋_GBK" w:cs="Times New Roman"/>
          <w:spacing w:val="0"/>
          <w:sz w:val="32"/>
          <w:szCs w:val="32"/>
          <w:lang w:val="en-US" w:eastAsia="zh-CN"/>
        </w:rPr>
        <w:t>，会议费每次按0.25万元预算，全年2次合计0.50万元；办公费的预算主要包括招商引资资料宣传材料的制作和印刷费、会议费、举办招商引资推介会签约会的各种费用以及其他日常办公经费；委托业务费的预算主要包括招商引资宣传图谱制作；公务接待费的预算是根据上年度的支出情况，结合本年度的工作计划来预算的；差旅费预算是根据本年度外出招商工作计划和上年度的实际支出来安排预算的。</w:t>
      </w:r>
    </w:p>
    <w:p w14:paraId="69798F3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七、项目实施计划</w:t>
      </w:r>
    </w:p>
    <w:p w14:paraId="1CEB5A1F">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jc w:val="both"/>
        <w:textAlignment w:val="auto"/>
        <w:rPr>
          <w:rFonts w:ascii="Times New Roman" w:hAnsi="Times New Roman" w:eastAsia="方正仿宋_GBK"/>
          <w:spacing w:val="0"/>
          <w:sz w:val="32"/>
          <w:szCs w:val="32"/>
          <w:lang w:val="en-US"/>
        </w:rPr>
      </w:pPr>
      <w:r>
        <w:rPr>
          <w:rFonts w:ascii="Times New Roman" w:hAnsi="Times New Roman" w:eastAsia="方正仿宋_GBK"/>
          <w:spacing w:val="0"/>
          <w:sz w:val="32"/>
          <w:szCs w:val="32"/>
        </w:rPr>
        <w:t>本项目</w:t>
      </w:r>
      <w:r>
        <w:rPr>
          <w:rFonts w:ascii="Times New Roman" w:hAnsi="Times New Roman" w:eastAsia="方正仿宋_GBK"/>
          <w:spacing w:val="0"/>
          <w:sz w:val="32"/>
          <w:szCs w:val="32"/>
          <w:lang w:eastAsia="zh-CN"/>
        </w:rPr>
        <w:t>全年</w:t>
      </w:r>
      <w:r>
        <w:rPr>
          <w:rFonts w:ascii="Times New Roman" w:hAnsi="Times New Roman" w:eastAsia="方正仿宋_GBK"/>
          <w:spacing w:val="0"/>
          <w:sz w:val="32"/>
          <w:szCs w:val="32"/>
        </w:rPr>
        <w:t>计划安排</w:t>
      </w:r>
      <w:r>
        <w:rPr>
          <w:rFonts w:hint="eastAsia" w:ascii="Times New Roman" w:hAnsi="Times New Roman" w:eastAsia="方正仿宋_GBK"/>
          <w:spacing w:val="0"/>
          <w:sz w:val="32"/>
          <w:szCs w:val="32"/>
          <w:lang w:val="en-US" w:eastAsia="zh-CN"/>
        </w:rPr>
        <w:t>资金</w:t>
      </w:r>
      <w:r>
        <w:rPr>
          <w:rFonts w:ascii="Times New Roman" w:hAnsi="Times New Roman" w:eastAsia="方正仿宋_GBK"/>
          <w:spacing w:val="0"/>
          <w:sz w:val="32"/>
          <w:szCs w:val="32"/>
          <w:lang w:val="en-US" w:eastAsia="zh-CN"/>
        </w:rPr>
        <w:t>30.0</w:t>
      </w:r>
      <w:r>
        <w:rPr>
          <w:rFonts w:ascii="Times New Roman" w:hAnsi="Times New Roman" w:eastAsia="方正仿宋_GBK"/>
          <w:spacing w:val="0"/>
          <w:sz w:val="32"/>
          <w:szCs w:val="32"/>
        </w:rPr>
        <w:t>万元</w:t>
      </w:r>
      <w:r>
        <w:rPr>
          <w:rFonts w:ascii="Times New Roman" w:hAnsi="Times New Roman" w:eastAsia="方正仿宋_GBK"/>
          <w:spacing w:val="0"/>
          <w:sz w:val="32"/>
          <w:szCs w:val="32"/>
          <w:lang w:eastAsia="zh-CN"/>
        </w:rPr>
        <w:t>，</w:t>
      </w:r>
      <w:r>
        <w:rPr>
          <w:rFonts w:ascii="Times New Roman" w:hAnsi="Times New Roman" w:eastAsia="方正仿宋_GBK"/>
          <w:spacing w:val="0"/>
          <w:sz w:val="32"/>
          <w:szCs w:val="32"/>
          <w:lang w:val="en-US" w:eastAsia="zh-CN"/>
        </w:rPr>
        <w:t>其中：招商引资办公费6.50万元、会议费0.50万元、委托业务费3.0万元、公务接待费8.0万元、差旅费12.0万元。分月用款计划是：1.办公费支出，主要集中在下半年，主要用于会议费、办公用品费、招商资料打印等支出；2.公务接待费支出，月平均需要支出0.67万元左右，才能满足接待客商工作的正常开展；3.差旅费支出，月平均需1.0万元左右，由于招商引资任务重，很多投资项目需要及时与投资商接洽，并且每个项目都要和投资商进行多次洽谈，所以在来来回回的过程中，就产生很多交通费、住宿费、途中伙食费。</w:t>
      </w:r>
    </w:p>
    <w:p w14:paraId="65FF37E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八、项目实施成效</w:t>
      </w:r>
    </w:p>
    <w:p w14:paraId="2F09FACB">
      <w:pPr>
        <w:keepNext w:val="0"/>
        <w:keepLines w:val="0"/>
        <w:pageBreakBefore w:val="0"/>
        <w:widowControl w:val="0"/>
        <w:kinsoku/>
        <w:wordWrap/>
        <w:overflowPunct/>
        <w:topLinePunct w:val="0"/>
        <w:autoSpaceDE/>
        <w:autoSpaceDN/>
        <w:bidi w:val="0"/>
        <w:adjustRightInd/>
        <w:snapToGrid/>
        <w:spacing w:afterAutospacing="0" w:line="570" w:lineRule="exact"/>
        <w:ind w:left="0" w:firstLine="640" w:firstLineChars="2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lang w:val="en-US" w:eastAsia="zh-CN"/>
        </w:rPr>
        <w:t>项目实施目的是认真贯彻全市招商引资会议精神，紧紧围绕我县“生态立县、工业强县、农业稳县、旅游活县、科教兴县”的发展战略，推动我县产业结构优化升级、产城互动融合发展，培育新的经济增长点，增强新平县综合竞争力。聚焦重点产业、突出重点地区、锁定行业龙头、创新方式方法、引资引智并举、招大引强选优。</w:t>
      </w:r>
    </w:p>
    <w:p w14:paraId="13A9924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p>
    <w:sectPr>
      <w:footerReference r:id="rId3" w:type="default"/>
      <w:footerReference r:id="rId4" w:type="even"/>
      <w:pgSz w:w="11906" w:h="16838"/>
      <w:pgMar w:top="1814" w:right="1531" w:bottom="1814" w:left="1531" w:header="1361" w:footer="1531"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DD55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EBC9D">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B6E9E"/>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6105822"/>
    <w:rsid w:val="075449B1"/>
    <w:rsid w:val="09012917"/>
    <w:rsid w:val="09313610"/>
    <w:rsid w:val="09FF1547"/>
    <w:rsid w:val="0D6B4803"/>
    <w:rsid w:val="0DAB6A6A"/>
    <w:rsid w:val="0E303356"/>
    <w:rsid w:val="0F800C17"/>
    <w:rsid w:val="0F8F6FC4"/>
    <w:rsid w:val="0FF563A9"/>
    <w:rsid w:val="10572E1C"/>
    <w:rsid w:val="123A0C48"/>
    <w:rsid w:val="13345697"/>
    <w:rsid w:val="135D699C"/>
    <w:rsid w:val="13831A2E"/>
    <w:rsid w:val="154B260C"/>
    <w:rsid w:val="163B0AEA"/>
    <w:rsid w:val="16D76A65"/>
    <w:rsid w:val="177E3384"/>
    <w:rsid w:val="17C0574B"/>
    <w:rsid w:val="17E852C8"/>
    <w:rsid w:val="196A02A3"/>
    <w:rsid w:val="1A02029D"/>
    <w:rsid w:val="1A450189"/>
    <w:rsid w:val="1A5C0BC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D987AA3"/>
    <w:rsid w:val="2FD86035"/>
    <w:rsid w:val="30106060"/>
    <w:rsid w:val="30510AD9"/>
    <w:rsid w:val="30DD6F16"/>
    <w:rsid w:val="31A97DB4"/>
    <w:rsid w:val="31B934DF"/>
    <w:rsid w:val="32806A25"/>
    <w:rsid w:val="337F1B60"/>
    <w:rsid w:val="342804A8"/>
    <w:rsid w:val="357B61FF"/>
    <w:rsid w:val="357E0CC8"/>
    <w:rsid w:val="359717E5"/>
    <w:rsid w:val="37103BA1"/>
    <w:rsid w:val="38312021"/>
    <w:rsid w:val="386B4E07"/>
    <w:rsid w:val="39237490"/>
    <w:rsid w:val="39CD7B28"/>
    <w:rsid w:val="3A900B55"/>
    <w:rsid w:val="3C727D35"/>
    <w:rsid w:val="3DFA638C"/>
    <w:rsid w:val="3ECA2A00"/>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AFC4079"/>
    <w:rsid w:val="5BB36795"/>
    <w:rsid w:val="5DA54794"/>
    <w:rsid w:val="5DF474C9"/>
    <w:rsid w:val="5EB84053"/>
    <w:rsid w:val="61F061FA"/>
    <w:rsid w:val="63604CB9"/>
    <w:rsid w:val="63BC6393"/>
    <w:rsid w:val="64F3678D"/>
    <w:rsid w:val="65200BA4"/>
    <w:rsid w:val="657131AE"/>
    <w:rsid w:val="65766C11"/>
    <w:rsid w:val="668563FA"/>
    <w:rsid w:val="67422DB4"/>
    <w:rsid w:val="6B882FFF"/>
    <w:rsid w:val="6BDF3567"/>
    <w:rsid w:val="6DD0710B"/>
    <w:rsid w:val="6E361438"/>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 w:val="7EF47E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widowControl/>
      <w:jc w:val="left"/>
      <w:outlineLvl w:val="1"/>
    </w:pPr>
    <w:rPr>
      <w:rFonts w:ascii="宋体" w:hAnsi="宋体" w:eastAsia="宋体" w:cs="宋体"/>
      <w:kern w:val="0"/>
      <w:sz w:val="24"/>
      <w:szCs w:val="2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line="415" w:lineRule="auto"/>
      <w:jc w:val="both"/>
      <w:textAlignment w:val="baseline"/>
    </w:pPr>
    <w:rPr>
      <w:rFonts w:ascii="Times New Roman" w:hAnsi="Times New Roman" w:eastAsia="宋体" w:cs="Times New Roman"/>
      <w:b/>
      <w:kern w:val="2"/>
      <w:sz w:val="32"/>
      <w:szCs w:val="21"/>
      <w:lang w:val="en-US" w:eastAsia="zh-CN" w:bidi="ar-SA"/>
    </w:r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character" w:customStyle="1" w:styleId="11">
    <w:name w:val="页脚 Char"/>
    <w:basedOn w:val="9"/>
    <w:link w:val="6"/>
    <w:semiHidden/>
    <w:qFormat/>
    <w:uiPriority w:val="99"/>
    <w:rPr>
      <w:kern w:val="2"/>
      <w:sz w:val="18"/>
      <w:szCs w:val="18"/>
    </w:rPr>
  </w:style>
  <w:style w:type="character" w:customStyle="1" w:styleId="12">
    <w:name w:val="页眉 Char"/>
    <w:basedOn w:val="9"/>
    <w:link w:val="7"/>
    <w:semiHidden/>
    <w:qFormat/>
    <w:uiPriority w:val="99"/>
    <w:rPr>
      <w:kern w:val="2"/>
      <w:sz w:val="18"/>
      <w:szCs w:val="18"/>
    </w:rPr>
  </w:style>
  <w:style w:type="paragraph" w:customStyle="1" w:styleId="13">
    <w:name w:val="正文首行缩进 21"/>
    <w:basedOn w:val="1"/>
    <w:qFormat/>
    <w:uiPriority w:val="0"/>
    <w:pPr>
      <w:spacing w:before="100" w:beforeAutospacing="1" w:after="120"/>
      <w:ind w:left="200" w:leftChars="200" w:firstLine="200" w:firstLineChars="200"/>
    </w:pPr>
    <w:rPr>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2757</Words>
  <Characters>2846</Characters>
  <Lines>1</Lines>
  <Paragraphs>1</Paragraphs>
  <TotalTime>37</TotalTime>
  <ScaleCrop>false</ScaleCrop>
  <LinksUpToDate>false</LinksUpToDate>
  <CharactersWithSpaces>2846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唐婕</cp:lastModifiedBy>
  <cp:lastPrinted>2021-01-14T08:48:00Z</cp:lastPrinted>
  <dcterms:modified xsi:type="dcterms:W3CDTF">2026-03-17T02:43:21Z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58851115BCF44E1796D607A2DB8E6C9F</vt:lpwstr>
  </property>
  <property fmtid="{D5CDD505-2E9C-101B-9397-08002B2CF9AE}" pid="4" name="KSOTemplateDocerSaveRecord">
    <vt:lpwstr>eyJoZGlkIjoiY2NiOGY3ZWY1ODFiYmIwMWYzMTEzYzcxMjlkYTg4YzMiLCJ1c2VySWQiOiIxNzAyMDg3NzAwIn0=</vt:lpwstr>
  </property>
</Properties>
</file>