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753AC9">
      <w:pPr>
        <w:keepNext w:val="0"/>
        <w:keepLines w:val="0"/>
        <w:pageBreakBefore w:val="0"/>
        <w:widowControl w:val="0"/>
        <w:kinsoku/>
        <w:wordWrap/>
        <w:overflowPunct/>
        <w:topLinePunct w:val="0"/>
        <w:autoSpaceDE/>
        <w:autoSpaceDN/>
        <w:bidi w:val="0"/>
        <w:adjustRightInd/>
        <w:snapToGrid/>
        <w:spacing w:after="156" w:afterLines="50" w:line="540" w:lineRule="exact"/>
        <w:jc w:val="center"/>
        <w:textAlignment w:val="auto"/>
        <w:outlineLvl w:val="0"/>
        <w:rPr>
          <w:rFonts w:hint="eastAsia" w:ascii="宋体" w:hAnsi="宋体" w:eastAsia="宋体" w:cs="宋体"/>
          <w:b w:val="0"/>
          <w:bCs w:val="0"/>
          <w:strike w:val="0"/>
          <w:dstrike w:val="0"/>
          <w:color w:val="auto"/>
          <w:sz w:val="28"/>
          <w:szCs w:val="28"/>
          <w:lang w:eastAsia="zh-CN"/>
        </w:rPr>
      </w:pPr>
      <w:r>
        <w:rPr>
          <w:rFonts w:hint="eastAsia" w:ascii="方正小标宋_GBK" w:hAnsi="方正小标宋_GBK" w:eastAsia="方正小标宋_GBK" w:cs="方正小标宋_GBK"/>
          <w:b w:val="0"/>
          <w:bCs w:val="0"/>
          <w:strike w:val="0"/>
          <w:dstrike w:val="0"/>
          <w:color w:val="auto"/>
          <w:sz w:val="40"/>
          <w:szCs w:val="40"/>
        </w:rPr>
        <w:t>行政许可事项实施规范</w:t>
      </w:r>
    </w:p>
    <w:p w14:paraId="11F264A5">
      <w:pPr>
        <w:keepNext w:val="0"/>
        <w:keepLines w:val="0"/>
        <w:pageBreakBefore w:val="0"/>
        <w:widowControl w:val="0"/>
        <w:kinsoku/>
        <w:wordWrap/>
        <w:overflowPunct/>
        <w:topLinePunct w:val="0"/>
        <w:autoSpaceDE/>
        <w:autoSpaceDN/>
        <w:bidi w:val="0"/>
        <w:adjustRightInd/>
        <w:snapToGrid/>
        <w:spacing w:after="156" w:afterLines="50" w:line="540" w:lineRule="exact"/>
        <w:jc w:val="center"/>
        <w:textAlignment w:val="auto"/>
        <w:outlineLvl w:val="0"/>
        <w:rPr>
          <w:rFonts w:hint="eastAsia" w:ascii="宋体" w:hAnsi="宋体" w:eastAsia="宋体" w:cs="宋体"/>
          <w:b w:val="0"/>
          <w:bCs w:val="0"/>
          <w:strike w:val="0"/>
          <w:dstrike w:val="0"/>
          <w:color w:val="auto"/>
          <w:sz w:val="28"/>
          <w:szCs w:val="28"/>
          <w:lang w:eastAsia="zh-CN"/>
        </w:rPr>
      </w:pPr>
      <w:r>
        <w:rPr>
          <w:rFonts w:hint="eastAsia" w:ascii="方正楷体_GBK" w:hAnsi="方正楷体_GBK" w:eastAsia="方正楷体_GBK" w:cs="方正楷体_GBK"/>
          <w:b w:val="0"/>
          <w:bCs w:val="0"/>
          <w:strike w:val="0"/>
          <w:dstrike w:val="0"/>
          <w:color w:val="auto"/>
          <w:sz w:val="32"/>
          <w:szCs w:val="32"/>
          <w:lang w:eastAsia="zh-CN"/>
        </w:rPr>
        <w:t>（基本要素）</w:t>
      </w:r>
    </w:p>
    <w:p w14:paraId="13D3C33A">
      <w:pPr>
        <w:keepNext w:val="0"/>
        <w:keepLines w:val="0"/>
        <w:pageBreakBefore w:val="0"/>
        <w:widowControl w:val="0"/>
        <w:kinsoku/>
        <w:wordWrap/>
        <w:overflowPunct/>
        <w:topLinePunct w:val="0"/>
        <w:autoSpaceDE/>
        <w:autoSpaceDN/>
        <w:bidi w:val="0"/>
        <w:adjustRightInd/>
        <w:snapToGrid/>
        <w:spacing w:after="156" w:afterLines="50" w:line="540" w:lineRule="exact"/>
        <w:jc w:val="center"/>
        <w:textAlignment w:val="auto"/>
        <w:outlineLvl w:val="0"/>
        <w:rPr>
          <w:rFonts w:hint="eastAsia" w:ascii="宋体" w:hAnsi="宋体" w:eastAsia="宋体" w:cs="宋体"/>
          <w:b w:val="0"/>
          <w:bCs w:val="0"/>
          <w:strike w:val="0"/>
          <w:dstrike w:val="0"/>
          <w:color w:val="auto"/>
          <w:sz w:val="28"/>
          <w:szCs w:val="28"/>
          <w:lang w:eastAsia="zh-CN"/>
        </w:rPr>
      </w:pPr>
    </w:p>
    <w:p w14:paraId="7C1948C1">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一、行政许可事项名称：</w:t>
      </w:r>
    </w:p>
    <w:p w14:paraId="16870800">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1"/>
        <w:rPr>
          <w:rFonts w:hint="eastAsia" w:ascii="方正仿宋_GBK" w:hAnsi="方正仿宋_GBK" w:eastAsia="方正仿宋_GBK" w:cs="方正仿宋_GBK"/>
          <w:strike w:val="0"/>
          <w:dstrike w:val="0"/>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strike w:val="0"/>
          <w:dstrike w:val="0"/>
          <w:color w:val="000000" w:themeColor="text1"/>
          <w:sz w:val="28"/>
          <w:szCs w:val="28"/>
          <w:lang w:val="en-US" w:eastAsia="zh-CN"/>
          <w14:textFill>
            <w14:solidFill>
              <w14:schemeClr w14:val="tx1"/>
            </w14:solidFill>
          </w14:textFill>
        </w:rPr>
        <w:t>新建不能满足管道保护要求的石油天然气管道防护方案审批</w:t>
      </w:r>
    </w:p>
    <w:p w14:paraId="54A88C23">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二、主管部门：</w:t>
      </w:r>
    </w:p>
    <w:p w14:paraId="0F76D26E">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420" w:firstLineChars="0"/>
        <w:textAlignment w:val="auto"/>
        <w:outlineLvl w:val="1"/>
        <w:rPr>
          <w:rFonts w:hint="eastAsia" w:ascii="方正仿宋_GBK" w:hAnsi="方正仿宋_GBK" w:eastAsia="方正仿宋_GBK" w:cs="方正仿宋_GBK"/>
          <w:strike w:val="0"/>
          <w:dstrike w:val="0"/>
          <w:color w:val="auto"/>
          <w:sz w:val="28"/>
          <w:szCs w:val="28"/>
          <w:lang w:val="en-US" w:eastAsia="zh-CN"/>
        </w:rPr>
      </w:pPr>
      <w:r>
        <w:rPr>
          <w:rFonts w:hint="eastAsia" w:ascii="方正仿宋_GBK" w:hAnsi="方正仿宋_GBK" w:eastAsia="方正仿宋_GBK" w:cs="方正仿宋_GBK"/>
          <w:strike w:val="0"/>
          <w:dstrike w:val="0"/>
          <w:color w:val="000000" w:themeColor="text1"/>
          <w:sz w:val="28"/>
          <w:szCs w:val="28"/>
          <w:lang w:val="en-US" w:eastAsia="zh-CN"/>
          <w14:textFill>
            <w14:solidFill>
              <w14:schemeClr w14:val="tx1"/>
            </w14:solidFill>
          </w14:textFill>
        </w:rPr>
        <w:t>县发展改革局</w:t>
      </w:r>
    </w:p>
    <w:p w14:paraId="150D5F88">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三、实施机关：</w:t>
      </w:r>
    </w:p>
    <w:p w14:paraId="1686E73C">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420" w:firstLineChars="0"/>
        <w:textAlignment w:val="auto"/>
        <w:outlineLvl w:val="1"/>
        <w:rPr>
          <w:rFonts w:hint="eastAsia" w:ascii="方正仿宋_GBK" w:hAnsi="方正仿宋_GBK" w:eastAsia="方正仿宋_GBK" w:cs="方正仿宋_GBK"/>
          <w:strike w:val="0"/>
          <w:dstrike w:val="0"/>
          <w:color w:val="auto"/>
          <w:sz w:val="28"/>
          <w:szCs w:val="28"/>
          <w:lang w:val="en-US" w:eastAsia="zh-CN"/>
        </w:rPr>
      </w:pPr>
      <w:r>
        <w:rPr>
          <w:rFonts w:hint="eastAsia" w:ascii="方正仿宋_GBK" w:hAnsi="方正仿宋_GBK" w:eastAsia="方正仿宋_GBK" w:cs="方正仿宋_GBK"/>
          <w:strike w:val="0"/>
          <w:dstrike w:val="0"/>
          <w:color w:val="auto"/>
          <w:sz w:val="28"/>
          <w:szCs w:val="28"/>
          <w:lang w:val="en-US" w:eastAsia="zh-CN"/>
        </w:rPr>
        <w:t>县发展改革局会同有关部门</w:t>
      </w:r>
    </w:p>
    <w:p w14:paraId="0EAFC561">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四、设定和实施依据：</w:t>
      </w:r>
    </w:p>
    <w:p w14:paraId="13C58023">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420" w:firstLineChars="0"/>
        <w:textAlignment w:val="auto"/>
        <w:outlineLvl w:val="1"/>
        <w:rPr>
          <w:rFonts w:hint="eastAsia" w:ascii="方正仿宋_GBK" w:hAnsi="方正仿宋_GBK" w:eastAsia="方正仿宋_GBK" w:cs="方正仿宋_GBK"/>
          <w:strike w:val="0"/>
          <w:dstrike w:val="0"/>
          <w:color w:val="auto"/>
          <w:sz w:val="28"/>
          <w:szCs w:val="28"/>
          <w:lang w:val="en-US" w:eastAsia="zh-CN"/>
        </w:rPr>
      </w:pPr>
      <w:r>
        <w:rPr>
          <w:rFonts w:hint="eastAsia" w:ascii="方正仿宋_GBK" w:hAnsi="方正仿宋_GBK" w:eastAsia="方正仿宋_GBK" w:cs="方正仿宋_GBK"/>
          <w:strike w:val="0"/>
          <w:dstrike w:val="0"/>
          <w:color w:val="auto"/>
          <w:sz w:val="28"/>
          <w:szCs w:val="28"/>
          <w:lang w:val="en-US" w:eastAsia="zh-CN"/>
        </w:rPr>
        <w:t>《中华人民共和国石油天然气管道保护法》</w:t>
      </w:r>
    </w:p>
    <w:p w14:paraId="279D5943">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五、子项：</w:t>
      </w:r>
    </w:p>
    <w:p w14:paraId="33634D11">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1"/>
        <w:rPr>
          <w:rFonts w:hint="eastAsia" w:ascii="方正仿宋_GBK" w:hAnsi="方正仿宋_GBK" w:eastAsia="方正仿宋_GBK" w:cs="方正仿宋_GBK"/>
          <w:strike w:val="0"/>
          <w:dstrike w:val="0"/>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strike w:val="0"/>
          <w:dstrike w:val="0"/>
          <w:color w:val="000000" w:themeColor="text1"/>
          <w:sz w:val="28"/>
          <w:szCs w:val="28"/>
          <w:lang w:val="en-US" w:eastAsia="zh-CN"/>
          <w14:textFill>
            <w14:solidFill>
              <w14:schemeClr w14:val="tx1"/>
            </w14:solidFill>
          </w14:textFill>
        </w:rPr>
        <w:t>新建不能满足管道保护要求的石油天然气管道防护方案审批</w:t>
      </w:r>
    </w:p>
    <w:p w14:paraId="0DD53CC2">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方正仿宋_GBK" w:hAnsi="方正仿宋_GBK" w:eastAsia="方正仿宋_GBK" w:cs="方正仿宋_GBK"/>
          <w:strike w:val="0"/>
          <w:dstrike w:val="0"/>
          <w:color w:val="000000" w:themeColor="text1"/>
          <w:sz w:val="28"/>
          <w:szCs w:val="28"/>
          <w:lang w:val="en-US" w:eastAsia="zh-CN"/>
          <w14:textFill>
            <w14:solidFill>
              <w14:schemeClr w14:val="tx1"/>
            </w14:solidFill>
          </w14:textFill>
        </w:rPr>
      </w:pPr>
    </w:p>
    <w:p w14:paraId="15A45DE6">
      <w:pPr>
        <w:rPr>
          <w:rFonts w:hint="eastAsia" w:ascii="方正仿宋_GBK" w:hAnsi="方正仿宋_GBK" w:eastAsia="方正仿宋_GBK" w:cs="方正仿宋_GBK"/>
          <w:strike w:val="0"/>
          <w:dstrike w:val="0"/>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strike w:val="0"/>
          <w:dstrike w:val="0"/>
          <w:color w:val="000000" w:themeColor="text1"/>
          <w:sz w:val="28"/>
          <w:szCs w:val="28"/>
          <w:lang w:val="en-US" w:eastAsia="zh-CN"/>
          <w14:textFill>
            <w14:solidFill>
              <w14:schemeClr w14:val="tx1"/>
            </w14:solidFill>
          </w14:textFill>
        </w:rPr>
        <w:br w:type="page"/>
      </w:r>
      <w:bookmarkStart w:id="0" w:name="_GoBack"/>
      <w:bookmarkEnd w:id="0"/>
    </w:p>
    <w:p w14:paraId="2E81AD85">
      <w:pPr>
        <w:jc w:val="left"/>
        <w:rPr>
          <w:rFonts w:hint="eastAsia" w:ascii="方正小标宋_GBK" w:hAnsi="方正小标宋_GBK" w:eastAsia="方正小标宋_GBK" w:cs="方正小标宋_GBK"/>
          <w:b w:val="0"/>
          <w:bCs w:val="0"/>
          <w:strike w:val="0"/>
          <w:dstrike w:val="0"/>
          <w:color w:val="FF0000"/>
          <w:sz w:val="40"/>
          <w:szCs w:val="40"/>
          <w:lang w:val="en-US" w:eastAsia="zh-CN"/>
        </w:rPr>
      </w:pPr>
    </w:p>
    <w:p w14:paraId="0292928A">
      <w:pPr>
        <w:jc w:val="center"/>
        <w:rPr>
          <w:rFonts w:hint="eastAsia" w:ascii="方正小标宋_GBK" w:hAnsi="方正小标宋_GBK" w:eastAsia="方正小标宋_GBK" w:cs="方正小标宋_GBK"/>
          <w:b w:val="0"/>
          <w:bCs w:val="0"/>
          <w:strike w:val="0"/>
          <w:dstrike w:val="0"/>
          <w:color w:val="auto"/>
          <w:sz w:val="40"/>
          <w:szCs w:val="40"/>
          <w:lang w:val="en-US" w:eastAsia="zh-CN"/>
        </w:rPr>
      </w:pPr>
      <w:r>
        <w:rPr>
          <w:rFonts w:hint="eastAsia" w:ascii="方正小标宋_GBK" w:hAnsi="方正小标宋_GBK" w:eastAsia="方正小标宋_GBK" w:cs="方正小标宋_GBK"/>
          <w:b w:val="0"/>
          <w:bCs w:val="0"/>
          <w:strike w:val="0"/>
          <w:dstrike w:val="0"/>
          <w:color w:val="auto"/>
          <w:sz w:val="40"/>
          <w:szCs w:val="40"/>
          <w:lang w:val="en-US" w:eastAsia="zh-CN"/>
        </w:rPr>
        <w:t>新建不能满足管道保护要求的石油天然气管道防护方案审批【00015410500301】</w:t>
      </w:r>
    </w:p>
    <w:p w14:paraId="7B252603">
      <w:pPr>
        <w:jc w:val="center"/>
        <w:rPr>
          <w:rFonts w:hint="eastAsia" w:ascii="方正小标宋_GBK" w:hAnsi="方正小标宋_GBK" w:eastAsia="方正小标宋_GBK" w:cs="方正小标宋_GBK"/>
          <w:b w:val="0"/>
          <w:bCs w:val="0"/>
          <w:strike w:val="0"/>
          <w:dstrike w:val="0"/>
          <w:color w:val="auto"/>
          <w:sz w:val="40"/>
          <w:szCs w:val="40"/>
          <w:lang w:val="en-US" w:eastAsia="zh-CN"/>
        </w:rPr>
      </w:pPr>
    </w:p>
    <w:p w14:paraId="4C7B7E99">
      <w:pPr>
        <w:keepNext w:val="0"/>
        <w:keepLines w:val="0"/>
        <w:pageBreakBefore w:val="0"/>
        <w:widowControl w:val="0"/>
        <w:numPr>
          <w:ilvl w:val="0"/>
          <w:numId w:val="1"/>
        </w:numPr>
        <w:kinsoku/>
        <w:wordWrap/>
        <w:overflowPunct/>
        <w:topLinePunct w:val="0"/>
        <w:autoSpaceDE/>
        <w:autoSpaceDN/>
        <w:bidi w:val="0"/>
        <w:adjustRightInd/>
        <w:snapToGrid/>
        <w:spacing w:line="540" w:lineRule="exact"/>
        <w:textAlignment w:val="auto"/>
        <w:outlineLvl w:val="1"/>
        <w:rPr>
          <w:rFonts w:ascii="Times New Roman" w:hAnsi="Times New Roman" w:eastAsia="黑体"/>
          <w:b w:val="0"/>
          <w:bCs w:val="0"/>
          <w:strike w:val="0"/>
          <w:dstrike w:val="0"/>
          <w:color w:val="auto"/>
          <w:sz w:val="28"/>
          <w:szCs w:val="28"/>
        </w:rPr>
      </w:pPr>
      <w:r>
        <w:rPr>
          <w:rFonts w:hint="eastAsia" w:ascii="Times New Roman" w:hAnsi="Times New Roman" w:eastAsia="黑体"/>
          <w:b w:val="0"/>
          <w:bCs w:val="0"/>
          <w:strike w:val="0"/>
          <w:dstrike w:val="0"/>
          <w:color w:val="auto"/>
          <w:sz w:val="28"/>
          <w:szCs w:val="28"/>
          <w:lang w:val="en-US" w:eastAsia="zh-CN"/>
        </w:rPr>
        <w:t>基本要素</w:t>
      </w:r>
    </w:p>
    <w:p w14:paraId="1244AF8F">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w:t>
      </w:r>
      <w:r>
        <w:rPr>
          <w:rFonts w:hint="default" w:ascii="Times New Roman" w:hAnsi="Times New Roman" w:eastAsia="仿宋GB2312" w:cs="Times New Roman"/>
          <w:b/>
          <w:bCs/>
          <w:strike w:val="0"/>
          <w:dstrike w:val="0"/>
          <w:color w:val="auto"/>
          <w:sz w:val="28"/>
          <w:szCs w:val="28"/>
          <w:lang w:val="en-US"/>
        </w:rPr>
        <w:t>行政许可事项名称</w:t>
      </w:r>
      <w:r>
        <w:rPr>
          <w:rFonts w:hint="eastAsia" w:ascii="Times New Roman" w:hAnsi="Times New Roman" w:eastAsia="仿宋GB2312" w:cs="Times New Roman"/>
          <w:b/>
          <w:bCs/>
          <w:strike w:val="0"/>
          <w:dstrike w:val="0"/>
          <w:color w:val="auto"/>
          <w:sz w:val="28"/>
          <w:szCs w:val="28"/>
          <w:lang w:val="en-US" w:eastAsia="zh-CN"/>
        </w:rPr>
        <w:t>及编码</w:t>
      </w:r>
    </w:p>
    <w:p w14:paraId="573FC0FB">
      <w:pPr>
        <w:keepNext w:val="0"/>
        <w:keepLines w:val="0"/>
        <w:pageBreakBefore w:val="0"/>
        <w:widowControl w:val="0"/>
        <w:kinsoku/>
        <w:wordWrap w:val="0"/>
        <w:overflowPunct/>
        <w:topLinePunct w:val="0"/>
        <w:autoSpaceDE/>
        <w:autoSpaceDN/>
        <w:bidi w:val="0"/>
        <w:adjustRightInd/>
        <w:snapToGrid/>
        <w:spacing w:line="360" w:lineRule="auto"/>
        <w:ind w:firstLine="560" w:firstLineChars="200"/>
        <w:textAlignment w:val="auto"/>
        <w:rPr>
          <w:rFonts w:hint="eastAsia" w:ascii="方正仿宋_GBK" w:hAnsi="方正仿宋_GBK" w:eastAsia="方正仿宋_GBK" w:cs="方正仿宋_GBK"/>
          <w:strike w:val="0"/>
          <w:dstrike w:val="0"/>
          <w:color w:val="auto"/>
          <w:sz w:val="28"/>
          <w:szCs w:val="28"/>
          <w:lang w:val="en-US"/>
        </w:rPr>
      </w:pPr>
      <w:r>
        <w:rPr>
          <w:rFonts w:hint="eastAsia" w:ascii="方正仿宋_GBK" w:hAnsi="方正仿宋_GBK" w:eastAsia="方正仿宋_GBK" w:cs="方正仿宋_GBK"/>
          <w:strike w:val="0"/>
          <w:dstrike w:val="0"/>
          <w:color w:val="auto"/>
          <w:sz w:val="28"/>
          <w:szCs w:val="28"/>
          <w:lang w:val="en-US"/>
        </w:rPr>
        <w:t>新建不能满足管道保护要求的石油天然气管道防护方案审批</w:t>
      </w:r>
      <w:r>
        <w:rPr>
          <w:rFonts w:hint="eastAsia" w:ascii="方正仿宋_GBK" w:hAnsi="方正仿宋_GBK" w:eastAsia="方正仿宋_GBK" w:cs="方正仿宋_GBK"/>
          <w:strike w:val="0"/>
          <w:dstrike w:val="0"/>
          <w:color w:val="auto"/>
          <w:sz w:val="28"/>
          <w:szCs w:val="28"/>
          <w:lang w:val="en-US" w:eastAsia="zh-CN"/>
        </w:rPr>
        <w:t>【00016011100Y】</w:t>
      </w:r>
    </w:p>
    <w:p w14:paraId="795B74EA">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2.</w:t>
      </w:r>
      <w:r>
        <w:rPr>
          <w:rFonts w:hint="default" w:ascii="Times New Roman" w:hAnsi="Times New Roman" w:eastAsia="仿宋GB2312" w:cs="Times New Roman"/>
          <w:b/>
          <w:bCs/>
          <w:strike w:val="0"/>
          <w:dstrike w:val="0"/>
          <w:color w:val="auto"/>
          <w:sz w:val="28"/>
          <w:szCs w:val="28"/>
          <w:lang w:val="en-US" w:eastAsia="zh-CN"/>
        </w:rPr>
        <w:t>行政许可</w:t>
      </w:r>
      <w:r>
        <w:rPr>
          <w:rFonts w:hint="eastAsia" w:ascii="Times New Roman" w:hAnsi="Times New Roman" w:eastAsia="仿宋GB2312" w:cs="Times New Roman"/>
          <w:b/>
          <w:bCs/>
          <w:strike w:val="0"/>
          <w:dstrike w:val="0"/>
          <w:color w:val="auto"/>
          <w:sz w:val="28"/>
          <w:szCs w:val="28"/>
          <w:lang w:val="en-US" w:eastAsia="zh-CN"/>
        </w:rPr>
        <w:t>事项子项名称及编码</w:t>
      </w:r>
    </w:p>
    <w:p w14:paraId="77B1C341">
      <w:pPr>
        <w:keepNext w:val="0"/>
        <w:keepLines w:val="0"/>
        <w:pageBreakBefore w:val="0"/>
        <w:widowControl w:val="0"/>
        <w:kinsoku/>
        <w:wordWrap w:val="0"/>
        <w:overflowPunct/>
        <w:topLinePunct w:val="0"/>
        <w:autoSpaceDE/>
        <w:autoSpaceDN/>
        <w:bidi w:val="0"/>
        <w:adjustRightInd/>
        <w:snapToGrid/>
        <w:spacing w:line="360" w:lineRule="auto"/>
        <w:ind w:firstLine="560" w:firstLineChars="200"/>
        <w:textAlignment w:val="auto"/>
        <w:rPr>
          <w:rFonts w:hint="default" w:ascii="方正仿宋_GBK" w:hAnsi="方正仿宋_GBK" w:eastAsia="方正仿宋_GBK" w:cs="方正仿宋_GBK"/>
          <w:strike w:val="0"/>
          <w:dstrike w:val="0"/>
          <w:color w:val="auto"/>
          <w:sz w:val="28"/>
          <w:szCs w:val="28"/>
          <w:lang w:val="en-US" w:eastAsia="zh-CN"/>
        </w:rPr>
      </w:pPr>
      <w:r>
        <w:rPr>
          <w:rFonts w:hint="eastAsia" w:ascii="方正仿宋_GBK" w:hAnsi="方正仿宋_GBK" w:eastAsia="方正仿宋_GBK" w:cs="方正仿宋_GBK"/>
          <w:strike w:val="0"/>
          <w:dstrike w:val="0"/>
          <w:color w:val="auto"/>
          <w:sz w:val="28"/>
          <w:szCs w:val="28"/>
          <w:lang w:val="en-US"/>
        </w:rPr>
        <w:t>新建不能满足管道保护要求的石油天然气管道防护方案审批【000154105003】</w:t>
      </w:r>
    </w:p>
    <w:p w14:paraId="373D20B4">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3.行政许可事项业务办理项名称及编码</w:t>
      </w:r>
    </w:p>
    <w:p w14:paraId="697C108E">
      <w:pPr>
        <w:keepNext w:val="0"/>
        <w:keepLines w:val="0"/>
        <w:pageBreakBefore w:val="0"/>
        <w:widowControl w:val="0"/>
        <w:kinsoku/>
        <w:wordWrap w:val="0"/>
        <w:overflowPunct/>
        <w:topLinePunct w:val="0"/>
        <w:autoSpaceDE/>
        <w:autoSpaceDN/>
        <w:bidi w:val="0"/>
        <w:adjustRightInd/>
        <w:snapToGrid/>
        <w:spacing w:line="360" w:lineRule="auto"/>
        <w:ind w:firstLine="560" w:firstLineChars="200"/>
        <w:textAlignment w:val="auto"/>
        <w:rPr>
          <w:rFonts w:hint="eastAsia" w:ascii="方正仿宋_GBK" w:hAnsi="方正仿宋_GBK" w:eastAsia="方正仿宋_GBK" w:cs="方正仿宋_GBK"/>
          <w:strike w:val="0"/>
          <w:dstrike w:val="0"/>
          <w:color w:val="auto"/>
          <w:sz w:val="28"/>
          <w:szCs w:val="28"/>
          <w:lang w:val="en-US" w:eastAsia="zh-CN"/>
        </w:rPr>
      </w:pPr>
      <w:r>
        <w:rPr>
          <w:rFonts w:hint="eastAsia" w:ascii="方正仿宋_GBK" w:hAnsi="方正仿宋_GBK" w:eastAsia="方正仿宋_GBK" w:cs="方正仿宋_GBK"/>
          <w:strike w:val="0"/>
          <w:dstrike w:val="0"/>
          <w:color w:val="auto"/>
          <w:sz w:val="28"/>
          <w:szCs w:val="28"/>
          <w:lang w:val="en-US"/>
        </w:rPr>
        <w:t>新建不能满足管道保护要求的石油天然气管道防护方案审批【</w:t>
      </w:r>
      <w:r>
        <w:rPr>
          <w:rFonts w:hint="eastAsia" w:ascii="方正仿宋_GBK" w:hAnsi="方正仿宋_GBK" w:eastAsia="方正仿宋_GBK" w:cs="方正仿宋_GBK"/>
          <w:strike w:val="0"/>
          <w:dstrike w:val="0"/>
          <w:color w:val="auto"/>
          <w:sz w:val="28"/>
          <w:szCs w:val="28"/>
          <w:lang w:val="en-US" w:eastAsia="zh-CN"/>
        </w:rPr>
        <w:t>00016011100301</w:t>
      </w:r>
      <w:r>
        <w:rPr>
          <w:rFonts w:hint="eastAsia" w:ascii="方正仿宋_GBK" w:hAnsi="方正仿宋_GBK" w:eastAsia="方正仿宋_GBK" w:cs="方正仿宋_GBK"/>
          <w:strike w:val="0"/>
          <w:dstrike w:val="0"/>
          <w:color w:val="auto"/>
          <w:sz w:val="28"/>
          <w:szCs w:val="28"/>
          <w:lang w:val="en-US"/>
        </w:rPr>
        <w:t>】</w:t>
      </w:r>
    </w:p>
    <w:p w14:paraId="3FA5399E">
      <w:pPr>
        <w:spacing w:line="360" w:lineRule="auto"/>
        <w:ind w:firstLine="562" w:firstLineChars="200"/>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4.设定依据</w:t>
      </w:r>
    </w:p>
    <w:p w14:paraId="1AEBA716">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（1）《中华人民共和国石油天然气管道保护法》</w:t>
      </w:r>
      <w:r>
        <w:rPr>
          <w:rFonts w:hint="default" w:ascii="方正仿宋_GBK" w:hAnsi="方正仿宋_GBK" w:eastAsia="方正仿宋_GBK" w:cs="方正仿宋_GBK"/>
          <w:b w:val="0"/>
          <w:bCs w:val="0"/>
          <w:strike w:val="0"/>
          <w:dstrike w:val="0"/>
          <w:color w:val="auto"/>
          <w:sz w:val="28"/>
          <w:szCs w:val="28"/>
          <w:lang w:val="en-US" w:eastAsia="zh-CN"/>
        </w:rPr>
        <w:t>第十三条</w:t>
      </w:r>
    </w:p>
    <w:p w14:paraId="532F47CD">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5.实施依据</w:t>
      </w:r>
    </w:p>
    <w:p w14:paraId="363ADD3B">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（1）《中华人民共和国石油天然气管道保护法》第十三条</w:t>
      </w:r>
    </w:p>
    <w:p w14:paraId="387C2A06">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6.监管依据</w:t>
      </w:r>
    </w:p>
    <w:p w14:paraId="170936CD">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（1）《中华人民共和国石油天然气管道保护法》第十三条</w:t>
      </w:r>
    </w:p>
    <w:p w14:paraId="6200A4DF">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eastAsia" w:ascii="Times New Roman" w:hAnsi="Times New Roman" w:eastAsia="仿宋GB2312" w:cs="Times New Roman"/>
          <w:b/>
          <w:bCs/>
          <w:strike w:val="0"/>
          <w:dstrike w:val="0"/>
          <w:color w:val="auto"/>
          <w:sz w:val="28"/>
          <w:szCs w:val="28"/>
          <w:lang w:val="en-US" w:eastAsia="zh-CN"/>
        </w:rPr>
        <w:t>7.</w:t>
      </w:r>
      <w:r>
        <w:rPr>
          <w:rFonts w:hint="default" w:ascii="Times New Roman" w:hAnsi="Times New Roman" w:eastAsia="仿宋GB2312" w:cs="Times New Roman"/>
          <w:b/>
          <w:bCs/>
          <w:strike w:val="0"/>
          <w:dstrike w:val="0"/>
          <w:color w:val="auto"/>
          <w:sz w:val="28"/>
          <w:szCs w:val="28"/>
          <w:lang w:val="en-US" w:eastAsia="zh-CN"/>
        </w:rPr>
        <w:t>实施机关</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县</w:t>
      </w:r>
      <w:r>
        <w:rPr>
          <w:rFonts w:hint="eastAsia" w:ascii="方正仿宋_GBK" w:hAnsi="方正仿宋_GBK" w:eastAsia="方正仿宋_GBK" w:cs="方正仿宋_GBK"/>
          <w:b w:val="0"/>
          <w:bCs w:val="0"/>
          <w:strike w:val="0"/>
          <w:dstrike w:val="0"/>
          <w:color w:val="auto"/>
          <w:sz w:val="28"/>
          <w:szCs w:val="28"/>
          <w:lang w:val="en-US" w:eastAsia="zh-CN"/>
        </w:rPr>
        <w:t>发展改革局</w:t>
      </w:r>
      <w:r>
        <w:rPr>
          <w:rFonts w:hint="default" w:ascii="方正仿宋_GBK" w:hAnsi="方正仿宋_GBK" w:eastAsia="方正仿宋_GBK" w:cs="方正仿宋_GBK"/>
          <w:b w:val="0"/>
          <w:bCs w:val="0"/>
          <w:strike w:val="0"/>
          <w:dstrike w:val="0"/>
          <w:color w:val="auto"/>
          <w:sz w:val="28"/>
          <w:szCs w:val="28"/>
          <w:lang w:val="en-US" w:eastAsia="zh-CN"/>
        </w:rPr>
        <w:t>会同有关部门</w:t>
      </w:r>
    </w:p>
    <w:p w14:paraId="4FBC6147">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eastAsia" w:ascii="Times New Roman" w:hAnsi="Times New Roman" w:eastAsia="仿宋GB2312" w:cs="Times New Roman"/>
          <w:b/>
          <w:bCs/>
          <w:strike w:val="0"/>
          <w:dstrike w:val="0"/>
          <w:color w:val="auto"/>
          <w:sz w:val="28"/>
          <w:szCs w:val="28"/>
          <w:lang w:val="en-US" w:eastAsia="zh-CN"/>
        </w:rPr>
        <w:t>8.</w:t>
      </w:r>
      <w:r>
        <w:rPr>
          <w:rFonts w:hint="default" w:ascii="Times New Roman" w:hAnsi="Times New Roman" w:eastAsia="仿宋GB2312" w:cs="Times New Roman"/>
          <w:b/>
          <w:bCs/>
          <w:strike w:val="0"/>
          <w:dstrike w:val="0"/>
          <w:color w:val="auto"/>
          <w:sz w:val="28"/>
          <w:szCs w:val="28"/>
          <w:lang w:val="en-US" w:eastAsia="zh-CN"/>
        </w:rPr>
        <w:t>审批层级</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县级</w:t>
      </w:r>
    </w:p>
    <w:p w14:paraId="49CED7FC">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eastAsia" w:ascii="Times New Roman" w:hAnsi="Times New Roman" w:eastAsia="仿宋GB2312" w:cs="Times New Roman"/>
          <w:b/>
          <w:bCs/>
          <w:strike w:val="0"/>
          <w:dstrike w:val="0"/>
          <w:color w:val="auto"/>
          <w:sz w:val="28"/>
          <w:szCs w:val="28"/>
          <w:lang w:val="en-US" w:eastAsia="zh-CN"/>
        </w:rPr>
        <w:t>9.行使</w:t>
      </w:r>
      <w:r>
        <w:rPr>
          <w:rFonts w:hint="default" w:ascii="Times New Roman" w:hAnsi="Times New Roman" w:eastAsia="仿宋GB2312" w:cs="Times New Roman"/>
          <w:b/>
          <w:bCs/>
          <w:strike w:val="0"/>
          <w:dstrike w:val="0"/>
          <w:color w:val="auto"/>
          <w:sz w:val="28"/>
          <w:szCs w:val="28"/>
          <w:lang w:val="en-US" w:eastAsia="zh-CN"/>
        </w:rPr>
        <w:t>层级</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县级</w:t>
      </w:r>
    </w:p>
    <w:p w14:paraId="3D01A504">
      <w:pPr>
        <w:spacing w:line="600" w:lineRule="exact"/>
        <w:ind w:firstLine="562" w:firstLineChars="200"/>
        <w:rPr>
          <w:rFonts w:hint="default"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10.</w:t>
      </w:r>
      <w:r>
        <w:rPr>
          <w:rFonts w:hint="default" w:ascii="Times New Roman" w:hAnsi="Times New Roman" w:eastAsia="仿宋GB2312" w:cs="Times New Roman"/>
          <w:b/>
          <w:bCs/>
          <w:strike w:val="0"/>
          <w:dstrike w:val="0"/>
          <w:color w:val="auto"/>
          <w:sz w:val="28"/>
          <w:szCs w:val="28"/>
          <w:lang w:val="en-US" w:eastAsia="zh-CN"/>
        </w:rPr>
        <w:t>是否由审批机关受理</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是</w:t>
      </w:r>
    </w:p>
    <w:p w14:paraId="532C6EC4">
      <w:pPr>
        <w:spacing w:line="600" w:lineRule="exact"/>
        <w:ind w:firstLine="562" w:firstLineChars="200"/>
        <w:rPr>
          <w:rFonts w:hint="default"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11.</w:t>
      </w:r>
      <w:r>
        <w:rPr>
          <w:rFonts w:hint="default" w:ascii="Times New Roman" w:hAnsi="Times New Roman" w:eastAsia="仿宋GB2312" w:cs="Times New Roman"/>
          <w:b/>
          <w:bCs/>
          <w:strike w:val="0"/>
          <w:dstrike w:val="0"/>
          <w:color w:val="auto"/>
          <w:sz w:val="28"/>
          <w:szCs w:val="28"/>
          <w:lang w:val="en-US" w:eastAsia="zh-CN"/>
        </w:rPr>
        <w:t>受理层级</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县级</w:t>
      </w:r>
    </w:p>
    <w:p w14:paraId="1666AC6A">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eastAsia" w:ascii="Times New Roman" w:hAnsi="Times New Roman" w:eastAsia="仿宋GB2312" w:cs="Times New Roman"/>
          <w:b/>
          <w:bCs/>
          <w:strike w:val="0"/>
          <w:dstrike w:val="0"/>
          <w:color w:val="auto"/>
          <w:sz w:val="28"/>
          <w:szCs w:val="28"/>
          <w:lang w:val="en-US" w:eastAsia="zh-CN"/>
        </w:rPr>
        <w:t>12.</w:t>
      </w:r>
      <w:r>
        <w:rPr>
          <w:rFonts w:hint="default" w:ascii="Times New Roman" w:hAnsi="Times New Roman" w:eastAsia="仿宋GB2312" w:cs="Times New Roman"/>
          <w:b/>
          <w:bCs/>
          <w:strike w:val="0"/>
          <w:dstrike w:val="0"/>
          <w:color w:val="auto"/>
          <w:sz w:val="28"/>
          <w:szCs w:val="28"/>
          <w:lang w:val="en-US" w:eastAsia="zh-CN"/>
        </w:rPr>
        <w:t>是否存在初审环节</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否</w:t>
      </w:r>
    </w:p>
    <w:p w14:paraId="7CC939AD">
      <w:pPr>
        <w:spacing w:line="600" w:lineRule="exact"/>
        <w:ind w:firstLine="562" w:firstLineChars="200"/>
        <w:rPr>
          <w:rFonts w:hint="default" w:ascii="Times New Roman" w:hAnsi="Times New Roman" w:eastAsia="仿宋GB2312" w:cs="Times New Roman"/>
          <w:strike w:val="0"/>
          <w:dstrike w:val="0"/>
          <w:color w:val="auto"/>
          <w:sz w:val="28"/>
          <w:szCs w:val="28"/>
          <w:highlight w:val="yellow"/>
          <w:lang w:val="en-US"/>
        </w:rPr>
      </w:pPr>
      <w:r>
        <w:rPr>
          <w:rFonts w:hint="eastAsia" w:ascii="Times New Roman" w:hAnsi="Times New Roman" w:eastAsia="仿宋GB2312" w:cs="Times New Roman"/>
          <w:b/>
          <w:bCs/>
          <w:strike w:val="0"/>
          <w:dstrike w:val="0"/>
          <w:color w:val="auto"/>
          <w:sz w:val="28"/>
          <w:szCs w:val="28"/>
          <w:highlight w:val="none"/>
          <w:lang w:val="en-US" w:eastAsia="zh-CN"/>
        </w:rPr>
        <w:t>13.</w:t>
      </w:r>
      <w:r>
        <w:rPr>
          <w:rFonts w:hint="default" w:ascii="Times New Roman" w:hAnsi="Times New Roman" w:eastAsia="仿宋GB2312" w:cs="Times New Roman"/>
          <w:b/>
          <w:bCs/>
          <w:strike w:val="0"/>
          <w:dstrike w:val="0"/>
          <w:color w:val="auto"/>
          <w:sz w:val="28"/>
          <w:szCs w:val="28"/>
          <w:highlight w:val="none"/>
          <w:lang w:val="en-US" w:eastAsia="zh-CN"/>
        </w:rPr>
        <w:t>初审层级</w:t>
      </w:r>
      <w:r>
        <w:rPr>
          <w:rFonts w:hint="eastAsia" w:ascii="Times New Roman" w:hAnsi="Times New Roman" w:eastAsia="仿宋GB2312" w:cs="Times New Roman"/>
          <w:b/>
          <w:bCs/>
          <w:strike w:val="0"/>
          <w:dstrike w:val="0"/>
          <w:color w:val="auto"/>
          <w:sz w:val="28"/>
          <w:szCs w:val="28"/>
          <w:highlight w:val="none"/>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无</w:t>
      </w:r>
    </w:p>
    <w:p w14:paraId="12A4FE5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jc w:val="left"/>
        <w:textAlignment w:val="auto"/>
        <w:outlineLvl w:val="9"/>
        <w:rPr>
          <w:rFonts w:hint="default" w:ascii="方正仿宋_GBK" w:hAnsi="方正仿宋_GBK" w:eastAsia="方正仿宋_GBK" w:cs="方正仿宋_GBK"/>
          <w:b w:val="0"/>
          <w:bCs w:val="0"/>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14.</w:t>
      </w:r>
      <w:r>
        <w:rPr>
          <w:rFonts w:hint="default" w:ascii="Times New Roman" w:hAnsi="Times New Roman" w:eastAsia="仿宋GB2312" w:cs="Times New Roman"/>
          <w:b/>
          <w:bCs/>
          <w:strike w:val="0"/>
          <w:dstrike w:val="0"/>
          <w:color w:val="auto"/>
          <w:sz w:val="28"/>
          <w:szCs w:val="28"/>
          <w:lang w:val="en-US" w:eastAsia="zh-CN"/>
        </w:rPr>
        <w:t>对应政务服务事项国家级基本目录名称</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新建不能满足管道保护要求的石油天然气管道防护方案审批</w:t>
      </w:r>
    </w:p>
    <w:p w14:paraId="798BEB0D">
      <w:pPr>
        <w:keepNext w:val="0"/>
        <w:keepLines w:val="0"/>
        <w:pageBreakBefore w:val="0"/>
        <w:widowControl w:val="0"/>
        <w:numPr>
          <w:ilvl w:val="0"/>
          <w:numId w:val="1"/>
        </w:numPr>
        <w:kinsoku/>
        <w:wordWrap/>
        <w:overflowPunct/>
        <w:topLinePunct w:val="0"/>
        <w:autoSpaceDE/>
        <w:autoSpaceDN/>
        <w:bidi w:val="0"/>
        <w:adjustRightInd/>
        <w:snapToGrid/>
        <w:spacing w:line="540" w:lineRule="exact"/>
        <w:textAlignment w:val="auto"/>
        <w:outlineLvl w:val="1"/>
        <w:rPr>
          <w:rFonts w:hint="default"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行政许可事项类型</w:t>
      </w:r>
    </w:p>
    <w:p w14:paraId="6F9E4D01">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条件型</w:t>
      </w:r>
    </w:p>
    <w:p w14:paraId="0C4E15B5">
      <w:pPr>
        <w:keepNext w:val="0"/>
        <w:keepLines w:val="0"/>
        <w:pageBreakBefore w:val="0"/>
        <w:widowControl w:val="0"/>
        <w:numPr>
          <w:ilvl w:val="0"/>
          <w:numId w:val="1"/>
        </w:numPr>
        <w:kinsoku/>
        <w:wordWrap/>
        <w:overflowPunct/>
        <w:topLinePunct w:val="0"/>
        <w:autoSpaceDE/>
        <w:autoSpaceDN/>
        <w:bidi w:val="0"/>
        <w:adjustRightInd/>
        <w:snapToGrid/>
        <w:spacing w:line="540" w:lineRule="exact"/>
        <w:textAlignment w:val="auto"/>
        <w:outlineLvl w:val="1"/>
        <w:rPr>
          <w:rFonts w:hint="eastAsia"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行政许可条件</w:t>
      </w:r>
    </w:p>
    <w:p w14:paraId="12978511">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1.准予行政许可的条件</w:t>
      </w:r>
    </w:p>
    <w:p w14:paraId="6C145C8F">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（1）由县级管道保护主管部门自行确定</w:t>
      </w:r>
    </w:p>
    <w:p w14:paraId="6D798937">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2.</w:t>
      </w:r>
      <w:r>
        <w:rPr>
          <w:rFonts w:hint="default" w:ascii="Times New Roman" w:hAnsi="Times New Roman" w:eastAsia="仿宋GB2312" w:cs="Times New Roman"/>
          <w:b/>
          <w:bCs/>
          <w:strike w:val="0"/>
          <w:dstrike w:val="0"/>
          <w:color w:val="auto"/>
          <w:sz w:val="28"/>
          <w:szCs w:val="28"/>
          <w:lang w:val="en-US" w:eastAsia="zh-CN"/>
        </w:rPr>
        <w:t>规定行政许可条件的依据</w:t>
      </w:r>
    </w:p>
    <w:p w14:paraId="60BA9391">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中华人民共和国石油天然气管道保护法》第十三条管道建设的选线应当避开地震活动断层和容易发生洪灾、地质灾害的区域，与建筑物、构筑物、铁路、公路、航道、港口、市政设施、军事设施、电缆、光缆等保持本法和有关法律、行政法规以及国家技术规范的强制性要求规定的保护距离。</w:t>
      </w:r>
    </w:p>
    <w:p w14:paraId="3107E909">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新建管道通过的区域受地理条件限制，不能满足前款规定的管道保护要求的，管道企业应当提出防护方案，经管道保护方面的专家评审论证，并经管道所在地县级以上地方人民政府主管管道保护工作的部门批准后，方可建设。</w:t>
      </w:r>
    </w:p>
    <w:p w14:paraId="2D35381E">
      <w:pPr>
        <w:keepNext w:val="0"/>
        <w:keepLines w:val="0"/>
        <w:pageBreakBefore w:val="0"/>
        <w:widowControl w:val="0"/>
        <w:numPr>
          <w:ilvl w:val="0"/>
          <w:numId w:val="1"/>
        </w:numPr>
        <w:kinsoku/>
        <w:wordWrap/>
        <w:overflowPunct/>
        <w:topLinePunct w:val="0"/>
        <w:autoSpaceDE/>
        <w:autoSpaceDN/>
        <w:bidi w:val="0"/>
        <w:adjustRightInd/>
        <w:snapToGrid/>
        <w:spacing w:line="540" w:lineRule="exact"/>
        <w:textAlignment w:val="auto"/>
        <w:outlineLvl w:val="1"/>
        <w:rPr>
          <w:rFonts w:hint="default" w:ascii="Times New Roman" w:hAnsi="Times New Roman" w:eastAsia="黑体" w:cs="Times New Roman"/>
          <w:b w:val="0"/>
          <w:bCs w:val="0"/>
          <w:strike w:val="0"/>
          <w:dstrike w:val="0"/>
          <w:color w:val="auto"/>
          <w:sz w:val="28"/>
          <w:szCs w:val="28"/>
          <w:highlight w:val="none"/>
          <w:lang w:val="en-US" w:eastAsia="zh-CN"/>
        </w:rPr>
      </w:pPr>
      <w:r>
        <w:rPr>
          <w:rFonts w:hint="default" w:ascii="Times New Roman" w:hAnsi="Times New Roman" w:eastAsia="黑体" w:cs="Times New Roman"/>
          <w:b w:val="0"/>
          <w:bCs w:val="0"/>
          <w:strike w:val="0"/>
          <w:dstrike w:val="0"/>
          <w:color w:val="auto"/>
          <w:sz w:val="28"/>
          <w:szCs w:val="28"/>
          <w:highlight w:val="none"/>
          <w:lang w:val="en-US" w:eastAsia="zh-CN"/>
        </w:rPr>
        <w:t>行政许可服务对象类型</w:t>
      </w:r>
      <w:r>
        <w:rPr>
          <w:rFonts w:hint="eastAsia" w:ascii="Times New Roman" w:hAnsi="Times New Roman" w:eastAsia="黑体" w:cs="Times New Roman"/>
          <w:b w:val="0"/>
          <w:bCs w:val="0"/>
          <w:strike w:val="0"/>
          <w:dstrike w:val="0"/>
          <w:color w:val="auto"/>
          <w:sz w:val="28"/>
          <w:szCs w:val="28"/>
          <w:highlight w:val="none"/>
          <w:lang w:val="en-US" w:eastAsia="zh-CN"/>
        </w:rPr>
        <w:t>与改革举措</w:t>
      </w:r>
    </w:p>
    <w:p w14:paraId="65EF3254">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eastAsia" w:ascii="Times New Roman" w:hAnsi="Times New Roman" w:eastAsia="仿宋GB2312" w:cs="Times New Roman"/>
          <w:b/>
          <w:bCs/>
          <w:strike w:val="0"/>
          <w:dstrike w:val="0"/>
          <w:color w:val="auto"/>
          <w:sz w:val="28"/>
          <w:szCs w:val="28"/>
          <w:highlight w:val="none"/>
          <w:lang w:val="en-US" w:eastAsia="zh-CN"/>
        </w:rPr>
        <w:t>1.服务对象类型：</w:t>
      </w:r>
      <w:r>
        <w:rPr>
          <w:rFonts w:hint="default" w:ascii="方正仿宋_GBK" w:hAnsi="方正仿宋_GBK" w:eastAsia="方正仿宋_GBK" w:cs="方正仿宋_GBK"/>
          <w:b w:val="0"/>
          <w:bCs w:val="0"/>
          <w:strike w:val="0"/>
          <w:dstrike w:val="0"/>
          <w:color w:val="auto"/>
          <w:sz w:val="28"/>
          <w:szCs w:val="28"/>
          <w:lang w:val="en-US" w:eastAsia="zh-CN"/>
        </w:rPr>
        <w:t>企业法人</w:t>
      </w:r>
    </w:p>
    <w:p w14:paraId="20FD5AA1">
      <w:pPr>
        <w:spacing w:line="600" w:lineRule="exact"/>
        <w:ind w:firstLine="562" w:firstLineChars="200"/>
        <w:rPr>
          <w:rFonts w:hint="default"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highlight w:val="none"/>
          <w:lang w:val="en-US" w:eastAsia="zh-CN"/>
        </w:rPr>
        <w:t>2.是否为涉企许可事项：</w:t>
      </w:r>
      <w:r>
        <w:rPr>
          <w:rFonts w:hint="default" w:ascii="方正仿宋_GBK" w:hAnsi="方正仿宋_GBK" w:eastAsia="方正仿宋_GBK" w:cs="方正仿宋_GBK"/>
          <w:b w:val="0"/>
          <w:bCs w:val="0"/>
          <w:strike w:val="0"/>
          <w:dstrike w:val="0"/>
          <w:color w:val="auto"/>
          <w:sz w:val="28"/>
          <w:szCs w:val="28"/>
          <w:lang w:val="en-US" w:eastAsia="zh-CN"/>
        </w:rPr>
        <w:t>否</w:t>
      </w:r>
    </w:p>
    <w:p w14:paraId="44DFC450">
      <w:pPr>
        <w:spacing w:line="600" w:lineRule="exact"/>
        <w:ind w:firstLine="562" w:firstLineChars="200"/>
        <w:rPr>
          <w:rFonts w:hint="default"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highlight w:val="none"/>
          <w:lang w:val="en-US" w:eastAsia="zh-CN"/>
        </w:rPr>
        <w:t>3.涉企经营许可事项名称：</w:t>
      </w:r>
      <w:r>
        <w:rPr>
          <w:rFonts w:hint="default" w:ascii="方正仿宋_GBK" w:hAnsi="方正仿宋_GBK" w:eastAsia="方正仿宋_GBK" w:cs="方正仿宋_GBK"/>
          <w:b w:val="0"/>
          <w:bCs w:val="0"/>
          <w:strike w:val="0"/>
          <w:dstrike w:val="0"/>
          <w:color w:val="auto"/>
          <w:sz w:val="28"/>
          <w:szCs w:val="28"/>
          <w:lang w:val="en-US" w:eastAsia="zh-CN"/>
        </w:rPr>
        <w:t>无</w:t>
      </w:r>
    </w:p>
    <w:p w14:paraId="75FD726B">
      <w:pPr>
        <w:spacing w:line="600" w:lineRule="exact"/>
        <w:ind w:firstLine="562" w:firstLineChars="200"/>
        <w:rPr>
          <w:rFonts w:hint="default"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highlight w:val="none"/>
          <w:lang w:val="en-US" w:eastAsia="zh-CN"/>
        </w:rPr>
        <w:t>4.许可证件名称：</w:t>
      </w:r>
      <w:r>
        <w:rPr>
          <w:rFonts w:hint="default" w:ascii="方正仿宋_GBK" w:hAnsi="方正仿宋_GBK" w:eastAsia="方正仿宋_GBK" w:cs="方正仿宋_GBK"/>
          <w:b w:val="0"/>
          <w:bCs w:val="0"/>
          <w:strike w:val="0"/>
          <w:dstrike w:val="0"/>
          <w:color w:val="auto"/>
          <w:sz w:val="28"/>
          <w:szCs w:val="28"/>
          <w:lang w:val="en-US" w:eastAsia="zh-CN"/>
        </w:rPr>
        <w:t>无</w:t>
      </w:r>
    </w:p>
    <w:p w14:paraId="3ECF3150">
      <w:pPr>
        <w:spacing w:line="600" w:lineRule="exact"/>
        <w:ind w:firstLine="562" w:firstLineChars="200"/>
        <w:rPr>
          <w:rFonts w:hint="default"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highlight w:val="none"/>
          <w:lang w:val="en-US" w:eastAsia="zh-CN"/>
        </w:rPr>
        <w:t>5.改革方式：</w:t>
      </w:r>
      <w:r>
        <w:rPr>
          <w:rFonts w:hint="default" w:ascii="方正仿宋_GBK" w:hAnsi="方正仿宋_GBK" w:eastAsia="方正仿宋_GBK" w:cs="方正仿宋_GBK"/>
          <w:b w:val="0"/>
          <w:bCs w:val="0"/>
          <w:strike w:val="0"/>
          <w:dstrike w:val="0"/>
          <w:color w:val="auto"/>
          <w:sz w:val="28"/>
          <w:szCs w:val="28"/>
          <w:lang w:val="en-US" w:eastAsia="zh-CN"/>
        </w:rPr>
        <w:t>无</w:t>
      </w:r>
    </w:p>
    <w:p w14:paraId="3BC5C7C4">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hint="eastAsia" w:ascii="Times New Roman" w:hAnsi="Times New Roman" w:eastAsia="仿宋GB2312" w:cs="Times New Roman"/>
          <w:b/>
          <w:bCs/>
          <w:strike w:val="0"/>
          <w:dstrike w:val="0"/>
          <w:color w:val="auto"/>
          <w:sz w:val="28"/>
          <w:szCs w:val="28"/>
          <w:highlight w:val="none"/>
          <w:lang w:val="en-US" w:eastAsia="zh-CN"/>
        </w:rPr>
      </w:pPr>
      <w:r>
        <w:rPr>
          <w:rFonts w:hint="eastAsia" w:ascii="Times New Roman" w:hAnsi="Times New Roman" w:eastAsia="仿宋GB2312" w:cs="Times New Roman"/>
          <w:b/>
          <w:bCs/>
          <w:strike w:val="0"/>
          <w:dstrike w:val="0"/>
          <w:color w:val="auto"/>
          <w:sz w:val="28"/>
          <w:szCs w:val="28"/>
          <w:highlight w:val="none"/>
          <w:lang w:val="en-US" w:eastAsia="zh-CN"/>
        </w:rPr>
        <w:t>6.具体改革举措</w:t>
      </w:r>
    </w:p>
    <w:p w14:paraId="22586FCB">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1.</w:t>
      </w:r>
      <w:r>
        <w:rPr>
          <w:rFonts w:hint="default" w:ascii="方正仿宋_GBK" w:hAnsi="方正仿宋_GBK" w:eastAsia="方正仿宋_GBK" w:cs="方正仿宋_GBK"/>
          <w:b w:val="0"/>
          <w:bCs w:val="0"/>
          <w:strike w:val="0"/>
          <w:dstrike w:val="0"/>
          <w:color w:val="auto"/>
          <w:sz w:val="28"/>
          <w:szCs w:val="28"/>
          <w:lang w:val="en-US" w:eastAsia="zh-CN"/>
        </w:rPr>
        <w:t>审批申请材料由县级管道保护主管部门根据实际情况自行确定,方便相关单位办理。</w:t>
      </w:r>
    </w:p>
    <w:p w14:paraId="3E8D40A9">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hint="eastAsia" w:ascii="Times New Roman" w:hAnsi="Times New Roman" w:eastAsia="仿宋GB2312" w:cs="Times New Roman"/>
          <w:b/>
          <w:bCs/>
          <w:strike w:val="0"/>
          <w:dstrike w:val="0"/>
          <w:color w:val="auto"/>
          <w:sz w:val="28"/>
          <w:szCs w:val="28"/>
          <w:highlight w:val="none"/>
          <w:lang w:val="en-US" w:eastAsia="zh-CN"/>
        </w:rPr>
      </w:pPr>
      <w:r>
        <w:rPr>
          <w:rFonts w:hint="eastAsia" w:ascii="Times New Roman" w:hAnsi="Times New Roman" w:eastAsia="仿宋GB2312" w:cs="Times New Roman"/>
          <w:b/>
          <w:bCs/>
          <w:strike w:val="0"/>
          <w:dstrike w:val="0"/>
          <w:color w:val="auto"/>
          <w:sz w:val="28"/>
          <w:szCs w:val="28"/>
          <w:highlight w:val="none"/>
          <w:lang w:val="en-US" w:eastAsia="zh-CN"/>
        </w:rPr>
        <w:t>7.加强事中事后监管措施</w:t>
      </w:r>
    </w:p>
    <w:p w14:paraId="6F35F3F8">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1</w:t>
      </w:r>
      <w:r>
        <w:rPr>
          <w:rFonts w:hint="default" w:ascii="方正仿宋_GBK" w:hAnsi="方正仿宋_GBK" w:eastAsia="方正仿宋_GBK" w:cs="方正仿宋_GBK"/>
          <w:b w:val="0"/>
          <w:bCs w:val="0"/>
          <w:strike w:val="0"/>
          <w:dstrike w:val="0"/>
          <w:color w:val="auto"/>
          <w:sz w:val="28"/>
          <w:szCs w:val="28"/>
          <w:lang w:val="en-US" w:eastAsia="zh-CN"/>
        </w:rPr>
        <w:t>.市级管道保护主管部门对县级管道保护主管部门审批事项进行监督检查,确保审批时限、办理流程依法合规；2.县级管道保护主管部门定期检查，指导督促管道企业按照方案要求做好保护措施。</w:t>
      </w:r>
    </w:p>
    <w:p w14:paraId="726746A2">
      <w:pPr>
        <w:keepNext w:val="0"/>
        <w:keepLines w:val="0"/>
        <w:pageBreakBefore w:val="0"/>
        <w:widowControl w:val="0"/>
        <w:numPr>
          <w:ilvl w:val="0"/>
          <w:numId w:val="1"/>
        </w:numPr>
        <w:kinsoku/>
        <w:wordWrap/>
        <w:overflowPunct/>
        <w:topLinePunct w:val="0"/>
        <w:autoSpaceDE/>
        <w:autoSpaceDN/>
        <w:bidi w:val="0"/>
        <w:adjustRightInd/>
        <w:snapToGrid/>
        <w:spacing w:line="540" w:lineRule="exact"/>
        <w:textAlignment w:val="auto"/>
        <w:outlineLvl w:val="1"/>
        <w:rPr>
          <w:rFonts w:hint="eastAsia"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申请材料</w:t>
      </w:r>
    </w:p>
    <w:p w14:paraId="5D00494C">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1.申请材料名称</w:t>
      </w:r>
    </w:p>
    <w:p w14:paraId="31B1B9AB">
      <w:pPr>
        <w:spacing w:line="600" w:lineRule="exact"/>
        <w:ind w:firstLine="560" w:firstLineChars="200"/>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1.关于审批防护方案的请示；</w:t>
      </w:r>
    </w:p>
    <w:p w14:paraId="319A39BD">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2.石油天然气管道第三方施工作业申报表</w:t>
      </w:r>
    </w:p>
    <w:p w14:paraId="54C092AB">
      <w:pPr>
        <w:spacing w:line="600" w:lineRule="exact"/>
        <w:ind w:firstLine="560" w:firstLineChars="200"/>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3.管道建设土地使用证、管道建设规划许可证（建设项目选址意见书）、管道建设(建筑)施工许可证、管道建设施工方案及专家评审、环境影响评价可行性报告、土地补偿协议、勘察、设计、施工、监理单位的资质证明及管道沿线设置管道标志的说明。</w:t>
      </w:r>
    </w:p>
    <w:p w14:paraId="0A679694">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2.</w:t>
      </w:r>
      <w:r>
        <w:rPr>
          <w:rFonts w:hint="default" w:ascii="Times New Roman" w:hAnsi="Times New Roman" w:eastAsia="仿宋GB2312" w:cs="Times New Roman"/>
          <w:b/>
          <w:bCs/>
          <w:strike w:val="0"/>
          <w:dstrike w:val="0"/>
          <w:color w:val="auto"/>
          <w:sz w:val="28"/>
          <w:szCs w:val="28"/>
          <w:lang w:val="en-US" w:eastAsia="zh-CN"/>
        </w:rPr>
        <w:t>规定申请材料的依据</w:t>
      </w:r>
    </w:p>
    <w:p w14:paraId="77F3B18F">
      <w:pPr>
        <w:spacing w:line="600" w:lineRule="exact"/>
        <w:ind w:firstLine="560" w:firstLineChars="200"/>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中华人民共和国石油天然气管道保护法》第十三条道建设的选线应当避开地震活动断层和容易发生洪灾、地质灾害的区域，与建筑物、构筑物、铁路、公路、航道、港口、市政设施、军事设施、电缆、光缆等保持本法和有关法律、行政法规以及国家技术规范的强制性要求规定的保护距离。 新建管道通过的区域受地理条件限制，不能满足前款规定的管道保护要求的，管道企业应当提出防护方案，经管道保护方面的专家评审论证，并经管道所在地县级以上地方人民政府主管管道保护工作的部门批准后，方可建设。</w:t>
      </w:r>
    </w:p>
    <w:p w14:paraId="126CDFD8">
      <w:pPr>
        <w:spacing w:line="600" w:lineRule="exact"/>
        <w:ind w:firstLine="560" w:firstLineChars="200"/>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中华人民共和国石油天然气管道保护法》第二十条管道企业应当自管道竣工验收合格之日起六十日内，将竣工测量图报管道所在地县级以上地方人民政府主管管道保护工作的部门备案；县级以上地方人民政府主管管道保护工作的部门应当将管道企业报送的管道竣工测量图分送本级人民政府规划、建设、国土资源、铁路、交通、水利、公安、安全生产监督管理等部门和有关军事机关。</w:t>
      </w:r>
    </w:p>
    <w:p w14:paraId="69AD9A3F">
      <w:pPr>
        <w:keepNext w:val="0"/>
        <w:keepLines w:val="0"/>
        <w:pageBreakBefore w:val="0"/>
        <w:widowControl w:val="0"/>
        <w:numPr>
          <w:ilvl w:val="0"/>
          <w:numId w:val="1"/>
        </w:numPr>
        <w:kinsoku/>
        <w:wordWrap/>
        <w:overflowPunct/>
        <w:topLinePunct w:val="0"/>
        <w:autoSpaceDE/>
        <w:autoSpaceDN/>
        <w:bidi w:val="0"/>
        <w:adjustRightInd/>
        <w:snapToGrid/>
        <w:spacing w:line="540" w:lineRule="exact"/>
        <w:textAlignment w:val="auto"/>
        <w:outlineLvl w:val="1"/>
        <w:rPr>
          <w:rFonts w:hint="eastAsia"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中介服务</w:t>
      </w:r>
    </w:p>
    <w:p w14:paraId="67254BFA">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eastAsia" w:ascii="Times New Roman" w:hAnsi="Times New Roman" w:eastAsia="仿宋GB2312" w:cs="Times New Roman"/>
          <w:b/>
          <w:bCs/>
          <w:strike w:val="0"/>
          <w:dstrike w:val="0"/>
          <w:color w:val="auto"/>
          <w:sz w:val="28"/>
          <w:szCs w:val="28"/>
          <w:lang w:val="en-US" w:eastAsia="zh-CN"/>
        </w:rPr>
        <w:t>1.有无法定中介服务事项：</w:t>
      </w:r>
      <w:r>
        <w:rPr>
          <w:rFonts w:hint="default" w:ascii="方正仿宋_GBK" w:hAnsi="方正仿宋_GBK" w:eastAsia="方正仿宋_GBK" w:cs="方正仿宋_GBK"/>
          <w:b w:val="0"/>
          <w:bCs w:val="0"/>
          <w:strike w:val="0"/>
          <w:dstrike w:val="0"/>
          <w:color w:val="auto"/>
          <w:sz w:val="28"/>
          <w:szCs w:val="28"/>
          <w:lang w:val="en-US" w:eastAsia="zh-CN"/>
        </w:rPr>
        <w:t>无</w:t>
      </w:r>
    </w:p>
    <w:p w14:paraId="597775BA">
      <w:pPr>
        <w:spacing w:line="600" w:lineRule="exact"/>
        <w:ind w:firstLine="562"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2.</w:t>
      </w:r>
      <w:r>
        <w:rPr>
          <w:rFonts w:hint="default" w:ascii="Times New Roman" w:hAnsi="Times New Roman" w:eastAsia="仿宋GB2312" w:cs="Times New Roman"/>
          <w:b/>
          <w:bCs/>
          <w:strike w:val="0"/>
          <w:dstrike w:val="0"/>
          <w:color w:val="auto"/>
          <w:sz w:val="28"/>
          <w:szCs w:val="28"/>
          <w:lang w:val="en-US" w:eastAsia="zh-CN"/>
        </w:rPr>
        <w:t>中介服务事项名称</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无</w:t>
      </w:r>
    </w:p>
    <w:p w14:paraId="649C1290">
      <w:pPr>
        <w:spacing w:line="600" w:lineRule="exact"/>
        <w:ind w:firstLine="562" w:firstLineChars="200"/>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3.</w:t>
      </w:r>
      <w:r>
        <w:rPr>
          <w:rFonts w:hint="default" w:ascii="Times New Roman" w:hAnsi="Times New Roman" w:eastAsia="仿宋GB2312" w:cs="Times New Roman"/>
          <w:b/>
          <w:bCs/>
          <w:strike w:val="0"/>
          <w:dstrike w:val="0"/>
          <w:color w:val="auto"/>
          <w:sz w:val="28"/>
          <w:szCs w:val="28"/>
          <w:lang w:val="en-US" w:eastAsia="zh-CN"/>
        </w:rPr>
        <w:t>设定中介服务事项的依据</w:t>
      </w:r>
    </w:p>
    <w:p w14:paraId="1A8D4F33">
      <w:pPr>
        <w:spacing w:line="600" w:lineRule="exact"/>
        <w:ind w:firstLine="560" w:firstLineChars="200"/>
        <w:rPr>
          <w:rFonts w:hint="default" w:ascii="Times New Roman" w:hAnsi="Times New Roman" w:eastAsia="仿宋GB2312" w:cs="Times New Roman"/>
          <w:strike w:val="0"/>
          <w:dstrike w:val="0"/>
          <w:color w:val="auto"/>
          <w:sz w:val="28"/>
          <w:szCs w:val="28"/>
          <w:lang w:val="en-US"/>
        </w:rPr>
      </w:pPr>
      <w:r>
        <w:rPr>
          <w:rFonts w:hint="default" w:ascii="方正仿宋_GBK" w:hAnsi="方正仿宋_GBK" w:eastAsia="方正仿宋_GBK" w:cs="方正仿宋_GBK"/>
          <w:b w:val="0"/>
          <w:bCs w:val="0"/>
          <w:strike w:val="0"/>
          <w:dstrike w:val="0"/>
          <w:color w:val="auto"/>
          <w:sz w:val="28"/>
          <w:szCs w:val="28"/>
          <w:lang w:val="en-US" w:eastAsia="zh-CN"/>
        </w:rPr>
        <w:t>无</w:t>
      </w:r>
    </w:p>
    <w:p w14:paraId="611B5DAB">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eastAsia" w:ascii="Times New Roman" w:hAnsi="Times New Roman" w:eastAsia="仿宋GB2312" w:cs="Times New Roman"/>
          <w:b/>
          <w:bCs/>
          <w:strike w:val="0"/>
          <w:dstrike w:val="0"/>
          <w:color w:val="auto"/>
          <w:sz w:val="28"/>
          <w:szCs w:val="28"/>
          <w:lang w:val="en-US" w:eastAsia="zh-CN"/>
        </w:rPr>
        <w:t>4.</w:t>
      </w:r>
      <w:r>
        <w:rPr>
          <w:rFonts w:hint="default" w:ascii="Times New Roman" w:hAnsi="Times New Roman" w:eastAsia="仿宋GB2312" w:cs="Times New Roman"/>
          <w:b/>
          <w:bCs/>
          <w:strike w:val="0"/>
          <w:dstrike w:val="0"/>
          <w:color w:val="auto"/>
          <w:sz w:val="28"/>
          <w:szCs w:val="28"/>
          <w:lang w:val="en-US" w:eastAsia="zh-CN"/>
        </w:rPr>
        <w:t>提供中介服务的机构</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无</w:t>
      </w:r>
    </w:p>
    <w:p w14:paraId="7A488556">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eastAsia" w:ascii="Times New Roman" w:hAnsi="Times New Roman" w:eastAsia="仿宋GB2312" w:cs="Times New Roman"/>
          <w:b/>
          <w:bCs/>
          <w:strike w:val="0"/>
          <w:dstrike w:val="0"/>
          <w:color w:val="auto"/>
          <w:sz w:val="28"/>
          <w:szCs w:val="28"/>
          <w:lang w:val="en-US" w:eastAsia="zh-CN"/>
        </w:rPr>
        <w:t>5.</w:t>
      </w:r>
      <w:r>
        <w:rPr>
          <w:rFonts w:hint="default" w:ascii="Times New Roman" w:hAnsi="Times New Roman" w:eastAsia="仿宋GB2312" w:cs="Times New Roman"/>
          <w:b/>
          <w:bCs/>
          <w:strike w:val="0"/>
          <w:dstrike w:val="0"/>
          <w:color w:val="auto"/>
          <w:sz w:val="28"/>
          <w:szCs w:val="28"/>
          <w:lang w:val="en-US" w:eastAsia="zh-CN"/>
        </w:rPr>
        <w:t>中介服务事项的收费性质</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无</w:t>
      </w:r>
    </w:p>
    <w:p w14:paraId="0B60C7BA">
      <w:pPr>
        <w:keepNext w:val="0"/>
        <w:keepLines w:val="0"/>
        <w:pageBreakBefore w:val="0"/>
        <w:widowControl w:val="0"/>
        <w:numPr>
          <w:ilvl w:val="0"/>
          <w:numId w:val="1"/>
        </w:numPr>
        <w:kinsoku/>
        <w:wordWrap/>
        <w:overflowPunct/>
        <w:topLinePunct w:val="0"/>
        <w:autoSpaceDE/>
        <w:autoSpaceDN/>
        <w:bidi w:val="0"/>
        <w:adjustRightInd/>
        <w:snapToGrid/>
        <w:spacing w:line="540" w:lineRule="exact"/>
        <w:textAlignment w:val="auto"/>
        <w:outlineLvl w:val="1"/>
        <w:rPr>
          <w:rFonts w:hint="eastAsia"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审批程序</w:t>
      </w:r>
    </w:p>
    <w:p w14:paraId="0E851F44">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1.办理行政许可的程序环节</w:t>
      </w:r>
    </w:p>
    <w:p w14:paraId="22E6D946">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由县级管道保护主管部门自行确定。</w:t>
      </w:r>
    </w:p>
    <w:p w14:paraId="0955A69F">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2.规定行政许可程序的依据</w:t>
      </w:r>
    </w:p>
    <w:p w14:paraId="073598ED">
      <w:pPr>
        <w:spacing w:line="600" w:lineRule="exact"/>
        <w:ind w:firstLine="560" w:firstLineChars="200"/>
        <w:rPr>
          <w:rFonts w:hint="eastAsia" w:ascii="方正仿宋_GBK" w:hAnsi="方正仿宋_GBK" w:eastAsia="方正仿宋_GBK" w:cs="方正仿宋_GBK"/>
          <w:b w:val="0"/>
          <w:bCs w:val="0"/>
          <w:strike w:val="0"/>
          <w:dstrike w:val="0"/>
          <w:color w:val="auto"/>
          <w:sz w:val="28"/>
          <w:szCs w:val="28"/>
          <w:highlight w:val="none"/>
          <w:lang w:val="en-US" w:eastAsia="zh-CN"/>
        </w:rPr>
      </w:pPr>
      <w:r>
        <w:rPr>
          <w:rFonts w:hint="eastAsia" w:ascii="方正仿宋_GBK" w:hAnsi="方正仿宋_GBK" w:eastAsia="方正仿宋_GBK" w:cs="方正仿宋_GBK"/>
          <w:b w:val="0"/>
          <w:bCs w:val="0"/>
          <w:strike w:val="0"/>
          <w:dstrike w:val="0"/>
          <w:color w:val="auto"/>
          <w:sz w:val="28"/>
          <w:szCs w:val="28"/>
          <w:highlight w:val="none"/>
          <w:lang w:val="en-US" w:eastAsia="zh-CN"/>
        </w:rPr>
        <w:t>《中华人民共和国石油天然气管道保护法》第十三条道建设的选线应当避开地震活动断层和容易发生洪灾、地质灾害的区域，与建筑物、构筑物、铁路、公路、航道、港口、市政设施、军事设施、电缆、光缆等保持本法和有关法律、行政法规以及国家技术规范的强制性要求规定的保护距离。 新建管道通过的区域受地理条件限制，不能满足前款规定的管道保护要求的，管道企业应当提出防护方案，经管道保护方面的专家评审论证，并经管道所在地县级以上地方人民政府主管管道保护工作的部门批准后，方可建设。</w:t>
      </w:r>
    </w:p>
    <w:p w14:paraId="4F1DA355">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eastAsia" w:ascii="Times New Roman" w:hAnsi="Times New Roman" w:eastAsia="仿宋GB2312" w:cs="Times New Roman"/>
          <w:b/>
          <w:bCs/>
          <w:strike w:val="0"/>
          <w:dstrike w:val="0"/>
          <w:color w:val="auto"/>
          <w:sz w:val="28"/>
          <w:szCs w:val="28"/>
          <w:lang w:val="en-US" w:eastAsia="zh-CN"/>
        </w:rPr>
        <w:t>3.</w:t>
      </w:r>
      <w:r>
        <w:rPr>
          <w:rFonts w:hint="default" w:ascii="Times New Roman" w:hAnsi="Times New Roman" w:eastAsia="仿宋GB2312" w:cs="Times New Roman"/>
          <w:b/>
          <w:bCs/>
          <w:strike w:val="0"/>
          <w:dstrike w:val="0"/>
          <w:color w:val="auto"/>
          <w:sz w:val="28"/>
          <w:szCs w:val="28"/>
          <w:lang w:val="en-US" w:eastAsia="zh-CN"/>
        </w:rPr>
        <w:t>是否需要现场勘验</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否</w:t>
      </w:r>
    </w:p>
    <w:p w14:paraId="46EF96B6">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eastAsia" w:ascii="Times New Roman" w:hAnsi="Times New Roman" w:eastAsia="仿宋GB2312" w:cs="Times New Roman"/>
          <w:b/>
          <w:bCs/>
          <w:strike w:val="0"/>
          <w:dstrike w:val="0"/>
          <w:color w:val="auto"/>
          <w:sz w:val="28"/>
          <w:szCs w:val="28"/>
          <w:lang w:val="en-US" w:eastAsia="zh-CN"/>
        </w:rPr>
        <w:t>4.</w:t>
      </w:r>
      <w:r>
        <w:rPr>
          <w:rFonts w:hint="default" w:ascii="Times New Roman" w:hAnsi="Times New Roman" w:eastAsia="仿宋GB2312" w:cs="Times New Roman"/>
          <w:b/>
          <w:bCs/>
          <w:strike w:val="0"/>
          <w:dstrike w:val="0"/>
          <w:color w:val="auto"/>
          <w:sz w:val="28"/>
          <w:szCs w:val="28"/>
          <w:lang w:val="en-US" w:eastAsia="zh-CN"/>
        </w:rPr>
        <w:t>是否需要组织听证</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否</w:t>
      </w:r>
    </w:p>
    <w:p w14:paraId="13AB7827">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eastAsia" w:ascii="Times New Roman" w:hAnsi="Times New Roman" w:eastAsia="仿宋GB2312" w:cs="Times New Roman"/>
          <w:b/>
          <w:bCs/>
          <w:strike w:val="0"/>
          <w:dstrike w:val="0"/>
          <w:color w:val="auto"/>
          <w:sz w:val="28"/>
          <w:szCs w:val="28"/>
          <w:lang w:val="en-US" w:eastAsia="zh-CN"/>
        </w:rPr>
        <w:t>5.</w:t>
      </w:r>
      <w:r>
        <w:rPr>
          <w:rFonts w:hint="default" w:ascii="Times New Roman" w:hAnsi="Times New Roman" w:eastAsia="仿宋GB2312" w:cs="Times New Roman"/>
          <w:b/>
          <w:bCs/>
          <w:strike w:val="0"/>
          <w:dstrike w:val="0"/>
          <w:color w:val="auto"/>
          <w:sz w:val="28"/>
          <w:szCs w:val="28"/>
          <w:lang w:val="en-US" w:eastAsia="zh-CN"/>
        </w:rPr>
        <w:t>是否需要招标、拍卖、挂牌交易</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否</w:t>
      </w:r>
    </w:p>
    <w:p w14:paraId="59CC7E45">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eastAsia" w:ascii="Times New Roman" w:hAnsi="Times New Roman" w:eastAsia="仿宋GB2312" w:cs="Times New Roman"/>
          <w:b/>
          <w:bCs/>
          <w:strike w:val="0"/>
          <w:dstrike w:val="0"/>
          <w:color w:val="auto"/>
          <w:sz w:val="28"/>
          <w:szCs w:val="28"/>
          <w:lang w:val="en-US" w:eastAsia="zh-CN"/>
        </w:rPr>
        <w:t>6.</w:t>
      </w:r>
      <w:r>
        <w:rPr>
          <w:rFonts w:hint="default" w:ascii="Times New Roman" w:hAnsi="Times New Roman" w:eastAsia="仿宋GB2312" w:cs="Times New Roman"/>
          <w:b/>
          <w:bCs/>
          <w:strike w:val="0"/>
          <w:dstrike w:val="0"/>
          <w:color w:val="auto"/>
          <w:sz w:val="28"/>
          <w:szCs w:val="28"/>
          <w:lang w:val="en-US" w:eastAsia="zh-CN"/>
        </w:rPr>
        <w:t>是否需要检验、检测、检疫</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否</w:t>
      </w:r>
    </w:p>
    <w:p w14:paraId="6B2B32F3">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eastAsia" w:ascii="Times New Roman" w:hAnsi="Times New Roman" w:eastAsia="仿宋GB2312" w:cs="Times New Roman"/>
          <w:b/>
          <w:bCs/>
          <w:strike w:val="0"/>
          <w:dstrike w:val="0"/>
          <w:color w:val="auto"/>
          <w:sz w:val="28"/>
          <w:szCs w:val="28"/>
          <w:lang w:val="en-US" w:eastAsia="zh-CN"/>
        </w:rPr>
        <w:t>7.</w:t>
      </w:r>
      <w:r>
        <w:rPr>
          <w:rFonts w:hint="default" w:ascii="Times New Roman" w:hAnsi="Times New Roman" w:eastAsia="仿宋GB2312" w:cs="Times New Roman"/>
          <w:b/>
          <w:bCs/>
          <w:strike w:val="0"/>
          <w:dstrike w:val="0"/>
          <w:color w:val="auto"/>
          <w:sz w:val="28"/>
          <w:szCs w:val="28"/>
          <w:lang w:val="en-US" w:eastAsia="zh-CN"/>
        </w:rPr>
        <w:t>是否需要鉴定</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否</w:t>
      </w:r>
    </w:p>
    <w:p w14:paraId="11ED611F">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eastAsia" w:ascii="Times New Roman" w:hAnsi="Times New Roman" w:eastAsia="仿宋GB2312" w:cs="Times New Roman"/>
          <w:b/>
          <w:bCs/>
          <w:strike w:val="0"/>
          <w:dstrike w:val="0"/>
          <w:color w:val="auto"/>
          <w:sz w:val="28"/>
          <w:szCs w:val="28"/>
          <w:lang w:val="en-US" w:eastAsia="zh-CN"/>
        </w:rPr>
        <w:t>8.</w:t>
      </w:r>
      <w:r>
        <w:rPr>
          <w:rFonts w:hint="default" w:ascii="Times New Roman" w:hAnsi="Times New Roman" w:eastAsia="仿宋GB2312" w:cs="Times New Roman"/>
          <w:b/>
          <w:bCs/>
          <w:strike w:val="0"/>
          <w:dstrike w:val="0"/>
          <w:color w:val="auto"/>
          <w:sz w:val="28"/>
          <w:szCs w:val="28"/>
          <w:lang w:val="en-US" w:eastAsia="zh-CN"/>
        </w:rPr>
        <w:t>是否需要专家评审</w:t>
      </w:r>
      <w:r>
        <w:rPr>
          <w:rFonts w:hint="eastAsia" w:ascii="Times New Roman" w:hAnsi="Times New Roman" w:eastAsia="仿宋GB2312" w:cs="Times New Roman"/>
          <w:b/>
          <w:bCs/>
          <w:strike w:val="0"/>
          <w:dstrike w:val="0"/>
          <w:color w:val="auto"/>
          <w:sz w:val="28"/>
          <w:szCs w:val="28"/>
          <w:lang w:val="en-US" w:eastAsia="zh-CN"/>
        </w:rPr>
        <w:t>：</w:t>
      </w:r>
      <w:r>
        <w:rPr>
          <w:rFonts w:hint="eastAsia" w:ascii="方正仿宋_GBK" w:hAnsi="方正仿宋_GBK" w:eastAsia="方正仿宋_GBK" w:cs="方正仿宋_GBK"/>
          <w:b w:val="0"/>
          <w:bCs w:val="0"/>
          <w:strike w:val="0"/>
          <w:dstrike w:val="0"/>
          <w:color w:val="auto"/>
          <w:sz w:val="28"/>
          <w:szCs w:val="28"/>
          <w:lang w:val="en-US" w:eastAsia="zh-CN"/>
        </w:rPr>
        <w:t>是</w:t>
      </w:r>
    </w:p>
    <w:p w14:paraId="6086DDE6">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eastAsia" w:ascii="Times New Roman" w:hAnsi="Times New Roman" w:eastAsia="仿宋GB2312" w:cs="Times New Roman"/>
          <w:b/>
          <w:bCs/>
          <w:strike w:val="0"/>
          <w:dstrike w:val="0"/>
          <w:color w:val="auto"/>
          <w:sz w:val="28"/>
          <w:szCs w:val="28"/>
          <w:lang w:val="en-US" w:eastAsia="zh-CN"/>
        </w:rPr>
        <w:t>9.</w:t>
      </w:r>
      <w:r>
        <w:rPr>
          <w:rFonts w:hint="default" w:ascii="Times New Roman" w:hAnsi="Times New Roman" w:eastAsia="仿宋GB2312" w:cs="Times New Roman"/>
          <w:b/>
          <w:bCs/>
          <w:strike w:val="0"/>
          <w:dstrike w:val="0"/>
          <w:color w:val="auto"/>
          <w:sz w:val="28"/>
          <w:szCs w:val="28"/>
          <w:lang w:val="en-US" w:eastAsia="zh-CN"/>
        </w:rPr>
        <w:t>是否需要向社会公示</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否</w:t>
      </w:r>
    </w:p>
    <w:p w14:paraId="46E6BE0A">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eastAsia" w:ascii="Times New Roman" w:hAnsi="Times New Roman" w:eastAsia="仿宋GB2312" w:cs="Times New Roman"/>
          <w:b/>
          <w:bCs/>
          <w:strike w:val="0"/>
          <w:dstrike w:val="0"/>
          <w:color w:val="auto"/>
          <w:sz w:val="28"/>
          <w:szCs w:val="28"/>
          <w:lang w:val="en-US" w:eastAsia="zh-CN"/>
        </w:rPr>
        <w:t>10.</w:t>
      </w:r>
      <w:r>
        <w:rPr>
          <w:rFonts w:hint="default" w:ascii="Times New Roman" w:hAnsi="Times New Roman" w:eastAsia="仿宋GB2312" w:cs="Times New Roman"/>
          <w:b/>
          <w:bCs/>
          <w:strike w:val="0"/>
          <w:dstrike w:val="0"/>
          <w:color w:val="auto"/>
          <w:sz w:val="28"/>
          <w:szCs w:val="28"/>
          <w:lang w:val="en-US" w:eastAsia="zh-CN"/>
        </w:rPr>
        <w:t>是否实行告知承诺办理</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否</w:t>
      </w:r>
    </w:p>
    <w:p w14:paraId="0D8DB883">
      <w:pPr>
        <w:spacing w:line="600" w:lineRule="exact"/>
        <w:ind w:firstLine="562" w:firstLineChars="200"/>
        <w:rPr>
          <w:rFonts w:hint="default"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11.审批机关是否委托服务机构开展技术性服务：</w:t>
      </w:r>
      <w:r>
        <w:rPr>
          <w:rFonts w:hint="eastAsia" w:ascii="方正仿宋_GBK" w:hAnsi="方正仿宋_GBK" w:eastAsia="方正仿宋_GBK" w:cs="方正仿宋_GBK"/>
          <w:b w:val="0"/>
          <w:bCs w:val="0"/>
          <w:strike w:val="0"/>
          <w:dstrike w:val="0"/>
          <w:color w:val="auto"/>
          <w:sz w:val="28"/>
          <w:szCs w:val="28"/>
          <w:lang w:val="en-US" w:eastAsia="zh-CN"/>
        </w:rPr>
        <w:t>否</w:t>
      </w:r>
    </w:p>
    <w:p w14:paraId="29622891">
      <w:pPr>
        <w:keepNext w:val="0"/>
        <w:keepLines w:val="0"/>
        <w:pageBreakBefore w:val="0"/>
        <w:widowControl w:val="0"/>
        <w:numPr>
          <w:ilvl w:val="0"/>
          <w:numId w:val="1"/>
        </w:numPr>
        <w:kinsoku/>
        <w:wordWrap/>
        <w:overflowPunct/>
        <w:topLinePunct w:val="0"/>
        <w:autoSpaceDE/>
        <w:autoSpaceDN/>
        <w:bidi w:val="0"/>
        <w:adjustRightInd/>
        <w:snapToGrid/>
        <w:spacing w:line="540" w:lineRule="exact"/>
        <w:textAlignment w:val="auto"/>
        <w:outlineLvl w:val="1"/>
        <w:rPr>
          <w:rFonts w:hint="eastAsia"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受理和审批时限</w:t>
      </w:r>
    </w:p>
    <w:p w14:paraId="09117752">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eastAsia" w:ascii="Times New Roman" w:hAnsi="Times New Roman" w:eastAsia="仿宋GB2312" w:cs="Times New Roman"/>
          <w:b/>
          <w:bCs/>
          <w:strike w:val="0"/>
          <w:dstrike w:val="0"/>
          <w:color w:val="auto"/>
          <w:sz w:val="28"/>
          <w:szCs w:val="28"/>
          <w:lang w:val="en-US" w:eastAsia="zh-CN"/>
        </w:rPr>
        <w:t>1.承诺受理时限：</w:t>
      </w:r>
      <w:r>
        <w:rPr>
          <w:rFonts w:hint="eastAsia" w:ascii="方正仿宋_GBK" w:hAnsi="方正仿宋_GBK" w:eastAsia="方正仿宋_GBK" w:cs="方正仿宋_GBK"/>
          <w:b w:val="0"/>
          <w:bCs w:val="0"/>
          <w:strike w:val="0"/>
          <w:dstrike w:val="0"/>
          <w:color w:val="auto"/>
          <w:sz w:val="28"/>
          <w:szCs w:val="28"/>
          <w:lang w:val="en-US" w:eastAsia="zh-CN"/>
        </w:rPr>
        <w:t>5个工作日</w:t>
      </w:r>
    </w:p>
    <w:p w14:paraId="31CE7DF4">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strike w:val="0"/>
          <w:dstrike w:val="0"/>
          <w:color w:val="auto"/>
          <w:sz w:val="28"/>
          <w:szCs w:val="28"/>
        </w:rPr>
      </w:pPr>
      <w:r>
        <w:rPr>
          <w:rFonts w:hint="eastAsia" w:ascii="Times New Roman" w:hAnsi="Times New Roman" w:eastAsia="仿宋GB2312" w:cs="Times New Roman"/>
          <w:b/>
          <w:bCs/>
          <w:strike w:val="0"/>
          <w:dstrike w:val="0"/>
          <w:color w:val="auto"/>
          <w:sz w:val="28"/>
          <w:szCs w:val="28"/>
          <w:lang w:val="en-US" w:eastAsia="zh-CN"/>
        </w:rPr>
        <w:t>2.法定审批时限：</w:t>
      </w:r>
      <w:r>
        <w:rPr>
          <w:rFonts w:hint="eastAsia" w:ascii="方正仿宋_GBK" w:hAnsi="方正仿宋_GBK" w:eastAsia="方正仿宋_GBK" w:cs="方正仿宋_GBK"/>
          <w:b w:val="0"/>
          <w:bCs w:val="0"/>
          <w:strike w:val="0"/>
          <w:dstrike w:val="0"/>
          <w:color w:val="auto"/>
          <w:sz w:val="28"/>
          <w:szCs w:val="28"/>
          <w:lang w:val="en-US" w:eastAsia="zh-CN"/>
        </w:rPr>
        <w:t>20个工作日</w:t>
      </w:r>
    </w:p>
    <w:p w14:paraId="544ECFAA">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3.规定法定审批时限依据</w:t>
      </w:r>
    </w:p>
    <w:p w14:paraId="06ADB5EA">
      <w:pPr>
        <w:spacing w:line="600" w:lineRule="exact"/>
        <w:ind w:firstLine="560" w:firstLineChars="200"/>
        <w:rPr>
          <w:rFonts w:hint="default" w:ascii="Times New Roman" w:hAnsi="Times New Roman" w:eastAsia="仿宋GB2312" w:cs="Times New Roman"/>
          <w:color w:val="auto"/>
          <w:sz w:val="32"/>
          <w:szCs w:val="32"/>
          <w:highlight w:val="none"/>
          <w:lang w:val="en-US"/>
        </w:rPr>
      </w:pPr>
      <w:r>
        <w:rPr>
          <w:rFonts w:hint="eastAsia" w:ascii="方正仿宋_GBK" w:hAnsi="方正仿宋_GBK" w:eastAsia="方正仿宋_GBK" w:cs="方正仿宋_GBK"/>
          <w:b w:val="0"/>
          <w:bCs w:val="0"/>
          <w:strike w:val="0"/>
          <w:dstrike w:val="0"/>
          <w:color w:val="auto"/>
          <w:sz w:val="28"/>
          <w:szCs w:val="28"/>
          <w:highlight w:val="none"/>
          <w:lang w:val="en-US" w:eastAsia="zh-CN"/>
        </w:rPr>
        <w:t>《中华人民共和国石油天然气管道保护法》第十三条道建设的选线应当避开地震活动断层和容易发生洪灾、地质灾害的区域，与建筑物、构筑物、铁路、公路、航道、港口、市政设施、军事设施、电缆、光缆等保持本法和有关法律、行政法规以及国家技术规范的强制性要求规定的保护距离。 新建管道通过的区域受地理条件限制，不能满足前款规定的管道保护要求的，管道企业应当提出防护方案，经管道保护方面的专家评审论证，并经管道所在地县级以上地方人民政府主管管道保护工作的部门批准后，方可建设。</w:t>
      </w:r>
    </w:p>
    <w:p w14:paraId="26C55403">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eastAsia" w:ascii="Times New Roman" w:hAnsi="Times New Roman" w:eastAsia="仿宋GB2312" w:cs="Times New Roman"/>
          <w:b/>
          <w:bCs/>
          <w:strike w:val="0"/>
          <w:dstrike w:val="0"/>
          <w:color w:val="auto"/>
          <w:sz w:val="28"/>
          <w:szCs w:val="28"/>
          <w:lang w:val="en-US" w:eastAsia="zh-CN"/>
        </w:rPr>
        <w:t>4.承诺审批时限：</w:t>
      </w:r>
      <w:r>
        <w:rPr>
          <w:rFonts w:hint="eastAsia" w:ascii="方正仿宋_GBK" w:hAnsi="方正仿宋_GBK" w:eastAsia="方正仿宋_GBK" w:cs="方正仿宋_GBK"/>
          <w:b w:val="0"/>
          <w:bCs w:val="0"/>
          <w:strike w:val="0"/>
          <w:dstrike w:val="0"/>
          <w:color w:val="auto"/>
          <w:sz w:val="28"/>
          <w:szCs w:val="28"/>
          <w:lang w:val="en-US" w:eastAsia="zh-CN"/>
        </w:rPr>
        <w:t>20</w:t>
      </w:r>
      <w:r>
        <w:rPr>
          <w:rFonts w:hint="default" w:ascii="方正仿宋_GBK" w:hAnsi="方正仿宋_GBK" w:eastAsia="方正仿宋_GBK" w:cs="方正仿宋_GBK"/>
          <w:b w:val="0"/>
          <w:bCs w:val="0"/>
          <w:strike w:val="0"/>
          <w:dstrike w:val="0"/>
          <w:color w:val="auto"/>
          <w:sz w:val="28"/>
          <w:szCs w:val="28"/>
          <w:lang w:val="en-US" w:eastAsia="zh-CN"/>
        </w:rPr>
        <w:t>个工作日</w:t>
      </w:r>
    </w:p>
    <w:p w14:paraId="56E0814D">
      <w:pPr>
        <w:keepNext w:val="0"/>
        <w:keepLines w:val="0"/>
        <w:pageBreakBefore w:val="0"/>
        <w:widowControl w:val="0"/>
        <w:numPr>
          <w:ilvl w:val="0"/>
          <w:numId w:val="1"/>
        </w:numPr>
        <w:kinsoku/>
        <w:wordWrap/>
        <w:overflowPunct/>
        <w:topLinePunct w:val="0"/>
        <w:autoSpaceDE/>
        <w:autoSpaceDN/>
        <w:bidi w:val="0"/>
        <w:adjustRightInd/>
        <w:snapToGrid/>
        <w:spacing w:line="540" w:lineRule="exact"/>
        <w:textAlignment w:val="auto"/>
        <w:outlineLvl w:val="1"/>
        <w:rPr>
          <w:rFonts w:hint="eastAsia"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收费</w:t>
      </w:r>
    </w:p>
    <w:p w14:paraId="33C805DF">
      <w:pPr>
        <w:spacing w:line="600" w:lineRule="exact"/>
        <w:ind w:firstLine="562" w:firstLineChars="200"/>
        <w:rPr>
          <w:rFonts w:hint="eastAsia" w:ascii="Times New Roman" w:hAnsi="Times New Roman" w:eastAsia="仿宋GB2312" w:cs="Times New Roman"/>
          <w:strike w:val="0"/>
          <w:dstrike w:val="0"/>
          <w:color w:val="auto"/>
          <w:sz w:val="28"/>
          <w:szCs w:val="28"/>
          <w:lang w:val="en-US"/>
        </w:rPr>
      </w:pPr>
      <w:r>
        <w:rPr>
          <w:rFonts w:hint="eastAsia" w:ascii="Times New Roman" w:hAnsi="Times New Roman" w:eastAsia="仿宋GB2312" w:cs="Times New Roman"/>
          <w:b/>
          <w:bCs/>
          <w:strike w:val="0"/>
          <w:dstrike w:val="0"/>
          <w:color w:val="auto"/>
          <w:sz w:val="28"/>
          <w:szCs w:val="28"/>
          <w:lang w:val="en-US" w:eastAsia="zh-CN"/>
        </w:rPr>
        <w:t>1.办理行政许可是否收费：</w:t>
      </w:r>
      <w:r>
        <w:rPr>
          <w:rFonts w:hint="eastAsia" w:ascii="方正仿宋_GBK" w:hAnsi="方正仿宋_GBK" w:eastAsia="方正仿宋_GBK" w:cs="方正仿宋_GBK"/>
          <w:b w:val="0"/>
          <w:bCs w:val="0"/>
          <w:strike w:val="0"/>
          <w:dstrike w:val="0"/>
          <w:color w:val="auto"/>
          <w:sz w:val="28"/>
          <w:szCs w:val="28"/>
          <w:lang w:val="en-US" w:eastAsia="zh-CN"/>
        </w:rPr>
        <w:t>否</w:t>
      </w:r>
    </w:p>
    <w:p w14:paraId="4ACADB60">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2.收费项目的名称、收费项目的标准、设定收费项目的依据、规定收费标准的依据</w:t>
      </w:r>
    </w:p>
    <w:p w14:paraId="0EEF54A2">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无</w:t>
      </w:r>
    </w:p>
    <w:p w14:paraId="4A3481D1">
      <w:pPr>
        <w:keepNext w:val="0"/>
        <w:keepLines w:val="0"/>
        <w:pageBreakBefore w:val="0"/>
        <w:widowControl w:val="0"/>
        <w:numPr>
          <w:ilvl w:val="0"/>
          <w:numId w:val="1"/>
        </w:numPr>
        <w:kinsoku/>
        <w:wordWrap/>
        <w:overflowPunct/>
        <w:topLinePunct w:val="0"/>
        <w:autoSpaceDE/>
        <w:autoSpaceDN/>
        <w:bidi w:val="0"/>
        <w:adjustRightInd/>
        <w:snapToGrid/>
        <w:spacing w:line="540" w:lineRule="exact"/>
        <w:textAlignment w:val="auto"/>
        <w:outlineLvl w:val="1"/>
        <w:rPr>
          <w:rFonts w:hint="eastAsia"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行政许可证件</w:t>
      </w:r>
    </w:p>
    <w:p w14:paraId="67000409">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1.审批结果类型：</w:t>
      </w:r>
      <w:r>
        <w:rPr>
          <w:rFonts w:hint="eastAsia" w:ascii="方正仿宋_GBK" w:hAnsi="方正仿宋_GBK" w:eastAsia="方正仿宋_GBK" w:cs="方正仿宋_GBK"/>
          <w:b w:val="0"/>
          <w:bCs w:val="0"/>
          <w:strike w:val="0"/>
          <w:dstrike w:val="0"/>
          <w:color w:val="auto"/>
          <w:sz w:val="28"/>
          <w:szCs w:val="28"/>
          <w:lang w:val="en-US" w:eastAsia="zh-CN"/>
        </w:rPr>
        <w:t>批文</w:t>
      </w:r>
    </w:p>
    <w:p w14:paraId="2B3ED69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2.审批结果名称：</w:t>
      </w:r>
      <w:r>
        <w:rPr>
          <w:rFonts w:hint="eastAsia" w:ascii="方正仿宋_GBK" w:hAnsi="方正仿宋_GBK" w:eastAsia="方正仿宋_GBK" w:cs="方正仿宋_GBK"/>
          <w:b w:val="0"/>
          <w:bCs w:val="0"/>
          <w:strike w:val="0"/>
          <w:dstrike w:val="0"/>
          <w:color w:val="auto"/>
          <w:sz w:val="28"/>
          <w:szCs w:val="28"/>
          <w:lang w:val="en-US" w:eastAsia="zh-CN"/>
        </w:rPr>
        <w:t>关于《XX防护方案》的批复</w:t>
      </w:r>
    </w:p>
    <w:p w14:paraId="0A5CCCE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3.审批结果的有效期限：</w:t>
      </w:r>
      <w:r>
        <w:rPr>
          <w:rFonts w:hint="eastAsia" w:ascii="方正仿宋_GBK" w:hAnsi="方正仿宋_GBK" w:eastAsia="方正仿宋_GBK" w:cs="方正仿宋_GBK"/>
          <w:b w:val="0"/>
          <w:bCs w:val="0"/>
          <w:strike w:val="0"/>
          <w:dstrike w:val="0"/>
          <w:color w:val="auto"/>
          <w:sz w:val="28"/>
          <w:szCs w:val="28"/>
          <w:lang w:val="en-US" w:eastAsia="zh-CN"/>
        </w:rPr>
        <w:t>无限期</w:t>
      </w:r>
    </w:p>
    <w:p w14:paraId="15B690F6">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4.规定审批结果有效期限的依据</w:t>
      </w:r>
    </w:p>
    <w:p w14:paraId="04FBEA95">
      <w:pPr>
        <w:spacing w:line="600" w:lineRule="exact"/>
        <w:ind w:firstLine="560" w:firstLineChars="200"/>
        <w:rPr>
          <w:rFonts w:hint="default" w:ascii="Times New Roman" w:hAnsi="Times New Roman" w:eastAsia="仿宋GB2312" w:cs="Times New Roman"/>
          <w:color w:val="auto"/>
          <w:sz w:val="32"/>
          <w:szCs w:val="32"/>
          <w:highlight w:val="none"/>
          <w:lang w:val="en-US"/>
        </w:rPr>
      </w:pPr>
      <w:r>
        <w:rPr>
          <w:rFonts w:hint="eastAsia" w:ascii="方正仿宋_GBK" w:hAnsi="方正仿宋_GBK" w:eastAsia="方正仿宋_GBK" w:cs="方正仿宋_GBK"/>
          <w:b w:val="0"/>
          <w:bCs w:val="0"/>
          <w:strike w:val="0"/>
          <w:dstrike w:val="0"/>
          <w:color w:val="auto"/>
          <w:sz w:val="28"/>
          <w:szCs w:val="28"/>
          <w:highlight w:val="none"/>
          <w:lang w:val="en-US" w:eastAsia="zh-CN"/>
        </w:rPr>
        <w:t>《中华人民共和国石油天然气管道保护法》第十三条道建设的选线应当避开地震活动断层和容易发生洪灾、地质灾害的区域，与建筑物、构筑物、铁路、公路、航道、港口、市政设施、军事设施、电缆、光缆等保持本法和有关法律、行政法规以及国家技术规范的强制性要求规定的保护距离。 新建管道通过的区域受地理条件限制，不能满足前款规定的管道保护要求的，管道企业应当提出防护方案，经管道保护方面的专家评审论证，并经管道所在地县级以上地方人民政府主管管道保护工作的部门批准后，方可建设。</w:t>
      </w:r>
    </w:p>
    <w:p w14:paraId="5798976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default"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5.是否需要办理审批结果变更手续：</w:t>
      </w:r>
      <w:r>
        <w:rPr>
          <w:rFonts w:hint="default" w:ascii="方正仿宋_GBK" w:hAnsi="方正仿宋_GBK" w:eastAsia="方正仿宋_GBK" w:cs="方正仿宋_GBK"/>
          <w:b w:val="0"/>
          <w:bCs w:val="0"/>
          <w:strike w:val="0"/>
          <w:dstrike w:val="0"/>
          <w:color w:val="auto"/>
          <w:sz w:val="28"/>
          <w:szCs w:val="28"/>
          <w:lang w:val="en-US" w:eastAsia="zh-CN"/>
        </w:rPr>
        <w:t>否</w:t>
      </w:r>
    </w:p>
    <w:p w14:paraId="6ABF938E">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6.办理审批结果变更手续的要求</w:t>
      </w:r>
    </w:p>
    <w:p w14:paraId="061A072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Times New Roman" w:hAnsi="Times New Roman" w:eastAsia="仿宋GB2312" w:cs="Times New Roman"/>
          <w:color w:val="auto"/>
          <w:sz w:val="32"/>
          <w:szCs w:val="32"/>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无</w:t>
      </w:r>
    </w:p>
    <w:p w14:paraId="19ECAE5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7.是否需要办理审批结果延续手续：</w:t>
      </w:r>
      <w:r>
        <w:rPr>
          <w:rFonts w:hint="eastAsia" w:ascii="方正仿宋_GBK" w:hAnsi="方正仿宋_GBK" w:eastAsia="方正仿宋_GBK" w:cs="方正仿宋_GBK"/>
          <w:b w:val="0"/>
          <w:bCs w:val="0"/>
          <w:strike w:val="0"/>
          <w:dstrike w:val="0"/>
          <w:color w:val="auto"/>
          <w:sz w:val="28"/>
          <w:szCs w:val="28"/>
          <w:lang w:val="en-US" w:eastAsia="zh-CN"/>
        </w:rPr>
        <w:t>否</w:t>
      </w:r>
    </w:p>
    <w:p w14:paraId="5D46FE8E">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8.办理审批结果延续手续的要求</w:t>
      </w:r>
    </w:p>
    <w:p w14:paraId="6320012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Times New Roman" w:hAnsi="Times New Roman" w:eastAsia="仿宋GB2312" w:cs="Times New Roman"/>
          <w:color w:val="auto"/>
          <w:sz w:val="32"/>
          <w:szCs w:val="32"/>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无</w:t>
      </w:r>
    </w:p>
    <w:p w14:paraId="36FD65D7">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9.审批结果的有效地域范围</w:t>
      </w:r>
    </w:p>
    <w:p w14:paraId="1286744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本县</w:t>
      </w:r>
    </w:p>
    <w:p w14:paraId="37652955">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10.规定审批结果有效地域范围的依据</w:t>
      </w:r>
    </w:p>
    <w:p w14:paraId="5012C11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（1）《升放气球管理办法》第三条在中华人民共和国境内从事升放气球活动，应当遵守本办法及国家其他有关规定。</w:t>
      </w:r>
    </w:p>
    <w:p w14:paraId="03C391EB">
      <w:pPr>
        <w:keepNext w:val="0"/>
        <w:keepLines w:val="0"/>
        <w:pageBreakBefore w:val="0"/>
        <w:widowControl w:val="0"/>
        <w:numPr>
          <w:ilvl w:val="0"/>
          <w:numId w:val="1"/>
        </w:numPr>
        <w:kinsoku/>
        <w:wordWrap/>
        <w:overflowPunct/>
        <w:topLinePunct w:val="0"/>
        <w:autoSpaceDE/>
        <w:autoSpaceDN/>
        <w:bidi w:val="0"/>
        <w:adjustRightInd/>
        <w:snapToGrid/>
        <w:spacing w:line="540" w:lineRule="exact"/>
        <w:textAlignment w:val="auto"/>
        <w:outlineLvl w:val="1"/>
        <w:rPr>
          <w:rFonts w:hint="eastAsia"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行政许可数量限制</w:t>
      </w:r>
    </w:p>
    <w:p w14:paraId="12B61EB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1.有无行政许可数量限制：</w:t>
      </w:r>
      <w:r>
        <w:rPr>
          <w:rFonts w:hint="eastAsia" w:ascii="方正仿宋_GBK" w:hAnsi="方正仿宋_GBK" w:eastAsia="方正仿宋_GBK" w:cs="方正仿宋_GBK"/>
          <w:b w:val="0"/>
          <w:bCs w:val="0"/>
          <w:strike w:val="0"/>
          <w:dstrike w:val="0"/>
          <w:color w:val="auto"/>
          <w:sz w:val="28"/>
          <w:szCs w:val="28"/>
          <w:lang w:val="en-US" w:eastAsia="zh-CN"/>
        </w:rPr>
        <w:t>无</w:t>
      </w:r>
    </w:p>
    <w:p w14:paraId="361381A9">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2.公布数量限制的方式：</w:t>
      </w:r>
      <w:r>
        <w:rPr>
          <w:rFonts w:hint="eastAsia" w:ascii="方正仿宋_GBK" w:hAnsi="方正仿宋_GBK" w:eastAsia="方正仿宋_GBK" w:cs="方正仿宋_GBK"/>
          <w:b w:val="0"/>
          <w:bCs w:val="0"/>
          <w:strike w:val="0"/>
          <w:dstrike w:val="0"/>
          <w:color w:val="auto"/>
          <w:sz w:val="28"/>
          <w:szCs w:val="28"/>
          <w:lang w:val="en-US" w:eastAsia="zh-CN"/>
        </w:rPr>
        <w:t>无</w:t>
      </w:r>
    </w:p>
    <w:p w14:paraId="3AE3CF4D">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3.公布数量限制的周期：</w:t>
      </w:r>
      <w:r>
        <w:rPr>
          <w:rFonts w:hint="eastAsia" w:ascii="方正仿宋_GBK" w:hAnsi="方正仿宋_GBK" w:eastAsia="方正仿宋_GBK" w:cs="方正仿宋_GBK"/>
          <w:b w:val="0"/>
          <w:bCs w:val="0"/>
          <w:strike w:val="0"/>
          <w:dstrike w:val="0"/>
          <w:color w:val="auto"/>
          <w:sz w:val="28"/>
          <w:szCs w:val="28"/>
          <w:lang w:val="en-US" w:eastAsia="zh-CN"/>
        </w:rPr>
        <w:t>无</w:t>
      </w:r>
    </w:p>
    <w:p w14:paraId="1B91C69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4.在数量限制条件下实施行政许可的方式：</w:t>
      </w:r>
      <w:r>
        <w:rPr>
          <w:rFonts w:hint="eastAsia" w:ascii="方正仿宋_GBK" w:hAnsi="方正仿宋_GBK" w:eastAsia="方正仿宋_GBK" w:cs="方正仿宋_GBK"/>
          <w:b w:val="0"/>
          <w:bCs w:val="0"/>
          <w:strike w:val="0"/>
          <w:dstrike w:val="0"/>
          <w:color w:val="auto"/>
          <w:sz w:val="28"/>
          <w:szCs w:val="28"/>
          <w:lang w:val="en-US" w:eastAsia="zh-CN"/>
        </w:rPr>
        <w:t>无</w:t>
      </w:r>
    </w:p>
    <w:p w14:paraId="3C32451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jc w:val="left"/>
        <w:textAlignment w:val="auto"/>
        <w:outlineLvl w:val="9"/>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5.规定在数量限制条件下实施行政许可方式的依据</w:t>
      </w:r>
    </w:p>
    <w:p w14:paraId="4411C13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jc w:val="left"/>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无</w:t>
      </w:r>
    </w:p>
    <w:p w14:paraId="355D3014">
      <w:pPr>
        <w:keepNext w:val="0"/>
        <w:keepLines w:val="0"/>
        <w:pageBreakBefore w:val="0"/>
        <w:widowControl w:val="0"/>
        <w:numPr>
          <w:ilvl w:val="0"/>
          <w:numId w:val="1"/>
        </w:numPr>
        <w:kinsoku/>
        <w:wordWrap/>
        <w:overflowPunct/>
        <w:topLinePunct w:val="0"/>
        <w:autoSpaceDE/>
        <w:autoSpaceDN/>
        <w:bidi w:val="0"/>
        <w:adjustRightInd/>
        <w:snapToGrid/>
        <w:spacing w:line="540" w:lineRule="exact"/>
        <w:textAlignment w:val="auto"/>
        <w:outlineLvl w:val="1"/>
        <w:rPr>
          <w:rFonts w:hint="eastAsia"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行政许可后年检</w:t>
      </w:r>
    </w:p>
    <w:p w14:paraId="24CB45D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1.有无年检要求：</w:t>
      </w:r>
      <w:r>
        <w:rPr>
          <w:rFonts w:hint="eastAsia" w:ascii="方正仿宋_GBK" w:hAnsi="方正仿宋_GBK" w:eastAsia="方正仿宋_GBK" w:cs="方正仿宋_GBK"/>
          <w:b w:val="0"/>
          <w:bCs w:val="0"/>
          <w:strike w:val="0"/>
          <w:dstrike w:val="0"/>
          <w:color w:val="auto"/>
          <w:sz w:val="28"/>
          <w:szCs w:val="28"/>
          <w:lang w:val="en-US" w:eastAsia="zh-CN"/>
        </w:rPr>
        <w:t>无</w:t>
      </w:r>
    </w:p>
    <w:p w14:paraId="57580559">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2.设定年检要求的依据</w:t>
      </w:r>
    </w:p>
    <w:p w14:paraId="0A29C227">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eastAsia" w:ascii="Times New Roman" w:hAnsi="Times New Roman" w:eastAsia="仿宋GB2312" w:cs="Times New Roman"/>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无</w:t>
      </w:r>
    </w:p>
    <w:p w14:paraId="083A8BB5">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3.年检周期：</w:t>
      </w:r>
      <w:r>
        <w:rPr>
          <w:rFonts w:hint="eastAsia" w:ascii="方正仿宋_GBK" w:hAnsi="方正仿宋_GBK" w:eastAsia="方正仿宋_GBK" w:cs="方正仿宋_GBK"/>
          <w:b w:val="0"/>
          <w:bCs w:val="0"/>
          <w:strike w:val="0"/>
          <w:dstrike w:val="0"/>
          <w:color w:val="auto"/>
          <w:sz w:val="28"/>
          <w:szCs w:val="28"/>
          <w:lang w:val="en-US" w:eastAsia="zh-CN"/>
        </w:rPr>
        <w:t>无</w:t>
      </w:r>
    </w:p>
    <w:p w14:paraId="0D7A7E1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4.年检是否要求报送材料：</w:t>
      </w:r>
      <w:r>
        <w:rPr>
          <w:rFonts w:hint="eastAsia" w:ascii="方正仿宋_GBK" w:hAnsi="方正仿宋_GBK" w:eastAsia="方正仿宋_GBK" w:cs="方正仿宋_GBK"/>
          <w:b w:val="0"/>
          <w:bCs w:val="0"/>
          <w:strike w:val="0"/>
          <w:dstrike w:val="0"/>
          <w:color w:val="auto"/>
          <w:sz w:val="28"/>
          <w:szCs w:val="28"/>
          <w:lang w:val="en-US" w:eastAsia="zh-CN"/>
        </w:rPr>
        <w:t>无</w:t>
      </w:r>
    </w:p>
    <w:p w14:paraId="3E16077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5.年检报送材料名称：</w:t>
      </w:r>
      <w:r>
        <w:rPr>
          <w:rFonts w:hint="eastAsia" w:ascii="方正仿宋_GBK" w:hAnsi="方正仿宋_GBK" w:eastAsia="方正仿宋_GBK" w:cs="方正仿宋_GBK"/>
          <w:b w:val="0"/>
          <w:bCs w:val="0"/>
          <w:strike w:val="0"/>
          <w:dstrike w:val="0"/>
          <w:color w:val="auto"/>
          <w:sz w:val="28"/>
          <w:szCs w:val="28"/>
          <w:lang w:val="en-US" w:eastAsia="zh-CN"/>
        </w:rPr>
        <w:t>无</w:t>
      </w:r>
    </w:p>
    <w:p w14:paraId="4926E3A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6.年检是否收费：</w:t>
      </w:r>
      <w:r>
        <w:rPr>
          <w:rFonts w:hint="eastAsia" w:ascii="方正仿宋_GBK" w:hAnsi="方正仿宋_GBK" w:eastAsia="方正仿宋_GBK" w:cs="方正仿宋_GBK"/>
          <w:b w:val="0"/>
          <w:bCs w:val="0"/>
          <w:strike w:val="0"/>
          <w:dstrike w:val="0"/>
          <w:color w:val="auto"/>
          <w:sz w:val="28"/>
          <w:szCs w:val="28"/>
          <w:lang w:val="en-US" w:eastAsia="zh-CN"/>
        </w:rPr>
        <w:t>无</w:t>
      </w:r>
    </w:p>
    <w:p w14:paraId="237E692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7.年检收费项目的名称、年检收费项目的标准、设定年检收费项目的依据、规定年检项目收费标准的依据</w:t>
      </w:r>
    </w:p>
    <w:p w14:paraId="3F0580D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无</w:t>
      </w:r>
    </w:p>
    <w:p w14:paraId="4F2657AF">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8.通过年检的证明或者标志：</w:t>
      </w:r>
      <w:r>
        <w:rPr>
          <w:rFonts w:hint="eastAsia" w:ascii="方正仿宋_GBK" w:hAnsi="方正仿宋_GBK" w:eastAsia="方正仿宋_GBK" w:cs="方正仿宋_GBK"/>
          <w:b w:val="0"/>
          <w:bCs w:val="0"/>
          <w:strike w:val="0"/>
          <w:dstrike w:val="0"/>
          <w:color w:val="auto"/>
          <w:sz w:val="28"/>
          <w:szCs w:val="28"/>
          <w:lang w:val="en-US" w:eastAsia="zh-CN"/>
        </w:rPr>
        <w:t>无</w:t>
      </w:r>
    </w:p>
    <w:p w14:paraId="4FC820E7">
      <w:pPr>
        <w:keepNext w:val="0"/>
        <w:keepLines w:val="0"/>
        <w:pageBreakBefore w:val="0"/>
        <w:widowControl w:val="0"/>
        <w:numPr>
          <w:ilvl w:val="0"/>
          <w:numId w:val="1"/>
        </w:numPr>
        <w:kinsoku/>
        <w:wordWrap/>
        <w:overflowPunct/>
        <w:topLinePunct w:val="0"/>
        <w:autoSpaceDE/>
        <w:autoSpaceDN/>
        <w:bidi w:val="0"/>
        <w:adjustRightInd/>
        <w:snapToGrid/>
        <w:spacing w:line="540" w:lineRule="exact"/>
        <w:textAlignment w:val="auto"/>
        <w:outlineLvl w:val="1"/>
        <w:rPr>
          <w:rFonts w:hint="default"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行政许可后年报</w:t>
      </w:r>
    </w:p>
    <w:p w14:paraId="205DE62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w:t>
      </w:r>
      <w:r>
        <w:rPr>
          <w:rFonts w:hint="default" w:ascii="Times New Roman" w:hAnsi="Times New Roman" w:eastAsia="仿宋GB2312" w:cs="Times New Roman"/>
          <w:b/>
          <w:bCs/>
          <w:strike w:val="0"/>
          <w:dstrike w:val="0"/>
          <w:color w:val="auto"/>
          <w:sz w:val="28"/>
          <w:szCs w:val="28"/>
          <w:lang w:val="en-US" w:eastAsia="zh-CN"/>
        </w:rPr>
        <w:t>有无年报要求</w:t>
      </w:r>
      <w:r>
        <w:rPr>
          <w:rFonts w:hint="eastAsia" w:ascii="Times New Roman" w:hAnsi="Times New Roman" w:eastAsia="仿宋GB2312" w:cs="Times New Roman"/>
          <w:b/>
          <w:bCs/>
          <w:strike w:val="0"/>
          <w:dstrike w:val="0"/>
          <w:color w:val="auto"/>
          <w:sz w:val="28"/>
          <w:szCs w:val="28"/>
          <w:lang w:val="en-US" w:eastAsia="zh-CN"/>
        </w:rPr>
        <w:t>：</w:t>
      </w:r>
      <w:r>
        <w:rPr>
          <w:rFonts w:hint="eastAsia" w:ascii="方正仿宋_GBK" w:hAnsi="方正仿宋_GBK" w:eastAsia="方正仿宋_GBK" w:cs="方正仿宋_GBK"/>
          <w:b w:val="0"/>
          <w:bCs w:val="0"/>
          <w:strike w:val="0"/>
          <w:dstrike w:val="0"/>
          <w:color w:val="auto"/>
          <w:sz w:val="28"/>
          <w:szCs w:val="28"/>
          <w:lang w:val="en-US" w:eastAsia="zh-CN"/>
        </w:rPr>
        <w:t>无</w:t>
      </w:r>
    </w:p>
    <w:p w14:paraId="71775AF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2.</w:t>
      </w:r>
      <w:r>
        <w:rPr>
          <w:rFonts w:hint="default" w:ascii="Times New Roman" w:hAnsi="Times New Roman" w:eastAsia="仿宋GB2312" w:cs="Times New Roman"/>
          <w:b/>
          <w:bCs/>
          <w:strike w:val="0"/>
          <w:dstrike w:val="0"/>
          <w:color w:val="auto"/>
          <w:sz w:val="28"/>
          <w:szCs w:val="28"/>
          <w:lang w:val="en-US" w:eastAsia="zh-CN"/>
        </w:rPr>
        <w:t>年报报送材料名称</w:t>
      </w:r>
      <w:r>
        <w:rPr>
          <w:rFonts w:hint="eastAsia" w:ascii="Times New Roman" w:hAnsi="Times New Roman" w:eastAsia="仿宋GB2312" w:cs="Times New Roman"/>
          <w:b/>
          <w:bCs/>
          <w:strike w:val="0"/>
          <w:dstrike w:val="0"/>
          <w:color w:val="auto"/>
          <w:sz w:val="28"/>
          <w:szCs w:val="28"/>
          <w:lang w:val="en-US" w:eastAsia="zh-CN"/>
        </w:rPr>
        <w:t>：</w:t>
      </w:r>
      <w:r>
        <w:rPr>
          <w:rFonts w:hint="eastAsia" w:ascii="方正仿宋_GBK" w:hAnsi="方正仿宋_GBK" w:eastAsia="方正仿宋_GBK" w:cs="方正仿宋_GBK"/>
          <w:b w:val="0"/>
          <w:bCs w:val="0"/>
          <w:strike w:val="0"/>
          <w:dstrike w:val="0"/>
          <w:color w:val="auto"/>
          <w:sz w:val="28"/>
          <w:szCs w:val="28"/>
          <w:lang w:val="en-US" w:eastAsia="zh-CN"/>
        </w:rPr>
        <w:t>无</w:t>
      </w:r>
    </w:p>
    <w:p w14:paraId="0BFCBF24">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3.</w:t>
      </w:r>
      <w:r>
        <w:rPr>
          <w:rFonts w:hint="default" w:ascii="Times New Roman" w:hAnsi="Times New Roman" w:eastAsia="仿宋GB2312" w:cs="Times New Roman"/>
          <w:b/>
          <w:bCs/>
          <w:strike w:val="0"/>
          <w:dstrike w:val="0"/>
          <w:color w:val="auto"/>
          <w:sz w:val="28"/>
          <w:szCs w:val="28"/>
          <w:lang w:val="en-US" w:eastAsia="zh-CN"/>
        </w:rPr>
        <w:t>设定年报要求的依据</w:t>
      </w:r>
    </w:p>
    <w:p w14:paraId="68367698">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无</w:t>
      </w:r>
    </w:p>
    <w:p w14:paraId="5B63423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4.</w:t>
      </w:r>
      <w:r>
        <w:rPr>
          <w:rFonts w:hint="default" w:ascii="Times New Roman" w:hAnsi="Times New Roman" w:eastAsia="仿宋GB2312" w:cs="Times New Roman"/>
          <w:b/>
          <w:bCs/>
          <w:strike w:val="0"/>
          <w:dstrike w:val="0"/>
          <w:color w:val="auto"/>
          <w:sz w:val="28"/>
          <w:szCs w:val="28"/>
          <w:lang w:val="en-US" w:eastAsia="zh-CN"/>
        </w:rPr>
        <w:t>年报周期</w:t>
      </w:r>
      <w:r>
        <w:rPr>
          <w:rFonts w:hint="eastAsia" w:ascii="Times New Roman" w:hAnsi="Times New Roman" w:eastAsia="仿宋GB2312" w:cs="Times New Roman"/>
          <w:b/>
          <w:bCs/>
          <w:strike w:val="0"/>
          <w:dstrike w:val="0"/>
          <w:color w:val="auto"/>
          <w:sz w:val="28"/>
          <w:szCs w:val="28"/>
          <w:lang w:val="en-US" w:eastAsia="zh-CN"/>
        </w:rPr>
        <w:t>：</w:t>
      </w:r>
      <w:r>
        <w:rPr>
          <w:rFonts w:hint="eastAsia" w:ascii="方正仿宋_GBK" w:hAnsi="方正仿宋_GBK" w:eastAsia="方正仿宋_GBK" w:cs="方正仿宋_GBK"/>
          <w:b w:val="0"/>
          <w:bCs w:val="0"/>
          <w:strike w:val="0"/>
          <w:dstrike w:val="0"/>
          <w:color w:val="auto"/>
          <w:sz w:val="28"/>
          <w:szCs w:val="28"/>
          <w:lang w:val="en-US" w:eastAsia="zh-CN"/>
        </w:rPr>
        <w:t>无</w:t>
      </w:r>
    </w:p>
    <w:p w14:paraId="71793C7A">
      <w:pPr>
        <w:keepNext w:val="0"/>
        <w:keepLines w:val="0"/>
        <w:pageBreakBefore w:val="0"/>
        <w:widowControl w:val="0"/>
        <w:numPr>
          <w:ilvl w:val="0"/>
          <w:numId w:val="1"/>
        </w:numPr>
        <w:kinsoku/>
        <w:wordWrap/>
        <w:overflowPunct/>
        <w:topLinePunct w:val="0"/>
        <w:autoSpaceDE/>
        <w:autoSpaceDN/>
        <w:bidi w:val="0"/>
        <w:adjustRightInd/>
        <w:snapToGrid/>
        <w:spacing w:line="540" w:lineRule="exact"/>
        <w:textAlignment w:val="auto"/>
        <w:outlineLvl w:val="1"/>
        <w:rPr>
          <w:rFonts w:hint="default" w:ascii="Times New Roman" w:hAnsi="Times New Roman" w:eastAsia="黑体" w:cs="Times New Roman"/>
          <w:b w:val="0"/>
          <w:bCs w:val="0"/>
          <w:strike w:val="0"/>
          <w:dstrike w:val="0"/>
          <w:color w:val="auto"/>
          <w:sz w:val="28"/>
          <w:szCs w:val="28"/>
          <w:highlight w:val="none"/>
          <w:lang w:val="en-US" w:eastAsia="zh-CN"/>
        </w:rPr>
      </w:pPr>
      <w:r>
        <w:rPr>
          <w:rFonts w:hint="eastAsia" w:ascii="Times New Roman" w:hAnsi="Times New Roman" w:eastAsia="黑体" w:cs="Times New Roman"/>
          <w:b w:val="0"/>
          <w:bCs w:val="0"/>
          <w:strike w:val="0"/>
          <w:dstrike w:val="0"/>
          <w:color w:val="auto"/>
          <w:sz w:val="28"/>
          <w:szCs w:val="28"/>
          <w:highlight w:val="none"/>
          <w:lang w:val="en-US" w:eastAsia="zh-CN"/>
        </w:rPr>
        <w:t>监管主体</w:t>
      </w:r>
    </w:p>
    <w:p w14:paraId="70887D2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default"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县发展改革局</w:t>
      </w:r>
    </w:p>
    <w:p w14:paraId="49439DC4">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Times New Roman" w:hAnsi="Times New Roman" w:eastAsia="黑体" w:cs="Times New Roman"/>
          <w:b w:val="0"/>
          <w:bCs w:val="0"/>
          <w:strike w:val="0"/>
          <w:dstrike w:val="0"/>
          <w:color w:val="auto"/>
          <w:sz w:val="28"/>
          <w:szCs w:val="28"/>
          <w:highlight w:val="none"/>
          <w:lang w:val="en-US" w:eastAsia="zh-CN"/>
        </w:rPr>
      </w:pPr>
      <w:r>
        <w:rPr>
          <w:rFonts w:hint="eastAsia" w:ascii="Times New Roman" w:hAnsi="Times New Roman" w:eastAsia="黑体" w:cs="Times New Roman"/>
          <w:b w:val="0"/>
          <w:bCs w:val="0"/>
          <w:strike w:val="0"/>
          <w:dstrike w:val="0"/>
          <w:color w:val="auto"/>
          <w:sz w:val="28"/>
          <w:szCs w:val="28"/>
          <w:highlight w:val="none"/>
          <w:lang w:val="en-US" w:eastAsia="zh-CN"/>
        </w:rPr>
        <w:t>十五、备注</w:t>
      </w:r>
    </w:p>
    <w:p w14:paraId="6CC1C4C2"/>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书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A00002BF" w:usb1="38CF7CFA" w:usb2="00082016" w:usb3="00000000" w:csb0="00040001" w:csb1="00000000"/>
  </w:font>
  <w:font w:name="方正楷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仿宋GB2312">
    <w:altName w:val="方正仿宋_GBK"/>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A33AE4">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2CF5B86">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02CF5B86">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F30B91"/>
    <w:multiLevelType w:val="singleLevel"/>
    <w:tmpl w:val="EFF30B91"/>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M1YWU3MGZiYzRkMDNiM2QzYzIzODUwMzQwNTVlNTIifQ=="/>
  </w:docVars>
  <w:rsids>
    <w:rsidRoot w:val="70DE594B"/>
    <w:rsid w:val="1E6A4663"/>
    <w:rsid w:val="21AB4CF5"/>
    <w:rsid w:val="293D6BFB"/>
    <w:rsid w:val="2DD6025F"/>
    <w:rsid w:val="32DD2A8A"/>
    <w:rsid w:val="389205E6"/>
    <w:rsid w:val="419D4283"/>
    <w:rsid w:val="41C72EE8"/>
    <w:rsid w:val="5DDB7513"/>
    <w:rsid w:val="5E800D5D"/>
    <w:rsid w:val="5FFF5CB2"/>
    <w:rsid w:val="5FFFF1FC"/>
    <w:rsid w:val="6E3B25AB"/>
    <w:rsid w:val="70DE594B"/>
    <w:rsid w:val="78A76E49"/>
    <w:rsid w:val="7BED1DB5"/>
    <w:rsid w:val="7F7C38D3"/>
    <w:rsid w:val="7FDFEDFC"/>
    <w:rsid w:val="7FE7C5EF"/>
    <w:rsid w:val="7FF7303D"/>
    <w:rsid w:val="8FBD38A2"/>
    <w:rsid w:val="B7FF6C73"/>
    <w:rsid w:val="C7731367"/>
    <w:rsid w:val="D8F6B01A"/>
    <w:rsid w:val="E2BB63FA"/>
    <w:rsid w:val="F7DEDA1B"/>
    <w:rsid w:val="FD7C7547"/>
    <w:rsid w:val="FDFB7637"/>
    <w:rsid w:val="FF7FAFF0"/>
    <w:rsid w:val="FFED4B17"/>
    <w:rsid w:val="FFFDF7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玉溪市新平县党政机关单位</Company>
  <Pages>9</Pages>
  <Words>0</Words>
  <Characters>0</Characters>
  <Lines>0</Lines>
  <Paragraphs>0</Paragraphs>
  <TotalTime>0</TotalTime>
  <ScaleCrop>false</ScaleCrop>
  <LinksUpToDate>false</LinksUpToDate>
  <CharactersWithSpaces>0</CharactersWithSpaces>
  <Application>WPS Office_12.8.2.17863_F1E327BC-269C-435d-A152-05C5408002CA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2023-09-24T18:59:00Z</dcterms:created>
  <dc:creator>杨润</dc:creator>
  <cp:lastModifiedBy>user</cp:lastModifiedBy>
  <dcterms:modified xsi:type="dcterms:W3CDTF">2026-03-18T17:03:52Z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2052-12.8.2.17863</vt:lpwstr>
  </property>
  <property fmtid="{D5CDD505-2E9C-101B-9397-08002B2CF9AE}" pid="3" name="ICV">
    <vt:lpwstr>D8892C81D91375C5E461BA69178AAE4E_43</vt:lpwstr>
  </property>
</Properties>
</file>