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新平彦祥汽车租赁有限公司：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04D36624C89E4CA7BAC1A7F913ACB535_13</vt:lpwstr>
  </property>
</Properties>
</file>