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云南晏周商贸有限公司：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DF43970"/>
    <w:rsid w:val="0E8F15F0"/>
    <w:rsid w:val="0EB55FAD"/>
    <w:rsid w:val="0F46111F"/>
    <w:rsid w:val="11DE1CDD"/>
    <w:rsid w:val="126357B9"/>
    <w:rsid w:val="16B87951"/>
    <w:rsid w:val="16BA2E55"/>
    <w:rsid w:val="17142269"/>
    <w:rsid w:val="17633E5A"/>
    <w:rsid w:val="182511AD"/>
    <w:rsid w:val="182746B0"/>
    <w:rsid w:val="19C575D4"/>
    <w:rsid w:val="1A8C739D"/>
    <w:rsid w:val="1A980C31"/>
    <w:rsid w:val="1B132AFA"/>
    <w:rsid w:val="1B9A3CD7"/>
    <w:rsid w:val="205C42A5"/>
    <w:rsid w:val="211F1DE5"/>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0216D5A741E64FCF92130408BCC0AA94_13</vt:lpwstr>
  </property>
</Properties>
</file>