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4B1BE2">
      <w:pPr>
        <w:rPr>
          <w:color w:val="auto"/>
        </w:rPr>
      </w:pPr>
      <w:bookmarkStart w:id="186" w:name="_GoBack"/>
      <w:bookmarkEnd w:id="186"/>
    </w:p>
    <w:p w14:paraId="6F56237A">
      <w:pPr>
        <w:rPr>
          <w:color w:val="auto"/>
        </w:rPr>
      </w:pPr>
    </w:p>
    <w:p w14:paraId="74B1CF6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Calibri" w:hAnsi="Calibri" w:eastAsia="方正小标宋_GBK" w:cs="方正小标宋_GBK"/>
          <w:b/>
          <w:bCs/>
          <w:spacing w:val="0"/>
          <w:sz w:val="44"/>
          <w:szCs w:val="44"/>
        </w:rPr>
      </w:pPr>
      <w:r>
        <w:rPr>
          <w:rFonts w:hint="default" w:ascii="Calibri" w:hAnsi="Calibri" w:eastAsia="方正小标宋_GBK" w:cs="方正小标宋_GBK"/>
          <w:b/>
          <w:bCs/>
          <w:spacing w:val="0"/>
          <w:sz w:val="44"/>
          <w:szCs w:val="44"/>
        </w:rPr>
        <w:t>新平彝族傣族自治县</w:t>
      </w:r>
    </w:p>
    <w:p w14:paraId="46002B5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Calibri" w:hAnsi="Calibri" w:eastAsia="方正小标宋_GBK" w:cs="方正小标宋_GBK"/>
          <w:b/>
          <w:bCs/>
          <w:spacing w:val="0"/>
          <w:sz w:val="44"/>
          <w:szCs w:val="44"/>
          <w:lang w:eastAsia="zh-CN"/>
        </w:rPr>
      </w:pPr>
      <w:r>
        <w:rPr>
          <w:rFonts w:hint="default" w:ascii="Calibri" w:hAnsi="Calibri" w:eastAsia="方正小标宋_GBK" w:cs="方正小标宋_GBK"/>
          <w:b/>
          <w:bCs/>
          <w:spacing w:val="0"/>
          <w:sz w:val="44"/>
          <w:szCs w:val="44"/>
        </w:rPr>
        <w:t>国民经济和社会发展第十四个五年规划</w:t>
      </w:r>
      <w:r>
        <w:rPr>
          <w:rFonts w:hint="default" w:ascii="Calibri" w:hAnsi="Calibri" w:eastAsia="方正小标宋_GBK" w:cs="方正小标宋_GBK"/>
          <w:b/>
          <w:bCs/>
          <w:spacing w:val="0"/>
          <w:sz w:val="44"/>
          <w:szCs w:val="44"/>
          <w:lang w:eastAsia="zh-CN"/>
        </w:rPr>
        <w:t>和二〇三五年远景目标</w:t>
      </w:r>
    </w:p>
    <w:p w14:paraId="4B57E2A2">
      <w:pPr>
        <w:pStyle w:val="3"/>
        <w:rPr>
          <w:rFonts w:hint="default" w:ascii="Calibri" w:hAnsi="Calibri" w:eastAsia="方正小标宋_GBK" w:cs="方正小标宋_GBK"/>
          <w:b/>
          <w:bCs/>
          <w:spacing w:val="0"/>
          <w:sz w:val="44"/>
          <w:szCs w:val="44"/>
          <w:lang w:eastAsia="zh-CN"/>
        </w:rPr>
      </w:pPr>
    </w:p>
    <w:p w14:paraId="328467CB">
      <w:pPr>
        <w:rPr>
          <w:rFonts w:hint="default" w:ascii="Calibri" w:hAnsi="Calibri" w:eastAsia="方正小标宋_GBK" w:cs="方正小标宋_GBK"/>
          <w:b/>
          <w:bCs/>
          <w:spacing w:val="0"/>
          <w:sz w:val="44"/>
          <w:szCs w:val="44"/>
          <w:lang w:eastAsia="zh-CN"/>
        </w:rPr>
      </w:pPr>
    </w:p>
    <w:p w14:paraId="218C9A45">
      <w:pPr>
        <w:pStyle w:val="3"/>
        <w:rPr>
          <w:rFonts w:hint="default"/>
          <w:lang w:eastAsia="zh-CN"/>
        </w:rPr>
      </w:pPr>
    </w:p>
    <w:p w14:paraId="7598EC0E">
      <w:pPr>
        <w:spacing w:line="240" w:lineRule="auto"/>
        <w:ind w:firstLine="0" w:firstLineChars="0"/>
        <w:jc w:val="center"/>
        <w:rPr>
          <w:rFonts w:hint="default" w:ascii="Calibri" w:hAnsi="Calibri" w:eastAsia="方正小标宋_GBK" w:cs="方正小标宋_GBK"/>
          <w:b/>
          <w:bCs/>
          <w:spacing w:val="0"/>
          <w:sz w:val="72"/>
          <w:szCs w:val="72"/>
        </w:rPr>
      </w:pPr>
      <w:r>
        <w:rPr>
          <w:rFonts w:hint="default" w:ascii="Calibri" w:hAnsi="Calibri" w:eastAsia="方正小标宋_GBK" w:cs="方正小标宋_GBK"/>
          <w:b/>
          <w:bCs/>
          <w:spacing w:val="0"/>
          <w:sz w:val="72"/>
          <w:szCs w:val="72"/>
        </w:rPr>
        <w:t>纲</w:t>
      </w:r>
    </w:p>
    <w:p w14:paraId="3C0F6C70">
      <w:pPr>
        <w:pStyle w:val="3"/>
        <w:rPr>
          <w:rFonts w:hint="default" w:ascii="Calibri" w:hAnsi="Calibri" w:eastAsia="方正小标宋_GBK" w:cs="方正小标宋_GBK"/>
          <w:b/>
          <w:bCs/>
          <w:spacing w:val="0"/>
          <w:sz w:val="72"/>
          <w:szCs w:val="72"/>
        </w:rPr>
      </w:pPr>
    </w:p>
    <w:p w14:paraId="7550D2D2">
      <w:pPr>
        <w:rPr>
          <w:rFonts w:hint="default" w:ascii="Calibri" w:hAnsi="Calibri" w:eastAsia="方正小标宋_GBK" w:cs="方正小标宋_GBK"/>
          <w:b/>
          <w:bCs/>
          <w:spacing w:val="0"/>
          <w:sz w:val="72"/>
          <w:szCs w:val="72"/>
        </w:rPr>
      </w:pPr>
    </w:p>
    <w:p w14:paraId="377C1016">
      <w:pPr>
        <w:pStyle w:val="3"/>
        <w:rPr>
          <w:rFonts w:hint="default"/>
        </w:rPr>
      </w:pPr>
    </w:p>
    <w:p w14:paraId="58E35168">
      <w:pPr>
        <w:spacing w:line="240" w:lineRule="auto"/>
        <w:ind w:firstLine="0" w:firstLineChars="0"/>
        <w:jc w:val="center"/>
        <w:rPr>
          <w:rFonts w:hint="default" w:ascii="Calibri" w:hAnsi="Calibri" w:eastAsia="方正小标宋_GBK" w:cs="方正小标宋_GBK"/>
          <w:b/>
          <w:bCs/>
          <w:spacing w:val="0"/>
          <w:sz w:val="72"/>
          <w:szCs w:val="72"/>
        </w:rPr>
      </w:pPr>
      <w:r>
        <w:rPr>
          <w:rFonts w:hint="default" w:ascii="Calibri" w:hAnsi="Calibri" w:eastAsia="方正小标宋_GBK" w:cs="方正小标宋_GBK"/>
          <w:b/>
          <w:bCs/>
          <w:spacing w:val="0"/>
          <w:sz w:val="72"/>
          <w:szCs w:val="72"/>
        </w:rPr>
        <w:t>要</w:t>
      </w:r>
    </w:p>
    <w:p w14:paraId="20018DB4">
      <w:pPr>
        <w:pStyle w:val="3"/>
        <w:rPr>
          <w:rFonts w:hint="eastAsia"/>
          <w:lang w:eastAsia="zh-CN"/>
        </w:rPr>
      </w:pPr>
    </w:p>
    <w:p w14:paraId="30941DF4">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eastAsia="方正楷体_GBK" w:cs="Times New Roman"/>
          <w:b/>
          <w:bCs/>
          <w:color w:val="auto"/>
          <w:spacing w:val="11"/>
          <w:sz w:val="36"/>
          <w:szCs w:val="36"/>
          <w:lang w:bidi="ar"/>
        </w:rPr>
      </w:pPr>
    </w:p>
    <w:p w14:paraId="5059CBEC">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color w:val="auto"/>
        </w:rPr>
      </w:pPr>
    </w:p>
    <w:p w14:paraId="4F8C18A6">
      <w:pPr>
        <w:keepNext w:val="0"/>
        <w:keepLines w:val="0"/>
        <w:pageBreakBefore w:val="0"/>
        <w:widowControl/>
        <w:kinsoku/>
        <w:wordWrap/>
        <w:overflowPunct/>
        <w:topLinePunct w:val="0"/>
        <w:autoSpaceDE/>
        <w:autoSpaceDN/>
        <w:bidi w:val="0"/>
        <w:adjustRightInd/>
        <w:snapToGrid/>
        <w:spacing w:line="560" w:lineRule="exact"/>
        <w:ind w:firstLine="767"/>
        <w:jc w:val="center"/>
        <w:textAlignment w:val="auto"/>
        <w:rPr>
          <w:rFonts w:hint="default" w:ascii="Times New Roman" w:hAnsi="Times New Roman" w:eastAsia="方正楷体_GBK" w:cs="Times New Roman"/>
          <w:b/>
          <w:bCs/>
          <w:color w:val="auto"/>
          <w:spacing w:val="11"/>
          <w:sz w:val="36"/>
          <w:szCs w:val="36"/>
          <w:lang w:eastAsia="zh-CN" w:bidi="ar"/>
        </w:rPr>
      </w:pPr>
      <w:r>
        <w:rPr>
          <w:rFonts w:hint="default" w:ascii="Times New Roman" w:hAnsi="Times New Roman" w:eastAsia="方正楷体_GBK" w:cs="Times New Roman"/>
          <w:b/>
          <w:bCs/>
          <w:color w:val="auto"/>
          <w:spacing w:val="11"/>
          <w:sz w:val="36"/>
          <w:szCs w:val="36"/>
          <w:lang w:eastAsia="zh-CN" w:bidi="ar"/>
        </w:rPr>
        <w:t>新平彝族傣族自治县人民政府</w:t>
      </w:r>
    </w:p>
    <w:p w14:paraId="73DD610D">
      <w:pPr>
        <w:keepNext w:val="0"/>
        <w:keepLines w:val="0"/>
        <w:pageBreakBefore w:val="0"/>
        <w:widowControl/>
        <w:kinsoku/>
        <w:wordWrap/>
        <w:overflowPunct/>
        <w:topLinePunct w:val="0"/>
        <w:autoSpaceDE/>
        <w:autoSpaceDN/>
        <w:bidi w:val="0"/>
        <w:adjustRightInd/>
        <w:snapToGrid/>
        <w:spacing w:line="560" w:lineRule="exact"/>
        <w:ind w:firstLine="767"/>
        <w:jc w:val="center"/>
        <w:textAlignment w:val="auto"/>
        <w:rPr>
          <w:rFonts w:hint="default" w:ascii="Times New Roman" w:hAnsi="Times New Roman" w:eastAsia="方正楷体_GBK" w:cs="Times New Roman"/>
          <w:b/>
          <w:bCs/>
          <w:color w:val="auto"/>
          <w:spacing w:val="11"/>
          <w:sz w:val="36"/>
          <w:szCs w:val="36"/>
          <w:lang w:bidi="ar"/>
        </w:rPr>
      </w:pPr>
      <w:r>
        <w:rPr>
          <w:rFonts w:hint="default" w:ascii="Times New Roman" w:hAnsi="Times New Roman" w:eastAsia="方正楷体_GBK" w:cs="Times New Roman"/>
          <w:b/>
          <w:bCs/>
          <w:color w:val="auto"/>
          <w:spacing w:val="11"/>
          <w:sz w:val="36"/>
          <w:szCs w:val="36"/>
          <w:lang w:bidi="ar"/>
        </w:rPr>
        <w:t>202</w:t>
      </w:r>
      <w:r>
        <w:rPr>
          <w:rFonts w:hint="default" w:ascii="Times New Roman" w:hAnsi="Times New Roman" w:eastAsia="方正楷体_GBK" w:cs="Times New Roman"/>
          <w:b/>
          <w:bCs/>
          <w:color w:val="auto"/>
          <w:spacing w:val="11"/>
          <w:sz w:val="36"/>
          <w:szCs w:val="36"/>
          <w:lang w:val="en-US" w:eastAsia="zh-CN" w:bidi="ar"/>
        </w:rPr>
        <w:t>1</w:t>
      </w:r>
      <w:r>
        <w:rPr>
          <w:rFonts w:hint="default" w:ascii="Times New Roman" w:hAnsi="Times New Roman" w:eastAsia="方正楷体_GBK" w:cs="Times New Roman"/>
          <w:b/>
          <w:bCs/>
          <w:color w:val="auto"/>
          <w:spacing w:val="11"/>
          <w:sz w:val="36"/>
          <w:szCs w:val="36"/>
          <w:lang w:bidi="ar"/>
        </w:rPr>
        <w:t>年</w:t>
      </w:r>
      <w:r>
        <w:rPr>
          <w:rFonts w:hint="eastAsia" w:eastAsia="方正楷体_GBK" w:cs="Times New Roman"/>
          <w:b/>
          <w:bCs/>
          <w:color w:val="auto"/>
          <w:spacing w:val="11"/>
          <w:sz w:val="36"/>
          <w:szCs w:val="36"/>
          <w:lang w:val="en-US" w:eastAsia="zh-CN" w:bidi="ar"/>
        </w:rPr>
        <w:t>3</w:t>
      </w:r>
      <w:r>
        <w:rPr>
          <w:rFonts w:hint="default" w:ascii="Times New Roman" w:hAnsi="Times New Roman" w:eastAsia="方正楷体_GBK" w:cs="Times New Roman"/>
          <w:b/>
          <w:bCs/>
          <w:color w:val="auto"/>
          <w:spacing w:val="11"/>
          <w:sz w:val="36"/>
          <w:szCs w:val="36"/>
          <w:lang w:bidi="ar"/>
        </w:rPr>
        <w:t>月</w:t>
      </w:r>
    </w:p>
    <w:p w14:paraId="4790EB59">
      <w:pPr>
        <w:ind w:left="0" w:leftChars="0" w:firstLine="0" w:firstLineChars="0"/>
        <w:rPr>
          <w:rFonts w:hint="default" w:ascii="Times New Roman" w:hAnsi="Times New Roman" w:cs="Times New Roman"/>
          <w:color w:val="auto"/>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4680700D">
      <w:pPr>
        <w:pStyle w:val="14"/>
        <w:pageBreakBefore w:val="0"/>
        <w:widowControl w:val="0"/>
        <w:tabs>
          <w:tab w:val="right" w:leader="dot" w:pos="8306"/>
        </w:tabs>
        <w:kinsoku/>
        <w:wordWrap/>
        <w:overflowPunct/>
        <w:topLinePunct w:val="0"/>
        <w:autoSpaceDN/>
        <w:bidi w:val="0"/>
        <w:spacing w:line="540" w:lineRule="exact"/>
        <w:ind w:firstLine="0" w:firstLineChars="0"/>
        <w:jc w:val="center"/>
        <w:rPr>
          <w:rFonts w:hint="eastAsia" w:ascii="黑体" w:hAnsi="黑体" w:eastAsia="黑体" w:cs="黑体"/>
          <w:color w:val="auto"/>
          <w:spacing w:val="0"/>
          <w:sz w:val="32"/>
          <w:szCs w:val="32"/>
        </w:rPr>
      </w:pPr>
      <w:r>
        <w:rPr>
          <w:rFonts w:hint="eastAsia" w:ascii="黑体" w:hAnsi="黑体" w:eastAsia="黑体" w:cs="黑体"/>
          <w:b/>
          <w:bCs/>
          <w:color w:val="auto"/>
          <w:spacing w:val="0"/>
          <w:sz w:val="32"/>
          <w:szCs w:val="32"/>
          <w:shd w:val="clear" w:color="auto" w:fill="FFFFFF"/>
          <w:lang w:bidi="ar"/>
        </w:rPr>
        <w:t>目  录</w:t>
      </w:r>
    </w:p>
    <w:p w14:paraId="5103B968">
      <w:pPr>
        <w:pStyle w:val="14"/>
        <w:tabs>
          <w:tab w:val="right" w:leader="dot" w:pos="8732"/>
        </w:tabs>
        <w:rPr>
          <w:rFonts w:hint="eastAsia" w:ascii="仿宋_GB2312" w:hAnsi="仿宋_GB2312" w:eastAsia="仿宋_GB2312" w:cs="仿宋_GB2312"/>
          <w:sz w:val="30"/>
          <w:szCs w:val="30"/>
        </w:rPr>
      </w:pPr>
      <w:r>
        <w:rPr>
          <w:rFonts w:hint="eastAsia" w:ascii="Times New Roman" w:hAnsi="Times New Roman" w:eastAsia="仿宋_GB2312" w:cs="Times New Roman"/>
          <w:b/>
          <w:bCs/>
          <w:color w:val="000000" w:themeColor="text1"/>
          <w:spacing w:val="0"/>
          <w:sz w:val="32"/>
          <w:szCs w:val="32"/>
          <w:shd w:val="clear" w:color="auto" w:fill="FFFFFF"/>
          <w:lang w:bidi="ar"/>
          <w14:textFill>
            <w14:solidFill>
              <w14:schemeClr w14:val="tx1"/>
            </w14:solidFill>
          </w14:textFill>
        </w:rPr>
        <w:fldChar w:fldCharType="begin"/>
      </w:r>
      <w:r>
        <w:rPr>
          <w:rFonts w:hint="eastAsia" w:ascii="Times New Roman" w:hAnsi="Times New Roman" w:eastAsia="仿宋_GB2312" w:cs="Times New Roman"/>
          <w:b/>
          <w:bCs/>
          <w:color w:val="000000" w:themeColor="text1"/>
          <w:spacing w:val="0"/>
          <w:sz w:val="32"/>
          <w:szCs w:val="32"/>
          <w:shd w:val="clear" w:color="auto" w:fill="FFFFFF"/>
          <w:lang w:bidi="ar"/>
          <w14:textFill>
            <w14:solidFill>
              <w14:schemeClr w14:val="tx1"/>
            </w14:solidFill>
          </w14:textFill>
        </w:rPr>
        <w:instrText xml:space="preserve">TOC \o "1-2" \h \u </w:instrText>
      </w:r>
      <w:r>
        <w:rPr>
          <w:rFonts w:hint="eastAsia" w:ascii="Times New Roman" w:hAnsi="Times New Roman" w:eastAsia="仿宋_GB2312" w:cs="Times New Roman"/>
          <w:b/>
          <w:bCs/>
          <w:color w:val="000000" w:themeColor="text1"/>
          <w:spacing w:val="0"/>
          <w:sz w:val="32"/>
          <w:szCs w:val="32"/>
          <w:shd w:val="clear" w:color="auto" w:fill="FFFFFF"/>
          <w:lang w:bidi="ar"/>
          <w14:textFill>
            <w14:solidFill>
              <w14:schemeClr w14:val="tx1"/>
            </w14:solidFill>
          </w14:textFill>
        </w:rPr>
        <w:fldChar w:fldCharType="separate"/>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_Toc18268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rPr>
        <w:t>前  言</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_Toc18268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1</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1D7FDE4A">
      <w:pPr>
        <w:pStyle w:val="14"/>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_Toc11715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rPr>
        <w:t>第一章  发展基础与环境</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_Toc11715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2</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76D6D330">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_Toc330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第一节  全面建成小康社会</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_Toc330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1628F5CE">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_Toc16501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第二节  发展环境</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_Toc16501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493EA0A4">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_Toc11236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lang w:val="en-US" w:eastAsia="zh-CN"/>
        </w:rPr>
        <w:t>第二章  总体思路</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_Toc11236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13</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3E958060">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_Toc11315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第一节  指导思想</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_Toc11315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606B026D">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_Toc27421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第二节  基本原则</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_Toc27421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0DB36866">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_Toc6095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第三节  发展思路</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_Toc6095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15</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2EB8E5C2">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_Toc6809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第四节  规划目标</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_Toc6809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752F62C0">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_Toc26633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第五节  远景展望</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_Toc26633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6EC667F5">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_Toc27909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lang w:val="en-US" w:eastAsia="zh-CN"/>
        </w:rPr>
        <w:t>第三章  优化生产力空间布局，拓展高质量发展新空间</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_Toc27909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22</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1B763830">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_Toc2588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第一节  统筹国土空间开发保护格局</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_Toc2588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30E49EC9">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_Toc4837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第二节  优化生产力</w:t>
      </w:r>
      <w:r>
        <w:rPr>
          <w:rFonts w:hint="eastAsia" w:ascii="仿宋_GB2312" w:hAnsi="仿宋_GB2312" w:eastAsia="仿宋_GB2312" w:cs="仿宋_GB2312"/>
          <w:bCs w:val="0"/>
          <w:spacing w:val="0"/>
          <w:sz w:val="30"/>
          <w:szCs w:val="30"/>
          <w:lang w:val="en-US" w:eastAsia="zh-CN"/>
        </w:rPr>
        <w:t>空间</w:t>
      </w:r>
      <w:r>
        <w:rPr>
          <w:rFonts w:hint="eastAsia" w:ascii="仿宋_GB2312" w:hAnsi="仿宋_GB2312" w:eastAsia="仿宋_GB2312" w:cs="仿宋_GB2312"/>
          <w:bCs w:val="0"/>
          <w:spacing w:val="0"/>
          <w:sz w:val="30"/>
          <w:szCs w:val="30"/>
        </w:rPr>
        <w:t>布局</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_Toc4837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25</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28F1F1C0">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_Toc27600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第三节  构建区域协调发展格局</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_Toc27600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68229C9C">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_Toc3310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lang w:val="en-US" w:eastAsia="zh-CN"/>
        </w:rPr>
        <w:t>第四章  坚持融合发展，培育高质量发展新动能</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_Toc3310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30</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34CCF29A">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_Toc21735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第一节  打造云南绿色</w:t>
      </w:r>
      <w:r>
        <w:rPr>
          <w:rFonts w:hint="eastAsia" w:ascii="仿宋_GB2312" w:hAnsi="仿宋_GB2312" w:eastAsia="仿宋_GB2312" w:cs="仿宋_GB2312"/>
          <w:bCs w:val="0"/>
          <w:spacing w:val="0"/>
          <w:sz w:val="30"/>
          <w:szCs w:val="30"/>
          <w:highlight w:val="none"/>
          <w:lang w:val="en-US" w:eastAsia="zh-CN"/>
        </w:rPr>
        <w:t>矿冶</w:t>
      </w:r>
      <w:r>
        <w:rPr>
          <w:rFonts w:hint="eastAsia" w:ascii="仿宋_GB2312" w:hAnsi="仿宋_GB2312" w:eastAsia="仿宋_GB2312" w:cs="仿宋_GB2312"/>
          <w:bCs w:val="0"/>
          <w:spacing w:val="0"/>
          <w:sz w:val="30"/>
          <w:szCs w:val="30"/>
          <w:lang w:val="en-US" w:eastAsia="zh-CN"/>
        </w:rPr>
        <w:t>集聚区</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_Toc21735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30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37290C1D">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_Toc11825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第二节  打造云南高原特色现代农业示范区</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_Toc11825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34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1B40233C">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_Toc13600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第三节  打造中国花腰傣文化旅游目的地</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_Toc13600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39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08A90F8D">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_Toc13473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第四节  加快发展现代服务业</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_Toc13473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43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328A00AA">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_Toc21284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第五节  强化产业发展支撑</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_Toc21284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46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1C1A762C">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_Toc21174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w:t>
      </w:r>
      <w:r>
        <w:rPr>
          <w:rFonts w:hint="eastAsia" w:ascii="仿宋_GB2312" w:hAnsi="仿宋_GB2312" w:eastAsia="仿宋_GB2312" w:cs="仿宋_GB2312"/>
          <w:bCs w:val="0"/>
          <w:spacing w:val="0"/>
          <w:sz w:val="30"/>
          <w:szCs w:val="30"/>
          <w:lang w:val="en-US" w:eastAsia="zh-CN"/>
        </w:rPr>
        <w:t>六</w:t>
      </w:r>
      <w:r>
        <w:rPr>
          <w:rFonts w:hint="eastAsia" w:ascii="仿宋_GB2312" w:hAnsi="仿宋_GB2312" w:eastAsia="仿宋_GB2312" w:cs="仿宋_GB2312"/>
          <w:bCs w:val="0"/>
          <w:spacing w:val="0"/>
          <w:sz w:val="30"/>
          <w:szCs w:val="30"/>
        </w:rPr>
        <w:t>节  提升产业链供应链现代化水平</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_Toc21174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48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363E0B41">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_Toc27679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lang w:val="en-US" w:eastAsia="zh-CN"/>
        </w:rPr>
        <w:t>第五章  坚持特色发展，打造城乡发展新面貌</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_Toc27679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49</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72489541">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_Toc6971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 xml:space="preserve">第一节 </w:t>
      </w:r>
      <w:r>
        <w:rPr>
          <w:rFonts w:hint="eastAsia" w:ascii="仿宋_GB2312" w:hAnsi="仿宋_GB2312" w:eastAsia="仿宋_GB2312" w:cs="仿宋_GB2312"/>
          <w:bCs w:val="0"/>
          <w:spacing w:val="0"/>
          <w:sz w:val="30"/>
          <w:szCs w:val="30"/>
        </w:rPr>
        <w:t xml:space="preserve"> 加快建设美丽</w:t>
      </w:r>
      <w:r>
        <w:rPr>
          <w:rFonts w:hint="eastAsia" w:ascii="仿宋_GB2312" w:hAnsi="仿宋_GB2312" w:eastAsia="仿宋_GB2312" w:cs="仿宋_GB2312"/>
          <w:bCs w:val="0"/>
          <w:spacing w:val="0"/>
          <w:sz w:val="30"/>
          <w:szCs w:val="30"/>
          <w:lang w:val="en-US" w:eastAsia="zh-CN"/>
        </w:rPr>
        <w:t>县城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_Toc6971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49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6B271592">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_Toc4303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第二节  积极支持小城镇发展</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_Toc4303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52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45B2977D">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_Toc2191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第三节  有序推进农业转移人口市民化</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_Toc2191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54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4B865AC2">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_Toc13384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sz w:val="30"/>
          <w:szCs w:val="30"/>
          <w:lang w:val="en-US" w:eastAsia="zh-CN"/>
        </w:rPr>
        <w:t>第六章  坚持振兴发展，谱写乡村振兴新篇章</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_Toc13384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56</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02B99301">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_Toc25309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spacing w:val="0"/>
          <w:sz w:val="30"/>
          <w:szCs w:val="30"/>
          <w:lang w:val="en-US" w:eastAsia="zh-CN"/>
        </w:rPr>
        <w:t>第一节  巩固拓展脱贫攻坚成果同乡村振兴有效衔接</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_Toc25309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56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431FFF35">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_Toc16847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第二节  发展壮大乡村产业</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_Toc16847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59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475B114D">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_Toc9491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第三节  实施乡村建设行动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_Toc9491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60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7B627DF3">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_Toc31339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第四节  深化农村改革</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_Toc31339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63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743049CD">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_Toc16038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第五节  推进城乡融合发展</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_Toc16038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64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1022D3F7">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_Toc8224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sz w:val="30"/>
          <w:szCs w:val="30"/>
          <w:lang w:val="en-US" w:eastAsia="zh-CN"/>
        </w:rPr>
        <w:t>第七章  坚持基础先行，实现有效投资新跃升</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_Toc8224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65</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7155BE5D">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_Toc16483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第一节  夯实综合交通基础设施</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_Toc16483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65</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55EF14F1">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_Toc25589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 xml:space="preserve">第二节  </w:t>
      </w:r>
      <w:r>
        <w:rPr>
          <w:rFonts w:hint="eastAsia" w:ascii="仿宋_GB2312" w:hAnsi="仿宋_GB2312" w:eastAsia="仿宋_GB2312" w:cs="仿宋_GB2312"/>
          <w:bCs w:val="0"/>
          <w:spacing w:val="0"/>
          <w:sz w:val="30"/>
          <w:szCs w:val="30"/>
          <w:lang w:eastAsia="zh-CN"/>
        </w:rPr>
        <w:t>提升水利保障能力</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_Toc25589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66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581C1BCE">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_Toc13534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 xml:space="preserve">第三节  </w:t>
      </w:r>
      <w:r>
        <w:rPr>
          <w:rFonts w:hint="eastAsia" w:ascii="仿宋_GB2312" w:hAnsi="仿宋_GB2312" w:eastAsia="仿宋_GB2312" w:cs="仿宋_GB2312"/>
          <w:bCs w:val="0"/>
          <w:spacing w:val="0"/>
          <w:sz w:val="30"/>
          <w:szCs w:val="30"/>
          <w:lang w:eastAsia="zh-CN"/>
        </w:rPr>
        <w:t>提升</w:t>
      </w:r>
      <w:r>
        <w:rPr>
          <w:rFonts w:hint="eastAsia" w:ascii="仿宋_GB2312" w:hAnsi="仿宋_GB2312" w:eastAsia="仿宋_GB2312" w:cs="仿宋_GB2312"/>
          <w:bCs w:val="0"/>
          <w:spacing w:val="0"/>
          <w:sz w:val="30"/>
          <w:szCs w:val="30"/>
        </w:rPr>
        <w:t>能源</w:t>
      </w:r>
      <w:r>
        <w:rPr>
          <w:rFonts w:hint="eastAsia" w:ascii="仿宋_GB2312" w:hAnsi="仿宋_GB2312" w:eastAsia="仿宋_GB2312" w:cs="仿宋_GB2312"/>
          <w:bCs w:val="0"/>
          <w:spacing w:val="0"/>
          <w:sz w:val="30"/>
          <w:szCs w:val="30"/>
          <w:lang w:eastAsia="zh-CN"/>
        </w:rPr>
        <w:t>保障能力</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_Toc13534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68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47057FA3">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_Toc30001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第四节  完善物流基础设施建设</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_Toc30001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69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7349933C">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_Toc10559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 xml:space="preserve">第五节  </w:t>
      </w:r>
      <w:r>
        <w:rPr>
          <w:rFonts w:hint="eastAsia" w:ascii="仿宋_GB2312" w:hAnsi="仿宋_GB2312" w:eastAsia="仿宋_GB2312" w:cs="仿宋_GB2312"/>
          <w:bCs w:val="0"/>
          <w:spacing w:val="0"/>
          <w:sz w:val="30"/>
          <w:szCs w:val="30"/>
          <w:lang w:val="en-US" w:eastAsia="zh-CN"/>
        </w:rPr>
        <w:t>加快新型基础设施建设</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_Toc10559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7CF30138">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_Toc17266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lang w:val="en-US" w:eastAsia="zh-CN"/>
        </w:rPr>
        <w:t>第八章  坚持生态立县，构建和谐生态新空间</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_Toc17266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72</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775FFE35">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_Toc20852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第一节  落实</w:t>
      </w:r>
      <w:r>
        <w:rPr>
          <w:rFonts w:hint="eastAsia" w:ascii="仿宋_GB2312" w:hAnsi="仿宋_GB2312" w:eastAsia="仿宋_GB2312" w:cs="仿宋_GB2312"/>
          <w:bCs w:val="0"/>
          <w:spacing w:val="0"/>
          <w:sz w:val="30"/>
          <w:szCs w:val="30"/>
          <w:lang w:eastAsia="zh-CN"/>
        </w:rPr>
        <w:t>“</w:t>
      </w:r>
      <w:r>
        <w:rPr>
          <w:rFonts w:hint="eastAsia" w:ascii="仿宋_GB2312" w:hAnsi="仿宋_GB2312" w:eastAsia="仿宋_GB2312" w:cs="仿宋_GB2312"/>
          <w:bCs w:val="0"/>
          <w:spacing w:val="0"/>
          <w:sz w:val="30"/>
          <w:szCs w:val="30"/>
        </w:rPr>
        <w:t>三线一单</w:t>
      </w:r>
      <w:r>
        <w:rPr>
          <w:rFonts w:hint="eastAsia" w:ascii="仿宋_GB2312" w:hAnsi="仿宋_GB2312" w:eastAsia="仿宋_GB2312" w:cs="仿宋_GB2312"/>
          <w:bCs w:val="0"/>
          <w:spacing w:val="0"/>
          <w:sz w:val="30"/>
          <w:szCs w:val="30"/>
          <w:lang w:eastAsia="zh-CN"/>
        </w:rPr>
        <w:t>”</w:t>
      </w:r>
      <w:r>
        <w:rPr>
          <w:rFonts w:hint="eastAsia" w:ascii="仿宋_GB2312" w:hAnsi="仿宋_GB2312" w:eastAsia="仿宋_GB2312" w:cs="仿宋_GB2312"/>
          <w:bCs w:val="0"/>
          <w:spacing w:val="0"/>
          <w:sz w:val="30"/>
          <w:szCs w:val="30"/>
        </w:rPr>
        <w:t>硬约束</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_Toc20852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745D8747">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_Toc21131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 xml:space="preserve">第二节  </w:t>
      </w:r>
      <w:r>
        <w:rPr>
          <w:rFonts w:hint="eastAsia" w:ascii="仿宋_GB2312" w:hAnsi="仿宋_GB2312" w:eastAsia="仿宋_GB2312" w:cs="仿宋_GB2312"/>
          <w:bCs w:val="0"/>
          <w:spacing w:val="0"/>
          <w:sz w:val="30"/>
          <w:szCs w:val="30"/>
          <w:lang w:eastAsia="zh-CN"/>
        </w:rPr>
        <w:t>持续改善环境质量</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_Toc21131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5819329D">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_Toc19230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第三节  加强生态保护修复</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_Toc19230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097E1320">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_Toc13904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第四节  加快推动绿色发展</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_Toc13904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43A9D6CB">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_Toc23723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 xml:space="preserve">第五节  </w:t>
      </w:r>
      <w:r>
        <w:rPr>
          <w:rFonts w:hint="eastAsia" w:ascii="仿宋_GB2312" w:hAnsi="仿宋_GB2312" w:eastAsia="仿宋_GB2312" w:cs="仿宋_GB2312"/>
          <w:bCs w:val="0"/>
          <w:spacing w:val="0"/>
          <w:sz w:val="30"/>
          <w:szCs w:val="30"/>
          <w:lang w:eastAsia="zh-CN"/>
        </w:rPr>
        <w:t>践行“两山”理论</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_Toc23723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724A2F54">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_Toc15796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lang w:val="en-US" w:eastAsia="zh-CN"/>
        </w:rPr>
        <w:t>第九章  坚持创新驱动，激发经济发展新动能</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_Toc15796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79</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219B83AC">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_Toc14973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第一节</w:t>
      </w:r>
      <w:r>
        <w:rPr>
          <w:rFonts w:hint="eastAsia" w:ascii="仿宋_GB2312" w:hAnsi="仿宋_GB2312" w:eastAsia="仿宋_GB2312" w:cs="仿宋_GB2312"/>
          <w:bCs w:val="0"/>
          <w:spacing w:val="0"/>
          <w:sz w:val="30"/>
          <w:szCs w:val="30"/>
          <w:lang w:val="en-US" w:eastAsia="zh-CN"/>
        </w:rPr>
        <w:t xml:space="preserve">  </w:t>
      </w:r>
      <w:r>
        <w:rPr>
          <w:rFonts w:hint="eastAsia" w:ascii="仿宋_GB2312" w:hAnsi="仿宋_GB2312" w:eastAsia="仿宋_GB2312" w:cs="仿宋_GB2312"/>
          <w:bCs w:val="0"/>
          <w:spacing w:val="0"/>
          <w:sz w:val="30"/>
          <w:szCs w:val="30"/>
        </w:rPr>
        <w:t>加强创新创业平台建设</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_Toc14973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14CE4C24">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_Toc20454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第二节</w:t>
      </w:r>
      <w:r>
        <w:rPr>
          <w:rFonts w:hint="eastAsia" w:ascii="仿宋_GB2312" w:hAnsi="仿宋_GB2312" w:eastAsia="仿宋_GB2312" w:cs="仿宋_GB2312"/>
          <w:bCs w:val="0"/>
          <w:spacing w:val="0"/>
          <w:sz w:val="30"/>
          <w:szCs w:val="30"/>
          <w:lang w:val="en-US" w:eastAsia="zh-CN"/>
        </w:rPr>
        <w:t xml:space="preserve">  </w:t>
      </w:r>
      <w:r>
        <w:rPr>
          <w:rFonts w:hint="eastAsia" w:ascii="仿宋_GB2312" w:hAnsi="仿宋_GB2312" w:eastAsia="仿宋_GB2312" w:cs="仿宋_GB2312"/>
          <w:bCs w:val="0"/>
          <w:spacing w:val="0"/>
          <w:sz w:val="30"/>
          <w:szCs w:val="30"/>
        </w:rPr>
        <w:t>提升企业自主创新能力</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_Toc20454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80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5A669D49">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_Toc27152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第三节</w:t>
      </w:r>
      <w:r>
        <w:rPr>
          <w:rFonts w:hint="eastAsia" w:ascii="仿宋_GB2312" w:hAnsi="仿宋_GB2312" w:eastAsia="仿宋_GB2312" w:cs="仿宋_GB2312"/>
          <w:bCs w:val="0"/>
          <w:spacing w:val="0"/>
          <w:sz w:val="30"/>
          <w:szCs w:val="30"/>
          <w:lang w:val="en-US" w:eastAsia="zh-CN"/>
        </w:rPr>
        <w:t xml:space="preserve">  </w:t>
      </w:r>
      <w:r>
        <w:rPr>
          <w:rFonts w:hint="eastAsia" w:ascii="仿宋_GB2312" w:hAnsi="仿宋_GB2312" w:eastAsia="仿宋_GB2312" w:cs="仿宋_GB2312"/>
          <w:bCs w:val="0"/>
          <w:spacing w:val="0"/>
          <w:sz w:val="30"/>
          <w:szCs w:val="30"/>
          <w:lang w:eastAsia="zh-CN"/>
        </w:rPr>
        <w:t>推进科技创新成果转化</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_Toc27152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81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410074CB">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_Toc21331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第四节</w:t>
      </w:r>
      <w:r>
        <w:rPr>
          <w:rFonts w:hint="eastAsia" w:ascii="仿宋_GB2312" w:hAnsi="仿宋_GB2312" w:eastAsia="仿宋_GB2312" w:cs="仿宋_GB2312"/>
          <w:bCs w:val="0"/>
          <w:spacing w:val="0"/>
          <w:sz w:val="30"/>
          <w:szCs w:val="30"/>
          <w:lang w:val="en-US" w:eastAsia="zh-CN"/>
        </w:rPr>
        <w:t xml:space="preserve">  </w:t>
      </w:r>
      <w:r>
        <w:rPr>
          <w:rFonts w:hint="eastAsia" w:ascii="仿宋_GB2312" w:hAnsi="仿宋_GB2312" w:eastAsia="仿宋_GB2312" w:cs="仿宋_GB2312"/>
          <w:bCs w:val="0"/>
          <w:spacing w:val="0"/>
          <w:sz w:val="30"/>
          <w:szCs w:val="30"/>
        </w:rPr>
        <w:t>聚力打造人才强县</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_Toc21331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81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600771E6">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_Toc23415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第五节  强化科教文化兴县战略</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_Toc23415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83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02F0581C">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_Toc30133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lang w:val="en-US" w:eastAsia="zh-CN"/>
        </w:rPr>
        <w:t>第十章  坚持改革开放，增强县域发展新活力</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_Toc30133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84</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43B05231">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_Toc21423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第一节  深入推进重点领域改革</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_Toc21423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84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626C5438">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_Toc9620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w:t>
      </w:r>
      <w:r>
        <w:rPr>
          <w:rFonts w:hint="eastAsia" w:ascii="仿宋_GB2312" w:hAnsi="仿宋_GB2312" w:eastAsia="仿宋_GB2312" w:cs="仿宋_GB2312"/>
          <w:bCs w:val="0"/>
          <w:spacing w:val="0"/>
          <w:sz w:val="30"/>
          <w:szCs w:val="30"/>
          <w:lang w:val="en-US" w:eastAsia="zh-CN"/>
        </w:rPr>
        <w:t>二</w:t>
      </w:r>
      <w:r>
        <w:rPr>
          <w:rFonts w:hint="eastAsia" w:ascii="仿宋_GB2312" w:hAnsi="仿宋_GB2312" w:eastAsia="仿宋_GB2312" w:cs="仿宋_GB2312"/>
          <w:bCs w:val="0"/>
          <w:spacing w:val="0"/>
          <w:sz w:val="30"/>
          <w:szCs w:val="30"/>
          <w:lang w:eastAsia="zh-CN"/>
        </w:rPr>
        <w:t>节  提升对外开放合作水平</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_Toc9620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87</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4E81380B">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_Toc22166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lang w:val="en-US" w:eastAsia="zh-CN"/>
        </w:rPr>
        <w:t>第十一章  坚持共享共荣，营造社会民生新气象</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_Toc22166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90</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6532C091">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_Toc20717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第一节  提高居民收入</w:t>
      </w:r>
      <w:r>
        <w:rPr>
          <w:rFonts w:hint="eastAsia" w:ascii="仿宋_GB2312" w:hAnsi="仿宋_GB2312" w:eastAsia="仿宋_GB2312" w:cs="仿宋_GB2312"/>
          <w:bCs w:val="0"/>
          <w:spacing w:val="0"/>
          <w:sz w:val="30"/>
          <w:szCs w:val="30"/>
          <w:lang w:val="en-US" w:eastAsia="zh-CN"/>
        </w:rPr>
        <w:t>水平</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_Toc20717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90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2A82901A">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_Toc30086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第二节  稳步提高就业质量</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_Toc30086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90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2DC39D23">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_Toc22990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第三节  推进教育现代化</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_Toc22990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92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20699314">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_Toc20457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第四节  加快建设</w:t>
      </w:r>
      <w:r>
        <w:rPr>
          <w:rFonts w:hint="eastAsia" w:ascii="仿宋_GB2312" w:hAnsi="仿宋_GB2312" w:eastAsia="仿宋_GB2312" w:cs="仿宋_GB2312"/>
          <w:bCs w:val="0"/>
          <w:spacing w:val="0"/>
          <w:sz w:val="30"/>
          <w:szCs w:val="30"/>
          <w:lang w:eastAsia="zh-CN"/>
        </w:rPr>
        <w:t>“</w:t>
      </w:r>
      <w:r>
        <w:rPr>
          <w:rFonts w:hint="eastAsia" w:ascii="仿宋_GB2312" w:hAnsi="仿宋_GB2312" w:eastAsia="仿宋_GB2312" w:cs="仿宋_GB2312"/>
          <w:bCs w:val="0"/>
          <w:spacing w:val="0"/>
          <w:sz w:val="30"/>
          <w:szCs w:val="30"/>
        </w:rPr>
        <w:t>健康新平</w:t>
      </w:r>
      <w:r>
        <w:rPr>
          <w:rFonts w:hint="eastAsia" w:ascii="仿宋_GB2312" w:hAnsi="仿宋_GB2312" w:eastAsia="仿宋_GB2312" w:cs="仿宋_GB2312"/>
          <w:bCs w:val="0"/>
          <w:spacing w:val="0"/>
          <w:sz w:val="30"/>
          <w:szCs w:val="30"/>
          <w:lang w:eastAsia="zh-CN"/>
        </w:rPr>
        <w:t>”</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_Toc20457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96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227C5AC9">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_Toc31027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 xml:space="preserve">第五节 </w:t>
      </w:r>
      <w:r>
        <w:rPr>
          <w:rFonts w:hint="eastAsia" w:ascii="仿宋_GB2312" w:hAnsi="仿宋_GB2312" w:eastAsia="仿宋_GB2312" w:cs="仿宋_GB2312"/>
          <w:bCs w:val="0"/>
          <w:spacing w:val="0"/>
          <w:sz w:val="30"/>
          <w:szCs w:val="30"/>
          <w:lang w:val="en-US" w:eastAsia="zh-CN"/>
        </w:rPr>
        <w:t xml:space="preserve"> 完善</w:t>
      </w:r>
      <w:r>
        <w:rPr>
          <w:rFonts w:hint="eastAsia" w:ascii="仿宋_GB2312" w:hAnsi="仿宋_GB2312" w:eastAsia="仿宋_GB2312" w:cs="仿宋_GB2312"/>
          <w:bCs w:val="0"/>
          <w:spacing w:val="0"/>
          <w:sz w:val="30"/>
          <w:szCs w:val="30"/>
        </w:rPr>
        <w:t>多层次社会保障体系</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_Toc31027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99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2951630B">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_Toc15674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lang w:val="en-US" w:eastAsia="zh-CN"/>
        </w:rPr>
        <w:t>第十二章  坚持传承开发，繁荣文化事业新实力</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_Toc15674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103</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229D67D1">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_Toc18788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第一节  提高社会文明程度</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_Toc18788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6F6BD0DB">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_Toc5206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第二节  提升公共文化服务水平</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_Toc5206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295AF530">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_Toc15521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 xml:space="preserve">第三节 </w:t>
      </w:r>
      <w:r>
        <w:rPr>
          <w:rFonts w:hint="eastAsia" w:ascii="仿宋_GB2312" w:hAnsi="仿宋_GB2312" w:eastAsia="仿宋_GB2312" w:cs="仿宋_GB2312"/>
          <w:bCs w:val="0"/>
          <w:spacing w:val="0"/>
          <w:sz w:val="30"/>
          <w:szCs w:val="30"/>
          <w:lang w:val="en-US" w:eastAsia="zh-CN"/>
        </w:rPr>
        <w:t xml:space="preserve"> </w:t>
      </w:r>
      <w:r>
        <w:rPr>
          <w:rFonts w:hint="eastAsia" w:ascii="仿宋_GB2312" w:hAnsi="仿宋_GB2312" w:eastAsia="仿宋_GB2312" w:cs="仿宋_GB2312"/>
          <w:bCs w:val="0"/>
          <w:spacing w:val="0"/>
          <w:sz w:val="30"/>
          <w:szCs w:val="30"/>
        </w:rPr>
        <w:t>传承和弘扬优秀传统文化</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_Toc15521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4270F263">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_Toc25097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rPr>
        <w:t>第十</w:t>
      </w:r>
      <w:r>
        <w:rPr>
          <w:rFonts w:hint="eastAsia" w:ascii="仿宋_GB2312" w:hAnsi="仿宋_GB2312" w:eastAsia="仿宋_GB2312" w:cs="仿宋_GB2312"/>
          <w:b/>
          <w:bCs/>
          <w:spacing w:val="0"/>
          <w:kern w:val="2"/>
          <w:sz w:val="30"/>
          <w:szCs w:val="30"/>
          <w:lang w:eastAsia="zh-CN"/>
        </w:rPr>
        <w:t>三</w:t>
      </w:r>
      <w:r>
        <w:rPr>
          <w:rFonts w:hint="eastAsia" w:ascii="仿宋_GB2312" w:hAnsi="仿宋_GB2312" w:eastAsia="仿宋_GB2312" w:cs="仿宋_GB2312"/>
          <w:b/>
          <w:bCs/>
          <w:spacing w:val="0"/>
          <w:kern w:val="2"/>
          <w:sz w:val="30"/>
          <w:szCs w:val="30"/>
        </w:rPr>
        <w:t xml:space="preserve">章 </w:t>
      </w:r>
      <w:r>
        <w:rPr>
          <w:rFonts w:hint="eastAsia" w:ascii="仿宋_GB2312" w:hAnsi="仿宋_GB2312" w:eastAsia="仿宋_GB2312" w:cs="仿宋_GB2312"/>
          <w:b/>
          <w:bCs/>
          <w:spacing w:val="0"/>
          <w:kern w:val="2"/>
          <w:sz w:val="30"/>
          <w:szCs w:val="30"/>
          <w:lang w:val="en-US" w:eastAsia="zh-CN"/>
        </w:rPr>
        <w:t xml:space="preserve"> </w:t>
      </w:r>
      <w:r>
        <w:rPr>
          <w:rFonts w:hint="eastAsia" w:ascii="仿宋_GB2312" w:hAnsi="仿宋_GB2312" w:eastAsia="仿宋_GB2312" w:cs="仿宋_GB2312"/>
          <w:b/>
          <w:bCs/>
          <w:spacing w:val="0"/>
          <w:kern w:val="2"/>
          <w:sz w:val="30"/>
          <w:szCs w:val="30"/>
        </w:rPr>
        <w:t>坚持依法行政，展现法治建设新</w:t>
      </w:r>
      <w:r>
        <w:rPr>
          <w:rFonts w:hint="eastAsia" w:ascii="仿宋_GB2312" w:hAnsi="仿宋_GB2312" w:eastAsia="仿宋_GB2312" w:cs="仿宋_GB2312"/>
          <w:b/>
          <w:bCs/>
          <w:spacing w:val="0"/>
          <w:kern w:val="2"/>
          <w:sz w:val="30"/>
          <w:szCs w:val="30"/>
          <w:lang w:val="en-US" w:eastAsia="zh-CN"/>
        </w:rPr>
        <w:t>局面</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_Toc25097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108</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4B750BC0">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_Toc10729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 xml:space="preserve">第一节  </w:t>
      </w:r>
      <w:r>
        <w:rPr>
          <w:rFonts w:hint="eastAsia" w:ascii="仿宋_GB2312" w:hAnsi="仿宋_GB2312" w:eastAsia="仿宋_GB2312" w:cs="仿宋_GB2312"/>
          <w:bCs w:val="0"/>
          <w:spacing w:val="0"/>
          <w:sz w:val="30"/>
          <w:szCs w:val="30"/>
        </w:rPr>
        <w:t>推进民主政治建设</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_Toc10729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247D6E67">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_Toc12594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第二节  建设法治新平</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_Toc12594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5ADEB86A">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_Toc10510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第三节  构建社会治理新格局</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_Toc10510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58463EDB">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_Toc22784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第四节  保障人民生命安全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_Toc22784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20A674B4">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_Toc135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第五节  深化民族团结进步示范</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_Toc135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79BA0EE0">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_Toc10767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第六节  着眼军民融合发展推动国防后备力量建设</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_Toc10767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115</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571694A2">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_Toc14992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rPr>
        <w:t>第十</w:t>
      </w:r>
      <w:r>
        <w:rPr>
          <w:rFonts w:hint="eastAsia" w:ascii="仿宋_GB2312" w:hAnsi="仿宋_GB2312" w:eastAsia="仿宋_GB2312" w:cs="仿宋_GB2312"/>
          <w:b/>
          <w:bCs/>
          <w:spacing w:val="0"/>
          <w:kern w:val="2"/>
          <w:sz w:val="30"/>
          <w:szCs w:val="30"/>
          <w:lang w:eastAsia="zh-CN"/>
        </w:rPr>
        <w:t>四</w:t>
      </w:r>
      <w:r>
        <w:rPr>
          <w:rFonts w:hint="eastAsia" w:ascii="仿宋_GB2312" w:hAnsi="仿宋_GB2312" w:eastAsia="仿宋_GB2312" w:cs="仿宋_GB2312"/>
          <w:b/>
          <w:bCs/>
          <w:spacing w:val="0"/>
          <w:kern w:val="2"/>
          <w:sz w:val="30"/>
          <w:szCs w:val="30"/>
        </w:rPr>
        <w:t>章  保障措施</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_Toc14992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117</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255CFA6C">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_Toc22894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第一节</w:t>
      </w:r>
      <w:r>
        <w:rPr>
          <w:rFonts w:hint="eastAsia" w:ascii="仿宋_GB2312" w:hAnsi="仿宋_GB2312" w:eastAsia="仿宋_GB2312" w:cs="仿宋_GB2312"/>
          <w:bCs w:val="0"/>
          <w:spacing w:val="0"/>
          <w:sz w:val="30"/>
          <w:szCs w:val="30"/>
          <w:lang w:val="en-US" w:eastAsia="zh-CN"/>
        </w:rPr>
        <w:t xml:space="preserve">  </w:t>
      </w:r>
      <w:r>
        <w:rPr>
          <w:rFonts w:hint="eastAsia" w:ascii="仿宋_GB2312" w:hAnsi="仿宋_GB2312" w:eastAsia="仿宋_GB2312" w:cs="仿宋_GB2312"/>
          <w:bCs w:val="0"/>
          <w:spacing w:val="0"/>
          <w:sz w:val="30"/>
          <w:szCs w:val="30"/>
        </w:rPr>
        <w:t>加强党对一切工作的领导</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_Toc22894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117</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3072B0CC">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_Toc25761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第二节  充分发挥规划引领作用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_Toc25761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38F316E5">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_Toc16597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第三节  建立健全纲要实施机制</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_Toc16597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7C1D0A6C">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_Toc21312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第四节  强化纲要实施保障</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_Toc21312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7852DE19">
      <w:pPr>
        <w:pStyle w:val="16"/>
        <w:tabs>
          <w:tab w:val="right" w:leader="dot" w:pos="8732"/>
        </w:tabs>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_Toc1432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第五节  加强规划监测评估</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_Toc1432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120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49248A55">
      <w:pPr>
        <w:pStyle w:val="14"/>
        <w:keepNext w:val="0"/>
        <w:keepLines w:val="0"/>
        <w:pageBreakBefore w:val="0"/>
        <w:widowControl w:val="0"/>
        <w:tabs>
          <w:tab w:val="right" w:leader="dot" w:pos="8732"/>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仿宋" w:cs="Times New Roman"/>
          <w:b w:val="0"/>
          <w:bCs w:val="0"/>
          <w:color w:val="auto"/>
          <w:spacing w:val="0"/>
          <w:sz w:val="32"/>
          <w:szCs w:val="32"/>
          <w:shd w:val="clear" w:color="auto" w:fill="FFFFFF"/>
          <w:lang w:val="en-US" w:eastAsia="zh-CN" w:bidi="ar"/>
        </w:rPr>
      </w:pPr>
      <w:r>
        <w:rPr>
          <w:rFonts w:hint="eastAsia" w:ascii="Times New Roman" w:hAnsi="Times New Roman" w:eastAsia="仿宋_GB2312" w:cs="Times New Roman"/>
          <w:bCs/>
          <w:color w:val="000000" w:themeColor="text1"/>
          <w:spacing w:val="0"/>
          <w:szCs w:val="32"/>
          <w:shd w:val="clear" w:color="auto" w:fill="FFFFFF"/>
          <w:lang w:bidi="ar"/>
          <w14:textFill>
            <w14:solidFill>
              <w14:schemeClr w14:val="tx1"/>
            </w14:solidFill>
          </w14:textFill>
        </w:rPr>
        <w:fldChar w:fldCharType="end"/>
      </w:r>
      <w:r>
        <w:rPr>
          <w:rFonts w:hint="default" w:ascii="Times New Roman" w:hAnsi="Times New Roman" w:eastAsia="仿宋" w:cs="Times New Roman"/>
          <w:b w:val="0"/>
          <w:bCs w:val="0"/>
          <w:color w:val="auto"/>
          <w:spacing w:val="0"/>
          <w:sz w:val="32"/>
          <w:szCs w:val="32"/>
          <w:shd w:val="clear" w:color="auto" w:fill="FFFFFF"/>
          <w:lang w:val="en-US" w:eastAsia="zh-CN" w:bidi="ar"/>
        </w:rPr>
        <w:t xml:space="preserve"> </w:t>
      </w:r>
    </w:p>
    <w:p w14:paraId="6FBBD930">
      <w:pPr>
        <w:keepNext w:val="0"/>
        <w:keepLines w:val="0"/>
        <w:pageBreakBefore w:val="0"/>
        <w:widowControl w:val="0"/>
        <w:kinsoku/>
        <w:wordWrap/>
        <w:overflowPunct/>
        <w:topLinePunct w:val="0"/>
        <w:autoSpaceDE/>
        <w:autoSpaceDN/>
        <w:bidi w:val="0"/>
        <w:adjustRightInd/>
        <w:snapToGrid/>
        <w:spacing w:line="560" w:lineRule="exact"/>
        <w:ind w:left="2690" w:leftChars="348" w:hanging="1500" w:hangingChars="500"/>
        <w:jc w:val="left"/>
        <w:textAlignment w:val="auto"/>
        <w:rPr>
          <w:rFonts w:hint="default" w:ascii="Times New Roman" w:hAnsi="Times New Roman" w:eastAsia="仿宋_GB2312" w:cs="Times New Roman"/>
          <w:b w:val="0"/>
          <w:bCs w:val="0"/>
          <w:color w:val="000000" w:themeColor="text1"/>
          <w:spacing w:val="0"/>
          <w:kern w:val="2"/>
          <w:sz w:val="30"/>
          <w:szCs w:val="30"/>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pacing w:val="0"/>
          <w:kern w:val="2"/>
          <w:sz w:val="30"/>
          <w:szCs w:val="30"/>
          <w:lang w:val="en-US" w:eastAsia="zh-CN" w:bidi="ar-SA"/>
          <w14:textFill>
            <w14:solidFill>
              <w14:schemeClr w14:val="tx1"/>
            </w14:solidFill>
          </w14:textFill>
        </w:rPr>
        <w:t>附件：图纸目录</w:t>
      </w:r>
    </w:p>
    <w:p w14:paraId="756A4ABE">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both"/>
        <w:textAlignment w:val="auto"/>
        <w:rPr>
          <w:rFonts w:hint="default" w:ascii="Times New Roman" w:hAnsi="Times New Roman" w:eastAsia="仿宋_GB2312" w:cs="Times New Roman"/>
          <w:b w:val="0"/>
          <w:bCs w:val="0"/>
          <w:color w:val="000000" w:themeColor="text1"/>
          <w:spacing w:val="0"/>
          <w:kern w:val="2"/>
          <w:sz w:val="30"/>
          <w:szCs w:val="30"/>
          <w:lang w:val="en-US" w:eastAsia="zh-CN" w:bidi="ar-SA"/>
          <w14:textFill>
            <w14:solidFill>
              <w14:schemeClr w14:val="tx1"/>
            </w14:solidFill>
          </w14:textFill>
        </w:rPr>
      </w:pPr>
    </w:p>
    <w:p w14:paraId="5C2DB261">
      <w:pPr>
        <w:keepNext w:val="0"/>
        <w:keepLines w:val="0"/>
        <w:pageBreakBefore w:val="0"/>
        <w:widowControl w:val="0"/>
        <w:kinsoku/>
        <w:wordWrap/>
        <w:overflowPunct/>
        <w:topLinePunct w:val="0"/>
        <w:autoSpaceDE/>
        <w:autoSpaceDN/>
        <w:bidi w:val="0"/>
        <w:adjustRightInd/>
        <w:snapToGrid/>
        <w:spacing w:line="560" w:lineRule="exact"/>
        <w:ind w:left="2400" w:leftChars="0" w:hanging="2400" w:hangingChars="800"/>
        <w:jc w:val="both"/>
        <w:textAlignment w:val="auto"/>
        <w:rPr>
          <w:rFonts w:hint="default" w:ascii="Times New Roman" w:hAnsi="Times New Roman" w:eastAsia="仿宋_GB2312" w:cs="Times New Roman"/>
          <w:b w:val="0"/>
          <w:bCs w:val="0"/>
          <w:color w:val="000000" w:themeColor="text1"/>
          <w:spacing w:val="0"/>
          <w:kern w:val="2"/>
          <w:sz w:val="30"/>
          <w:szCs w:val="30"/>
          <w:lang w:val="en-US" w:eastAsia="zh-CN" w:bidi="ar-SA"/>
          <w14:textFill>
            <w14:solidFill>
              <w14:schemeClr w14:val="tx1"/>
            </w14:solidFill>
          </w14:textFill>
        </w:rPr>
        <w:sectPr>
          <w:headerReference r:id="rId7" w:type="default"/>
          <w:footerReference r:id="rId8" w:type="default"/>
          <w:pgSz w:w="11906" w:h="16838"/>
          <w:pgMar w:top="1440" w:right="1587" w:bottom="1440" w:left="1587" w:header="851" w:footer="992" w:gutter="0"/>
          <w:pgBorders>
            <w:top w:val="none" w:sz="0" w:space="0"/>
            <w:left w:val="none" w:sz="0" w:space="0"/>
            <w:bottom w:val="none" w:sz="0" w:space="0"/>
            <w:right w:val="none" w:sz="0" w:space="0"/>
          </w:pgBorders>
          <w:pgNumType w:fmt="upperRoman" w:start="1"/>
          <w:cols w:space="0" w:num="1"/>
          <w:rtlGutter w:val="0"/>
          <w:docGrid w:type="lines" w:linePitch="312" w:charSpace="0"/>
        </w:sectPr>
      </w:pPr>
    </w:p>
    <w:p w14:paraId="301DC224">
      <w:pPr>
        <w:pStyle w:val="3"/>
        <w:keepNext w:val="0"/>
        <w:keepLines w:val="0"/>
        <w:pageBreakBefore w:val="0"/>
        <w:widowControl w:val="0"/>
        <w:kinsoku/>
        <w:wordWrap/>
        <w:overflowPunct/>
        <w:topLinePunct w:val="0"/>
        <w:autoSpaceDN/>
        <w:bidi w:val="0"/>
        <w:rPr>
          <w:rFonts w:hint="eastAsia" w:ascii="仿宋_GB2312" w:hAnsi="仿宋_GB2312" w:eastAsia="仿宋_GB2312" w:cs="仿宋_GB2312"/>
          <w:b/>
          <w:bCs/>
          <w:color w:val="auto"/>
          <w:spacing w:val="0"/>
          <w:szCs w:val="32"/>
        </w:rPr>
      </w:pPr>
      <w:bookmarkStart w:id="0" w:name="_Toc18268"/>
      <w:bookmarkStart w:id="1" w:name="_Toc6577"/>
      <w:r>
        <w:rPr>
          <w:rFonts w:hint="eastAsia" w:ascii="仿宋_GB2312" w:hAnsi="仿宋_GB2312" w:eastAsia="仿宋_GB2312" w:cs="仿宋_GB2312"/>
          <w:b/>
          <w:bCs/>
          <w:color w:val="auto"/>
          <w:spacing w:val="0"/>
          <w:kern w:val="2"/>
          <w:sz w:val="36"/>
          <w:szCs w:val="36"/>
        </w:rPr>
        <w:t>前  言</w:t>
      </w:r>
      <w:bookmarkEnd w:id="0"/>
      <w:bookmarkEnd w:id="1"/>
    </w:p>
    <w:p w14:paraId="7F64D0BA">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2"/>
        </w:rPr>
      </w:pP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十四五</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时期（2021－2025年）是</w:t>
      </w:r>
      <w:r>
        <w:rPr>
          <w:rFonts w:hint="default" w:ascii="Times New Roman" w:hAnsi="Times New Roman" w:eastAsia="仿宋_GB2312" w:cs="Times New Roman"/>
          <w:color w:val="auto"/>
          <w:spacing w:val="0"/>
          <w:szCs w:val="22"/>
          <w:lang w:val="en-US" w:eastAsia="zh-CN"/>
        </w:rPr>
        <w:t>我国</w:t>
      </w:r>
      <w:r>
        <w:rPr>
          <w:rFonts w:hint="default" w:ascii="Times New Roman" w:hAnsi="Times New Roman" w:eastAsia="仿宋_GB2312" w:cs="Times New Roman"/>
          <w:color w:val="auto"/>
          <w:spacing w:val="0"/>
          <w:szCs w:val="22"/>
        </w:rPr>
        <w:t>全面建成小康社会、实现第一个百年奋斗目标之后，乘势而上全面开启社会主义现代化建设新征程、向第二个百年奋斗目标进军的第一个五年</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也是</w:t>
      </w:r>
      <w:r>
        <w:rPr>
          <w:rFonts w:hint="default" w:ascii="Times New Roman" w:hAnsi="Times New Roman" w:eastAsia="仿宋_GB2312" w:cs="Times New Roman"/>
          <w:color w:val="auto"/>
          <w:spacing w:val="0"/>
          <w:szCs w:val="22"/>
          <w:lang w:val="en-US" w:eastAsia="zh-CN"/>
        </w:rPr>
        <w:t>新平进入新发展阶段，推动经济社会高质量跨越式发展的</w:t>
      </w:r>
      <w:r>
        <w:rPr>
          <w:rFonts w:hint="default" w:ascii="Times New Roman" w:hAnsi="Times New Roman" w:eastAsia="仿宋_GB2312" w:cs="Times New Roman"/>
          <w:color w:val="auto"/>
          <w:spacing w:val="0"/>
          <w:szCs w:val="22"/>
        </w:rPr>
        <w:t>关键五年</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《新平彝族傣族自治县国民经济和社会发展第十四个五年规划</w:t>
      </w:r>
      <w:r>
        <w:rPr>
          <w:rFonts w:hint="default" w:ascii="Times New Roman" w:hAnsi="Times New Roman" w:eastAsia="仿宋_GB2312" w:cs="Times New Roman"/>
          <w:color w:val="auto"/>
          <w:spacing w:val="0"/>
          <w:szCs w:val="22"/>
          <w:lang w:eastAsia="zh-CN"/>
        </w:rPr>
        <w:t>和</w:t>
      </w:r>
      <w:r>
        <w:rPr>
          <w:rFonts w:hint="default" w:ascii="Times New Roman" w:hAnsi="Times New Roman" w:eastAsia="仿宋_GB2312" w:cs="Times New Roman"/>
          <w:color w:val="auto"/>
          <w:spacing w:val="0"/>
          <w:szCs w:val="22"/>
        </w:rPr>
        <w:t>二〇三五年远景目标纲要》（以下简称《纲要》）</w:t>
      </w:r>
      <w:r>
        <w:rPr>
          <w:rFonts w:hint="default" w:ascii="Times New Roman" w:hAnsi="Times New Roman" w:eastAsia="仿宋_GB2312" w:cs="Times New Roman"/>
          <w:color w:val="auto"/>
          <w:spacing w:val="0"/>
          <w:szCs w:val="22"/>
          <w:lang w:val="en-US" w:eastAsia="zh-CN"/>
        </w:rPr>
        <w:t>根据</w:t>
      </w:r>
      <w:r>
        <w:rPr>
          <w:rFonts w:hint="default" w:ascii="Times New Roman" w:hAnsi="Times New Roman" w:eastAsia="仿宋_GB2312" w:cs="Times New Roman"/>
          <w:color w:val="auto"/>
          <w:spacing w:val="0"/>
          <w:szCs w:val="22"/>
        </w:rPr>
        <w:t>《中共新平县委关于制定</w:t>
      </w:r>
      <w:r>
        <w:rPr>
          <w:rFonts w:hint="default" w:ascii="Times New Roman" w:hAnsi="Times New Roman" w:eastAsia="仿宋_GB2312" w:cs="Times New Roman"/>
          <w:color w:val="auto"/>
          <w:spacing w:val="0"/>
          <w:szCs w:val="22"/>
          <w:lang w:eastAsia="zh-CN"/>
        </w:rPr>
        <w:t>新平彝族傣族自治县</w:t>
      </w:r>
      <w:r>
        <w:rPr>
          <w:rFonts w:hint="default" w:ascii="Times New Roman" w:hAnsi="Times New Roman" w:eastAsia="仿宋_GB2312" w:cs="Times New Roman"/>
          <w:color w:val="auto"/>
          <w:spacing w:val="0"/>
          <w:szCs w:val="22"/>
        </w:rPr>
        <w:t>国民经济和社会发展第十四个五年规划和二〇三五年远景目标的建议》编制，是</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十四五</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期间全县经济和社会发展的战略性、纲领性、综合性规划</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是指导新平县未来五年发展的宏伟蓝图</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是凝聚全县各族人民智慧和力量，推动实现新平</w:t>
      </w:r>
      <w:r>
        <w:rPr>
          <w:rFonts w:hint="default" w:ascii="Times New Roman" w:hAnsi="Times New Roman" w:eastAsia="仿宋_GB2312" w:cs="Times New Roman"/>
          <w:color w:val="auto"/>
          <w:spacing w:val="0"/>
          <w:szCs w:val="22"/>
          <w:lang w:eastAsia="zh-CN"/>
        </w:rPr>
        <w:t>高质量跨越式</w:t>
      </w:r>
      <w:r>
        <w:rPr>
          <w:rFonts w:hint="default" w:ascii="Times New Roman" w:hAnsi="Times New Roman" w:eastAsia="仿宋_GB2312" w:cs="Times New Roman"/>
          <w:color w:val="auto"/>
          <w:spacing w:val="0"/>
          <w:szCs w:val="22"/>
        </w:rPr>
        <w:t>发展的行动</w:t>
      </w:r>
      <w:r>
        <w:rPr>
          <w:rFonts w:hint="default" w:ascii="Times New Roman" w:hAnsi="Times New Roman" w:eastAsia="仿宋_GB2312" w:cs="Times New Roman"/>
          <w:color w:val="auto"/>
          <w:spacing w:val="0"/>
          <w:szCs w:val="22"/>
          <w:lang w:eastAsia="zh-CN"/>
        </w:rPr>
        <w:t>指南；是</w:t>
      </w:r>
      <w:r>
        <w:rPr>
          <w:rFonts w:hint="default" w:ascii="Times New Roman" w:hAnsi="Times New Roman" w:eastAsia="仿宋_GB2312" w:cs="Times New Roman"/>
          <w:color w:val="auto"/>
          <w:spacing w:val="0"/>
          <w:szCs w:val="22"/>
        </w:rPr>
        <w:t>组织动员全县广大党员干部和各族群众，在新的历史起点上，围绕打造</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滇中绿谷</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目标，奋力开创新平转型跨越、绿色崛起新境界</w:t>
      </w:r>
      <w:r>
        <w:rPr>
          <w:rFonts w:hint="default" w:ascii="Times New Roman" w:hAnsi="Times New Roman" w:eastAsia="仿宋_GB2312" w:cs="Times New Roman"/>
          <w:color w:val="auto"/>
          <w:spacing w:val="0"/>
          <w:szCs w:val="22"/>
          <w:lang w:eastAsia="zh-CN"/>
        </w:rPr>
        <w:t>的行动纲领</w:t>
      </w:r>
      <w:r>
        <w:rPr>
          <w:rFonts w:hint="default" w:ascii="Times New Roman" w:hAnsi="Times New Roman" w:eastAsia="仿宋_GB2312" w:cs="Times New Roman"/>
          <w:color w:val="auto"/>
          <w:spacing w:val="0"/>
          <w:szCs w:val="22"/>
        </w:rPr>
        <w:t>。</w:t>
      </w:r>
    </w:p>
    <w:p w14:paraId="771AB906">
      <w:pPr>
        <w:pageBreakBefore w:val="0"/>
        <w:widowControl w:val="0"/>
        <w:kinsoku/>
        <w:wordWrap/>
        <w:overflowPunct/>
        <w:topLinePunct w:val="0"/>
        <w:autoSpaceDN/>
        <w:bidi w:val="0"/>
        <w:rPr>
          <w:rFonts w:hint="default" w:ascii="Times New Roman" w:hAnsi="Times New Roman" w:eastAsia="方正小标宋简体" w:cs="Times New Roman"/>
          <w:bCs w:val="0"/>
          <w:color w:val="auto"/>
          <w:spacing w:val="0"/>
          <w:kern w:val="2"/>
          <w:sz w:val="36"/>
          <w:szCs w:val="36"/>
        </w:rPr>
      </w:pPr>
      <w:r>
        <w:rPr>
          <w:rFonts w:hint="default" w:ascii="Times New Roman" w:hAnsi="Times New Roman" w:cs="Times New Roman"/>
          <w:color w:val="auto"/>
          <w:spacing w:val="0"/>
          <w:szCs w:val="22"/>
        </w:rPr>
        <w:br w:type="page"/>
      </w:r>
    </w:p>
    <w:p w14:paraId="3DAD6F60">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bCs w:val="0"/>
          <w:color w:val="auto"/>
          <w:spacing w:val="0"/>
          <w:kern w:val="2"/>
          <w:sz w:val="36"/>
          <w:szCs w:val="36"/>
        </w:rPr>
      </w:pPr>
      <w:bookmarkStart w:id="2" w:name="_Toc1597"/>
      <w:bookmarkStart w:id="3" w:name="_Toc11715"/>
      <w:r>
        <w:rPr>
          <w:rFonts w:hint="eastAsia" w:ascii="方正小标宋_GBK" w:hAnsi="方正小标宋_GBK" w:eastAsia="方正小标宋_GBK" w:cs="方正小标宋_GBK"/>
          <w:bCs w:val="0"/>
          <w:color w:val="auto"/>
          <w:spacing w:val="0"/>
          <w:kern w:val="2"/>
          <w:sz w:val="36"/>
          <w:szCs w:val="36"/>
        </w:rPr>
        <w:t>第一章  发展基础与环境</w:t>
      </w:r>
      <w:bookmarkEnd w:id="2"/>
      <w:bookmarkEnd w:id="3"/>
    </w:p>
    <w:p w14:paraId="4ACAA829">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2"/>
        </w:rPr>
      </w:pP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十三五</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时期，是新平县发展进程中极不平凡的五年。面对错综复杂的外部形势、艰巨繁重的改革发展任务，在市委、市政府的坚强领导下，县委、县政府团结带领全县各族人民，紧扣全面建成小康社会目标任务，坚持生态立县、产业强县、开放活县、科教文化兴县的发展战略，坚决打好三大攻坚战，扎实推动经济建设、改革创新、美丽生态、产业引领、乡村振兴、民生幸福</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lang w:val="en-US" w:eastAsia="zh-CN"/>
        </w:rPr>
        <w:t>从严治党</w:t>
      </w:r>
      <w:r>
        <w:rPr>
          <w:rFonts w:hint="default" w:ascii="Times New Roman" w:hAnsi="Times New Roman" w:eastAsia="仿宋_GB2312" w:cs="Times New Roman"/>
          <w:color w:val="auto"/>
          <w:spacing w:val="0"/>
          <w:szCs w:val="22"/>
        </w:rPr>
        <w:t>等任务落细落实，努力克服严重干旱和新冠肺炎疫情带来的重重困难，</w:t>
      </w:r>
      <w:r>
        <w:rPr>
          <w:rFonts w:hint="default" w:ascii="Times New Roman" w:hAnsi="Times New Roman" w:eastAsia="仿宋_GB2312" w:cs="Times New Roman"/>
          <w:color w:val="auto"/>
          <w:spacing w:val="0"/>
          <w:szCs w:val="22"/>
          <w:lang w:eastAsia="zh-CN"/>
        </w:rPr>
        <w:t>基本</w:t>
      </w:r>
      <w:r>
        <w:rPr>
          <w:rFonts w:hint="default" w:ascii="Times New Roman" w:hAnsi="Times New Roman" w:eastAsia="仿宋_GB2312" w:cs="Times New Roman"/>
          <w:color w:val="auto"/>
          <w:spacing w:val="0"/>
          <w:szCs w:val="22"/>
        </w:rPr>
        <w:t>完成了</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十三五</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规划</w:t>
      </w:r>
      <w:r>
        <w:rPr>
          <w:rFonts w:hint="default" w:ascii="Times New Roman" w:hAnsi="Times New Roman" w:eastAsia="仿宋_GB2312" w:cs="Times New Roman"/>
          <w:color w:val="auto"/>
          <w:spacing w:val="0"/>
          <w:szCs w:val="22"/>
          <w:lang w:eastAsia="zh-CN"/>
        </w:rPr>
        <w:t>确定的</w:t>
      </w:r>
      <w:r>
        <w:rPr>
          <w:rFonts w:hint="default" w:ascii="Times New Roman" w:hAnsi="Times New Roman" w:eastAsia="仿宋_GB2312" w:cs="Times New Roman"/>
          <w:color w:val="auto"/>
          <w:spacing w:val="0"/>
          <w:szCs w:val="22"/>
        </w:rPr>
        <w:t>主要目标任务，为新平转型跨越、绿色崛起奠定了坚实</w:t>
      </w:r>
      <w:r>
        <w:rPr>
          <w:rFonts w:hint="default" w:ascii="Times New Roman" w:hAnsi="Times New Roman" w:eastAsia="仿宋_GB2312" w:cs="Times New Roman"/>
          <w:color w:val="auto"/>
          <w:spacing w:val="0"/>
          <w:szCs w:val="22"/>
          <w:lang w:eastAsia="zh-CN"/>
        </w:rPr>
        <w:t>的</w:t>
      </w:r>
      <w:r>
        <w:rPr>
          <w:rFonts w:hint="default" w:ascii="Times New Roman" w:hAnsi="Times New Roman" w:eastAsia="仿宋_GB2312" w:cs="Times New Roman"/>
          <w:color w:val="auto"/>
          <w:spacing w:val="0"/>
          <w:szCs w:val="22"/>
        </w:rPr>
        <w:t>基础。</w:t>
      </w:r>
    </w:p>
    <w:p w14:paraId="0C0AD366">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4" w:name="_Toc25008"/>
      <w:bookmarkStart w:id="5" w:name="_Toc330"/>
      <w:r>
        <w:rPr>
          <w:rFonts w:hint="eastAsia" w:ascii="黑体" w:hAnsi="黑体" w:eastAsia="黑体" w:cs="黑体"/>
          <w:b/>
          <w:bCs w:val="0"/>
          <w:color w:val="auto"/>
          <w:spacing w:val="0"/>
          <w:szCs w:val="32"/>
        </w:rPr>
        <w:t>第一节  全面建成小康社会</w:t>
      </w:r>
      <w:bookmarkEnd w:id="4"/>
      <w:bookmarkEnd w:id="5"/>
    </w:p>
    <w:p w14:paraId="31A92D74">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一、县域经济实力跨越提升</w:t>
      </w:r>
    </w:p>
    <w:p w14:paraId="646580DC">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pacing w:val="0"/>
          <w:szCs w:val="32"/>
        </w:rPr>
      </w:pP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十三五</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期间，始终坚持发展第一要务，地区生产总值由2015年的113亿元增加到2020年的</w:t>
      </w:r>
      <w:r>
        <w:rPr>
          <w:rFonts w:hint="eastAsia" w:eastAsia="仿宋_GB2312" w:cs="Times New Roman"/>
          <w:color w:val="auto"/>
          <w:spacing w:val="0"/>
          <w:szCs w:val="24"/>
          <w:lang w:val="en-US" w:eastAsia="zh-CN"/>
        </w:rPr>
        <w:t>213.9</w:t>
      </w:r>
      <w:r>
        <w:rPr>
          <w:rFonts w:hint="default" w:ascii="Times New Roman" w:hAnsi="Times New Roman" w:eastAsia="仿宋_GB2312" w:cs="Times New Roman"/>
          <w:color w:val="auto"/>
          <w:spacing w:val="0"/>
          <w:szCs w:val="24"/>
          <w:lang w:val="en-US" w:eastAsia="zh-CN"/>
        </w:rPr>
        <w:t>亿元，突破200亿元大关，居全省第30位、全市第2位，被评为全省县域跨越发展先进县、县域经济10强县，综合实力稳居全省29个少数民族自治县最前列。人均生产总值达1.1万美元，位列全省第21位。社会消费品零售总额实现</w:t>
      </w:r>
      <w:r>
        <w:rPr>
          <w:rFonts w:hint="eastAsia" w:eastAsia="仿宋_GB2312" w:cs="Times New Roman"/>
          <w:color w:val="auto"/>
          <w:spacing w:val="0"/>
          <w:szCs w:val="24"/>
          <w:lang w:val="en-US" w:eastAsia="zh-CN"/>
        </w:rPr>
        <w:t>78.6</w:t>
      </w:r>
      <w:r>
        <w:rPr>
          <w:rFonts w:hint="default" w:ascii="Times New Roman" w:hAnsi="Times New Roman" w:eastAsia="仿宋_GB2312" w:cs="Times New Roman"/>
          <w:color w:val="auto"/>
          <w:spacing w:val="0"/>
          <w:szCs w:val="24"/>
          <w:lang w:val="en-US" w:eastAsia="zh-CN"/>
        </w:rPr>
        <w:t>亿元，是2015年的4.</w:t>
      </w:r>
      <w:r>
        <w:rPr>
          <w:rFonts w:hint="eastAsia" w:eastAsia="仿宋_GB2312" w:cs="Times New Roman"/>
          <w:color w:val="auto"/>
          <w:spacing w:val="0"/>
          <w:szCs w:val="24"/>
          <w:lang w:val="en-US" w:eastAsia="zh-CN"/>
        </w:rPr>
        <w:t>1</w:t>
      </w:r>
      <w:r>
        <w:rPr>
          <w:rFonts w:hint="default" w:ascii="Times New Roman" w:hAnsi="Times New Roman" w:eastAsia="仿宋_GB2312" w:cs="Times New Roman"/>
          <w:color w:val="auto"/>
          <w:spacing w:val="0"/>
          <w:szCs w:val="24"/>
          <w:lang w:val="en-US" w:eastAsia="zh-CN"/>
        </w:rPr>
        <w:t>倍。外贸进出口总额达</w:t>
      </w:r>
      <w:r>
        <w:rPr>
          <w:rFonts w:hint="eastAsia" w:eastAsia="仿宋_GB2312" w:cs="Times New Roman"/>
          <w:color w:val="auto"/>
          <w:spacing w:val="0"/>
          <w:szCs w:val="24"/>
          <w:lang w:val="en-US" w:eastAsia="zh-CN"/>
        </w:rPr>
        <w:t>8303</w:t>
      </w:r>
      <w:r>
        <w:rPr>
          <w:rFonts w:hint="default" w:ascii="Times New Roman" w:hAnsi="Times New Roman" w:eastAsia="仿宋_GB2312" w:cs="Times New Roman"/>
          <w:color w:val="auto"/>
          <w:spacing w:val="0"/>
          <w:szCs w:val="24"/>
          <w:lang w:val="en-US" w:eastAsia="zh-CN"/>
        </w:rPr>
        <w:t>万元，是2015年的3.</w:t>
      </w:r>
      <w:r>
        <w:rPr>
          <w:rFonts w:hint="eastAsia" w:eastAsia="仿宋_GB2312" w:cs="Times New Roman"/>
          <w:color w:val="auto"/>
          <w:spacing w:val="0"/>
          <w:szCs w:val="24"/>
          <w:lang w:val="en-US" w:eastAsia="zh-CN"/>
        </w:rPr>
        <w:t>7</w:t>
      </w:r>
      <w:r>
        <w:rPr>
          <w:rFonts w:hint="default" w:ascii="Times New Roman" w:hAnsi="Times New Roman" w:eastAsia="仿宋_GB2312" w:cs="Times New Roman"/>
          <w:color w:val="auto"/>
          <w:spacing w:val="0"/>
          <w:szCs w:val="24"/>
          <w:lang w:val="en-US" w:eastAsia="zh-CN"/>
        </w:rPr>
        <w:t>倍。规模以上固定资产投资</w:t>
      </w:r>
      <w:r>
        <w:rPr>
          <w:rFonts w:hint="eastAsia" w:eastAsia="仿宋_GB2312" w:cs="Times New Roman"/>
          <w:color w:val="auto"/>
          <w:spacing w:val="0"/>
          <w:szCs w:val="24"/>
          <w:lang w:val="en-US" w:eastAsia="zh-CN"/>
        </w:rPr>
        <w:t>77.5</w:t>
      </w:r>
      <w:r>
        <w:rPr>
          <w:rFonts w:hint="default" w:ascii="Times New Roman" w:hAnsi="Times New Roman" w:eastAsia="仿宋_GB2312" w:cs="Times New Roman"/>
          <w:color w:val="auto"/>
          <w:spacing w:val="0"/>
          <w:szCs w:val="24"/>
          <w:lang w:val="en-US" w:eastAsia="zh-CN"/>
        </w:rPr>
        <w:t>亿元，地方财政一般公共预算收入12.9亿元。城乡居民人均可支配收入分别达</w:t>
      </w:r>
      <w:r>
        <w:rPr>
          <w:rFonts w:hint="eastAsia" w:eastAsia="仿宋_GB2312" w:cs="Times New Roman"/>
          <w:color w:val="auto"/>
          <w:spacing w:val="0"/>
          <w:szCs w:val="24"/>
          <w:lang w:val="en-US" w:eastAsia="zh-CN"/>
        </w:rPr>
        <w:t>41952</w:t>
      </w:r>
      <w:r>
        <w:rPr>
          <w:rFonts w:hint="default" w:ascii="Times New Roman" w:hAnsi="Times New Roman" w:eastAsia="仿宋_GB2312" w:cs="Times New Roman"/>
          <w:color w:val="auto"/>
          <w:spacing w:val="0"/>
          <w:szCs w:val="24"/>
          <w:lang w:val="en-US" w:eastAsia="zh-CN"/>
        </w:rPr>
        <w:t>元、</w:t>
      </w:r>
      <w:r>
        <w:rPr>
          <w:rFonts w:hint="eastAsia" w:eastAsia="仿宋_GB2312" w:cs="Times New Roman"/>
          <w:color w:val="auto"/>
          <w:spacing w:val="0"/>
          <w:szCs w:val="24"/>
          <w:lang w:val="en-US" w:eastAsia="zh-CN"/>
        </w:rPr>
        <w:t>15858</w:t>
      </w:r>
      <w:r>
        <w:rPr>
          <w:rFonts w:hint="default" w:ascii="Times New Roman" w:hAnsi="Times New Roman" w:eastAsia="仿宋_GB2312" w:cs="Times New Roman"/>
          <w:color w:val="auto"/>
          <w:spacing w:val="0"/>
          <w:szCs w:val="24"/>
          <w:lang w:val="en-US" w:eastAsia="zh-CN"/>
        </w:rPr>
        <w:t>元，分别</w:t>
      </w:r>
      <w:r>
        <w:rPr>
          <w:rFonts w:hint="default" w:ascii="Times New Roman" w:hAnsi="Times New Roman" w:eastAsia="仿宋_GB2312" w:cs="Times New Roman"/>
          <w:color w:val="auto"/>
          <w:spacing w:val="0"/>
          <w:szCs w:val="24"/>
        </w:rPr>
        <w:t>比2015年增加</w:t>
      </w:r>
      <w:r>
        <w:rPr>
          <w:rFonts w:hint="eastAsia" w:eastAsia="仿宋_GB2312" w:cs="Times New Roman"/>
          <w:color w:val="auto"/>
          <w:spacing w:val="0"/>
          <w:szCs w:val="24"/>
          <w:lang w:val="en-US" w:eastAsia="zh-CN"/>
        </w:rPr>
        <w:t>12481</w:t>
      </w:r>
      <w:r>
        <w:rPr>
          <w:rFonts w:hint="default" w:ascii="Times New Roman" w:hAnsi="Times New Roman" w:eastAsia="仿宋_GB2312" w:cs="Times New Roman"/>
          <w:color w:val="auto"/>
          <w:spacing w:val="0"/>
          <w:szCs w:val="24"/>
        </w:rPr>
        <w:t>元、</w:t>
      </w:r>
      <w:r>
        <w:rPr>
          <w:rFonts w:hint="eastAsia" w:eastAsia="仿宋_GB2312" w:cs="Times New Roman"/>
          <w:color w:val="auto"/>
          <w:spacing w:val="0"/>
          <w:szCs w:val="24"/>
          <w:lang w:val="en-US" w:eastAsia="zh-CN"/>
        </w:rPr>
        <w:t>5577</w:t>
      </w:r>
      <w:r>
        <w:rPr>
          <w:rFonts w:hint="default" w:ascii="Times New Roman" w:hAnsi="Times New Roman" w:eastAsia="仿宋_GB2312" w:cs="Times New Roman"/>
          <w:color w:val="auto"/>
          <w:spacing w:val="0"/>
          <w:szCs w:val="24"/>
        </w:rPr>
        <w:t>元。</w:t>
      </w:r>
      <w:r>
        <w:rPr>
          <w:rFonts w:hint="default" w:ascii="Times New Roman" w:hAnsi="Times New Roman" w:eastAsia="仿宋_GB2312" w:cs="Times New Roman"/>
          <w:color w:val="auto"/>
          <w:spacing w:val="0"/>
          <w:szCs w:val="32"/>
        </w:rPr>
        <w:t xml:space="preserve"> </w:t>
      </w:r>
    </w:p>
    <w:p w14:paraId="1059477B">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二、三大攻坚战成效显著</w:t>
      </w:r>
    </w:p>
    <w:p w14:paraId="3959F07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始终把脱贫攻坚作为最大的政治任务和第一民生工程，全面实现3个贫困乡摘帽，32个贫困村出列，11084建档立卡贫困人口稳定脱贫，脱贫攻坚取得</w:t>
      </w:r>
      <w:r>
        <w:rPr>
          <w:rFonts w:hint="eastAsia" w:eastAsia="仿宋_GB2312" w:cs="Times New Roman"/>
          <w:color w:val="auto"/>
          <w:spacing w:val="0"/>
          <w:szCs w:val="24"/>
          <w:lang w:val="en-US" w:eastAsia="zh-CN"/>
        </w:rPr>
        <w:t>全面</w:t>
      </w:r>
      <w:r>
        <w:rPr>
          <w:rFonts w:hint="default" w:ascii="Times New Roman" w:hAnsi="Times New Roman" w:eastAsia="仿宋_GB2312" w:cs="Times New Roman"/>
          <w:color w:val="auto"/>
          <w:spacing w:val="0"/>
          <w:szCs w:val="24"/>
          <w:lang w:val="en-US" w:eastAsia="zh-CN"/>
        </w:rPr>
        <w:t>胜利。债务风险防范攻坚战稳妥有效，化解地方政府性债务19.2亿元。打好了蓝天碧水净土保卫战和七大标志性战役，</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散乱污</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企业等专项整治扎实有效，县城环境空气质量优良率稳定在</w:t>
      </w:r>
      <w:r>
        <w:rPr>
          <w:rFonts w:hint="eastAsia" w:eastAsia="仿宋_GB2312" w:cs="Times New Roman"/>
          <w:color w:val="auto"/>
          <w:spacing w:val="0"/>
          <w:szCs w:val="24"/>
          <w:lang w:val="en-US" w:eastAsia="zh-CN"/>
        </w:rPr>
        <w:t>100</w:t>
      </w:r>
      <w:r>
        <w:rPr>
          <w:rFonts w:hint="default" w:ascii="Times New Roman" w:hAnsi="Times New Roman" w:eastAsia="仿宋_GB2312" w:cs="Times New Roman"/>
          <w:color w:val="auto"/>
          <w:spacing w:val="0"/>
          <w:szCs w:val="24"/>
          <w:lang w:val="en-US" w:eastAsia="zh-CN"/>
        </w:rPr>
        <w:t>%，县域主要河流均达到功能区水质要求。</w:t>
      </w:r>
    </w:p>
    <w:p w14:paraId="524EDE31">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三、产业发展水平稳步提升</w:t>
      </w:r>
    </w:p>
    <w:p w14:paraId="3B8DF83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深入实施</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产业强县</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战略，工业经济稳中提质，园区集聚效应增强，实现工业总产值283.9亿元，是2015年的1.7倍，初步形成以现代矿冶业、加工制造业、生物资源加工业为主的新型工业体系，工业园区跻身</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云南省10强工业园区</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，仙福集团排名全省百强非公企业第2位、制造业第1位。农业稳中调优，实现农业总产值55.</w:t>
      </w:r>
      <w:r>
        <w:rPr>
          <w:rFonts w:hint="eastAsia" w:eastAsia="仿宋_GB2312" w:cs="Times New Roman"/>
          <w:color w:val="auto"/>
          <w:spacing w:val="0"/>
          <w:szCs w:val="24"/>
          <w:lang w:val="en-US" w:eastAsia="zh-CN"/>
        </w:rPr>
        <w:t>2</w:t>
      </w:r>
      <w:r>
        <w:rPr>
          <w:rFonts w:hint="default" w:ascii="Times New Roman" w:hAnsi="Times New Roman" w:eastAsia="仿宋_GB2312" w:cs="Times New Roman"/>
          <w:color w:val="auto"/>
          <w:spacing w:val="0"/>
          <w:szCs w:val="24"/>
          <w:lang w:val="en-US" w:eastAsia="zh-CN"/>
        </w:rPr>
        <w:t>亿元，是2015年的1.</w:t>
      </w:r>
      <w:r>
        <w:rPr>
          <w:rFonts w:hint="eastAsia" w:eastAsia="仿宋_GB2312" w:cs="Times New Roman"/>
          <w:color w:val="auto"/>
          <w:spacing w:val="0"/>
          <w:szCs w:val="24"/>
          <w:lang w:val="en-US" w:eastAsia="zh-CN"/>
        </w:rPr>
        <w:t>7</w:t>
      </w:r>
      <w:r>
        <w:rPr>
          <w:rFonts w:hint="default" w:ascii="Times New Roman" w:hAnsi="Times New Roman" w:eastAsia="仿宋_GB2312" w:cs="Times New Roman"/>
          <w:color w:val="auto"/>
          <w:spacing w:val="0"/>
          <w:szCs w:val="24"/>
          <w:lang w:val="en-US" w:eastAsia="zh-CN"/>
        </w:rPr>
        <w:t>倍，水果、生猪、蔬菜等产业稳步发展，褚橙被评为云南</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十大名果</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德康70万头生猪养殖生态循环产业化项目有序推进，红河谷—绿汁江热区产业经济带建设深入开展，被列为国家现代农业示范区、国家级有机产品认证示范创建区、国家级农业绿色发展先行区、全国科普示范县、云南省农产品主产区和特色产业发展先进县、云南省</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一县一业（柑橘</w:t>
      </w:r>
      <w:r>
        <w:rPr>
          <w:rFonts w:hint="default" w:ascii="Times New Roman" w:hAnsi="Times New Roman" w:eastAsia="仿宋_GB2312" w:cs="Times New Roman"/>
          <w:color w:val="auto"/>
          <w:spacing w:val="0"/>
          <w:szCs w:val="24"/>
          <w:highlight w:val="none"/>
          <w:lang w:val="en-US" w:eastAsia="zh-CN"/>
        </w:rPr>
        <w:t>）</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特色县、云南省第一批高原特色农业示范县。全域旅游发展稳步推进，</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风情花腰傣、神秘哀牢山</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知名度进一步提升，</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两山一谷</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旅游设施不断完善，先后被授予亚洲大中华区首批最美人文（自然）文化和旅游目的地金旅奖、国家全域旅游示范区创建单位、中国最具特色生态旅游名县、最具原生态民族文化特色的少数民族自治县、中国最美风景县云南十佳，《彝山花鼓》获国家级金奖。商贸物流、电子商务、金融保险、信息等现代服务业快速发展，第三产业增加值完成</w:t>
      </w:r>
      <w:r>
        <w:rPr>
          <w:rFonts w:hint="eastAsia" w:eastAsia="仿宋_GB2312" w:cs="Times New Roman"/>
          <w:color w:val="auto"/>
          <w:spacing w:val="0"/>
          <w:szCs w:val="24"/>
          <w:lang w:val="en-US" w:eastAsia="zh-CN"/>
        </w:rPr>
        <w:t>96.4</w:t>
      </w:r>
      <w:r>
        <w:rPr>
          <w:rFonts w:hint="default" w:ascii="Times New Roman" w:hAnsi="Times New Roman" w:eastAsia="仿宋_GB2312" w:cs="Times New Roman"/>
          <w:color w:val="auto"/>
          <w:spacing w:val="0"/>
          <w:szCs w:val="24"/>
          <w:lang w:val="en-US" w:eastAsia="zh-CN"/>
        </w:rPr>
        <w:t>亿元，是2015年的</w:t>
      </w:r>
      <w:r>
        <w:rPr>
          <w:rFonts w:hint="eastAsia" w:eastAsia="仿宋_GB2312" w:cs="Times New Roman"/>
          <w:color w:val="auto"/>
          <w:spacing w:val="0"/>
          <w:szCs w:val="24"/>
          <w:lang w:val="en-US" w:eastAsia="zh-CN"/>
        </w:rPr>
        <w:t>2.3</w:t>
      </w:r>
      <w:r>
        <w:rPr>
          <w:rFonts w:hint="default" w:ascii="Times New Roman" w:hAnsi="Times New Roman" w:eastAsia="仿宋_GB2312" w:cs="Times New Roman"/>
          <w:color w:val="auto"/>
          <w:spacing w:val="0"/>
          <w:szCs w:val="24"/>
          <w:lang w:val="en-US" w:eastAsia="zh-CN"/>
        </w:rPr>
        <w:t>倍。</w:t>
      </w:r>
    </w:p>
    <w:p w14:paraId="0D132B61">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四、基础设施建设取得重大突破</w:t>
      </w:r>
    </w:p>
    <w:p w14:paraId="4AB90EE8">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color w:val="auto"/>
          <w:spacing w:val="0"/>
          <w:szCs w:val="22"/>
          <w:lang w:val="en-US" w:eastAsia="zh-CN"/>
        </w:rPr>
      </w:pPr>
      <w:r>
        <w:rPr>
          <w:rFonts w:hint="default" w:ascii="Times New Roman" w:hAnsi="Times New Roman" w:eastAsia="仿宋_GB2312" w:cs="Times New Roman"/>
          <w:color w:val="auto"/>
          <w:spacing w:val="0"/>
          <w:szCs w:val="22"/>
          <w:lang w:val="en-US" w:eastAsia="zh-CN"/>
        </w:rPr>
        <w:t>大戛高速大开门至县城段建成通车，结束了新平县城不通高速公路的历史，</w:t>
      </w:r>
      <w:r>
        <w:rPr>
          <w:rFonts w:hint="default" w:ascii="Times New Roman" w:hAnsi="Times New Roman" w:eastAsia="仿宋_GB2312" w:cs="Times New Roman"/>
          <w:color w:val="auto"/>
          <w:spacing w:val="0"/>
          <w:szCs w:val="22"/>
          <w:lang w:val="zh-CN" w:eastAsia="zh-CN"/>
        </w:rPr>
        <w:t>县城至戛洒段即将</w:t>
      </w:r>
      <w:r>
        <w:rPr>
          <w:rFonts w:hint="default" w:ascii="Times New Roman" w:hAnsi="Times New Roman" w:eastAsia="仿宋_GB2312" w:cs="Times New Roman"/>
          <w:color w:val="auto"/>
          <w:spacing w:val="0"/>
          <w:szCs w:val="22"/>
          <w:lang w:val="en-US" w:eastAsia="zh-CN"/>
        </w:rPr>
        <w:t>竣工；玉磨铁路新平段、墨临高速新平段、永金高速新平段等项目稳步推进；</w:t>
      </w:r>
      <w:r>
        <w:rPr>
          <w:rFonts w:hint="default" w:ascii="Times New Roman" w:hAnsi="Times New Roman" w:eastAsia="仿宋_GB2312" w:cs="Times New Roman"/>
          <w:color w:val="auto"/>
          <w:spacing w:val="0"/>
          <w:szCs w:val="22"/>
          <w:lang w:val="zh-CN" w:eastAsia="zh-CN"/>
        </w:rPr>
        <w:t>通用机场完成选址；昆磨高速新平段</w:t>
      </w:r>
      <w:r>
        <w:rPr>
          <w:rFonts w:hint="eastAsia" w:eastAsia="仿宋_GB2312" w:cs="Times New Roman"/>
          <w:color w:val="auto"/>
          <w:spacing w:val="0"/>
          <w:szCs w:val="22"/>
          <w:lang w:val="zh-CN" w:eastAsia="zh-CN"/>
        </w:rPr>
        <w:t>“</w:t>
      </w:r>
      <w:r>
        <w:rPr>
          <w:rFonts w:hint="default" w:ascii="Times New Roman" w:hAnsi="Times New Roman" w:eastAsia="仿宋_GB2312" w:cs="Times New Roman"/>
          <w:color w:val="auto"/>
          <w:spacing w:val="0"/>
          <w:szCs w:val="22"/>
          <w:lang w:val="zh-CN" w:eastAsia="zh-CN"/>
        </w:rPr>
        <w:t>美丽公路</w:t>
      </w:r>
      <w:r>
        <w:rPr>
          <w:rFonts w:hint="eastAsia" w:eastAsia="仿宋_GB2312" w:cs="Times New Roman"/>
          <w:color w:val="auto"/>
          <w:spacing w:val="0"/>
          <w:szCs w:val="22"/>
          <w:lang w:val="zh-CN" w:eastAsia="zh-CN"/>
        </w:rPr>
        <w:t>”</w:t>
      </w:r>
      <w:r>
        <w:rPr>
          <w:rFonts w:hint="default" w:ascii="Times New Roman" w:hAnsi="Times New Roman" w:eastAsia="仿宋_GB2312" w:cs="Times New Roman"/>
          <w:color w:val="auto"/>
          <w:spacing w:val="0"/>
          <w:szCs w:val="22"/>
          <w:lang w:val="zh-CN" w:eastAsia="zh-CN"/>
        </w:rPr>
        <w:t>建成，县城至磨盘山等</w:t>
      </w:r>
      <w:r>
        <w:rPr>
          <w:rFonts w:hint="default" w:ascii="Times New Roman" w:hAnsi="Times New Roman" w:eastAsia="仿宋_GB2312" w:cs="Times New Roman"/>
          <w:color w:val="auto"/>
          <w:spacing w:val="0"/>
          <w:szCs w:val="22"/>
          <w:lang w:val="en-US" w:eastAsia="zh-CN"/>
        </w:rPr>
        <w:t>3</w:t>
      </w:r>
      <w:r>
        <w:rPr>
          <w:rFonts w:hint="default" w:ascii="Times New Roman" w:hAnsi="Times New Roman" w:eastAsia="仿宋_GB2312" w:cs="Times New Roman"/>
          <w:color w:val="auto"/>
          <w:spacing w:val="0"/>
          <w:szCs w:val="22"/>
          <w:lang w:val="zh-CN" w:eastAsia="zh-CN"/>
        </w:rPr>
        <w:t>条农村公路</w:t>
      </w:r>
      <w:r>
        <w:rPr>
          <w:rFonts w:hint="default" w:ascii="Times New Roman" w:hAnsi="Times New Roman" w:eastAsia="仿宋_GB2312" w:cs="Times New Roman"/>
          <w:color w:val="auto"/>
          <w:spacing w:val="0"/>
          <w:szCs w:val="22"/>
          <w:lang w:val="en-US" w:eastAsia="zh-CN"/>
        </w:rPr>
        <w:t>实现</w:t>
      </w:r>
      <w:r>
        <w:rPr>
          <w:rFonts w:hint="default" w:ascii="Times New Roman" w:hAnsi="Times New Roman" w:eastAsia="仿宋_GB2312" w:cs="Times New Roman"/>
          <w:color w:val="auto"/>
          <w:spacing w:val="0"/>
          <w:szCs w:val="22"/>
          <w:lang w:val="zh-CN" w:eastAsia="zh-CN"/>
        </w:rPr>
        <w:t>提质增绿，</w:t>
      </w:r>
      <w:r>
        <w:rPr>
          <w:rFonts w:hint="default" w:ascii="Times New Roman" w:hAnsi="Times New Roman" w:eastAsia="仿宋_GB2312" w:cs="Times New Roman"/>
          <w:color w:val="auto"/>
          <w:spacing w:val="0"/>
          <w:szCs w:val="22"/>
          <w:lang w:val="en-US" w:eastAsia="zh-CN"/>
        </w:rPr>
        <w:t>建制村实现100%道路硬化。横山水库蓄水验收，完成112座库坝除险加固，白沙河水库、十里河水库、农村饮水安全巩固提升工程等项目稳步推进，抗旱应急工程有序实施，</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西水东调</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中线输水管道工程、洋发城水库扩建工程顺利开工。建成110千伏纳溪变、槟榔变，县域网架结构日趋完善，农村电网改造升级稳步推进。4G移动通信和互联网宽带实现行政村全覆盖，开通</w:t>
      </w:r>
      <w:r>
        <w:rPr>
          <w:rFonts w:hint="default" w:ascii="Times New Roman" w:hAnsi="Times New Roman" w:eastAsia="仿宋_GB2312" w:cs="Times New Roman"/>
          <w:color w:val="auto"/>
          <w:spacing w:val="0"/>
          <w:szCs w:val="22"/>
          <w:lang w:val="en-GB" w:eastAsia="zh-CN"/>
        </w:rPr>
        <w:t>58</w:t>
      </w:r>
      <w:r>
        <w:rPr>
          <w:rFonts w:hint="default" w:ascii="Times New Roman" w:hAnsi="Times New Roman" w:eastAsia="仿宋_GB2312" w:cs="Times New Roman"/>
          <w:color w:val="auto"/>
          <w:spacing w:val="0"/>
          <w:szCs w:val="22"/>
          <w:lang w:val="en-US" w:eastAsia="zh-CN"/>
        </w:rPr>
        <w:t>个5G站点，电信业务总量位列玉溪市第</w:t>
      </w:r>
      <w:r>
        <w:rPr>
          <w:rFonts w:hint="default" w:ascii="Times New Roman" w:hAnsi="Times New Roman" w:eastAsia="仿宋_GB2312" w:cs="Times New Roman"/>
          <w:color w:val="auto"/>
          <w:spacing w:val="0"/>
          <w:szCs w:val="22"/>
          <w:lang w:val="en-GB" w:eastAsia="zh-CN"/>
        </w:rPr>
        <w:t>2</w:t>
      </w:r>
      <w:r>
        <w:rPr>
          <w:rFonts w:hint="default" w:ascii="Times New Roman" w:hAnsi="Times New Roman" w:eastAsia="仿宋_GB2312" w:cs="Times New Roman"/>
          <w:color w:val="auto"/>
          <w:spacing w:val="0"/>
          <w:szCs w:val="22"/>
          <w:lang w:val="en-US" w:eastAsia="zh-CN"/>
        </w:rPr>
        <w:t>位。建成戛洒红山物流园，启动金茂仓储物流中心建设，县乡村三级物流配送体系基本形成。</w:t>
      </w:r>
    </w:p>
    <w:p w14:paraId="2C0E87E9">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五、城乡面貌焕然一新</w:t>
      </w:r>
    </w:p>
    <w:p w14:paraId="7F8BA10E">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2"/>
          <w:lang w:val="en-US" w:eastAsia="zh-CN"/>
        </w:rPr>
      </w:pPr>
      <w:r>
        <w:rPr>
          <w:rFonts w:hint="default" w:ascii="Times New Roman" w:hAnsi="Times New Roman" w:eastAsia="仿宋_GB2312" w:cs="Times New Roman"/>
          <w:color w:val="auto"/>
          <w:spacing w:val="0"/>
          <w:szCs w:val="22"/>
          <w:lang w:val="en-US" w:eastAsia="zh-CN"/>
        </w:rPr>
        <w:t>县城建设成效显著，被命名为国家卫生县城、国家园林县城，列入云南首批</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美丽县城</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连续四届被评为省级文明县城。老城片区改造取得重大突破，城市精细化管理水平持续提升。特色小镇建设成果丰硕，戛洒镇荣获全国特色小城镇、云南省旅游名镇称号，扬武、漠沙争创特色小镇工作有序推进。乡村振兴战略全面实施，集镇生活垃圾和污水实现有效处理全覆盖，乡村振兴示范点建设有序推进；村庄规划编制、农村人居环境治理PPP项目顺利启动，农村户厕改造任务如期完成。</w:t>
      </w:r>
    </w:p>
    <w:p w14:paraId="35239681">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六、生态文明建设成效显著</w:t>
      </w:r>
    </w:p>
    <w:p w14:paraId="4D0F9A6C">
      <w:pPr>
        <w:pageBreakBefore w:val="0"/>
        <w:widowControl w:val="0"/>
        <w:kinsoku/>
        <w:wordWrap/>
        <w:overflowPunct/>
        <w:topLinePunct w:val="0"/>
        <w:autoSpaceDN/>
        <w:bidi w:val="0"/>
        <w:rPr>
          <w:rFonts w:hint="default" w:ascii="Times New Roman" w:hAnsi="Times New Roman" w:cs="Times New Roman"/>
          <w:color w:val="auto"/>
          <w:spacing w:val="0"/>
          <w:szCs w:val="22"/>
          <w:lang w:val="en-US" w:eastAsia="zh-CN"/>
        </w:rPr>
      </w:pPr>
      <w:r>
        <w:rPr>
          <w:rFonts w:hint="default" w:ascii="Times New Roman" w:hAnsi="Times New Roman" w:eastAsia="仿宋_GB2312" w:cs="Times New Roman"/>
          <w:color w:val="auto"/>
          <w:spacing w:val="0"/>
          <w:szCs w:val="22"/>
          <w:lang w:val="en-US" w:eastAsia="zh-CN"/>
        </w:rPr>
        <w:t>成功创建省级生态文明县，桂山街道创建为国家级生态乡镇，其余乡镇（街道）全部创建为省级生态乡镇，被评为</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中国天然氧吧</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严格开展领导干部生态环境保护离任审计，生态红线管控制度全面推行，环保督察问题整改扎实有效，完成全国第二次污染源普查工作。在全省率先探索开展山林长制改革试点，天保工程深入推进，全县森林覆盖率达73.65%，超规划目标7.65个百分点。河（湖）长制全面落实，野生动植物资源保护与管理、水土流失治理、防洪减灾等工作深入开展。</w:t>
      </w:r>
    </w:p>
    <w:p w14:paraId="14857F44">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七、重点改革事项圆满完成</w:t>
      </w:r>
    </w:p>
    <w:p w14:paraId="22F3332C">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2"/>
          <w:lang w:val="en-US" w:eastAsia="zh-CN"/>
        </w:rPr>
      </w:pPr>
      <w:r>
        <w:rPr>
          <w:rFonts w:hint="default" w:ascii="Times New Roman" w:hAnsi="Times New Roman" w:eastAsia="仿宋_GB2312" w:cs="Times New Roman"/>
          <w:color w:val="auto"/>
          <w:spacing w:val="0"/>
          <w:szCs w:val="22"/>
          <w:lang w:val="en-US" w:eastAsia="zh-CN"/>
        </w:rPr>
        <w:t>深化党政机构改革、人事制度改革、社会保障制度改革、商事制度改革，完成党政机关、事业单位、国有企业公务用车制度改革和县属国有公司实体化改革。完成农村集体土地承包经营权、林地确权登记颁证，农村集体建设用地和宅基地使用权确权登记颁证稳步推进。成功引进富滇等商业银行，农村信用社改制为农村商业银行，金融服务模式不断创新。殡葬改革在全市率先实现五个百分百。综合行政执法改革稳妥推进，政务服务中心</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一站式</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惠民服务平台建成使用，乡镇、行政村（社区）为民服务中心（站）实现全覆盖；搭建了公共资源交易平台，公共资源交易实现全程电子化管理。</w:t>
      </w:r>
    </w:p>
    <w:p w14:paraId="78A95C3E">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八、民生福祉不断增进</w:t>
      </w:r>
    </w:p>
    <w:p w14:paraId="2E021F01">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color w:val="auto"/>
          <w:spacing w:val="0"/>
          <w:szCs w:val="22"/>
          <w:lang w:val="en-US" w:eastAsia="zh-CN"/>
        </w:rPr>
      </w:pPr>
      <w:r>
        <w:rPr>
          <w:rFonts w:hint="default" w:ascii="Times New Roman" w:hAnsi="Times New Roman" w:eastAsia="仿宋_GB2312" w:cs="Times New Roman"/>
          <w:color w:val="auto"/>
          <w:spacing w:val="0"/>
          <w:szCs w:val="22"/>
          <w:lang w:val="en-US" w:eastAsia="zh-CN"/>
        </w:rPr>
        <w:t>教育资源布局调整成效显著，三中、二幼等学校建成投入使用，义务教育发展基本均衡，九年义务教育巩固率达97.75%，高中阶段毛入学率达95.95%，超额完成</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十三五</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规划确定的目标。健康新平建设全面推进，县人民医院综合楼建设有序推进，</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五大中心</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顺利通过验收；县中医医院、妇幼保健院二期等项目前期进展顺利；成功入选国家紧密型县域</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医共体</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建设试点县。城镇登记失业率</w:t>
      </w:r>
      <w:r>
        <w:rPr>
          <w:rFonts w:hint="eastAsia" w:eastAsia="仿宋_GB2312" w:cs="Times New Roman"/>
          <w:color w:val="auto"/>
          <w:spacing w:val="0"/>
          <w:szCs w:val="22"/>
          <w:lang w:val="en-US" w:eastAsia="zh-CN"/>
        </w:rPr>
        <w:t>3.4%，</w:t>
      </w:r>
      <w:r>
        <w:rPr>
          <w:rFonts w:hint="default" w:ascii="Times New Roman" w:hAnsi="Times New Roman" w:eastAsia="仿宋_GB2312" w:cs="Times New Roman"/>
          <w:color w:val="auto"/>
          <w:spacing w:val="0"/>
          <w:szCs w:val="22"/>
          <w:lang w:val="en-US" w:eastAsia="zh-CN"/>
        </w:rPr>
        <w:t>控制在3.5%以内，社会保险实现各层各类人员全覆盖，建档立卡贫困人口100%参加社会保险。县乡村三级退役军人服务保障实现全覆盖。磨皮彝族花鼓文化传习馆投入使用。构建了县乡村三级儿童服务网，县救灾物资储备仓库投入使用，粮食安全保障有力，统计、武装、安全生产、外事侨办、防震减灾、气象、水库移民等工作健康发展，共青团、工会、县志、妇女儿童、档案、老龄、残疾人、红十字等事业取得新进展。</w:t>
      </w:r>
    </w:p>
    <w:p w14:paraId="04633622">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九、治理效能不断提升</w:t>
      </w:r>
    </w:p>
    <w:p w14:paraId="24FEBE00">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2"/>
          <w:lang w:val="en-US" w:eastAsia="zh-CN"/>
        </w:rPr>
      </w:pPr>
      <w:r>
        <w:rPr>
          <w:rFonts w:hint="default" w:ascii="Times New Roman" w:hAnsi="Times New Roman" w:eastAsia="仿宋_GB2312" w:cs="Times New Roman"/>
          <w:color w:val="auto"/>
          <w:spacing w:val="0"/>
          <w:szCs w:val="22"/>
          <w:lang w:val="en-US" w:eastAsia="zh-CN"/>
        </w:rPr>
        <w:t>全面从严治党纵深推进，意识形态工作责任制全面落实，红旗村评选、县融媒体中心建设、新时代文明实践中心（所、站）建设特色突出、走在前列。民主法治建设深入推进，协商在基层试点工作成效初显，新时代矛盾纠纷多元化解机制改革取得新的突破。法治社会建设不断加强，</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七五</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普法顺利验收，县级部门聘请法律顾问、乡镇（街道）和村（社区）设立公共法律服务中心（站）、法律援助刑事案件辩护实现3个全覆盖。</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智慧平安县城</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建设全面推进，扫黑除恶专项斗争持续深化，戛洒派出所被命名为全省首批</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枫桥式公安派出所</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。社会管理服务能力全面提升，禁毒防艾、扫黄禁赌、反邪教、反恐怖工作持续加强。森林草原防火措施全面落实，企业安全生产监管信息化指挥调度平台建成使用。社会和谐稳定局面持续巩固，被命名为</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全国民族团结进步示范县</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，成立云南省首个</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行政接边地区民族团结进步创建联盟</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，戛洒镇上榜第六批</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全国民族团结进步创建示范区（单位）</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w:t>
      </w:r>
    </w:p>
    <w:p w14:paraId="55167ABF">
      <w:pPr>
        <w:pageBreakBefore w:val="0"/>
        <w:widowControl w:val="0"/>
        <w:kinsoku/>
        <w:wordWrap/>
        <w:overflowPunct/>
        <w:topLinePunct w:val="0"/>
        <w:autoSpaceDN/>
        <w:bidi w:val="0"/>
        <w:rPr>
          <w:color w:val="auto"/>
          <w:spacing w:val="0"/>
          <w:sz w:val="28"/>
          <w:szCs w:val="28"/>
        </w:rPr>
      </w:pPr>
      <w:r>
        <w:rPr>
          <w:rFonts w:hint="default" w:ascii="Times New Roman" w:hAnsi="Times New Roman" w:eastAsia="宋体" w:cs="Times New Roman"/>
          <w:b/>
          <w:bCs/>
          <w:color w:val="auto"/>
          <w:spacing w:val="0"/>
          <w:kern w:val="0"/>
          <w:sz w:val="24"/>
          <w:szCs w:val="24"/>
          <w:lang w:bidi="ar"/>
        </w:rPr>
        <w:br w:type="page"/>
      </w:r>
    </w:p>
    <w:p w14:paraId="25905872">
      <w:pPr>
        <w:pageBreakBefore w:val="0"/>
        <w:widowControl w:val="0"/>
        <w:kinsoku/>
        <w:wordWrap/>
        <w:overflowPunct/>
        <w:topLinePunct w:val="0"/>
        <w:autoSpaceDN/>
        <w:bidi w:val="0"/>
        <w:ind w:left="0" w:leftChars="0" w:firstLine="0" w:firstLineChars="0"/>
        <w:jc w:val="center"/>
        <w:rPr>
          <w:rFonts w:hint="eastAsia" w:ascii="黑体" w:hAnsi="黑体" w:eastAsia="黑体" w:cs="黑体"/>
          <w:b/>
          <w:bCs/>
          <w:color w:val="auto"/>
          <w:spacing w:val="0"/>
          <w:sz w:val="24"/>
          <w:szCs w:val="24"/>
        </w:rPr>
      </w:pPr>
      <w:r>
        <w:rPr>
          <w:rFonts w:hint="eastAsia" w:ascii="黑体" w:hAnsi="黑体" w:eastAsia="黑体" w:cs="黑体"/>
          <w:b/>
          <w:bCs/>
          <w:color w:val="auto"/>
          <w:spacing w:val="0"/>
          <w:kern w:val="0"/>
          <w:sz w:val="24"/>
          <w:szCs w:val="24"/>
          <w:lang w:bidi="ar"/>
        </w:rPr>
        <w:t>专栏1  新平县</w:t>
      </w:r>
      <w:r>
        <w:rPr>
          <w:rFonts w:hint="eastAsia" w:ascii="黑体" w:hAnsi="黑体" w:eastAsia="黑体" w:cs="黑体"/>
          <w:b/>
          <w:bCs/>
          <w:color w:val="auto"/>
          <w:spacing w:val="0"/>
          <w:kern w:val="0"/>
          <w:sz w:val="24"/>
          <w:szCs w:val="24"/>
          <w:lang w:eastAsia="zh-CN" w:bidi="ar"/>
        </w:rPr>
        <w:t>“</w:t>
      </w:r>
      <w:r>
        <w:rPr>
          <w:rFonts w:hint="eastAsia" w:ascii="黑体" w:hAnsi="黑体" w:eastAsia="黑体" w:cs="黑体"/>
          <w:b/>
          <w:bCs/>
          <w:color w:val="auto"/>
          <w:spacing w:val="0"/>
          <w:kern w:val="0"/>
          <w:sz w:val="24"/>
          <w:szCs w:val="24"/>
          <w:lang w:bidi="ar"/>
        </w:rPr>
        <w:t>十三五</w:t>
      </w:r>
      <w:r>
        <w:rPr>
          <w:rFonts w:hint="eastAsia" w:ascii="黑体" w:hAnsi="黑体" w:eastAsia="黑体" w:cs="黑体"/>
          <w:b/>
          <w:bCs/>
          <w:color w:val="auto"/>
          <w:spacing w:val="0"/>
          <w:kern w:val="0"/>
          <w:sz w:val="24"/>
          <w:szCs w:val="24"/>
          <w:lang w:eastAsia="zh-CN" w:bidi="ar"/>
        </w:rPr>
        <w:t>”</w:t>
      </w:r>
      <w:r>
        <w:rPr>
          <w:rFonts w:hint="eastAsia" w:ascii="黑体" w:hAnsi="黑体" w:eastAsia="黑体" w:cs="黑体"/>
          <w:b/>
          <w:bCs/>
          <w:color w:val="auto"/>
          <w:spacing w:val="0"/>
          <w:kern w:val="0"/>
          <w:sz w:val="24"/>
          <w:szCs w:val="24"/>
          <w:lang w:bidi="ar"/>
        </w:rPr>
        <w:t>规划经济社会发展主要指标执行情况表</w:t>
      </w:r>
    </w:p>
    <w:tbl>
      <w:tblPr>
        <w:tblStyle w:val="20"/>
        <w:tblW w:w="9188" w:type="dxa"/>
        <w:jc w:val="cente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Layout w:type="fixed"/>
        <w:tblCellMar>
          <w:top w:w="0" w:type="dxa"/>
          <w:left w:w="0" w:type="dxa"/>
          <w:bottom w:w="0" w:type="dxa"/>
          <w:right w:w="0" w:type="dxa"/>
        </w:tblCellMar>
      </w:tblPr>
      <w:tblGrid>
        <w:gridCol w:w="332"/>
        <w:gridCol w:w="260"/>
        <w:gridCol w:w="4197"/>
        <w:gridCol w:w="858"/>
        <w:gridCol w:w="975"/>
        <w:gridCol w:w="985"/>
        <w:gridCol w:w="809"/>
        <w:gridCol w:w="772"/>
      </w:tblGrid>
      <w:tr w14:paraId="0D8EFBD1">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360" w:hRule="atLeast"/>
          <w:jc w:val="center"/>
        </w:trPr>
        <w:tc>
          <w:tcPr>
            <w:tcW w:w="332" w:type="dxa"/>
            <w:vMerge w:val="restart"/>
            <w:tcBorders>
              <w:tl2br w:val="nil"/>
              <w:tr2bl w:val="nil"/>
            </w:tcBorders>
            <w:shd w:val="clear" w:color="auto" w:fill="FFFFFF"/>
            <w:noWrap w:val="0"/>
            <w:tcMar>
              <w:top w:w="15" w:type="dxa"/>
              <w:left w:w="15" w:type="dxa"/>
              <w:right w:w="15" w:type="dxa"/>
            </w:tcMar>
            <w:vAlign w:val="center"/>
          </w:tcPr>
          <w:p w14:paraId="342828E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b/>
                <w:color w:val="auto"/>
                <w:spacing w:val="0"/>
                <w:sz w:val="18"/>
                <w:szCs w:val="18"/>
              </w:rPr>
            </w:pPr>
            <w:r>
              <w:rPr>
                <w:rFonts w:hint="default" w:ascii="Times New Roman" w:hAnsi="Times New Roman" w:eastAsia="仿宋_GB2312" w:cs="Times New Roman"/>
                <w:b/>
                <w:color w:val="auto"/>
                <w:spacing w:val="0"/>
                <w:kern w:val="0"/>
                <w:sz w:val="18"/>
                <w:szCs w:val="18"/>
                <w:lang w:bidi="ar"/>
              </w:rPr>
              <w:t>序号</w:t>
            </w:r>
          </w:p>
        </w:tc>
        <w:tc>
          <w:tcPr>
            <w:tcW w:w="260" w:type="dxa"/>
            <w:vMerge w:val="restart"/>
            <w:tcBorders>
              <w:tl2br w:val="nil"/>
              <w:tr2bl w:val="nil"/>
            </w:tcBorders>
            <w:shd w:val="clear" w:color="auto" w:fill="FFFFFF"/>
            <w:noWrap w:val="0"/>
            <w:tcMar>
              <w:top w:w="15" w:type="dxa"/>
              <w:left w:w="15" w:type="dxa"/>
              <w:right w:w="15" w:type="dxa"/>
            </w:tcMar>
            <w:vAlign w:val="center"/>
          </w:tcPr>
          <w:p w14:paraId="2C4EF3F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b/>
                <w:color w:val="auto"/>
                <w:spacing w:val="0"/>
                <w:sz w:val="18"/>
                <w:szCs w:val="18"/>
              </w:rPr>
            </w:pPr>
            <w:r>
              <w:rPr>
                <w:rFonts w:hint="default" w:ascii="Times New Roman" w:hAnsi="Times New Roman" w:eastAsia="仿宋_GB2312" w:cs="Times New Roman"/>
                <w:b/>
                <w:color w:val="auto"/>
                <w:spacing w:val="0"/>
                <w:kern w:val="0"/>
                <w:sz w:val="18"/>
                <w:szCs w:val="18"/>
                <w:lang w:bidi="ar"/>
              </w:rPr>
              <w:t>分类</w:t>
            </w:r>
          </w:p>
        </w:tc>
        <w:tc>
          <w:tcPr>
            <w:tcW w:w="4197" w:type="dxa"/>
            <w:vMerge w:val="restart"/>
            <w:tcBorders>
              <w:tl2br w:val="nil"/>
              <w:tr2bl w:val="nil"/>
            </w:tcBorders>
            <w:shd w:val="clear" w:color="auto" w:fill="FFFFFF"/>
            <w:noWrap w:val="0"/>
            <w:tcMar>
              <w:top w:w="15" w:type="dxa"/>
              <w:left w:w="15" w:type="dxa"/>
              <w:right w:w="15" w:type="dxa"/>
            </w:tcMar>
            <w:vAlign w:val="center"/>
          </w:tcPr>
          <w:p w14:paraId="155DDEE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b/>
                <w:color w:val="auto"/>
                <w:spacing w:val="0"/>
                <w:sz w:val="18"/>
                <w:szCs w:val="18"/>
              </w:rPr>
            </w:pPr>
            <w:r>
              <w:rPr>
                <w:rFonts w:hint="default" w:ascii="Times New Roman" w:hAnsi="Times New Roman" w:eastAsia="仿宋_GB2312" w:cs="Times New Roman"/>
                <w:b/>
                <w:color w:val="auto"/>
                <w:spacing w:val="0"/>
                <w:kern w:val="0"/>
                <w:sz w:val="18"/>
                <w:szCs w:val="18"/>
                <w:lang w:bidi="ar"/>
              </w:rPr>
              <w:t>经济社会指标</w:t>
            </w:r>
          </w:p>
        </w:tc>
        <w:tc>
          <w:tcPr>
            <w:tcW w:w="858" w:type="dxa"/>
            <w:vMerge w:val="restart"/>
            <w:tcBorders>
              <w:tl2br w:val="nil"/>
              <w:tr2bl w:val="nil"/>
            </w:tcBorders>
            <w:shd w:val="clear" w:color="auto" w:fill="FFFFFF"/>
            <w:noWrap w:val="0"/>
            <w:tcMar>
              <w:top w:w="15" w:type="dxa"/>
              <w:left w:w="15" w:type="dxa"/>
              <w:right w:w="15" w:type="dxa"/>
            </w:tcMar>
            <w:vAlign w:val="center"/>
          </w:tcPr>
          <w:p w14:paraId="35996EF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b/>
                <w:color w:val="auto"/>
                <w:spacing w:val="0"/>
                <w:sz w:val="18"/>
                <w:szCs w:val="18"/>
              </w:rPr>
            </w:pPr>
            <w:r>
              <w:rPr>
                <w:rFonts w:hint="default" w:ascii="Times New Roman" w:hAnsi="Times New Roman" w:eastAsia="仿宋_GB2312" w:cs="Times New Roman"/>
                <w:b/>
                <w:color w:val="auto"/>
                <w:spacing w:val="0"/>
                <w:kern w:val="0"/>
                <w:sz w:val="18"/>
                <w:szCs w:val="18"/>
                <w:lang w:bidi="ar"/>
              </w:rPr>
              <w:t>2015年完成数</w:t>
            </w:r>
          </w:p>
        </w:tc>
        <w:tc>
          <w:tcPr>
            <w:tcW w:w="975" w:type="dxa"/>
            <w:vMerge w:val="restart"/>
            <w:tcBorders>
              <w:tl2br w:val="nil"/>
              <w:tr2bl w:val="nil"/>
            </w:tcBorders>
            <w:shd w:val="clear" w:color="auto" w:fill="FFFFFF"/>
            <w:noWrap w:val="0"/>
            <w:tcMar>
              <w:top w:w="15" w:type="dxa"/>
              <w:left w:w="15" w:type="dxa"/>
              <w:right w:w="15" w:type="dxa"/>
            </w:tcMar>
            <w:vAlign w:val="center"/>
          </w:tcPr>
          <w:p w14:paraId="55B410D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b/>
                <w:color w:val="auto"/>
                <w:spacing w:val="0"/>
                <w:sz w:val="18"/>
                <w:szCs w:val="18"/>
              </w:rPr>
            </w:pPr>
            <w:r>
              <w:rPr>
                <w:rFonts w:hint="eastAsia" w:eastAsia="仿宋_GB2312" w:cs="Times New Roman"/>
                <w:b/>
                <w:color w:val="auto"/>
                <w:spacing w:val="0"/>
                <w:kern w:val="0"/>
                <w:sz w:val="18"/>
                <w:szCs w:val="18"/>
                <w:lang w:eastAsia="zh-CN" w:bidi="ar"/>
              </w:rPr>
              <w:t>“</w:t>
            </w:r>
            <w:r>
              <w:rPr>
                <w:rFonts w:hint="default" w:ascii="Times New Roman" w:hAnsi="Times New Roman" w:eastAsia="仿宋_GB2312" w:cs="Times New Roman"/>
                <w:b/>
                <w:color w:val="auto"/>
                <w:spacing w:val="0"/>
                <w:kern w:val="0"/>
                <w:sz w:val="18"/>
                <w:szCs w:val="18"/>
                <w:lang w:bidi="ar"/>
              </w:rPr>
              <w:t>十三五</w:t>
            </w:r>
            <w:r>
              <w:rPr>
                <w:rFonts w:hint="eastAsia" w:eastAsia="仿宋_GB2312" w:cs="Times New Roman"/>
                <w:b/>
                <w:color w:val="auto"/>
                <w:spacing w:val="0"/>
                <w:kern w:val="0"/>
                <w:sz w:val="18"/>
                <w:szCs w:val="18"/>
                <w:lang w:eastAsia="zh-CN" w:bidi="ar"/>
              </w:rPr>
              <w:t>”</w:t>
            </w:r>
            <w:r>
              <w:rPr>
                <w:rFonts w:hint="default" w:ascii="Times New Roman" w:hAnsi="Times New Roman" w:eastAsia="仿宋_GB2312" w:cs="Times New Roman"/>
                <w:b/>
                <w:color w:val="auto"/>
                <w:spacing w:val="0"/>
                <w:kern w:val="0"/>
                <w:sz w:val="18"/>
                <w:szCs w:val="18"/>
                <w:lang w:bidi="ar"/>
              </w:rPr>
              <w:t>规划目标</w:t>
            </w:r>
          </w:p>
        </w:tc>
        <w:tc>
          <w:tcPr>
            <w:tcW w:w="985" w:type="dxa"/>
            <w:vMerge w:val="restart"/>
            <w:tcBorders>
              <w:tl2br w:val="nil"/>
              <w:tr2bl w:val="nil"/>
            </w:tcBorders>
            <w:shd w:val="clear" w:color="auto" w:fill="FFFFFF"/>
            <w:noWrap w:val="0"/>
            <w:tcMar>
              <w:top w:w="15" w:type="dxa"/>
              <w:left w:w="15" w:type="dxa"/>
              <w:right w:w="15" w:type="dxa"/>
            </w:tcMar>
            <w:vAlign w:val="center"/>
          </w:tcPr>
          <w:p w14:paraId="5BCAE58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b/>
                <w:color w:val="auto"/>
                <w:spacing w:val="0"/>
                <w:sz w:val="18"/>
                <w:szCs w:val="18"/>
              </w:rPr>
            </w:pPr>
            <w:r>
              <w:rPr>
                <w:rFonts w:hint="default" w:ascii="Times New Roman" w:hAnsi="Times New Roman" w:eastAsia="仿宋_GB2312" w:cs="Times New Roman"/>
                <w:b/>
                <w:color w:val="auto"/>
                <w:spacing w:val="0"/>
                <w:kern w:val="0"/>
                <w:sz w:val="18"/>
                <w:szCs w:val="18"/>
                <w:lang w:bidi="ar"/>
              </w:rPr>
              <w:t>2019年完成数</w:t>
            </w:r>
          </w:p>
        </w:tc>
        <w:tc>
          <w:tcPr>
            <w:tcW w:w="809" w:type="dxa"/>
            <w:vMerge w:val="restart"/>
            <w:tcBorders>
              <w:tl2br w:val="nil"/>
              <w:tr2bl w:val="nil"/>
            </w:tcBorders>
            <w:shd w:val="clear" w:color="auto" w:fill="FFFFFF"/>
            <w:noWrap w:val="0"/>
            <w:tcMar>
              <w:top w:w="15" w:type="dxa"/>
              <w:left w:w="15" w:type="dxa"/>
              <w:right w:w="15" w:type="dxa"/>
            </w:tcMar>
            <w:vAlign w:val="center"/>
          </w:tcPr>
          <w:p w14:paraId="1520BC5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b/>
                <w:color w:val="auto"/>
                <w:spacing w:val="0"/>
                <w:sz w:val="18"/>
                <w:szCs w:val="18"/>
              </w:rPr>
            </w:pPr>
            <w:r>
              <w:rPr>
                <w:rFonts w:hint="default" w:ascii="Times New Roman" w:hAnsi="Times New Roman" w:eastAsia="仿宋_GB2312" w:cs="Times New Roman"/>
                <w:b/>
                <w:color w:val="auto"/>
                <w:spacing w:val="0"/>
                <w:kern w:val="0"/>
                <w:sz w:val="18"/>
                <w:szCs w:val="18"/>
                <w:lang w:bidi="ar"/>
              </w:rPr>
              <w:t>2020年预计完成数</w:t>
            </w:r>
          </w:p>
        </w:tc>
        <w:tc>
          <w:tcPr>
            <w:tcW w:w="772" w:type="dxa"/>
            <w:vMerge w:val="restart"/>
            <w:tcBorders>
              <w:tl2br w:val="nil"/>
              <w:tr2bl w:val="nil"/>
            </w:tcBorders>
            <w:shd w:val="clear" w:color="auto" w:fill="FFFFFF"/>
            <w:noWrap w:val="0"/>
            <w:tcMar>
              <w:top w:w="15" w:type="dxa"/>
              <w:left w:w="15" w:type="dxa"/>
              <w:right w:w="15" w:type="dxa"/>
            </w:tcMar>
            <w:vAlign w:val="center"/>
          </w:tcPr>
          <w:p w14:paraId="0139958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b/>
                <w:color w:val="auto"/>
                <w:spacing w:val="0"/>
                <w:sz w:val="18"/>
                <w:szCs w:val="18"/>
              </w:rPr>
            </w:pPr>
            <w:r>
              <w:rPr>
                <w:rFonts w:hint="default" w:ascii="Times New Roman" w:hAnsi="Times New Roman" w:eastAsia="仿宋_GB2312" w:cs="Times New Roman"/>
                <w:b/>
                <w:color w:val="auto"/>
                <w:spacing w:val="0"/>
                <w:kern w:val="0"/>
                <w:sz w:val="18"/>
                <w:szCs w:val="18"/>
                <w:lang w:bidi="ar"/>
              </w:rPr>
              <w:t>指标属性</w:t>
            </w:r>
          </w:p>
        </w:tc>
      </w:tr>
      <w:tr w14:paraId="34C259C7">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360" w:hRule="atLeast"/>
          <w:jc w:val="center"/>
        </w:trPr>
        <w:tc>
          <w:tcPr>
            <w:tcW w:w="332" w:type="dxa"/>
            <w:vMerge w:val="continue"/>
            <w:tcBorders>
              <w:tl2br w:val="nil"/>
              <w:tr2bl w:val="nil"/>
            </w:tcBorders>
            <w:shd w:val="clear" w:color="auto" w:fill="FFFFFF"/>
            <w:noWrap w:val="0"/>
            <w:tcMar>
              <w:top w:w="15" w:type="dxa"/>
              <w:left w:w="15" w:type="dxa"/>
              <w:right w:w="15" w:type="dxa"/>
            </w:tcMar>
            <w:vAlign w:val="center"/>
          </w:tcPr>
          <w:p w14:paraId="74B4DAB3">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260" w:type="dxa"/>
            <w:vMerge w:val="continue"/>
            <w:tcBorders>
              <w:tl2br w:val="nil"/>
              <w:tr2bl w:val="nil"/>
            </w:tcBorders>
            <w:shd w:val="clear" w:color="auto" w:fill="FFFFFF"/>
            <w:noWrap w:val="0"/>
            <w:tcMar>
              <w:top w:w="15" w:type="dxa"/>
              <w:left w:w="15" w:type="dxa"/>
              <w:right w:w="15" w:type="dxa"/>
            </w:tcMar>
            <w:vAlign w:val="center"/>
          </w:tcPr>
          <w:p w14:paraId="53632EE4">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4197" w:type="dxa"/>
            <w:vMerge w:val="continue"/>
            <w:tcBorders>
              <w:tl2br w:val="nil"/>
              <w:tr2bl w:val="nil"/>
            </w:tcBorders>
            <w:shd w:val="clear" w:color="auto" w:fill="FFFFFF"/>
            <w:noWrap w:val="0"/>
            <w:tcMar>
              <w:top w:w="15" w:type="dxa"/>
              <w:left w:w="15" w:type="dxa"/>
              <w:right w:w="15" w:type="dxa"/>
            </w:tcMar>
            <w:vAlign w:val="center"/>
          </w:tcPr>
          <w:p w14:paraId="554EDBCC">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858" w:type="dxa"/>
            <w:vMerge w:val="continue"/>
            <w:tcBorders>
              <w:tl2br w:val="nil"/>
              <w:tr2bl w:val="nil"/>
            </w:tcBorders>
            <w:shd w:val="clear" w:color="auto" w:fill="FFFFFF"/>
            <w:noWrap w:val="0"/>
            <w:tcMar>
              <w:top w:w="15" w:type="dxa"/>
              <w:left w:w="15" w:type="dxa"/>
              <w:right w:w="15" w:type="dxa"/>
            </w:tcMar>
            <w:vAlign w:val="center"/>
          </w:tcPr>
          <w:p w14:paraId="433F7490">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975" w:type="dxa"/>
            <w:vMerge w:val="continue"/>
            <w:tcBorders>
              <w:tl2br w:val="nil"/>
              <w:tr2bl w:val="nil"/>
            </w:tcBorders>
            <w:shd w:val="clear" w:color="auto" w:fill="FFFFFF"/>
            <w:noWrap w:val="0"/>
            <w:tcMar>
              <w:top w:w="15" w:type="dxa"/>
              <w:left w:w="15" w:type="dxa"/>
              <w:right w:w="15" w:type="dxa"/>
            </w:tcMar>
            <w:vAlign w:val="center"/>
          </w:tcPr>
          <w:p w14:paraId="54AA6B57">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985" w:type="dxa"/>
            <w:vMerge w:val="continue"/>
            <w:tcBorders>
              <w:tl2br w:val="nil"/>
              <w:tr2bl w:val="nil"/>
            </w:tcBorders>
            <w:shd w:val="clear" w:color="auto" w:fill="FFFFFF"/>
            <w:noWrap w:val="0"/>
            <w:tcMar>
              <w:top w:w="15" w:type="dxa"/>
              <w:left w:w="15" w:type="dxa"/>
              <w:right w:w="15" w:type="dxa"/>
            </w:tcMar>
            <w:vAlign w:val="center"/>
          </w:tcPr>
          <w:p w14:paraId="4D60180C">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809" w:type="dxa"/>
            <w:vMerge w:val="continue"/>
            <w:tcBorders>
              <w:tl2br w:val="nil"/>
              <w:tr2bl w:val="nil"/>
            </w:tcBorders>
            <w:shd w:val="clear" w:color="auto" w:fill="FFFFFF"/>
            <w:noWrap w:val="0"/>
            <w:tcMar>
              <w:top w:w="15" w:type="dxa"/>
              <w:left w:w="15" w:type="dxa"/>
              <w:right w:w="15" w:type="dxa"/>
            </w:tcMar>
            <w:vAlign w:val="center"/>
          </w:tcPr>
          <w:p w14:paraId="642C7675">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772" w:type="dxa"/>
            <w:vMerge w:val="continue"/>
            <w:tcBorders>
              <w:tl2br w:val="nil"/>
              <w:tr2bl w:val="nil"/>
            </w:tcBorders>
            <w:shd w:val="clear" w:color="auto" w:fill="FFFFFF"/>
            <w:noWrap w:val="0"/>
            <w:tcMar>
              <w:top w:w="15" w:type="dxa"/>
              <w:left w:w="15" w:type="dxa"/>
              <w:right w:w="15" w:type="dxa"/>
            </w:tcMar>
            <w:vAlign w:val="center"/>
          </w:tcPr>
          <w:p w14:paraId="088694C3">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r>
      <w:tr w14:paraId="3AE57154">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312" w:hRule="atLeast"/>
          <w:jc w:val="center"/>
        </w:trPr>
        <w:tc>
          <w:tcPr>
            <w:tcW w:w="332" w:type="dxa"/>
            <w:vMerge w:val="continue"/>
            <w:tcBorders>
              <w:tl2br w:val="nil"/>
              <w:tr2bl w:val="nil"/>
            </w:tcBorders>
            <w:shd w:val="clear" w:color="auto" w:fill="FFFFFF"/>
            <w:noWrap w:val="0"/>
            <w:tcMar>
              <w:top w:w="15" w:type="dxa"/>
              <w:left w:w="15" w:type="dxa"/>
              <w:right w:w="15" w:type="dxa"/>
            </w:tcMar>
            <w:vAlign w:val="center"/>
          </w:tcPr>
          <w:p w14:paraId="54745173">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260" w:type="dxa"/>
            <w:vMerge w:val="continue"/>
            <w:tcBorders>
              <w:tl2br w:val="nil"/>
              <w:tr2bl w:val="nil"/>
            </w:tcBorders>
            <w:shd w:val="clear" w:color="auto" w:fill="FFFFFF"/>
            <w:noWrap w:val="0"/>
            <w:tcMar>
              <w:top w:w="15" w:type="dxa"/>
              <w:left w:w="15" w:type="dxa"/>
              <w:right w:w="15" w:type="dxa"/>
            </w:tcMar>
            <w:vAlign w:val="center"/>
          </w:tcPr>
          <w:p w14:paraId="3A3E138A">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4197" w:type="dxa"/>
            <w:vMerge w:val="continue"/>
            <w:tcBorders>
              <w:tl2br w:val="nil"/>
              <w:tr2bl w:val="nil"/>
            </w:tcBorders>
            <w:shd w:val="clear" w:color="auto" w:fill="FFFFFF"/>
            <w:noWrap w:val="0"/>
            <w:tcMar>
              <w:top w:w="15" w:type="dxa"/>
              <w:left w:w="15" w:type="dxa"/>
              <w:right w:w="15" w:type="dxa"/>
            </w:tcMar>
            <w:vAlign w:val="center"/>
          </w:tcPr>
          <w:p w14:paraId="2DAC3262">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858" w:type="dxa"/>
            <w:vMerge w:val="continue"/>
            <w:tcBorders>
              <w:tl2br w:val="nil"/>
              <w:tr2bl w:val="nil"/>
            </w:tcBorders>
            <w:shd w:val="clear" w:color="auto" w:fill="FFFFFF"/>
            <w:noWrap w:val="0"/>
            <w:tcMar>
              <w:top w:w="15" w:type="dxa"/>
              <w:left w:w="15" w:type="dxa"/>
              <w:right w:w="15" w:type="dxa"/>
            </w:tcMar>
            <w:vAlign w:val="center"/>
          </w:tcPr>
          <w:p w14:paraId="425EA946">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975" w:type="dxa"/>
            <w:vMerge w:val="continue"/>
            <w:tcBorders>
              <w:tl2br w:val="nil"/>
              <w:tr2bl w:val="nil"/>
            </w:tcBorders>
            <w:shd w:val="clear" w:color="auto" w:fill="FFFFFF"/>
            <w:noWrap w:val="0"/>
            <w:tcMar>
              <w:top w:w="15" w:type="dxa"/>
              <w:left w:w="15" w:type="dxa"/>
              <w:right w:w="15" w:type="dxa"/>
            </w:tcMar>
            <w:vAlign w:val="center"/>
          </w:tcPr>
          <w:p w14:paraId="6BB4DDDB">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985" w:type="dxa"/>
            <w:vMerge w:val="continue"/>
            <w:tcBorders>
              <w:tl2br w:val="nil"/>
              <w:tr2bl w:val="nil"/>
            </w:tcBorders>
            <w:shd w:val="clear" w:color="auto" w:fill="FFFFFF"/>
            <w:noWrap w:val="0"/>
            <w:tcMar>
              <w:top w:w="15" w:type="dxa"/>
              <w:left w:w="15" w:type="dxa"/>
              <w:right w:w="15" w:type="dxa"/>
            </w:tcMar>
            <w:vAlign w:val="center"/>
          </w:tcPr>
          <w:p w14:paraId="4DE7AC94">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809" w:type="dxa"/>
            <w:vMerge w:val="continue"/>
            <w:tcBorders>
              <w:tl2br w:val="nil"/>
              <w:tr2bl w:val="nil"/>
            </w:tcBorders>
            <w:shd w:val="clear" w:color="auto" w:fill="FFFFFF"/>
            <w:noWrap w:val="0"/>
            <w:tcMar>
              <w:top w:w="15" w:type="dxa"/>
              <w:left w:w="15" w:type="dxa"/>
              <w:right w:w="15" w:type="dxa"/>
            </w:tcMar>
            <w:vAlign w:val="center"/>
          </w:tcPr>
          <w:p w14:paraId="1B9B48A6">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772" w:type="dxa"/>
            <w:vMerge w:val="continue"/>
            <w:tcBorders>
              <w:tl2br w:val="nil"/>
              <w:tr2bl w:val="nil"/>
            </w:tcBorders>
            <w:shd w:val="clear" w:color="auto" w:fill="FFFFFF"/>
            <w:noWrap w:val="0"/>
            <w:tcMar>
              <w:top w:w="15" w:type="dxa"/>
              <w:left w:w="15" w:type="dxa"/>
              <w:right w:w="15" w:type="dxa"/>
            </w:tcMar>
            <w:vAlign w:val="center"/>
          </w:tcPr>
          <w:p w14:paraId="318EF13F">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r>
      <w:tr w14:paraId="34513144">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6146DBD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w:t>
            </w:r>
          </w:p>
        </w:tc>
        <w:tc>
          <w:tcPr>
            <w:tcW w:w="260" w:type="dxa"/>
            <w:vMerge w:val="restart"/>
            <w:tcBorders>
              <w:tl2br w:val="nil"/>
              <w:tr2bl w:val="nil"/>
            </w:tcBorders>
            <w:shd w:val="clear" w:color="auto" w:fill="FFFFFF"/>
            <w:noWrap w:val="0"/>
            <w:tcMar>
              <w:top w:w="15" w:type="dxa"/>
              <w:left w:w="15" w:type="dxa"/>
              <w:right w:w="15" w:type="dxa"/>
            </w:tcMar>
            <w:vAlign w:val="center"/>
          </w:tcPr>
          <w:p w14:paraId="31CE950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eastAsia" w:ascii="Times New Roman" w:hAnsi="Times New Roman" w:eastAsia="仿宋_GB2312" w:cs="Times New Roman"/>
                <w:color w:val="auto"/>
                <w:spacing w:val="0"/>
                <w:kern w:val="0"/>
                <w:sz w:val="18"/>
                <w:szCs w:val="18"/>
                <w:lang w:eastAsia="zh-CN" w:bidi="ar"/>
              </w:rPr>
            </w:pPr>
            <w:r>
              <w:rPr>
                <w:rFonts w:hint="default" w:ascii="Times New Roman" w:hAnsi="Times New Roman" w:eastAsia="仿宋_GB2312" w:cs="Times New Roman"/>
                <w:color w:val="auto"/>
                <w:spacing w:val="0"/>
                <w:kern w:val="0"/>
                <w:sz w:val="18"/>
                <w:szCs w:val="18"/>
                <w:lang w:bidi="ar"/>
              </w:rPr>
              <w:t>经济</w:t>
            </w:r>
          </w:p>
          <w:p w14:paraId="1F95F56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发展</w:t>
            </w:r>
          </w:p>
        </w:tc>
        <w:tc>
          <w:tcPr>
            <w:tcW w:w="4197" w:type="dxa"/>
            <w:tcBorders>
              <w:tl2br w:val="nil"/>
              <w:tr2bl w:val="nil"/>
            </w:tcBorders>
            <w:shd w:val="clear" w:color="auto" w:fill="FFFFFF"/>
            <w:noWrap w:val="0"/>
            <w:tcMar>
              <w:top w:w="15" w:type="dxa"/>
              <w:left w:w="15" w:type="dxa"/>
              <w:right w:w="15" w:type="dxa"/>
            </w:tcMar>
            <w:vAlign w:val="center"/>
          </w:tcPr>
          <w:p w14:paraId="4DA18935">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eastAsia="zh-CN" w:bidi="ar"/>
              </w:rPr>
              <w:t>地区</w:t>
            </w:r>
            <w:r>
              <w:rPr>
                <w:rFonts w:hint="default" w:ascii="Times New Roman" w:hAnsi="Times New Roman" w:eastAsia="仿宋_GB2312" w:cs="Times New Roman"/>
                <w:color w:val="auto"/>
                <w:spacing w:val="0"/>
                <w:kern w:val="0"/>
                <w:sz w:val="18"/>
                <w:szCs w:val="18"/>
                <w:lang w:bidi="ar"/>
              </w:rPr>
              <w:t>生产总值（GDP，亿元）</w:t>
            </w:r>
          </w:p>
        </w:tc>
        <w:tc>
          <w:tcPr>
            <w:tcW w:w="858" w:type="dxa"/>
            <w:tcBorders>
              <w:tl2br w:val="nil"/>
              <w:tr2bl w:val="nil"/>
            </w:tcBorders>
            <w:shd w:val="clear" w:color="auto" w:fill="FFFFFF"/>
            <w:noWrap w:val="0"/>
            <w:tcMar>
              <w:top w:w="15" w:type="dxa"/>
              <w:left w:w="15" w:type="dxa"/>
              <w:right w:w="15" w:type="dxa"/>
            </w:tcMar>
            <w:vAlign w:val="center"/>
          </w:tcPr>
          <w:p w14:paraId="79F385B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113.3</w:t>
            </w:r>
          </w:p>
        </w:tc>
        <w:tc>
          <w:tcPr>
            <w:tcW w:w="975" w:type="dxa"/>
            <w:tcBorders>
              <w:tl2br w:val="nil"/>
              <w:tr2bl w:val="nil"/>
            </w:tcBorders>
            <w:shd w:val="clear" w:color="auto" w:fill="FFFFFF"/>
            <w:noWrap w:val="0"/>
            <w:tcMar>
              <w:top w:w="15" w:type="dxa"/>
              <w:left w:w="15" w:type="dxa"/>
              <w:right w:w="15" w:type="dxa"/>
            </w:tcMar>
            <w:vAlign w:val="center"/>
          </w:tcPr>
          <w:p w14:paraId="503F614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190</w:t>
            </w:r>
          </w:p>
        </w:tc>
        <w:tc>
          <w:tcPr>
            <w:tcW w:w="985" w:type="dxa"/>
            <w:tcBorders>
              <w:tl2br w:val="nil"/>
              <w:tr2bl w:val="nil"/>
            </w:tcBorders>
            <w:shd w:val="clear" w:color="auto" w:fill="FFFFFF"/>
            <w:noWrap w:val="0"/>
            <w:tcMar>
              <w:top w:w="15" w:type="dxa"/>
              <w:left w:w="15" w:type="dxa"/>
              <w:right w:w="15" w:type="dxa"/>
            </w:tcMar>
            <w:vAlign w:val="center"/>
          </w:tcPr>
          <w:p w14:paraId="3454697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197.2</w:t>
            </w:r>
          </w:p>
        </w:tc>
        <w:tc>
          <w:tcPr>
            <w:tcW w:w="809" w:type="dxa"/>
            <w:tcBorders>
              <w:tl2br w:val="nil"/>
              <w:tr2bl w:val="nil"/>
            </w:tcBorders>
            <w:shd w:val="clear" w:color="auto" w:fill="FFFFFF"/>
            <w:noWrap w:val="0"/>
            <w:tcMar>
              <w:top w:w="15" w:type="dxa"/>
              <w:left w:w="15" w:type="dxa"/>
              <w:right w:w="15" w:type="dxa"/>
            </w:tcMar>
            <w:vAlign w:val="center"/>
          </w:tcPr>
          <w:p w14:paraId="025F2D7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213.9</w:t>
            </w:r>
          </w:p>
        </w:tc>
        <w:tc>
          <w:tcPr>
            <w:tcW w:w="772" w:type="dxa"/>
            <w:tcBorders>
              <w:tl2br w:val="nil"/>
              <w:tr2bl w:val="nil"/>
            </w:tcBorders>
            <w:shd w:val="clear" w:color="auto" w:fill="FFFFFF"/>
            <w:noWrap w:val="0"/>
            <w:tcMar>
              <w:top w:w="15" w:type="dxa"/>
              <w:left w:w="15" w:type="dxa"/>
              <w:right w:w="15" w:type="dxa"/>
            </w:tcMar>
            <w:vAlign w:val="center"/>
          </w:tcPr>
          <w:p w14:paraId="55F6FD7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118696C6">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9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6912F17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w:t>
            </w:r>
          </w:p>
        </w:tc>
        <w:tc>
          <w:tcPr>
            <w:tcW w:w="260" w:type="dxa"/>
            <w:vMerge w:val="continue"/>
            <w:tcBorders>
              <w:tl2br w:val="nil"/>
              <w:tr2bl w:val="nil"/>
            </w:tcBorders>
            <w:shd w:val="clear" w:color="auto" w:fill="FFFFFF"/>
            <w:noWrap w:val="0"/>
            <w:tcMar>
              <w:top w:w="15" w:type="dxa"/>
              <w:left w:w="15" w:type="dxa"/>
              <w:right w:w="15" w:type="dxa"/>
            </w:tcMar>
            <w:vAlign w:val="center"/>
          </w:tcPr>
          <w:p w14:paraId="1FB73AC2">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0F0AD2F0">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人均生产总值（元）</w:t>
            </w:r>
          </w:p>
        </w:tc>
        <w:tc>
          <w:tcPr>
            <w:tcW w:w="858" w:type="dxa"/>
            <w:tcBorders>
              <w:tl2br w:val="nil"/>
              <w:tr2bl w:val="nil"/>
            </w:tcBorders>
            <w:shd w:val="clear" w:color="auto" w:fill="FFFFFF"/>
            <w:noWrap w:val="0"/>
            <w:tcMar>
              <w:top w:w="15" w:type="dxa"/>
              <w:left w:w="15" w:type="dxa"/>
              <w:right w:w="15" w:type="dxa"/>
            </w:tcMar>
            <w:vAlign w:val="center"/>
          </w:tcPr>
          <w:p w14:paraId="69FA3CA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38943</w:t>
            </w:r>
          </w:p>
        </w:tc>
        <w:tc>
          <w:tcPr>
            <w:tcW w:w="975" w:type="dxa"/>
            <w:tcBorders>
              <w:tl2br w:val="nil"/>
              <w:tr2bl w:val="nil"/>
            </w:tcBorders>
            <w:shd w:val="clear" w:color="auto" w:fill="FFFFFF"/>
            <w:noWrap w:val="0"/>
            <w:tcMar>
              <w:top w:w="15" w:type="dxa"/>
              <w:left w:w="15" w:type="dxa"/>
              <w:right w:w="15" w:type="dxa"/>
            </w:tcMar>
            <w:vAlign w:val="center"/>
          </w:tcPr>
          <w:p w14:paraId="6A84428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62000</w:t>
            </w:r>
          </w:p>
        </w:tc>
        <w:tc>
          <w:tcPr>
            <w:tcW w:w="985" w:type="dxa"/>
            <w:tcBorders>
              <w:tl2br w:val="nil"/>
              <w:tr2bl w:val="nil"/>
            </w:tcBorders>
            <w:shd w:val="clear" w:color="auto" w:fill="FFFFFF"/>
            <w:noWrap w:val="0"/>
            <w:tcMar>
              <w:top w:w="15" w:type="dxa"/>
              <w:left w:w="15" w:type="dxa"/>
              <w:right w:w="15" w:type="dxa"/>
            </w:tcMar>
            <w:vAlign w:val="center"/>
          </w:tcPr>
          <w:p w14:paraId="0A97A89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67517</w:t>
            </w:r>
          </w:p>
        </w:tc>
        <w:tc>
          <w:tcPr>
            <w:tcW w:w="809" w:type="dxa"/>
            <w:tcBorders>
              <w:tl2br w:val="nil"/>
              <w:tr2bl w:val="nil"/>
            </w:tcBorders>
            <w:shd w:val="clear" w:color="auto" w:fill="FFFFFF"/>
            <w:noWrap w:val="0"/>
            <w:tcMar>
              <w:top w:w="15" w:type="dxa"/>
              <w:left w:w="15" w:type="dxa"/>
              <w:right w:w="15" w:type="dxa"/>
            </w:tcMar>
            <w:vAlign w:val="center"/>
          </w:tcPr>
          <w:p w14:paraId="60ED312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73227</w:t>
            </w:r>
          </w:p>
        </w:tc>
        <w:tc>
          <w:tcPr>
            <w:tcW w:w="772" w:type="dxa"/>
            <w:tcBorders>
              <w:tl2br w:val="nil"/>
              <w:tr2bl w:val="nil"/>
            </w:tcBorders>
            <w:shd w:val="clear" w:color="auto" w:fill="FFFFFF"/>
            <w:noWrap w:val="0"/>
            <w:tcMar>
              <w:top w:w="15" w:type="dxa"/>
              <w:left w:w="15" w:type="dxa"/>
              <w:right w:w="15" w:type="dxa"/>
            </w:tcMar>
            <w:vAlign w:val="center"/>
          </w:tcPr>
          <w:p w14:paraId="7B9B27A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1AAD7C99">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38CC8FC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w:t>
            </w:r>
          </w:p>
        </w:tc>
        <w:tc>
          <w:tcPr>
            <w:tcW w:w="260" w:type="dxa"/>
            <w:vMerge w:val="continue"/>
            <w:tcBorders>
              <w:tl2br w:val="nil"/>
              <w:tr2bl w:val="nil"/>
            </w:tcBorders>
            <w:shd w:val="clear" w:color="auto" w:fill="FFFFFF"/>
            <w:noWrap w:val="0"/>
            <w:tcMar>
              <w:top w:w="15" w:type="dxa"/>
              <w:left w:w="15" w:type="dxa"/>
              <w:right w:w="15" w:type="dxa"/>
            </w:tcMar>
            <w:vAlign w:val="center"/>
          </w:tcPr>
          <w:p w14:paraId="6D2990E9">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604275CB">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服务业增加值比重（%）</w:t>
            </w:r>
          </w:p>
        </w:tc>
        <w:tc>
          <w:tcPr>
            <w:tcW w:w="858" w:type="dxa"/>
            <w:tcBorders>
              <w:tl2br w:val="nil"/>
              <w:tr2bl w:val="nil"/>
            </w:tcBorders>
            <w:shd w:val="clear" w:color="auto" w:fill="FFFFFF"/>
            <w:noWrap w:val="0"/>
            <w:tcMar>
              <w:top w:w="15" w:type="dxa"/>
              <w:left w:w="15" w:type="dxa"/>
              <w:right w:w="15" w:type="dxa"/>
            </w:tcMar>
            <w:vAlign w:val="center"/>
          </w:tcPr>
          <w:p w14:paraId="75F42B7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44.7</w:t>
            </w:r>
          </w:p>
        </w:tc>
        <w:tc>
          <w:tcPr>
            <w:tcW w:w="975" w:type="dxa"/>
            <w:tcBorders>
              <w:tl2br w:val="nil"/>
              <w:tr2bl w:val="nil"/>
            </w:tcBorders>
            <w:shd w:val="clear" w:color="auto" w:fill="FFFFFF"/>
            <w:noWrap w:val="0"/>
            <w:tcMar>
              <w:top w:w="15" w:type="dxa"/>
              <w:left w:w="15" w:type="dxa"/>
              <w:right w:w="15" w:type="dxa"/>
            </w:tcMar>
            <w:vAlign w:val="center"/>
          </w:tcPr>
          <w:p w14:paraId="30051EF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45</w:t>
            </w:r>
          </w:p>
        </w:tc>
        <w:tc>
          <w:tcPr>
            <w:tcW w:w="985" w:type="dxa"/>
            <w:tcBorders>
              <w:tl2br w:val="nil"/>
              <w:tr2bl w:val="nil"/>
            </w:tcBorders>
            <w:shd w:val="clear" w:color="auto" w:fill="FFFFFF"/>
            <w:noWrap w:val="0"/>
            <w:tcMar>
              <w:top w:w="15" w:type="dxa"/>
              <w:left w:w="15" w:type="dxa"/>
              <w:right w:w="15" w:type="dxa"/>
            </w:tcMar>
            <w:vAlign w:val="center"/>
          </w:tcPr>
          <w:p w14:paraId="504CAEE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bidi="ar"/>
              </w:rPr>
            </w:pPr>
            <w:r>
              <w:rPr>
                <w:rFonts w:hint="eastAsia" w:eastAsia="仿宋_GB2312" w:cs="Times New Roman"/>
                <w:color w:val="auto"/>
                <w:spacing w:val="0"/>
                <w:kern w:val="0"/>
                <w:sz w:val="18"/>
                <w:szCs w:val="18"/>
                <w:lang w:val="en-US" w:eastAsia="zh-CN" w:bidi="ar"/>
              </w:rPr>
              <w:t>47.7</w:t>
            </w:r>
          </w:p>
        </w:tc>
        <w:tc>
          <w:tcPr>
            <w:tcW w:w="809" w:type="dxa"/>
            <w:tcBorders>
              <w:tl2br w:val="nil"/>
              <w:tr2bl w:val="nil"/>
            </w:tcBorders>
            <w:shd w:val="clear" w:color="auto" w:fill="FFFFFF"/>
            <w:noWrap w:val="0"/>
            <w:tcMar>
              <w:top w:w="15" w:type="dxa"/>
              <w:left w:w="15" w:type="dxa"/>
              <w:right w:w="15" w:type="dxa"/>
            </w:tcMar>
            <w:vAlign w:val="center"/>
          </w:tcPr>
          <w:p w14:paraId="1BEC363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45.1</w:t>
            </w:r>
          </w:p>
        </w:tc>
        <w:tc>
          <w:tcPr>
            <w:tcW w:w="772" w:type="dxa"/>
            <w:tcBorders>
              <w:tl2br w:val="nil"/>
              <w:tr2bl w:val="nil"/>
            </w:tcBorders>
            <w:shd w:val="clear" w:color="auto" w:fill="FFFFFF"/>
            <w:noWrap w:val="0"/>
            <w:tcMar>
              <w:top w:w="15" w:type="dxa"/>
              <w:left w:w="15" w:type="dxa"/>
              <w:right w:w="15" w:type="dxa"/>
            </w:tcMar>
            <w:vAlign w:val="center"/>
          </w:tcPr>
          <w:p w14:paraId="4B22FB7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11EBDDBE">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5A30F8D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4</w:t>
            </w:r>
          </w:p>
        </w:tc>
        <w:tc>
          <w:tcPr>
            <w:tcW w:w="260" w:type="dxa"/>
            <w:vMerge w:val="continue"/>
            <w:tcBorders>
              <w:tl2br w:val="nil"/>
              <w:tr2bl w:val="nil"/>
            </w:tcBorders>
            <w:shd w:val="clear" w:color="auto" w:fill="FFFFFF"/>
            <w:noWrap w:val="0"/>
            <w:tcMar>
              <w:top w:w="15" w:type="dxa"/>
              <w:left w:w="15" w:type="dxa"/>
              <w:right w:w="15" w:type="dxa"/>
            </w:tcMar>
            <w:vAlign w:val="center"/>
          </w:tcPr>
          <w:p w14:paraId="45E01DB7">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7B02A855">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非公经济增加值比重（%）</w:t>
            </w:r>
          </w:p>
        </w:tc>
        <w:tc>
          <w:tcPr>
            <w:tcW w:w="858" w:type="dxa"/>
            <w:tcBorders>
              <w:tl2br w:val="nil"/>
              <w:tr2bl w:val="nil"/>
            </w:tcBorders>
            <w:shd w:val="clear" w:color="auto" w:fill="FFFFFF"/>
            <w:noWrap w:val="0"/>
            <w:tcMar>
              <w:top w:w="15" w:type="dxa"/>
              <w:left w:w="15" w:type="dxa"/>
              <w:right w:w="15" w:type="dxa"/>
            </w:tcMar>
            <w:vAlign w:val="center"/>
          </w:tcPr>
          <w:p w14:paraId="39DC836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41.2</w:t>
            </w:r>
          </w:p>
        </w:tc>
        <w:tc>
          <w:tcPr>
            <w:tcW w:w="975" w:type="dxa"/>
            <w:tcBorders>
              <w:tl2br w:val="nil"/>
              <w:tr2bl w:val="nil"/>
            </w:tcBorders>
            <w:shd w:val="clear" w:color="auto" w:fill="FFFFFF"/>
            <w:noWrap w:val="0"/>
            <w:tcMar>
              <w:top w:w="15" w:type="dxa"/>
              <w:left w:w="15" w:type="dxa"/>
              <w:right w:w="15" w:type="dxa"/>
            </w:tcMar>
            <w:vAlign w:val="center"/>
          </w:tcPr>
          <w:p w14:paraId="73A1C47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45</w:t>
            </w:r>
          </w:p>
        </w:tc>
        <w:tc>
          <w:tcPr>
            <w:tcW w:w="985" w:type="dxa"/>
            <w:tcBorders>
              <w:tl2br w:val="nil"/>
              <w:tr2bl w:val="nil"/>
            </w:tcBorders>
            <w:shd w:val="clear" w:color="auto" w:fill="FFFFFF"/>
            <w:noWrap w:val="0"/>
            <w:tcMar>
              <w:top w:w="15" w:type="dxa"/>
              <w:left w:w="15" w:type="dxa"/>
              <w:right w:w="15" w:type="dxa"/>
            </w:tcMar>
            <w:vAlign w:val="center"/>
          </w:tcPr>
          <w:p w14:paraId="07415F3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bidi="ar"/>
              </w:rPr>
            </w:pPr>
            <w:r>
              <w:rPr>
                <w:rFonts w:hint="eastAsia" w:eastAsia="仿宋_GB2312" w:cs="Times New Roman"/>
                <w:color w:val="auto"/>
                <w:spacing w:val="0"/>
                <w:kern w:val="0"/>
                <w:sz w:val="18"/>
                <w:szCs w:val="18"/>
                <w:lang w:val="en-US" w:eastAsia="zh-CN" w:bidi="ar"/>
              </w:rPr>
              <w:t>50</w:t>
            </w:r>
          </w:p>
        </w:tc>
        <w:tc>
          <w:tcPr>
            <w:tcW w:w="809" w:type="dxa"/>
            <w:tcBorders>
              <w:tl2br w:val="nil"/>
              <w:tr2bl w:val="nil"/>
            </w:tcBorders>
            <w:shd w:val="clear" w:color="auto" w:fill="FFFFFF"/>
            <w:noWrap w:val="0"/>
            <w:tcMar>
              <w:top w:w="15" w:type="dxa"/>
              <w:left w:w="15" w:type="dxa"/>
              <w:right w:w="15" w:type="dxa"/>
            </w:tcMar>
            <w:vAlign w:val="center"/>
          </w:tcPr>
          <w:p w14:paraId="177CFCF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50.8</w:t>
            </w:r>
          </w:p>
        </w:tc>
        <w:tc>
          <w:tcPr>
            <w:tcW w:w="772" w:type="dxa"/>
            <w:tcBorders>
              <w:tl2br w:val="nil"/>
              <w:tr2bl w:val="nil"/>
            </w:tcBorders>
            <w:shd w:val="clear" w:color="auto" w:fill="FFFFFF"/>
            <w:noWrap w:val="0"/>
            <w:tcMar>
              <w:top w:w="15" w:type="dxa"/>
              <w:left w:w="15" w:type="dxa"/>
              <w:right w:w="15" w:type="dxa"/>
            </w:tcMar>
            <w:vAlign w:val="center"/>
          </w:tcPr>
          <w:p w14:paraId="2305D5D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6A58B834">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9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450EFBA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5</w:t>
            </w:r>
          </w:p>
        </w:tc>
        <w:tc>
          <w:tcPr>
            <w:tcW w:w="260" w:type="dxa"/>
            <w:vMerge w:val="continue"/>
            <w:tcBorders>
              <w:tl2br w:val="nil"/>
              <w:tr2bl w:val="nil"/>
            </w:tcBorders>
            <w:shd w:val="clear" w:color="auto" w:fill="FFFFFF"/>
            <w:noWrap w:val="0"/>
            <w:tcMar>
              <w:top w:w="15" w:type="dxa"/>
              <w:left w:w="15" w:type="dxa"/>
              <w:right w:w="15" w:type="dxa"/>
            </w:tcMar>
            <w:vAlign w:val="center"/>
          </w:tcPr>
          <w:p w14:paraId="3DE2396A">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07D143AF">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工业总产值（亿元）</w:t>
            </w:r>
          </w:p>
        </w:tc>
        <w:tc>
          <w:tcPr>
            <w:tcW w:w="858" w:type="dxa"/>
            <w:tcBorders>
              <w:tl2br w:val="nil"/>
              <w:tr2bl w:val="nil"/>
            </w:tcBorders>
            <w:shd w:val="clear" w:color="auto" w:fill="FFFFFF"/>
            <w:noWrap w:val="0"/>
            <w:tcMar>
              <w:top w:w="15" w:type="dxa"/>
              <w:left w:w="15" w:type="dxa"/>
              <w:right w:w="15" w:type="dxa"/>
            </w:tcMar>
            <w:vAlign w:val="center"/>
          </w:tcPr>
          <w:p w14:paraId="04A7CE7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171.8</w:t>
            </w:r>
          </w:p>
        </w:tc>
        <w:tc>
          <w:tcPr>
            <w:tcW w:w="975" w:type="dxa"/>
            <w:tcBorders>
              <w:tl2br w:val="nil"/>
              <w:tr2bl w:val="nil"/>
            </w:tcBorders>
            <w:shd w:val="clear" w:color="auto" w:fill="FFFFFF"/>
            <w:noWrap w:val="0"/>
            <w:tcMar>
              <w:top w:w="15" w:type="dxa"/>
              <w:left w:w="15" w:type="dxa"/>
              <w:right w:w="15" w:type="dxa"/>
            </w:tcMar>
            <w:vAlign w:val="center"/>
          </w:tcPr>
          <w:p w14:paraId="232A8AE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300</w:t>
            </w:r>
          </w:p>
        </w:tc>
        <w:tc>
          <w:tcPr>
            <w:tcW w:w="985" w:type="dxa"/>
            <w:tcBorders>
              <w:tl2br w:val="nil"/>
              <w:tr2bl w:val="nil"/>
            </w:tcBorders>
            <w:shd w:val="clear" w:color="auto" w:fill="FFFFFF"/>
            <w:noWrap w:val="0"/>
            <w:tcMar>
              <w:top w:w="15" w:type="dxa"/>
              <w:left w:w="15" w:type="dxa"/>
              <w:right w:w="15" w:type="dxa"/>
            </w:tcMar>
            <w:vAlign w:val="center"/>
          </w:tcPr>
          <w:p w14:paraId="46D5578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273.6</w:t>
            </w:r>
          </w:p>
        </w:tc>
        <w:tc>
          <w:tcPr>
            <w:tcW w:w="809" w:type="dxa"/>
            <w:tcBorders>
              <w:tl2br w:val="nil"/>
              <w:tr2bl w:val="nil"/>
            </w:tcBorders>
            <w:shd w:val="clear" w:color="auto" w:fill="FFFFFF"/>
            <w:noWrap w:val="0"/>
            <w:tcMar>
              <w:top w:w="15" w:type="dxa"/>
              <w:left w:w="15" w:type="dxa"/>
              <w:right w:w="15" w:type="dxa"/>
            </w:tcMar>
            <w:vAlign w:val="center"/>
          </w:tcPr>
          <w:p w14:paraId="44467D2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default" w:ascii="Times New Roman" w:hAnsi="Times New Roman" w:eastAsia="仿宋_GB2312" w:cs="Times New Roman"/>
                <w:color w:val="auto"/>
                <w:spacing w:val="0"/>
                <w:kern w:val="0"/>
                <w:sz w:val="18"/>
                <w:szCs w:val="18"/>
                <w:lang w:val="en-US" w:eastAsia="zh-CN" w:bidi="ar"/>
              </w:rPr>
              <w:t>283.9</w:t>
            </w:r>
          </w:p>
        </w:tc>
        <w:tc>
          <w:tcPr>
            <w:tcW w:w="772" w:type="dxa"/>
            <w:tcBorders>
              <w:tl2br w:val="nil"/>
              <w:tr2bl w:val="nil"/>
            </w:tcBorders>
            <w:shd w:val="clear" w:color="auto" w:fill="FFFFFF"/>
            <w:noWrap w:val="0"/>
            <w:tcMar>
              <w:top w:w="15" w:type="dxa"/>
              <w:left w:w="15" w:type="dxa"/>
              <w:right w:w="15" w:type="dxa"/>
            </w:tcMar>
            <w:vAlign w:val="center"/>
          </w:tcPr>
          <w:p w14:paraId="397609B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2C8C511A">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0CEC435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6</w:t>
            </w:r>
          </w:p>
        </w:tc>
        <w:tc>
          <w:tcPr>
            <w:tcW w:w="260" w:type="dxa"/>
            <w:vMerge w:val="continue"/>
            <w:tcBorders>
              <w:tl2br w:val="nil"/>
              <w:tr2bl w:val="nil"/>
            </w:tcBorders>
            <w:shd w:val="clear" w:color="auto" w:fill="FFFFFF"/>
            <w:noWrap w:val="0"/>
            <w:tcMar>
              <w:top w:w="15" w:type="dxa"/>
              <w:left w:w="15" w:type="dxa"/>
              <w:right w:w="15" w:type="dxa"/>
            </w:tcMar>
            <w:vAlign w:val="center"/>
          </w:tcPr>
          <w:p w14:paraId="0A16D4CC">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3E0AD3AD">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农业总产值（亿元）</w:t>
            </w:r>
          </w:p>
        </w:tc>
        <w:tc>
          <w:tcPr>
            <w:tcW w:w="858" w:type="dxa"/>
            <w:tcBorders>
              <w:tl2br w:val="nil"/>
              <w:tr2bl w:val="nil"/>
            </w:tcBorders>
            <w:shd w:val="clear" w:color="auto" w:fill="FFFFFF"/>
            <w:noWrap w:val="0"/>
            <w:tcMar>
              <w:top w:w="15" w:type="dxa"/>
              <w:left w:w="15" w:type="dxa"/>
              <w:right w:w="15" w:type="dxa"/>
            </w:tcMar>
            <w:vAlign w:val="center"/>
          </w:tcPr>
          <w:p w14:paraId="6F34673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31.6</w:t>
            </w:r>
          </w:p>
        </w:tc>
        <w:tc>
          <w:tcPr>
            <w:tcW w:w="975" w:type="dxa"/>
            <w:tcBorders>
              <w:tl2br w:val="nil"/>
              <w:tr2bl w:val="nil"/>
            </w:tcBorders>
            <w:shd w:val="clear" w:color="auto" w:fill="FFFFFF"/>
            <w:noWrap w:val="0"/>
            <w:tcMar>
              <w:top w:w="15" w:type="dxa"/>
              <w:left w:w="15" w:type="dxa"/>
              <w:right w:w="15" w:type="dxa"/>
            </w:tcMar>
            <w:vAlign w:val="center"/>
          </w:tcPr>
          <w:p w14:paraId="60C446B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50</w:t>
            </w:r>
          </w:p>
        </w:tc>
        <w:tc>
          <w:tcPr>
            <w:tcW w:w="985" w:type="dxa"/>
            <w:tcBorders>
              <w:tl2br w:val="nil"/>
              <w:tr2bl w:val="nil"/>
            </w:tcBorders>
            <w:shd w:val="clear" w:color="auto" w:fill="FFFFFF"/>
            <w:noWrap w:val="0"/>
            <w:tcMar>
              <w:top w:w="15" w:type="dxa"/>
              <w:left w:w="15" w:type="dxa"/>
              <w:right w:w="15" w:type="dxa"/>
            </w:tcMar>
            <w:vAlign w:val="center"/>
          </w:tcPr>
          <w:p w14:paraId="6E0E7D3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48.6</w:t>
            </w:r>
          </w:p>
        </w:tc>
        <w:tc>
          <w:tcPr>
            <w:tcW w:w="809" w:type="dxa"/>
            <w:tcBorders>
              <w:tl2br w:val="nil"/>
              <w:tr2bl w:val="nil"/>
            </w:tcBorders>
            <w:shd w:val="clear" w:color="auto" w:fill="FFFFFF"/>
            <w:noWrap w:val="0"/>
            <w:tcMar>
              <w:top w:w="15" w:type="dxa"/>
              <w:left w:w="15" w:type="dxa"/>
              <w:right w:w="15" w:type="dxa"/>
            </w:tcMar>
            <w:vAlign w:val="center"/>
          </w:tcPr>
          <w:p w14:paraId="0674250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55.2</w:t>
            </w:r>
          </w:p>
        </w:tc>
        <w:tc>
          <w:tcPr>
            <w:tcW w:w="772" w:type="dxa"/>
            <w:tcBorders>
              <w:tl2br w:val="nil"/>
              <w:tr2bl w:val="nil"/>
            </w:tcBorders>
            <w:shd w:val="clear" w:color="auto" w:fill="FFFFFF"/>
            <w:noWrap w:val="0"/>
            <w:tcMar>
              <w:top w:w="15" w:type="dxa"/>
              <w:left w:w="15" w:type="dxa"/>
              <w:right w:w="15" w:type="dxa"/>
            </w:tcMar>
            <w:vAlign w:val="center"/>
          </w:tcPr>
          <w:p w14:paraId="171E78A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302166E7">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19AE404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7</w:t>
            </w:r>
          </w:p>
        </w:tc>
        <w:tc>
          <w:tcPr>
            <w:tcW w:w="260" w:type="dxa"/>
            <w:vMerge w:val="continue"/>
            <w:tcBorders>
              <w:tl2br w:val="nil"/>
              <w:tr2bl w:val="nil"/>
            </w:tcBorders>
            <w:shd w:val="clear" w:color="auto" w:fill="FFFFFF"/>
            <w:noWrap w:val="0"/>
            <w:tcMar>
              <w:top w:w="15" w:type="dxa"/>
              <w:left w:w="15" w:type="dxa"/>
              <w:right w:w="15" w:type="dxa"/>
            </w:tcMar>
            <w:vAlign w:val="center"/>
          </w:tcPr>
          <w:p w14:paraId="00AE457E">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594665C2">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地方财政收入（亿元）</w:t>
            </w:r>
          </w:p>
        </w:tc>
        <w:tc>
          <w:tcPr>
            <w:tcW w:w="858" w:type="dxa"/>
            <w:tcBorders>
              <w:tl2br w:val="nil"/>
              <w:tr2bl w:val="nil"/>
            </w:tcBorders>
            <w:shd w:val="clear" w:color="auto" w:fill="FFFFFF"/>
            <w:noWrap w:val="0"/>
            <w:tcMar>
              <w:top w:w="15" w:type="dxa"/>
              <w:left w:w="15" w:type="dxa"/>
              <w:right w:w="15" w:type="dxa"/>
            </w:tcMar>
            <w:vAlign w:val="center"/>
          </w:tcPr>
          <w:p w14:paraId="496B4EC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13.3</w:t>
            </w:r>
          </w:p>
        </w:tc>
        <w:tc>
          <w:tcPr>
            <w:tcW w:w="975" w:type="dxa"/>
            <w:tcBorders>
              <w:tl2br w:val="nil"/>
              <w:tr2bl w:val="nil"/>
            </w:tcBorders>
            <w:shd w:val="clear" w:color="auto" w:fill="FFFFFF"/>
            <w:noWrap w:val="0"/>
            <w:tcMar>
              <w:top w:w="15" w:type="dxa"/>
              <w:left w:w="15" w:type="dxa"/>
              <w:right w:w="15" w:type="dxa"/>
            </w:tcMar>
            <w:vAlign w:val="center"/>
          </w:tcPr>
          <w:p w14:paraId="07701B0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18</w:t>
            </w:r>
          </w:p>
        </w:tc>
        <w:tc>
          <w:tcPr>
            <w:tcW w:w="985" w:type="dxa"/>
            <w:tcBorders>
              <w:tl2br w:val="nil"/>
              <w:tr2bl w:val="nil"/>
            </w:tcBorders>
            <w:shd w:val="clear" w:color="auto" w:fill="FFFFFF"/>
            <w:noWrap w:val="0"/>
            <w:tcMar>
              <w:top w:w="15" w:type="dxa"/>
              <w:left w:w="15" w:type="dxa"/>
              <w:right w:w="15" w:type="dxa"/>
            </w:tcMar>
            <w:vAlign w:val="center"/>
          </w:tcPr>
          <w:p w14:paraId="3DDE5C5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20.6</w:t>
            </w:r>
          </w:p>
        </w:tc>
        <w:tc>
          <w:tcPr>
            <w:tcW w:w="809" w:type="dxa"/>
            <w:tcBorders>
              <w:tl2br w:val="nil"/>
              <w:tr2bl w:val="nil"/>
            </w:tcBorders>
            <w:shd w:val="clear" w:color="auto" w:fill="FFFFFF"/>
            <w:noWrap w:val="0"/>
            <w:tcMar>
              <w:top w:w="15" w:type="dxa"/>
              <w:left w:w="15" w:type="dxa"/>
              <w:right w:w="15" w:type="dxa"/>
            </w:tcMar>
            <w:vAlign w:val="center"/>
          </w:tcPr>
          <w:p w14:paraId="2B1FA00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default" w:ascii="Times New Roman" w:hAnsi="Times New Roman" w:eastAsia="仿宋_GB2312" w:cs="Times New Roman"/>
                <w:color w:val="auto"/>
                <w:spacing w:val="0"/>
                <w:kern w:val="0"/>
                <w:sz w:val="18"/>
                <w:szCs w:val="18"/>
                <w:lang w:val="en-US" w:eastAsia="zh-CN" w:bidi="ar"/>
              </w:rPr>
              <w:t>23.</w:t>
            </w:r>
            <w:r>
              <w:rPr>
                <w:rFonts w:hint="eastAsia" w:eastAsia="仿宋_GB2312" w:cs="Times New Roman"/>
                <w:color w:val="auto"/>
                <w:spacing w:val="0"/>
                <w:kern w:val="0"/>
                <w:sz w:val="18"/>
                <w:szCs w:val="18"/>
                <w:lang w:val="en-US" w:eastAsia="zh-CN" w:bidi="ar"/>
              </w:rPr>
              <w:t>15</w:t>
            </w:r>
          </w:p>
        </w:tc>
        <w:tc>
          <w:tcPr>
            <w:tcW w:w="772" w:type="dxa"/>
            <w:tcBorders>
              <w:tl2br w:val="nil"/>
              <w:tr2bl w:val="nil"/>
            </w:tcBorders>
            <w:shd w:val="clear" w:color="auto" w:fill="FFFFFF"/>
            <w:noWrap w:val="0"/>
            <w:tcMar>
              <w:top w:w="15" w:type="dxa"/>
              <w:left w:w="15" w:type="dxa"/>
              <w:right w:w="15" w:type="dxa"/>
            </w:tcMar>
            <w:vAlign w:val="center"/>
          </w:tcPr>
          <w:p w14:paraId="18C0DEA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61DAC799">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56ECF97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8</w:t>
            </w:r>
          </w:p>
        </w:tc>
        <w:tc>
          <w:tcPr>
            <w:tcW w:w="260" w:type="dxa"/>
            <w:vMerge w:val="continue"/>
            <w:tcBorders>
              <w:tl2br w:val="nil"/>
              <w:tr2bl w:val="nil"/>
            </w:tcBorders>
            <w:shd w:val="clear" w:color="auto" w:fill="FFFFFF"/>
            <w:noWrap w:val="0"/>
            <w:tcMar>
              <w:top w:w="15" w:type="dxa"/>
              <w:left w:w="15" w:type="dxa"/>
              <w:right w:w="15" w:type="dxa"/>
            </w:tcMar>
            <w:vAlign w:val="center"/>
          </w:tcPr>
          <w:p w14:paraId="05E7B150">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52714F65">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地方公共财政预算收入（亿元）</w:t>
            </w:r>
          </w:p>
        </w:tc>
        <w:tc>
          <w:tcPr>
            <w:tcW w:w="858" w:type="dxa"/>
            <w:tcBorders>
              <w:tl2br w:val="nil"/>
              <w:tr2bl w:val="nil"/>
            </w:tcBorders>
            <w:shd w:val="clear" w:color="auto" w:fill="FFFFFF"/>
            <w:noWrap w:val="0"/>
            <w:tcMar>
              <w:top w:w="15" w:type="dxa"/>
              <w:left w:w="15" w:type="dxa"/>
              <w:right w:w="15" w:type="dxa"/>
            </w:tcMar>
            <w:vAlign w:val="center"/>
          </w:tcPr>
          <w:p w14:paraId="3EFF75F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11.2</w:t>
            </w:r>
          </w:p>
        </w:tc>
        <w:tc>
          <w:tcPr>
            <w:tcW w:w="975" w:type="dxa"/>
            <w:tcBorders>
              <w:tl2br w:val="nil"/>
              <w:tr2bl w:val="nil"/>
            </w:tcBorders>
            <w:shd w:val="clear" w:color="auto" w:fill="FFFFFF"/>
            <w:noWrap w:val="0"/>
            <w:tcMar>
              <w:top w:w="15" w:type="dxa"/>
              <w:left w:w="15" w:type="dxa"/>
              <w:right w:w="15" w:type="dxa"/>
            </w:tcMar>
            <w:vAlign w:val="center"/>
          </w:tcPr>
          <w:p w14:paraId="1855CE2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16.6</w:t>
            </w:r>
          </w:p>
        </w:tc>
        <w:tc>
          <w:tcPr>
            <w:tcW w:w="985" w:type="dxa"/>
            <w:tcBorders>
              <w:tl2br w:val="nil"/>
              <w:tr2bl w:val="nil"/>
            </w:tcBorders>
            <w:shd w:val="clear" w:color="auto" w:fill="FFFFFF"/>
            <w:noWrap w:val="0"/>
            <w:tcMar>
              <w:top w:w="15" w:type="dxa"/>
              <w:left w:w="15" w:type="dxa"/>
              <w:right w:w="15" w:type="dxa"/>
            </w:tcMar>
            <w:vAlign w:val="center"/>
          </w:tcPr>
          <w:p w14:paraId="0610F92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13</w:t>
            </w:r>
          </w:p>
        </w:tc>
        <w:tc>
          <w:tcPr>
            <w:tcW w:w="809" w:type="dxa"/>
            <w:tcBorders>
              <w:tl2br w:val="nil"/>
              <w:tr2bl w:val="nil"/>
            </w:tcBorders>
            <w:shd w:val="clear" w:color="auto" w:fill="FFFFFF"/>
            <w:noWrap w:val="0"/>
            <w:tcMar>
              <w:top w:w="15" w:type="dxa"/>
              <w:left w:w="15" w:type="dxa"/>
              <w:right w:w="15" w:type="dxa"/>
            </w:tcMar>
            <w:vAlign w:val="center"/>
          </w:tcPr>
          <w:p w14:paraId="34E2957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default" w:ascii="Times New Roman" w:hAnsi="Times New Roman" w:eastAsia="仿宋_GB2312" w:cs="Times New Roman"/>
                <w:color w:val="auto"/>
                <w:spacing w:val="0"/>
                <w:kern w:val="0"/>
                <w:sz w:val="18"/>
                <w:szCs w:val="18"/>
                <w:lang w:val="en-US" w:eastAsia="zh-CN" w:bidi="ar"/>
              </w:rPr>
              <w:t>12.9</w:t>
            </w:r>
          </w:p>
        </w:tc>
        <w:tc>
          <w:tcPr>
            <w:tcW w:w="772" w:type="dxa"/>
            <w:tcBorders>
              <w:tl2br w:val="nil"/>
              <w:tr2bl w:val="nil"/>
            </w:tcBorders>
            <w:shd w:val="clear" w:color="auto" w:fill="FFFFFF"/>
            <w:noWrap w:val="0"/>
            <w:tcMar>
              <w:top w:w="15" w:type="dxa"/>
              <w:left w:w="15" w:type="dxa"/>
              <w:right w:w="15" w:type="dxa"/>
            </w:tcMar>
            <w:vAlign w:val="center"/>
          </w:tcPr>
          <w:p w14:paraId="55B2B06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453BCBD4">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38A2EFF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9</w:t>
            </w:r>
          </w:p>
        </w:tc>
        <w:tc>
          <w:tcPr>
            <w:tcW w:w="260" w:type="dxa"/>
            <w:vMerge w:val="continue"/>
            <w:tcBorders>
              <w:tl2br w:val="nil"/>
              <w:tr2bl w:val="nil"/>
            </w:tcBorders>
            <w:shd w:val="clear" w:color="auto" w:fill="FFFFFF"/>
            <w:noWrap w:val="0"/>
            <w:tcMar>
              <w:top w:w="15" w:type="dxa"/>
              <w:left w:w="15" w:type="dxa"/>
              <w:right w:w="15" w:type="dxa"/>
            </w:tcMar>
            <w:vAlign w:val="center"/>
          </w:tcPr>
          <w:p w14:paraId="14D8DEB0">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6ADB60C9">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规模以上固定资产投资（累计）</w:t>
            </w:r>
          </w:p>
        </w:tc>
        <w:tc>
          <w:tcPr>
            <w:tcW w:w="858" w:type="dxa"/>
            <w:tcBorders>
              <w:tl2br w:val="nil"/>
              <w:tr2bl w:val="nil"/>
            </w:tcBorders>
            <w:shd w:val="clear" w:color="auto" w:fill="FFFFFF"/>
            <w:noWrap w:val="0"/>
            <w:tcMar>
              <w:top w:w="15" w:type="dxa"/>
              <w:left w:w="15" w:type="dxa"/>
              <w:right w:w="15" w:type="dxa"/>
            </w:tcMar>
            <w:vAlign w:val="center"/>
          </w:tcPr>
          <w:p w14:paraId="4665C5E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80.6</w:t>
            </w:r>
          </w:p>
        </w:tc>
        <w:tc>
          <w:tcPr>
            <w:tcW w:w="975" w:type="dxa"/>
            <w:tcBorders>
              <w:tl2br w:val="nil"/>
              <w:tr2bl w:val="nil"/>
            </w:tcBorders>
            <w:shd w:val="clear" w:color="auto" w:fill="FFFFFF"/>
            <w:noWrap w:val="0"/>
            <w:tcMar>
              <w:top w:w="15" w:type="dxa"/>
              <w:left w:w="15" w:type="dxa"/>
              <w:right w:w="15" w:type="dxa"/>
            </w:tcMar>
            <w:vAlign w:val="center"/>
          </w:tcPr>
          <w:p w14:paraId="7DF6AF3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600</w:t>
            </w:r>
          </w:p>
        </w:tc>
        <w:tc>
          <w:tcPr>
            <w:tcW w:w="985" w:type="dxa"/>
            <w:tcBorders>
              <w:tl2br w:val="nil"/>
              <w:tr2bl w:val="nil"/>
            </w:tcBorders>
            <w:shd w:val="clear" w:color="auto" w:fill="FFFFFF"/>
            <w:noWrap w:val="0"/>
            <w:tcMar>
              <w:top w:w="15" w:type="dxa"/>
              <w:left w:w="15" w:type="dxa"/>
              <w:right w:w="15" w:type="dxa"/>
            </w:tcMar>
            <w:vAlign w:val="center"/>
          </w:tcPr>
          <w:p w14:paraId="34EE913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63.5</w:t>
            </w:r>
          </w:p>
        </w:tc>
        <w:tc>
          <w:tcPr>
            <w:tcW w:w="809" w:type="dxa"/>
            <w:tcBorders>
              <w:tl2br w:val="nil"/>
              <w:tr2bl w:val="nil"/>
            </w:tcBorders>
            <w:shd w:val="clear" w:color="auto" w:fill="FFFFFF"/>
            <w:noWrap w:val="0"/>
            <w:tcMar>
              <w:top w:w="15" w:type="dxa"/>
              <w:left w:w="15" w:type="dxa"/>
              <w:right w:w="15" w:type="dxa"/>
            </w:tcMar>
            <w:vAlign w:val="center"/>
          </w:tcPr>
          <w:p w14:paraId="6EF32D5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77.5</w:t>
            </w:r>
          </w:p>
        </w:tc>
        <w:tc>
          <w:tcPr>
            <w:tcW w:w="772" w:type="dxa"/>
            <w:tcBorders>
              <w:tl2br w:val="nil"/>
              <w:tr2bl w:val="nil"/>
            </w:tcBorders>
            <w:shd w:val="clear" w:color="auto" w:fill="FFFFFF"/>
            <w:noWrap w:val="0"/>
            <w:tcMar>
              <w:top w:w="15" w:type="dxa"/>
              <w:left w:w="15" w:type="dxa"/>
              <w:right w:w="15" w:type="dxa"/>
            </w:tcMar>
            <w:vAlign w:val="center"/>
          </w:tcPr>
          <w:p w14:paraId="3D20595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76BB7050">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9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59EB571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10</w:t>
            </w:r>
          </w:p>
        </w:tc>
        <w:tc>
          <w:tcPr>
            <w:tcW w:w="260" w:type="dxa"/>
            <w:vMerge w:val="continue"/>
            <w:tcBorders>
              <w:tl2br w:val="nil"/>
              <w:tr2bl w:val="nil"/>
            </w:tcBorders>
            <w:shd w:val="clear" w:color="auto" w:fill="FFFFFF"/>
            <w:noWrap w:val="0"/>
            <w:tcMar>
              <w:top w:w="15" w:type="dxa"/>
              <w:left w:w="15" w:type="dxa"/>
              <w:right w:w="15" w:type="dxa"/>
            </w:tcMar>
            <w:vAlign w:val="center"/>
          </w:tcPr>
          <w:p w14:paraId="0702D4E9">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0BB9D0AB">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bidi="ar"/>
              </w:rPr>
              <w:t>社会消费品零售总额（亿元）</w:t>
            </w:r>
          </w:p>
        </w:tc>
        <w:tc>
          <w:tcPr>
            <w:tcW w:w="858" w:type="dxa"/>
            <w:tcBorders>
              <w:tl2br w:val="nil"/>
              <w:tr2bl w:val="nil"/>
            </w:tcBorders>
            <w:shd w:val="clear" w:color="auto" w:fill="FFFFFF"/>
            <w:noWrap w:val="0"/>
            <w:tcMar>
              <w:top w:w="15" w:type="dxa"/>
              <w:left w:w="15" w:type="dxa"/>
              <w:right w:w="15" w:type="dxa"/>
            </w:tcMar>
            <w:vAlign w:val="center"/>
          </w:tcPr>
          <w:p w14:paraId="4C0635E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bidi="ar"/>
              </w:rPr>
              <w:t>19.2</w:t>
            </w:r>
          </w:p>
        </w:tc>
        <w:tc>
          <w:tcPr>
            <w:tcW w:w="975" w:type="dxa"/>
            <w:tcBorders>
              <w:tl2br w:val="nil"/>
              <w:tr2bl w:val="nil"/>
            </w:tcBorders>
            <w:shd w:val="clear" w:color="auto" w:fill="FFFFFF"/>
            <w:noWrap w:val="0"/>
            <w:tcMar>
              <w:top w:w="15" w:type="dxa"/>
              <w:left w:w="15" w:type="dxa"/>
              <w:right w:w="15" w:type="dxa"/>
            </w:tcMar>
            <w:vAlign w:val="center"/>
          </w:tcPr>
          <w:p w14:paraId="2B4AC70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36</w:t>
            </w:r>
          </w:p>
        </w:tc>
        <w:tc>
          <w:tcPr>
            <w:tcW w:w="985" w:type="dxa"/>
            <w:tcBorders>
              <w:tl2br w:val="nil"/>
              <w:tr2bl w:val="nil"/>
            </w:tcBorders>
            <w:shd w:val="clear" w:color="auto" w:fill="FFFFFF"/>
            <w:noWrap w:val="0"/>
            <w:tcMar>
              <w:top w:w="15" w:type="dxa"/>
              <w:left w:w="15" w:type="dxa"/>
              <w:right w:w="15" w:type="dxa"/>
            </w:tcMar>
            <w:vAlign w:val="center"/>
          </w:tcPr>
          <w:p w14:paraId="0DB549F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80.7</w:t>
            </w:r>
          </w:p>
        </w:tc>
        <w:tc>
          <w:tcPr>
            <w:tcW w:w="809" w:type="dxa"/>
            <w:tcBorders>
              <w:tl2br w:val="nil"/>
              <w:tr2bl w:val="nil"/>
            </w:tcBorders>
            <w:shd w:val="clear" w:color="auto" w:fill="FFFFFF"/>
            <w:noWrap w:val="0"/>
            <w:tcMar>
              <w:top w:w="15" w:type="dxa"/>
              <w:left w:w="15" w:type="dxa"/>
              <w:right w:w="15" w:type="dxa"/>
            </w:tcMar>
            <w:vAlign w:val="center"/>
          </w:tcPr>
          <w:p w14:paraId="7A06657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78.6</w:t>
            </w:r>
          </w:p>
        </w:tc>
        <w:tc>
          <w:tcPr>
            <w:tcW w:w="772" w:type="dxa"/>
            <w:tcBorders>
              <w:tl2br w:val="nil"/>
              <w:tr2bl w:val="nil"/>
            </w:tcBorders>
            <w:shd w:val="clear" w:color="auto" w:fill="FFFFFF"/>
            <w:noWrap w:val="0"/>
            <w:tcMar>
              <w:top w:w="15" w:type="dxa"/>
              <w:left w:w="15" w:type="dxa"/>
              <w:right w:w="15" w:type="dxa"/>
            </w:tcMar>
            <w:vAlign w:val="center"/>
          </w:tcPr>
          <w:p w14:paraId="6EE0313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71FECB0C">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69353AC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11</w:t>
            </w:r>
          </w:p>
        </w:tc>
        <w:tc>
          <w:tcPr>
            <w:tcW w:w="260" w:type="dxa"/>
            <w:vMerge w:val="continue"/>
            <w:tcBorders>
              <w:tl2br w:val="nil"/>
              <w:tr2bl w:val="nil"/>
            </w:tcBorders>
            <w:shd w:val="clear" w:color="auto" w:fill="FFFFFF"/>
            <w:noWrap w:val="0"/>
            <w:tcMar>
              <w:top w:w="15" w:type="dxa"/>
              <w:left w:w="15" w:type="dxa"/>
              <w:right w:w="15" w:type="dxa"/>
            </w:tcMar>
            <w:vAlign w:val="center"/>
          </w:tcPr>
          <w:p w14:paraId="0623CB30">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538452BF">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bidi="ar"/>
              </w:rPr>
              <w:t>外贸进出口总额（万美元）</w:t>
            </w:r>
          </w:p>
        </w:tc>
        <w:tc>
          <w:tcPr>
            <w:tcW w:w="858" w:type="dxa"/>
            <w:tcBorders>
              <w:tl2br w:val="nil"/>
              <w:tr2bl w:val="nil"/>
            </w:tcBorders>
            <w:shd w:val="clear" w:color="auto" w:fill="FFFFFF"/>
            <w:noWrap w:val="0"/>
            <w:tcMar>
              <w:top w:w="15" w:type="dxa"/>
              <w:left w:w="15" w:type="dxa"/>
              <w:right w:w="15" w:type="dxa"/>
            </w:tcMar>
            <w:vAlign w:val="center"/>
          </w:tcPr>
          <w:p w14:paraId="2FBC972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bidi="ar"/>
              </w:rPr>
              <w:t>2266</w:t>
            </w:r>
          </w:p>
        </w:tc>
        <w:tc>
          <w:tcPr>
            <w:tcW w:w="975" w:type="dxa"/>
            <w:tcBorders>
              <w:tl2br w:val="nil"/>
              <w:tr2bl w:val="nil"/>
            </w:tcBorders>
            <w:shd w:val="clear" w:color="auto" w:fill="FFFFFF"/>
            <w:noWrap w:val="0"/>
            <w:tcMar>
              <w:top w:w="15" w:type="dxa"/>
              <w:left w:w="15" w:type="dxa"/>
              <w:right w:w="15" w:type="dxa"/>
            </w:tcMar>
            <w:vAlign w:val="center"/>
          </w:tcPr>
          <w:p w14:paraId="22FAC0A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8000</w:t>
            </w:r>
          </w:p>
        </w:tc>
        <w:tc>
          <w:tcPr>
            <w:tcW w:w="985" w:type="dxa"/>
            <w:tcBorders>
              <w:tl2br w:val="nil"/>
              <w:tr2bl w:val="nil"/>
            </w:tcBorders>
            <w:shd w:val="clear" w:color="auto" w:fill="FFFFFF"/>
            <w:noWrap w:val="0"/>
            <w:tcMar>
              <w:top w:w="15" w:type="dxa"/>
              <w:left w:w="15" w:type="dxa"/>
              <w:right w:w="15" w:type="dxa"/>
            </w:tcMar>
            <w:vAlign w:val="center"/>
          </w:tcPr>
          <w:p w14:paraId="61B5B41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10450</w:t>
            </w:r>
          </w:p>
        </w:tc>
        <w:tc>
          <w:tcPr>
            <w:tcW w:w="809" w:type="dxa"/>
            <w:tcBorders>
              <w:tl2br w:val="nil"/>
              <w:tr2bl w:val="nil"/>
            </w:tcBorders>
            <w:shd w:val="clear" w:color="auto" w:fill="FFFFFF"/>
            <w:noWrap w:val="0"/>
            <w:tcMar>
              <w:top w:w="15" w:type="dxa"/>
              <w:left w:w="15" w:type="dxa"/>
              <w:right w:w="15" w:type="dxa"/>
            </w:tcMar>
            <w:vAlign w:val="center"/>
          </w:tcPr>
          <w:p w14:paraId="5B90862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default" w:ascii="Times New Roman" w:hAnsi="Times New Roman" w:eastAsia="仿宋_GB2312" w:cs="Times New Roman"/>
                <w:color w:val="auto"/>
                <w:spacing w:val="0"/>
                <w:kern w:val="0"/>
                <w:sz w:val="18"/>
                <w:szCs w:val="18"/>
                <w:lang w:val="en-US" w:eastAsia="zh-CN" w:bidi="ar"/>
              </w:rPr>
              <w:t>8</w:t>
            </w:r>
            <w:r>
              <w:rPr>
                <w:rFonts w:hint="eastAsia" w:eastAsia="仿宋_GB2312" w:cs="Times New Roman"/>
                <w:color w:val="auto"/>
                <w:spacing w:val="0"/>
                <w:kern w:val="0"/>
                <w:sz w:val="18"/>
                <w:szCs w:val="18"/>
                <w:lang w:val="en-US" w:eastAsia="zh-CN" w:bidi="ar"/>
              </w:rPr>
              <w:t>303</w:t>
            </w:r>
          </w:p>
        </w:tc>
        <w:tc>
          <w:tcPr>
            <w:tcW w:w="772" w:type="dxa"/>
            <w:tcBorders>
              <w:tl2br w:val="nil"/>
              <w:tr2bl w:val="nil"/>
            </w:tcBorders>
            <w:shd w:val="clear" w:color="auto" w:fill="FFFFFF"/>
            <w:noWrap w:val="0"/>
            <w:tcMar>
              <w:top w:w="15" w:type="dxa"/>
              <w:left w:w="15" w:type="dxa"/>
              <w:right w:w="15" w:type="dxa"/>
            </w:tcMar>
            <w:vAlign w:val="center"/>
          </w:tcPr>
          <w:p w14:paraId="4934305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5AB7BCBC">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713F781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12</w:t>
            </w:r>
          </w:p>
        </w:tc>
        <w:tc>
          <w:tcPr>
            <w:tcW w:w="260" w:type="dxa"/>
            <w:vMerge w:val="continue"/>
            <w:tcBorders>
              <w:tl2br w:val="nil"/>
              <w:tr2bl w:val="nil"/>
            </w:tcBorders>
            <w:shd w:val="clear" w:color="auto" w:fill="FFFFFF"/>
            <w:noWrap w:val="0"/>
            <w:tcMar>
              <w:top w:w="15" w:type="dxa"/>
              <w:left w:w="15" w:type="dxa"/>
              <w:right w:w="15" w:type="dxa"/>
            </w:tcMar>
            <w:vAlign w:val="center"/>
          </w:tcPr>
          <w:p w14:paraId="611324BE">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0B9ADCBB">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bidi="ar"/>
              </w:rPr>
              <w:t>户籍人口城镇化率（%）</w:t>
            </w:r>
          </w:p>
        </w:tc>
        <w:tc>
          <w:tcPr>
            <w:tcW w:w="858" w:type="dxa"/>
            <w:tcBorders>
              <w:tl2br w:val="nil"/>
              <w:tr2bl w:val="nil"/>
            </w:tcBorders>
            <w:shd w:val="clear" w:color="auto" w:fill="FFFFFF"/>
            <w:noWrap w:val="0"/>
            <w:tcMar>
              <w:top w:w="15" w:type="dxa"/>
              <w:left w:w="15" w:type="dxa"/>
              <w:right w:w="15" w:type="dxa"/>
            </w:tcMar>
            <w:vAlign w:val="center"/>
          </w:tcPr>
          <w:p w14:paraId="122DCD0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bidi="ar"/>
              </w:rPr>
              <w:t>35.6</w:t>
            </w:r>
          </w:p>
        </w:tc>
        <w:tc>
          <w:tcPr>
            <w:tcW w:w="975" w:type="dxa"/>
            <w:tcBorders>
              <w:tl2br w:val="nil"/>
              <w:tr2bl w:val="nil"/>
            </w:tcBorders>
            <w:shd w:val="clear" w:color="auto" w:fill="FFFFFF"/>
            <w:noWrap w:val="0"/>
            <w:tcMar>
              <w:top w:w="15" w:type="dxa"/>
              <w:left w:w="15" w:type="dxa"/>
              <w:right w:w="15" w:type="dxa"/>
            </w:tcMar>
            <w:vAlign w:val="center"/>
          </w:tcPr>
          <w:p w14:paraId="799EF6D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43</w:t>
            </w:r>
          </w:p>
        </w:tc>
        <w:tc>
          <w:tcPr>
            <w:tcW w:w="985" w:type="dxa"/>
            <w:tcBorders>
              <w:tl2br w:val="nil"/>
              <w:tr2bl w:val="nil"/>
            </w:tcBorders>
            <w:shd w:val="clear" w:color="auto" w:fill="FFFFFF"/>
            <w:noWrap w:val="0"/>
            <w:tcMar>
              <w:top w:w="15" w:type="dxa"/>
              <w:left w:w="15" w:type="dxa"/>
              <w:right w:w="15" w:type="dxa"/>
            </w:tcMar>
            <w:vAlign w:val="center"/>
          </w:tcPr>
          <w:p w14:paraId="6EAA6E7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41.51</w:t>
            </w:r>
          </w:p>
        </w:tc>
        <w:tc>
          <w:tcPr>
            <w:tcW w:w="809" w:type="dxa"/>
            <w:tcBorders>
              <w:tl2br w:val="nil"/>
              <w:tr2bl w:val="nil"/>
            </w:tcBorders>
            <w:shd w:val="clear" w:color="auto" w:fill="FFFFFF"/>
            <w:noWrap w:val="0"/>
            <w:tcMar>
              <w:top w:w="15" w:type="dxa"/>
              <w:left w:w="15" w:type="dxa"/>
              <w:right w:w="15" w:type="dxa"/>
            </w:tcMar>
            <w:vAlign w:val="center"/>
          </w:tcPr>
          <w:p w14:paraId="5D1AF5D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default" w:ascii="Times New Roman" w:hAnsi="Times New Roman" w:eastAsia="仿宋_GB2312" w:cs="Times New Roman"/>
                <w:color w:val="auto"/>
                <w:spacing w:val="0"/>
                <w:kern w:val="0"/>
                <w:sz w:val="18"/>
                <w:szCs w:val="18"/>
                <w:lang w:bidi="ar"/>
              </w:rPr>
              <w:t>42</w:t>
            </w:r>
            <w:r>
              <w:rPr>
                <w:rFonts w:hint="eastAsia" w:eastAsia="仿宋_GB2312" w:cs="Times New Roman"/>
                <w:color w:val="auto"/>
                <w:spacing w:val="0"/>
                <w:kern w:val="0"/>
                <w:sz w:val="18"/>
                <w:szCs w:val="18"/>
                <w:lang w:val="en-US" w:eastAsia="zh-CN" w:bidi="ar"/>
              </w:rPr>
              <w:t>.51</w:t>
            </w:r>
          </w:p>
        </w:tc>
        <w:tc>
          <w:tcPr>
            <w:tcW w:w="772" w:type="dxa"/>
            <w:tcBorders>
              <w:tl2br w:val="nil"/>
              <w:tr2bl w:val="nil"/>
            </w:tcBorders>
            <w:shd w:val="clear" w:color="auto" w:fill="FFFFFF"/>
            <w:noWrap w:val="0"/>
            <w:tcMar>
              <w:top w:w="15" w:type="dxa"/>
              <w:left w:w="15" w:type="dxa"/>
              <w:right w:w="15" w:type="dxa"/>
            </w:tcMar>
            <w:vAlign w:val="center"/>
          </w:tcPr>
          <w:p w14:paraId="1951A92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068799E0">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0ED12F9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13</w:t>
            </w:r>
          </w:p>
        </w:tc>
        <w:tc>
          <w:tcPr>
            <w:tcW w:w="260" w:type="dxa"/>
            <w:vMerge w:val="restart"/>
            <w:tcBorders>
              <w:tl2br w:val="nil"/>
              <w:tr2bl w:val="nil"/>
            </w:tcBorders>
            <w:shd w:val="clear" w:color="auto" w:fill="FFFFFF"/>
            <w:noWrap w:val="0"/>
            <w:tcMar>
              <w:top w:w="15" w:type="dxa"/>
              <w:left w:w="15" w:type="dxa"/>
              <w:right w:w="15" w:type="dxa"/>
            </w:tcMar>
            <w:vAlign w:val="center"/>
          </w:tcPr>
          <w:p w14:paraId="063CE6F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eastAsia" w:ascii="Times New Roman" w:hAnsi="Times New Roman" w:eastAsia="仿宋_GB2312" w:cs="Times New Roman"/>
                <w:color w:val="auto"/>
                <w:spacing w:val="0"/>
                <w:kern w:val="0"/>
                <w:sz w:val="18"/>
                <w:szCs w:val="18"/>
                <w:lang w:eastAsia="zh-CN" w:bidi="ar"/>
              </w:rPr>
            </w:pPr>
            <w:r>
              <w:rPr>
                <w:rFonts w:hint="default" w:ascii="Times New Roman" w:hAnsi="Times New Roman" w:eastAsia="仿宋_GB2312" w:cs="Times New Roman"/>
                <w:color w:val="auto"/>
                <w:spacing w:val="0"/>
                <w:kern w:val="0"/>
                <w:sz w:val="18"/>
                <w:szCs w:val="18"/>
                <w:lang w:bidi="ar"/>
              </w:rPr>
              <w:t>教育</w:t>
            </w:r>
          </w:p>
          <w:p w14:paraId="2EC9421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科技</w:t>
            </w:r>
          </w:p>
        </w:tc>
        <w:tc>
          <w:tcPr>
            <w:tcW w:w="4197" w:type="dxa"/>
            <w:tcBorders>
              <w:tl2br w:val="nil"/>
              <w:tr2bl w:val="nil"/>
            </w:tcBorders>
            <w:shd w:val="clear" w:color="auto" w:fill="FFFFFF"/>
            <w:noWrap w:val="0"/>
            <w:tcMar>
              <w:top w:w="15" w:type="dxa"/>
              <w:left w:w="15" w:type="dxa"/>
              <w:right w:w="15" w:type="dxa"/>
            </w:tcMar>
            <w:vAlign w:val="center"/>
          </w:tcPr>
          <w:p w14:paraId="2CB4A17E">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bidi="ar"/>
              </w:rPr>
              <w:t>高中阶段毛入学率（%）</w:t>
            </w:r>
          </w:p>
        </w:tc>
        <w:tc>
          <w:tcPr>
            <w:tcW w:w="858" w:type="dxa"/>
            <w:tcBorders>
              <w:tl2br w:val="nil"/>
              <w:tr2bl w:val="nil"/>
            </w:tcBorders>
            <w:shd w:val="clear" w:color="auto" w:fill="FFFFFF"/>
            <w:noWrap w:val="0"/>
            <w:tcMar>
              <w:top w:w="15" w:type="dxa"/>
              <w:left w:w="15" w:type="dxa"/>
              <w:right w:w="15" w:type="dxa"/>
            </w:tcMar>
            <w:vAlign w:val="center"/>
          </w:tcPr>
          <w:p w14:paraId="6EE7E1F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bidi="ar"/>
              </w:rPr>
              <w:t>82</w:t>
            </w:r>
          </w:p>
        </w:tc>
        <w:tc>
          <w:tcPr>
            <w:tcW w:w="975" w:type="dxa"/>
            <w:tcBorders>
              <w:tl2br w:val="nil"/>
              <w:tr2bl w:val="nil"/>
            </w:tcBorders>
            <w:shd w:val="clear" w:color="auto" w:fill="FFFFFF"/>
            <w:noWrap w:val="0"/>
            <w:tcMar>
              <w:top w:w="15" w:type="dxa"/>
              <w:left w:w="15" w:type="dxa"/>
              <w:right w:w="15" w:type="dxa"/>
            </w:tcMar>
            <w:vAlign w:val="center"/>
          </w:tcPr>
          <w:p w14:paraId="179B53E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95</w:t>
            </w:r>
          </w:p>
        </w:tc>
        <w:tc>
          <w:tcPr>
            <w:tcW w:w="985" w:type="dxa"/>
            <w:tcBorders>
              <w:tl2br w:val="nil"/>
              <w:tr2bl w:val="nil"/>
            </w:tcBorders>
            <w:shd w:val="clear" w:color="auto" w:fill="FFFFFF"/>
            <w:noWrap w:val="0"/>
            <w:tcMar>
              <w:top w:w="15" w:type="dxa"/>
              <w:left w:w="15" w:type="dxa"/>
              <w:right w:w="15" w:type="dxa"/>
            </w:tcMar>
            <w:vAlign w:val="center"/>
          </w:tcPr>
          <w:p w14:paraId="242B0EA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92.5</w:t>
            </w:r>
          </w:p>
        </w:tc>
        <w:tc>
          <w:tcPr>
            <w:tcW w:w="809" w:type="dxa"/>
            <w:tcBorders>
              <w:tl2br w:val="nil"/>
              <w:tr2bl w:val="nil"/>
            </w:tcBorders>
            <w:shd w:val="clear" w:color="auto" w:fill="FFFFFF"/>
            <w:noWrap w:val="0"/>
            <w:tcMar>
              <w:top w:w="15" w:type="dxa"/>
              <w:left w:w="15" w:type="dxa"/>
              <w:right w:w="15" w:type="dxa"/>
            </w:tcMar>
            <w:vAlign w:val="center"/>
          </w:tcPr>
          <w:p w14:paraId="7FE0598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95.95</w:t>
            </w:r>
          </w:p>
        </w:tc>
        <w:tc>
          <w:tcPr>
            <w:tcW w:w="772" w:type="dxa"/>
            <w:tcBorders>
              <w:tl2br w:val="nil"/>
              <w:tr2bl w:val="nil"/>
            </w:tcBorders>
            <w:shd w:val="clear" w:color="auto" w:fill="FFFFFF"/>
            <w:noWrap w:val="0"/>
            <w:tcMar>
              <w:top w:w="15" w:type="dxa"/>
              <w:left w:w="15" w:type="dxa"/>
              <w:right w:w="15" w:type="dxa"/>
            </w:tcMar>
            <w:vAlign w:val="center"/>
          </w:tcPr>
          <w:p w14:paraId="4CA5C19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337DE63F">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03DFCE8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14</w:t>
            </w:r>
          </w:p>
        </w:tc>
        <w:tc>
          <w:tcPr>
            <w:tcW w:w="260" w:type="dxa"/>
            <w:vMerge w:val="continue"/>
            <w:tcBorders>
              <w:tl2br w:val="nil"/>
              <w:tr2bl w:val="nil"/>
            </w:tcBorders>
            <w:shd w:val="clear" w:color="auto" w:fill="FFFFFF"/>
            <w:noWrap w:val="0"/>
            <w:tcMar>
              <w:top w:w="15" w:type="dxa"/>
              <w:left w:w="15" w:type="dxa"/>
              <w:right w:w="15" w:type="dxa"/>
            </w:tcMar>
            <w:vAlign w:val="center"/>
          </w:tcPr>
          <w:p w14:paraId="45D717B7">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7E49B027">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九年义务教育巩固率（%）</w:t>
            </w:r>
          </w:p>
        </w:tc>
        <w:tc>
          <w:tcPr>
            <w:tcW w:w="858" w:type="dxa"/>
            <w:tcBorders>
              <w:tl2br w:val="nil"/>
              <w:tr2bl w:val="nil"/>
            </w:tcBorders>
            <w:shd w:val="clear" w:color="auto" w:fill="FFFFFF"/>
            <w:noWrap w:val="0"/>
            <w:tcMar>
              <w:top w:w="15" w:type="dxa"/>
              <w:left w:w="15" w:type="dxa"/>
              <w:right w:w="15" w:type="dxa"/>
            </w:tcMar>
            <w:vAlign w:val="center"/>
          </w:tcPr>
          <w:p w14:paraId="4E30DDC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86.7</w:t>
            </w:r>
          </w:p>
        </w:tc>
        <w:tc>
          <w:tcPr>
            <w:tcW w:w="975" w:type="dxa"/>
            <w:tcBorders>
              <w:tl2br w:val="nil"/>
              <w:tr2bl w:val="nil"/>
            </w:tcBorders>
            <w:shd w:val="clear" w:color="auto" w:fill="FFFFFF"/>
            <w:noWrap w:val="0"/>
            <w:tcMar>
              <w:top w:w="15" w:type="dxa"/>
              <w:left w:w="15" w:type="dxa"/>
              <w:right w:w="15" w:type="dxa"/>
            </w:tcMar>
            <w:vAlign w:val="center"/>
          </w:tcPr>
          <w:p w14:paraId="21BD4A3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90</w:t>
            </w:r>
          </w:p>
        </w:tc>
        <w:tc>
          <w:tcPr>
            <w:tcW w:w="985" w:type="dxa"/>
            <w:tcBorders>
              <w:tl2br w:val="nil"/>
              <w:tr2bl w:val="nil"/>
            </w:tcBorders>
            <w:shd w:val="clear" w:color="auto" w:fill="FFFFFF"/>
            <w:noWrap w:val="0"/>
            <w:tcMar>
              <w:top w:w="15" w:type="dxa"/>
              <w:left w:w="15" w:type="dxa"/>
              <w:right w:w="15" w:type="dxa"/>
            </w:tcMar>
            <w:vAlign w:val="center"/>
          </w:tcPr>
          <w:p w14:paraId="3854F99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96.4</w:t>
            </w:r>
          </w:p>
        </w:tc>
        <w:tc>
          <w:tcPr>
            <w:tcW w:w="809" w:type="dxa"/>
            <w:tcBorders>
              <w:tl2br w:val="nil"/>
              <w:tr2bl w:val="nil"/>
            </w:tcBorders>
            <w:shd w:val="clear" w:color="auto" w:fill="FFFFFF"/>
            <w:noWrap w:val="0"/>
            <w:tcMar>
              <w:top w:w="15" w:type="dxa"/>
              <w:left w:w="15" w:type="dxa"/>
              <w:right w:w="15" w:type="dxa"/>
            </w:tcMar>
            <w:vAlign w:val="center"/>
          </w:tcPr>
          <w:p w14:paraId="196F5EA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default" w:ascii="Times New Roman" w:hAnsi="Times New Roman" w:eastAsia="仿宋_GB2312" w:cs="Times New Roman"/>
                <w:color w:val="auto"/>
                <w:spacing w:val="0"/>
                <w:kern w:val="0"/>
                <w:sz w:val="18"/>
                <w:szCs w:val="18"/>
                <w:lang w:val="en-US" w:eastAsia="zh-CN" w:bidi="ar"/>
              </w:rPr>
              <w:t>97.75</w:t>
            </w:r>
          </w:p>
        </w:tc>
        <w:tc>
          <w:tcPr>
            <w:tcW w:w="772" w:type="dxa"/>
            <w:tcBorders>
              <w:tl2br w:val="nil"/>
              <w:tr2bl w:val="nil"/>
            </w:tcBorders>
            <w:shd w:val="clear" w:color="auto" w:fill="FFFFFF"/>
            <w:noWrap w:val="0"/>
            <w:tcMar>
              <w:top w:w="15" w:type="dxa"/>
              <w:left w:w="15" w:type="dxa"/>
              <w:right w:w="15" w:type="dxa"/>
            </w:tcMar>
            <w:vAlign w:val="center"/>
          </w:tcPr>
          <w:p w14:paraId="1CA0DD8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6214DBC2">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9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7E1C7D1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15</w:t>
            </w:r>
          </w:p>
        </w:tc>
        <w:tc>
          <w:tcPr>
            <w:tcW w:w="260" w:type="dxa"/>
            <w:vMerge w:val="continue"/>
            <w:tcBorders>
              <w:tl2br w:val="nil"/>
              <w:tr2bl w:val="nil"/>
            </w:tcBorders>
            <w:shd w:val="clear" w:color="auto" w:fill="FFFFFF"/>
            <w:noWrap w:val="0"/>
            <w:tcMar>
              <w:top w:w="15" w:type="dxa"/>
              <w:left w:w="15" w:type="dxa"/>
              <w:right w:w="15" w:type="dxa"/>
            </w:tcMar>
            <w:vAlign w:val="center"/>
          </w:tcPr>
          <w:p w14:paraId="1A04A508">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19350CDF">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专利授权（件）</w:t>
            </w:r>
          </w:p>
        </w:tc>
        <w:tc>
          <w:tcPr>
            <w:tcW w:w="858" w:type="dxa"/>
            <w:tcBorders>
              <w:tl2br w:val="nil"/>
              <w:tr2bl w:val="nil"/>
            </w:tcBorders>
            <w:shd w:val="clear" w:color="auto" w:fill="FFFFFF"/>
            <w:noWrap w:val="0"/>
            <w:tcMar>
              <w:top w:w="15" w:type="dxa"/>
              <w:left w:w="15" w:type="dxa"/>
              <w:right w:w="15" w:type="dxa"/>
            </w:tcMar>
            <w:vAlign w:val="center"/>
          </w:tcPr>
          <w:p w14:paraId="185374A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150</w:t>
            </w:r>
          </w:p>
        </w:tc>
        <w:tc>
          <w:tcPr>
            <w:tcW w:w="975" w:type="dxa"/>
            <w:tcBorders>
              <w:tl2br w:val="nil"/>
              <w:tr2bl w:val="nil"/>
            </w:tcBorders>
            <w:shd w:val="clear" w:color="auto" w:fill="FFFFFF"/>
            <w:noWrap w:val="0"/>
            <w:tcMar>
              <w:top w:w="15" w:type="dxa"/>
              <w:left w:w="15" w:type="dxa"/>
              <w:right w:w="15" w:type="dxa"/>
            </w:tcMar>
            <w:vAlign w:val="center"/>
          </w:tcPr>
          <w:p w14:paraId="1C04BF5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150</w:t>
            </w:r>
          </w:p>
        </w:tc>
        <w:tc>
          <w:tcPr>
            <w:tcW w:w="985" w:type="dxa"/>
            <w:tcBorders>
              <w:tl2br w:val="nil"/>
              <w:tr2bl w:val="nil"/>
            </w:tcBorders>
            <w:shd w:val="clear" w:color="auto" w:fill="FFFFFF"/>
            <w:noWrap w:val="0"/>
            <w:tcMar>
              <w:top w:w="15" w:type="dxa"/>
              <w:left w:w="15" w:type="dxa"/>
              <w:right w:w="15" w:type="dxa"/>
            </w:tcMar>
            <w:vAlign w:val="center"/>
          </w:tcPr>
          <w:p w14:paraId="51D5077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112</w:t>
            </w:r>
          </w:p>
        </w:tc>
        <w:tc>
          <w:tcPr>
            <w:tcW w:w="809" w:type="dxa"/>
            <w:tcBorders>
              <w:tl2br w:val="nil"/>
              <w:tr2bl w:val="nil"/>
            </w:tcBorders>
            <w:shd w:val="clear" w:color="auto" w:fill="FFFFFF"/>
            <w:noWrap w:val="0"/>
            <w:tcMar>
              <w:top w:w="15" w:type="dxa"/>
              <w:left w:w="15" w:type="dxa"/>
              <w:right w:w="15" w:type="dxa"/>
            </w:tcMar>
            <w:vAlign w:val="center"/>
          </w:tcPr>
          <w:p w14:paraId="7678531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sz w:val="18"/>
                <w:szCs w:val="18"/>
                <w:lang w:val="en-US" w:eastAsia="zh-CN"/>
              </w:rPr>
              <w:t>160</w:t>
            </w:r>
          </w:p>
        </w:tc>
        <w:tc>
          <w:tcPr>
            <w:tcW w:w="772" w:type="dxa"/>
            <w:tcBorders>
              <w:tl2br w:val="nil"/>
              <w:tr2bl w:val="nil"/>
            </w:tcBorders>
            <w:shd w:val="clear" w:color="auto" w:fill="FFFFFF"/>
            <w:noWrap w:val="0"/>
            <w:tcMar>
              <w:top w:w="15" w:type="dxa"/>
              <w:left w:w="15" w:type="dxa"/>
              <w:right w:w="15" w:type="dxa"/>
            </w:tcMar>
            <w:vAlign w:val="center"/>
          </w:tcPr>
          <w:p w14:paraId="4F5A640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506C84A2">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57F0324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16</w:t>
            </w:r>
          </w:p>
        </w:tc>
        <w:tc>
          <w:tcPr>
            <w:tcW w:w="260" w:type="dxa"/>
            <w:vMerge w:val="continue"/>
            <w:tcBorders>
              <w:tl2br w:val="nil"/>
              <w:tr2bl w:val="nil"/>
            </w:tcBorders>
            <w:shd w:val="clear" w:color="auto" w:fill="FFFFFF"/>
            <w:noWrap w:val="0"/>
            <w:tcMar>
              <w:top w:w="15" w:type="dxa"/>
              <w:left w:w="15" w:type="dxa"/>
              <w:right w:w="15" w:type="dxa"/>
            </w:tcMar>
            <w:vAlign w:val="center"/>
          </w:tcPr>
          <w:p w14:paraId="7BDA18F4">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599954E2">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通信覆盖率（%）</w:t>
            </w:r>
          </w:p>
        </w:tc>
        <w:tc>
          <w:tcPr>
            <w:tcW w:w="858" w:type="dxa"/>
            <w:tcBorders>
              <w:tl2br w:val="nil"/>
              <w:tr2bl w:val="nil"/>
            </w:tcBorders>
            <w:shd w:val="clear" w:color="auto" w:fill="FFFFFF"/>
            <w:noWrap w:val="0"/>
            <w:tcMar>
              <w:top w:w="15" w:type="dxa"/>
              <w:left w:w="15" w:type="dxa"/>
              <w:right w:w="15" w:type="dxa"/>
            </w:tcMar>
            <w:vAlign w:val="center"/>
          </w:tcPr>
          <w:p w14:paraId="24A1F70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99</w:t>
            </w:r>
          </w:p>
        </w:tc>
        <w:tc>
          <w:tcPr>
            <w:tcW w:w="975" w:type="dxa"/>
            <w:tcBorders>
              <w:tl2br w:val="nil"/>
              <w:tr2bl w:val="nil"/>
            </w:tcBorders>
            <w:shd w:val="clear" w:color="auto" w:fill="FFFFFF"/>
            <w:noWrap w:val="0"/>
            <w:tcMar>
              <w:top w:w="15" w:type="dxa"/>
              <w:left w:w="15" w:type="dxa"/>
              <w:right w:w="15" w:type="dxa"/>
            </w:tcMar>
            <w:vAlign w:val="center"/>
          </w:tcPr>
          <w:p w14:paraId="77D494F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99.9</w:t>
            </w:r>
          </w:p>
        </w:tc>
        <w:tc>
          <w:tcPr>
            <w:tcW w:w="985" w:type="dxa"/>
            <w:tcBorders>
              <w:tl2br w:val="nil"/>
              <w:tr2bl w:val="nil"/>
            </w:tcBorders>
            <w:shd w:val="clear" w:color="auto" w:fill="FFFFFF"/>
            <w:noWrap w:val="0"/>
            <w:tcMar>
              <w:top w:w="15" w:type="dxa"/>
              <w:left w:w="15" w:type="dxa"/>
              <w:right w:w="15" w:type="dxa"/>
            </w:tcMar>
            <w:vAlign w:val="center"/>
          </w:tcPr>
          <w:p w14:paraId="0848112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w:t>
            </w:r>
          </w:p>
        </w:tc>
        <w:tc>
          <w:tcPr>
            <w:tcW w:w="809" w:type="dxa"/>
            <w:tcBorders>
              <w:tl2br w:val="nil"/>
              <w:tr2bl w:val="nil"/>
            </w:tcBorders>
            <w:shd w:val="clear" w:color="auto" w:fill="FFFFFF"/>
            <w:noWrap w:val="0"/>
            <w:tcMar>
              <w:top w:w="15" w:type="dxa"/>
              <w:left w:w="15" w:type="dxa"/>
              <w:right w:w="15" w:type="dxa"/>
            </w:tcMar>
            <w:vAlign w:val="center"/>
          </w:tcPr>
          <w:p w14:paraId="5B92ACB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100</w:t>
            </w:r>
          </w:p>
        </w:tc>
        <w:tc>
          <w:tcPr>
            <w:tcW w:w="772" w:type="dxa"/>
            <w:tcBorders>
              <w:tl2br w:val="nil"/>
              <w:tr2bl w:val="nil"/>
            </w:tcBorders>
            <w:shd w:val="clear" w:color="auto" w:fill="FFFFFF"/>
            <w:noWrap w:val="0"/>
            <w:tcMar>
              <w:top w:w="15" w:type="dxa"/>
              <w:left w:w="15" w:type="dxa"/>
              <w:right w:w="15" w:type="dxa"/>
            </w:tcMar>
            <w:vAlign w:val="center"/>
          </w:tcPr>
          <w:p w14:paraId="486FE7F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4F6AD968">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5703B28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17</w:t>
            </w:r>
          </w:p>
        </w:tc>
        <w:tc>
          <w:tcPr>
            <w:tcW w:w="260" w:type="dxa"/>
            <w:vMerge w:val="continue"/>
            <w:tcBorders>
              <w:tl2br w:val="nil"/>
              <w:tr2bl w:val="nil"/>
            </w:tcBorders>
            <w:shd w:val="clear" w:color="auto" w:fill="FFFFFF"/>
            <w:noWrap w:val="0"/>
            <w:tcMar>
              <w:top w:w="15" w:type="dxa"/>
              <w:left w:w="15" w:type="dxa"/>
              <w:right w:w="15" w:type="dxa"/>
            </w:tcMar>
            <w:vAlign w:val="center"/>
          </w:tcPr>
          <w:p w14:paraId="07CCCCB5">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5640324B">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有线网络覆盖率（%）</w:t>
            </w:r>
          </w:p>
        </w:tc>
        <w:tc>
          <w:tcPr>
            <w:tcW w:w="858" w:type="dxa"/>
            <w:tcBorders>
              <w:tl2br w:val="nil"/>
              <w:tr2bl w:val="nil"/>
            </w:tcBorders>
            <w:shd w:val="clear" w:color="auto" w:fill="FFFFFF"/>
            <w:noWrap w:val="0"/>
            <w:tcMar>
              <w:top w:w="15" w:type="dxa"/>
              <w:left w:w="15" w:type="dxa"/>
              <w:right w:w="15" w:type="dxa"/>
            </w:tcMar>
            <w:vAlign w:val="center"/>
          </w:tcPr>
          <w:p w14:paraId="3BDACE6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90</w:t>
            </w:r>
          </w:p>
        </w:tc>
        <w:tc>
          <w:tcPr>
            <w:tcW w:w="975" w:type="dxa"/>
            <w:tcBorders>
              <w:tl2br w:val="nil"/>
              <w:tr2bl w:val="nil"/>
            </w:tcBorders>
            <w:shd w:val="clear" w:color="auto" w:fill="FFFFFF"/>
            <w:noWrap w:val="0"/>
            <w:tcMar>
              <w:top w:w="15" w:type="dxa"/>
              <w:left w:w="15" w:type="dxa"/>
              <w:right w:w="15" w:type="dxa"/>
            </w:tcMar>
            <w:vAlign w:val="center"/>
          </w:tcPr>
          <w:p w14:paraId="6665E7D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95</w:t>
            </w:r>
          </w:p>
        </w:tc>
        <w:tc>
          <w:tcPr>
            <w:tcW w:w="985" w:type="dxa"/>
            <w:tcBorders>
              <w:tl2br w:val="nil"/>
              <w:tr2bl w:val="nil"/>
            </w:tcBorders>
            <w:shd w:val="clear" w:color="auto" w:fill="FFFFFF"/>
            <w:noWrap w:val="0"/>
            <w:tcMar>
              <w:top w:w="15" w:type="dxa"/>
              <w:left w:w="15" w:type="dxa"/>
              <w:right w:w="15" w:type="dxa"/>
            </w:tcMar>
            <w:vAlign w:val="center"/>
          </w:tcPr>
          <w:p w14:paraId="552C119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w:t>
            </w:r>
          </w:p>
        </w:tc>
        <w:tc>
          <w:tcPr>
            <w:tcW w:w="809" w:type="dxa"/>
            <w:tcBorders>
              <w:tl2br w:val="nil"/>
              <w:tr2bl w:val="nil"/>
            </w:tcBorders>
            <w:shd w:val="clear" w:color="auto" w:fill="FFFFFF"/>
            <w:noWrap w:val="0"/>
            <w:tcMar>
              <w:top w:w="15" w:type="dxa"/>
              <w:left w:w="15" w:type="dxa"/>
              <w:right w:w="15" w:type="dxa"/>
            </w:tcMar>
            <w:vAlign w:val="center"/>
          </w:tcPr>
          <w:p w14:paraId="46C2BEA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100</w:t>
            </w:r>
          </w:p>
        </w:tc>
        <w:tc>
          <w:tcPr>
            <w:tcW w:w="772" w:type="dxa"/>
            <w:tcBorders>
              <w:tl2br w:val="nil"/>
              <w:tr2bl w:val="nil"/>
            </w:tcBorders>
            <w:shd w:val="clear" w:color="auto" w:fill="FFFFFF"/>
            <w:noWrap w:val="0"/>
            <w:tcMar>
              <w:top w:w="15" w:type="dxa"/>
              <w:left w:w="15" w:type="dxa"/>
              <w:right w:w="15" w:type="dxa"/>
            </w:tcMar>
            <w:vAlign w:val="center"/>
          </w:tcPr>
          <w:p w14:paraId="7E7F03A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148A6C6F">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046BAF1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18</w:t>
            </w:r>
          </w:p>
        </w:tc>
        <w:tc>
          <w:tcPr>
            <w:tcW w:w="260" w:type="dxa"/>
            <w:vMerge w:val="restart"/>
            <w:tcBorders>
              <w:tl2br w:val="nil"/>
              <w:tr2bl w:val="nil"/>
            </w:tcBorders>
            <w:shd w:val="clear" w:color="auto" w:fill="FFFFFF"/>
            <w:noWrap w:val="0"/>
            <w:tcMar>
              <w:top w:w="15" w:type="dxa"/>
              <w:left w:w="15" w:type="dxa"/>
              <w:right w:w="15" w:type="dxa"/>
            </w:tcMar>
            <w:vAlign w:val="center"/>
          </w:tcPr>
          <w:p w14:paraId="5161701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eastAsia" w:ascii="Times New Roman" w:hAnsi="Times New Roman" w:eastAsia="仿宋_GB2312" w:cs="Times New Roman"/>
                <w:color w:val="auto"/>
                <w:spacing w:val="0"/>
                <w:kern w:val="0"/>
                <w:sz w:val="18"/>
                <w:szCs w:val="18"/>
                <w:lang w:eastAsia="zh-CN" w:bidi="ar"/>
              </w:rPr>
            </w:pPr>
            <w:r>
              <w:rPr>
                <w:rFonts w:hint="default" w:ascii="Times New Roman" w:hAnsi="Times New Roman" w:eastAsia="仿宋_GB2312" w:cs="Times New Roman"/>
                <w:color w:val="auto"/>
                <w:spacing w:val="0"/>
                <w:kern w:val="0"/>
                <w:sz w:val="18"/>
                <w:szCs w:val="18"/>
                <w:lang w:bidi="ar"/>
              </w:rPr>
              <w:t>民生</w:t>
            </w:r>
          </w:p>
          <w:p w14:paraId="7EBAF93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改善</w:t>
            </w:r>
          </w:p>
        </w:tc>
        <w:tc>
          <w:tcPr>
            <w:tcW w:w="4197" w:type="dxa"/>
            <w:tcBorders>
              <w:tl2br w:val="nil"/>
              <w:tr2bl w:val="nil"/>
            </w:tcBorders>
            <w:shd w:val="clear" w:color="auto" w:fill="FFFFFF"/>
            <w:noWrap w:val="0"/>
            <w:tcMar>
              <w:top w:w="15" w:type="dxa"/>
              <w:left w:w="15" w:type="dxa"/>
              <w:right w:w="15" w:type="dxa"/>
            </w:tcMar>
            <w:vAlign w:val="center"/>
          </w:tcPr>
          <w:p w14:paraId="2DE44ABF">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常住人口（万人）</w:t>
            </w:r>
          </w:p>
        </w:tc>
        <w:tc>
          <w:tcPr>
            <w:tcW w:w="858" w:type="dxa"/>
            <w:tcBorders>
              <w:tl2br w:val="nil"/>
              <w:tr2bl w:val="nil"/>
            </w:tcBorders>
            <w:shd w:val="clear" w:color="auto" w:fill="FFFFFF"/>
            <w:noWrap w:val="0"/>
            <w:tcMar>
              <w:top w:w="15" w:type="dxa"/>
              <w:left w:w="15" w:type="dxa"/>
              <w:right w:w="15" w:type="dxa"/>
            </w:tcMar>
            <w:vAlign w:val="center"/>
          </w:tcPr>
          <w:p w14:paraId="0E3DBF0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29.1</w:t>
            </w:r>
          </w:p>
        </w:tc>
        <w:tc>
          <w:tcPr>
            <w:tcW w:w="975" w:type="dxa"/>
            <w:tcBorders>
              <w:tl2br w:val="nil"/>
              <w:tr2bl w:val="nil"/>
            </w:tcBorders>
            <w:shd w:val="clear" w:color="auto" w:fill="FFFFFF"/>
            <w:noWrap w:val="0"/>
            <w:tcMar>
              <w:top w:w="15" w:type="dxa"/>
              <w:left w:w="15" w:type="dxa"/>
              <w:right w:w="15" w:type="dxa"/>
            </w:tcMar>
            <w:vAlign w:val="center"/>
          </w:tcPr>
          <w:p w14:paraId="5E2460F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30.5</w:t>
            </w:r>
          </w:p>
        </w:tc>
        <w:tc>
          <w:tcPr>
            <w:tcW w:w="985" w:type="dxa"/>
            <w:tcBorders>
              <w:tl2br w:val="nil"/>
              <w:tr2bl w:val="nil"/>
            </w:tcBorders>
            <w:shd w:val="clear" w:color="auto" w:fill="FFFFFF"/>
            <w:noWrap w:val="0"/>
            <w:tcMar>
              <w:top w:w="15" w:type="dxa"/>
              <w:left w:w="15" w:type="dxa"/>
              <w:right w:w="15" w:type="dxa"/>
            </w:tcMar>
            <w:vAlign w:val="center"/>
          </w:tcPr>
          <w:p w14:paraId="2198CDC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eastAsia" w:eastAsia="仿宋_GB2312" w:cs="Times New Roman"/>
                <w:color w:val="auto"/>
                <w:spacing w:val="0"/>
                <w:kern w:val="0"/>
                <w:sz w:val="18"/>
                <w:szCs w:val="18"/>
                <w:lang w:val="en-US" w:eastAsia="zh-CN" w:bidi="ar"/>
              </w:rPr>
              <w:t>29.21</w:t>
            </w:r>
          </w:p>
        </w:tc>
        <w:tc>
          <w:tcPr>
            <w:tcW w:w="809" w:type="dxa"/>
            <w:tcBorders>
              <w:tl2br w:val="nil"/>
              <w:tr2bl w:val="nil"/>
            </w:tcBorders>
            <w:shd w:val="clear" w:color="auto" w:fill="FFFFFF"/>
            <w:noWrap w:val="0"/>
            <w:tcMar>
              <w:top w:w="15" w:type="dxa"/>
              <w:left w:w="15" w:type="dxa"/>
              <w:right w:w="15" w:type="dxa"/>
            </w:tcMar>
            <w:vAlign w:val="center"/>
          </w:tcPr>
          <w:p w14:paraId="42C061D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sz w:val="18"/>
                <w:szCs w:val="18"/>
                <w:lang w:val="en-US" w:eastAsia="zh-CN"/>
              </w:rPr>
              <w:t>28.05</w:t>
            </w:r>
          </w:p>
        </w:tc>
        <w:tc>
          <w:tcPr>
            <w:tcW w:w="772" w:type="dxa"/>
            <w:tcBorders>
              <w:tl2br w:val="nil"/>
              <w:tr2bl w:val="nil"/>
            </w:tcBorders>
            <w:shd w:val="clear" w:color="auto" w:fill="FFFFFF"/>
            <w:noWrap w:val="0"/>
            <w:tcMar>
              <w:top w:w="15" w:type="dxa"/>
              <w:left w:w="15" w:type="dxa"/>
              <w:right w:w="15" w:type="dxa"/>
            </w:tcMar>
            <w:vAlign w:val="center"/>
          </w:tcPr>
          <w:p w14:paraId="122FBCF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635DAF0E">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787C752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19</w:t>
            </w:r>
          </w:p>
        </w:tc>
        <w:tc>
          <w:tcPr>
            <w:tcW w:w="260" w:type="dxa"/>
            <w:vMerge w:val="continue"/>
            <w:tcBorders>
              <w:tl2br w:val="nil"/>
              <w:tr2bl w:val="nil"/>
            </w:tcBorders>
            <w:shd w:val="clear" w:color="auto" w:fill="FFFFFF"/>
            <w:noWrap w:val="0"/>
            <w:tcMar>
              <w:top w:w="15" w:type="dxa"/>
              <w:left w:w="15" w:type="dxa"/>
              <w:right w:w="15" w:type="dxa"/>
            </w:tcMar>
            <w:vAlign w:val="center"/>
          </w:tcPr>
          <w:p w14:paraId="109B8672">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700AC228">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城镇居民人均可支配收入（元）</w:t>
            </w:r>
          </w:p>
        </w:tc>
        <w:tc>
          <w:tcPr>
            <w:tcW w:w="858" w:type="dxa"/>
            <w:tcBorders>
              <w:tl2br w:val="nil"/>
              <w:tr2bl w:val="nil"/>
            </w:tcBorders>
            <w:shd w:val="clear" w:color="auto" w:fill="FFFFFF"/>
            <w:noWrap w:val="0"/>
            <w:tcMar>
              <w:top w:w="15" w:type="dxa"/>
              <w:left w:w="15" w:type="dxa"/>
              <w:right w:w="15" w:type="dxa"/>
            </w:tcMar>
            <w:vAlign w:val="center"/>
          </w:tcPr>
          <w:p w14:paraId="4E02FA6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29471</w:t>
            </w:r>
          </w:p>
        </w:tc>
        <w:tc>
          <w:tcPr>
            <w:tcW w:w="975" w:type="dxa"/>
            <w:tcBorders>
              <w:tl2br w:val="nil"/>
              <w:tr2bl w:val="nil"/>
            </w:tcBorders>
            <w:shd w:val="clear" w:color="auto" w:fill="FFFFFF"/>
            <w:noWrap w:val="0"/>
            <w:tcMar>
              <w:top w:w="15" w:type="dxa"/>
              <w:left w:w="15" w:type="dxa"/>
              <w:right w:w="15" w:type="dxa"/>
            </w:tcMar>
            <w:vAlign w:val="center"/>
          </w:tcPr>
          <w:p w14:paraId="16057A5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50000</w:t>
            </w:r>
          </w:p>
        </w:tc>
        <w:tc>
          <w:tcPr>
            <w:tcW w:w="985" w:type="dxa"/>
            <w:tcBorders>
              <w:tl2br w:val="nil"/>
              <w:tr2bl w:val="nil"/>
            </w:tcBorders>
            <w:shd w:val="clear" w:color="auto" w:fill="FFFFFF"/>
            <w:noWrap w:val="0"/>
            <w:tcMar>
              <w:top w:w="15" w:type="dxa"/>
              <w:left w:w="15" w:type="dxa"/>
              <w:right w:w="15" w:type="dxa"/>
            </w:tcMar>
            <w:vAlign w:val="center"/>
          </w:tcPr>
          <w:p w14:paraId="1E3483A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40494</w:t>
            </w:r>
          </w:p>
        </w:tc>
        <w:tc>
          <w:tcPr>
            <w:tcW w:w="809" w:type="dxa"/>
            <w:tcBorders>
              <w:tl2br w:val="nil"/>
              <w:tr2bl w:val="nil"/>
            </w:tcBorders>
            <w:shd w:val="clear" w:color="auto" w:fill="FFFFFF"/>
            <w:noWrap w:val="0"/>
            <w:tcMar>
              <w:top w:w="15" w:type="dxa"/>
              <w:left w:w="15" w:type="dxa"/>
              <w:right w:w="15" w:type="dxa"/>
            </w:tcMar>
            <w:vAlign w:val="center"/>
          </w:tcPr>
          <w:p w14:paraId="210D85B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41952</w:t>
            </w:r>
          </w:p>
        </w:tc>
        <w:tc>
          <w:tcPr>
            <w:tcW w:w="772" w:type="dxa"/>
            <w:tcBorders>
              <w:tl2br w:val="nil"/>
              <w:tr2bl w:val="nil"/>
            </w:tcBorders>
            <w:shd w:val="clear" w:color="auto" w:fill="FFFFFF"/>
            <w:noWrap w:val="0"/>
            <w:tcMar>
              <w:top w:w="15" w:type="dxa"/>
              <w:left w:w="15" w:type="dxa"/>
              <w:right w:w="15" w:type="dxa"/>
            </w:tcMar>
            <w:vAlign w:val="center"/>
          </w:tcPr>
          <w:p w14:paraId="1A8A469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3AB4A817">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7930E00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20</w:t>
            </w:r>
          </w:p>
        </w:tc>
        <w:tc>
          <w:tcPr>
            <w:tcW w:w="260" w:type="dxa"/>
            <w:vMerge w:val="continue"/>
            <w:tcBorders>
              <w:tl2br w:val="nil"/>
              <w:tr2bl w:val="nil"/>
            </w:tcBorders>
            <w:shd w:val="clear" w:color="auto" w:fill="FFFFFF"/>
            <w:noWrap w:val="0"/>
            <w:tcMar>
              <w:top w:w="15" w:type="dxa"/>
              <w:left w:w="15" w:type="dxa"/>
              <w:right w:w="15" w:type="dxa"/>
            </w:tcMar>
            <w:vAlign w:val="center"/>
          </w:tcPr>
          <w:p w14:paraId="662C7559">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1D0FDA22">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农村居民人均可支配收入（元）</w:t>
            </w:r>
          </w:p>
        </w:tc>
        <w:tc>
          <w:tcPr>
            <w:tcW w:w="858" w:type="dxa"/>
            <w:tcBorders>
              <w:tl2br w:val="nil"/>
              <w:tr2bl w:val="nil"/>
            </w:tcBorders>
            <w:shd w:val="clear" w:color="auto" w:fill="FFFFFF"/>
            <w:noWrap w:val="0"/>
            <w:tcMar>
              <w:top w:w="15" w:type="dxa"/>
              <w:left w:w="15" w:type="dxa"/>
              <w:right w:w="15" w:type="dxa"/>
            </w:tcMar>
            <w:vAlign w:val="center"/>
          </w:tcPr>
          <w:p w14:paraId="60BFB73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10281</w:t>
            </w:r>
          </w:p>
        </w:tc>
        <w:tc>
          <w:tcPr>
            <w:tcW w:w="975" w:type="dxa"/>
            <w:tcBorders>
              <w:tl2br w:val="nil"/>
              <w:tr2bl w:val="nil"/>
            </w:tcBorders>
            <w:shd w:val="clear" w:color="auto" w:fill="FFFFFF"/>
            <w:noWrap w:val="0"/>
            <w:tcMar>
              <w:top w:w="15" w:type="dxa"/>
              <w:left w:w="15" w:type="dxa"/>
              <w:right w:w="15" w:type="dxa"/>
            </w:tcMar>
            <w:vAlign w:val="center"/>
          </w:tcPr>
          <w:p w14:paraId="0A0A11E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16000</w:t>
            </w:r>
          </w:p>
        </w:tc>
        <w:tc>
          <w:tcPr>
            <w:tcW w:w="985" w:type="dxa"/>
            <w:tcBorders>
              <w:tl2br w:val="nil"/>
              <w:tr2bl w:val="nil"/>
            </w:tcBorders>
            <w:shd w:val="clear" w:color="auto" w:fill="FFFFFF"/>
            <w:noWrap w:val="0"/>
            <w:tcMar>
              <w:top w:w="15" w:type="dxa"/>
              <w:left w:w="15" w:type="dxa"/>
              <w:right w:w="15" w:type="dxa"/>
            </w:tcMar>
            <w:vAlign w:val="center"/>
          </w:tcPr>
          <w:p w14:paraId="113EE35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14807</w:t>
            </w:r>
          </w:p>
        </w:tc>
        <w:tc>
          <w:tcPr>
            <w:tcW w:w="809" w:type="dxa"/>
            <w:tcBorders>
              <w:tl2br w:val="nil"/>
              <w:tr2bl w:val="nil"/>
            </w:tcBorders>
            <w:shd w:val="clear" w:color="auto" w:fill="FFFFFF"/>
            <w:noWrap w:val="0"/>
            <w:tcMar>
              <w:top w:w="15" w:type="dxa"/>
              <w:left w:w="15" w:type="dxa"/>
              <w:right w:w="15" w:type="dxa"/>
            </w:tcMar>
            <w:vAlign w:val="center"/>
          </w:tcPr>
          <w:p w14:paraId="3DD8641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15858</w:t>
            </w:r>
          </w:p>
        </w:tc>
        <w:tc>
          <w:tcPr>
            <w:tcW w:w="772" w:type="dxa"/>
            <w:tcBorders>
              <w:tl2br w:val="nil"/>
              <w:tr2bl w:val="nil"/>
            </w:tcBorders>
            <w:shd w:val="clear" w:color="auto" w:fill="FFFFFF"/>
            <w:noWrap w:val="0"/>
            <w:tcMar>
              <w:top w:w="15" w:type="dxa"/>
              <w:left w:w="15" w:type="dxa"/>
              <w:right w:w="15" w:type="dxa"/>
            </w:tcMar>
            <w:vAlign w:val="center"/>
          </w:tcPr>
          <w:p w14:paraId="3EB6C68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6CA359F7">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291A909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21</w:t>
            </w:r>
          </w:p>
        </w:tc>
        <w:tc>
          <w:tcPr>
            <w:tcW w:w="260" w:type="dxa"/>
            <w:vMerge w:val="continue"/>
            <w:tcBorders>
              <w:tl2br w:val="nil"/>
              <w:tr2bl w:val="nil"/>
            </w:tcBorders>
            <w:shd w:val="clear" w:color="auto" w:fill="FFFFFF"/>
            <w:noWrap w:val="0"/>
            <w:tcMar>
              <w:top w:w="15" w:type="dxa"/>
              <w:left w:w="15" w:type="dxa"/>
              <w:right w:w="15" w:type="dxa"/>
            </w:tcMar>
            <w:vAlign w:val="center"/>
          </w:tcPr>
          <w:p w14:paraId="26795E19">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3AC4096F">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城镇登记失业率（%）</w:t>
            </w:r>
          </w:p>
        </w:tc>
        <w:tc>
          <w:tcPr>
            <w:tcW w:w="858" w:type="dxa"/>
            <w:tcBorders>
              <w:tl2br w:val="nil"/>
              <w:tr2bl w:val="nil"/>
            </w:tcBorders>
            <w:shd w:val="clear" w:color="auto" w:fill="FFFFFF"/>
            <w:noWrap w:val="0"/>
            <w:tcMar>
              <w:top w:w="15" w:type="dxa"/>
              <w:left w:w="15" w:type="dxa"/>
              <w:right w:w="15" w:type="dxa"/>
            </w:tcMar>
            <w:vAlign w:val="center"/>
          </w:tcPr>
          <w:p w14:paraId="64D8AC5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﹤3.5</w:t>
            </w:r>
          </w:p>
        </w:tc>
        <w:tc>
          <w:tcPr>
            <w:tcW w:w="975" w:type="dxa"/>
            <w:tcBorders>
              <w:tl2br w:val="nil"/>
              <w:tr2bl w:val="nil"/>
            </w:tcBorders>
            <w:shd w:val="clear" w:color="auto" w:fill="FFFFFF"/>
            <w:noWrap w:val="0"/>
            <w:tcMar>
              <w:top w:w="15" w:type="dxa"/>
              <w:left w:w="15" w:type="dxa"/>
              <w:right w:w="15" w:type="dxa"/>
            </w:tcMar>
            <w:vAlign w:val="center"/>
          </w:tcPr>
          <w:p w14:paraId="62F3C94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3.5以内</w:t>
            </w:r>
          </w:p>
        </w:tc>
        <w:tc>
          <w:tcPr>
            <w:tcW w:w="985" w:type="dxa"/>
            <w:tcBorders>
              <w:tl2br w:val="nil"/>
              <w:tr2bl w:val="nil"/>
            </w:tcBorders>
            <w:shd w:val="clear" w:color="auto" w:fill="FFFFFF"/>
            <w:noWrap w:val="0"/>
            <w:tcMar>
              <w:top w:w="15" w:type="dxa"/>
              <w:left w:w="15" w:type="dxa"/>
              <w:right w:w="15" w:type="dxa"/>
            </w:tcMar>
            <w:vAlign w:val="center"/>
          </w:tcPr>
          <w:p w14:paraId="65504FC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3.34</w:t>
            </w:r>
          </w:p>
        </w:tc>
        <w:tc>
          <w:tcPr>
            <w:tcW w:w="809" w:type="dxa"/>
            <w:tcBorders>
              <w:tl2br w:val="nil"/>
              <w:tr2bl w:val="nil"/>
            </w:tcBorders>
            <w:shd w:val="clear" w:color="auto" w:fill="FFFFFF"/>
            <w:noWrap w:val="0"/>
            <w:tcMar>
              <w:top w:w="15" w:type="dxa"/>
              <w:left w:w="15" w:type="dxa"/>
              <w:right w:w="15" w:type="dxa"/>
            </w:tcMar>
            <w:vAlign w:val="center"/>
          </w:tcPr>
          <w:p w14:paraId="7F6BEFB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default" w:ascii="Times New Roman" w:hAnsi="Times New Roman" w:eastAsia="仿宋_GB2312" w:cs="Times New Roman"/>
                <w:color w:val="auto"/>
                <w:spacing w:val="0"/>
                <w:kern w:val="0"/>
                <w:sz w:val="18"/>
                <w:szCs w:val="18"/>
                <w:lang w:val="en-US" w:eastAsia="zh-CN" w:bidi="ar"/>
              </w:rPr>
              <w:t>3.4</w:t>
            </w:r>
          </w:p>
        </w:tc>
        <w:tc>
          <w:tcPr>
            <w:tcW w:w="772" w:type="dxa"/>
            <w:tcBorders>
              <w:tl2br w:val="nil"/>
              <w:tr2bl w:val="nil"/>
            </w:tcBorders>
            <w:shd w:val="clear" w:color="auto" w:fill="FFFFFF"/>
            <w:noWrap w:val="0"/>
            <w:tcMar>
              <w:top w:w="15" w:type="dxa"/>
              <w:left w:w="15" w:type="dxa"/>
              <w:right w:w="15" w:type="dxa"/>
            </w:tcMar>
            <w:vAlign w:val="center"/>
          </w:tcPr>
          <w:p w14:paraId="49A5713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5D55232C">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58F6FEB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22</w:t>
            </w:r>
          </w:p>
        </w:tc>
        <w:tc>
          <w:tcPr>
            <w:tcW w:w="260" w:type="dxa"/>
            <w:vMerge w:val="continue"/>
            <w:tcBorders>
              <w:tl2br w:val="nil"/>
              <w:tr2bl w:val="nil"/>
            </w:tcBorders>
            <w:shd w:val="clear" w:color="auto" w:fill="FFFFFF"/>
            <w:noWrap w:val="0"/>
            <w:tcMar>
              <w:top w:w="15" w:type="dxa"/>
              <w:left w:w="15" w:type="dxa"/>
              <w:right w:w="15" w:type="dxa"/>
            </w:tcMar>
            <w:vAlign w:val="center"/>
          </w:tcPr>
          <w:p w14:paraId="03E5FD91">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7421829C">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城镇新增就业人数（人）</w:t>
            </w:r>
          </w:p>
        </w:tc>
        <w:tc>
          <w:tcPr>
            <w:tcW w:w="858" w:type="dxa"/>
            <w:tcBorders>
              <w:tl2br w:val="nil"/>
              <w:tr2bl w:val="nil"/>
            </w:tcBorders>
            <w:shd w:val="clear" w:color="auto" w:fill="FFFFFF"/>
            <w:noWrap w:val="0"/>
            <w:tcMar>
              <w:top w:w="15" w:type="dxa"/>
              <w:left w:w="15" w:type="dxa"/>
              <w:right w:w="15" w:type="dxa"/>
            </w:tcMar>
            <w:vAlign w:val="center"/>
          </w:tcPr>
          <w:p w14:paraId="2740A63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2450</w:t>
            </w:r>
          </w:p>
        </w:tc>
        <w:tc>
          <w:tcPr>
            <w:tcW w:w="975" w:type="dxa"/>
            <w:tcBorders>
              <w:tl2br w:val="nil"/>
              <w:tr2bl w:val="nil"/>
            </w:tcBorders>
            <w:shd w:val="clear" w:color="auto" w:fill="FFFFFF"/>
            <w:noWrap w:val="0"/>
            <w:tcMar>
              <w:top w:w="15" w:type="dxa"/>
              <w:left w:w="15" w:type="dxa"/>
              <w:right w:w="15" w:type="dxa"/>
            </w:tcMar>
            <w:vAlign w:val="center"/>
          </w:tcPr>
          <w:p w14:paraId="70FAB20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3300</w:t>
            </w:r>
          </w:p>
        </w:tc>
        <w:tc>
          <w:tcPr>
            <w:tcW w:w="985" w:type="dxa"/>
            <w:tcBorders>
              <w:tl2br w:val="nil"/>
              <w:tr2bl w:val="nil"/>
            </w:tcBorders>
            <w:shd w:val="clear" w:color="auto" w:fill="FFFFFF"/>
            <w:noWrap w:val="0"/>
            <w:tcMar>
              <w:top w:w="15" w:type="dxa"/>
              <w:left w:w="15" w:type="dxa"/>
              <w:right w:w="15" w:type="dxa"/>
            </w:tcMar>
            <w:vAlign w:val="center"/>
          </w:tcPr>
          <w:p w14:paraId="4F172F5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3197</w:t>
            </w:r>
          </w:p>
        </w:tc>
        <w:tc>
          <w:tcPr>
            <w:tcW w:w="809" w:type="dxa"/>
            <w:tcBorders>
              <w:tl2br w:val="nil"/>
              <w:tr2bl w:val="nil"/>
            </w:tcBorders>
            <w:shd w:val="clear" w:color="auto" w:fill="FFFFFF"/>
            <w:noWrap w:val="0"/>
            <w:tcMar>
              <w:top w:w="15" w:type="dxa"/>
              <w:left w:w="15" w:type="dxa"/>
              <w:right w:w="15" w:type="dxa"/>
            </w:tcMar>
            <w:vAlign w:val="center"/>
          </w:tcPr>
          <w:p w14:paraId="6B18E02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default" w:ascii="Times New Roman" w:hAnsi="Times New Roman" w:eastAsia="仿宋_GB2312" w:cs="Times New Roman"/>
                <w:color w:val="auto"/>
                <w:spacing w:val="0"/>
                <w:kern w:val="0"/>
                <w:sz w:val="18"/>
                <w:szCs w:val="18"/>
                <w:lang w:val="en-US" w:eastAsia="zh-CN" w:bidi="ar"/>
              </w:rPr>
              <w:t>3308</w:t>
            </w:r>
          </w:p>
        </w:tc>
        <w:tc>
          <w:tcPr>
            <w:tcW w:w="772" w:type="dxa"/>
            <w:tcBorders>
              <w:tl2br w:val="nil"/>
              <w:tr2bl w:val="nil"/>
            </w:tcBorders>
            <w:shd w:val="clear" w:color="auto" w:fill="FFFFFF"/>
            <w:noWrap w:val="0"/>
            <w:tcMar>
              <w:top w:w="15" w:type="dxa"/>
              <w:left w:w="15" w:type="dxa"/>
              <w:right w:w="15" w:type="dxa"/>
            </w:tcMar>
            <w:vAlign w:val="center"/>
          </w:tcPr>
          <w:p w14:paraId="6C6EFC1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07359438">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43465D4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23</w:t>
            </w:r>
          </w:p>
        </w:tc>
        <w:tc>
          <w:tcPr>
            <w:tcW w:w="260" w:type="dxa"/>
            <w:vMerge w:val="continue"/>
            <w:tcBorders>
              <w:tl2br w:val="nil"/>
              <w:tr2bl w:val="nil"/>
            </w:tcBorders>
            <w:shd w:val="clear" w:color="auto" w:fill="FFFFFF"/>
            <w:noWrap w:val="0"/>
            <w:tcMar>
              <w:top w:w="15" w:type="dxa"/>
              <w:left w:w="15" w:type="dxa"/>
              <w:right w:w="15" w:type="dxa"/>
            </w:tcMar>
            <w:vAlign w:val="center"/>
          </w:tcPr>
          <w:p w14:paraId="0824355F">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6FB36C27">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城镇职工参加基本养老保险人数（人）</w:t>
            </w:r>
          </w:p>
        </w:tc>
        <w:tc>
          <w:tcPr>
            <w:tcW w:w="858" w:type="dxa"/>
            <w:tcBorders>
              <w:tl2br w:val="nil"/>
              <w:tr2bl w:val="nil"/>
            </w:tcBorders>
            <w:shd w:val="clear" w:color="auto" w:fill="FFFFFF"/>
            <w:noWrap w:val="0"/>
            <w:tcMar>
              <w:top w:w="15" w:type="dxa"/>
              <w:left w:w="15" w:type="dxa"/>
              <w:right w:w="15" w:type="dxa"/>
            </w:tcMar>
            <w:vAlign w:val="center"/>
          </w:tcPr>
          <w:p w14:paraId="25F1615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26700</w:t>
            </w:r>
          </w:p>
        </w:tc>
        <w:tc>
          <w:tcPr>
            <w:tcW w:w="975" w:type="dxa"/>
            <w:tcBorders>
              <w:tl2br w:val="nil"/>
              <w:tr2bl w:val="nil"/>
            </w:tcBorders>
            <w:shd w:val="clear" w:color="auto" w:fill="FFFFFF"/>
            <w:noWrap w:val="0"/>
            <w:tcMar>
              <w:top w:w="15" w:type="dxa"/>
              <w:left w:w="15" w:type="dxa"/>
              <w:right w:w="15" w:type="dxa"/>
            </w:tcMar>
            <w:vAlign w:val="center"/>
          </w:tcPr>
          <w:p w14:paraId="59F00AD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30000</w:t>
            </w:r>
          </w:p>
        </w:tc>
        <w:tc>
          <w:tcPr>
            <w:tcW w:w="985" w:type="dxa"/>
            <w:tcBorders>
              <w:tl2br w:val="nil"/>
              <w:tr2bl w:val="nil"/>
            </w:tcBorders>
            <w:shd w:val="clear" w:color="auto" w:fill="FFFFFF"/>
            <w:noWrap w:val="0"/>
            <w:tcMar>
              <w:top w:w="15" w:type="dxa"/>
              <w:left w:w="15" w:type="dxa"/>
              <w:right w:w="15" w:type="dxa"/>
            </w:tcMar>
            <w:vAlign w:val="center"/>
          </w:tcPr>
          <w:p w14:paraId="66663E2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31267</w:t>
            </w:r>
          </w:p>
        </w:tc>
        <w:tc>
          <w:tcPr>
            <w:tcW w:w="809" w:type="dxa"/>
            <w:tcBorders>
              <w:tl2br w:val="nil"/>
              <w:tr2bl w:val="nil"/>
            </w:tcBorders>
            <w:shd w:val="clear" w:color="auto" w:fill="FFFFFF"/>
            <w:noWrap w:val="0"/>
            <w:tcMar>
              <w:top w:w="15" w:type="dxa"/>
              <w:left w:w="15" w:type="dxa"/>
              <w:right w:w="15" w:type="dxa"/>
            </w:tcMar>
            <w:vAlign w:val="center"/>
          </w:tcPr>
          <w:p w14:paraId="3AA2598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default" w:ascii="Times New Roman" w:hAnsi="Times New Roman" w:eastAsia="仿宋_GB2312" w:cs="Times New Roman"/>
                <w:color w:val="auto"/>
                <w:spacing w:val="0"/>
                <w:kern w:val="0"/>
                <w:sz w:val="18"/>
                <w:szCs w:val="18"/>
                <w:lang w:val="en-US" w:eastAsia="zh-CN" w:bidi="ar"/>
              </w:rPr>
              <w:t>33202</w:t>
            </w:r>
          </w:p>
        </w:tc>
        <w:tc>
          <w:tcPr>
            <w:tcW w:w="772" w:type="dxa"/>
            <w:tcBorders>
              <w:tl2br w:val="nil"/>
              <w:tr2bl w:val="nil"/>
            </w:tcBorders>
            <w:shd w:val="clear" w:color="auto" w:fill="FFFFFF"/>
            <w:noWrap w:val="0"/>
            <w:tcMar>
              <w:top w:w="15" w:type="dxa"/>
              <w:left w:w="15" w:type="dxa"/>
              <w:right w:w="15" w:type="dxa"/>
            </w:tcMar>
            <w:vAlign w:val="center"/>
          </w:tcPr>
          <w:p w14:paraId="58F992A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5E7D78E5">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0B35C49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24</w:t>
            </w:r>
          </w:p>
        </w:tc>
        <w:tc>
          <w:tcPr>
            <w:tcW w:w="260" w:type="dxa"/>
            <w:vMerge w:val="continue"/>
            <w:tcBorders>
              <w:tl2br w:val="nil"/>
              <w:tr2bl w:val="nil"/>
            </w:tcBorders>
            <w:shd w:val="clear" w:color="auto" w:fill="FFFFFF"/>
            <w:noWrap w:val="0"/>
            <w:tcMar>
              <w:top w:w="15" w:type="dxa"/>
              <w:left w:w="15" w:type="dxa"/>
              <w:right w:w="15" w:type="dxa"/>
            </w:tcMar>
            <w:vAlign w:val="center"/>
          </w:tcPr>
          <w:p w14:paraId="607210B1">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6D181835">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城乡居民基本养老保险覆盖率（%）</w:t>
            </w:r>
          </w:p>
        </w:tc>
        <w:tc>
          <w:tcPr>
            <w:tcW w:w="858" w:type="dxa"/>
            <w:tcBorders>
              <w:tl2br w:val="nil"/>
              <w:tr2bl w:val="nil"/>
            </w:tcBorders>
            <w:shd w:val="clear" w:color="auto" w:fill="FFFFFF"/>
            <w:noWrap w:val="0"/>
            <w:tcMar>
              <w:top w:w="15" w:type="dxa"/>
              <w:left w:w="15" w:type="dxa"/>
              <w:right w:w="15" w:type="dxa"/>
            </w:tcMar>
            <w:vAlign w:val="center"/>
          </w:tcPr>
          <w:p w14:paraId="57EFF0C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98.4</w:t>
            </w:r>
          </w:p>
        </w:tc>
        <w:tc>
          <w:tcPr>
            <w:tcW w:w="975" w:type="dxa"/>
            <w:tcBorders>
              <w:tl2br w:val="nil"/>
              <w:tr2bl w:val="nil"/>
            </w:tcBorders>
            <w:shd w:val="clear" w:color="auto" w:fill="FFFFFF"/>
            <w:noWrap w:val="0"/>
            <w:tcMar>
              <w:top w:w="15" w:type="dxa"/>
              <w:left w:w="15" w:type="dxa"/>
              <w:right w:w="15" w:type="dxa"/>
            </w:tcMar>
            <w:vAlign w:val="center"/>
          </w:tcPr>
          <w:p w14:paraId="70CC757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99.5</w:t>
            </w:r>
          </w:p>
        </w:tc>
        <w:tc>
          <w:tcPr>
            <w:tcW w:w="985" w:type="dxa"/>
            <w:tcBorders>
              <w:tl2br w:val="nil"/>
              <w:tr2bl w:val="nil"/>
            </w:tcBorders>
            <w:shd w:val="clear" w:color="auto" w:fill="FFFFFF"/>
            <w:noWrap w:val="0"/>
            <w:tcMar>
              <w:top w:w="15" w:type="dxa"/>
              <w:left w:w="15" w:type="dxa"/>
              <w:right w:w="15" w:type="dxa"/>
            </w:tcMar>
            <w:vAlign w:val="center"/>
          </w:tcPr>
          <w:p w14:paraId="29B0ACB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99.34</w:t>
            </w:r>
          </w:p>
        </w:tc>
        <w:tc>
          <w:tcPr>
            <w:tcW w:w="809" w:type="dxa"/>
            <w:tcBorders>
              <w:tl2br w:val="nil"/>
              <w:tr2bl w:val="nil"/>
            </w:tcBorders>
            <w:shd w:val="clear" w:color="auto" w:fill="FFFFFF"/>
            <w:noWrap w:val="0"/>
            <w:tcMar>
              <w:top w:w="15" w:type="dxa"/>
              <w:left w:w="15" w:type="dxa"/>
              <w:right w:w="15" w:type="dxa"/>
            </w:tcMar>
            <w:vAlign w:val="center"/>
          </w:tcPr>
          <w:p w14:paraId="3374D6E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99.51</w:t>
            </w:r>
          </w:p>
        </w:tc>
        <w:tc>
          <w:tcPr>
            <w:tcW w:w="772" w:type="dxa"/>
            <w:tcBorders>
              <w:tl2br w:val="nil"/>
              <w:tr2bl w:val="nil"/>
            </w:tcBorders>
            <w:shd w:val="clear" w:color="auto" w:fill="FFFFFF"/>
            <w:noWrap w:val="0"/>
            <w:tcMar>
              <w:top w:w="15" w:type="dxa"/>
              <w:left w:w="15" w:type="dxa"/>
              <w:right w:w="15" w:type="dxa"/>
            </w:tcMar>
            <w:vAlign w:val="center"/>
          </w:tcPr>
          <w:p w14:paraId="6DC2DE9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7E861440">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6405F81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25</w:t>
            </w:r>
          </w:p>
        </w:tc>
        <w:tc>
          <w:tcPr>
            <w:tcW w:w="260" w:type="dxa"/>
            <w:vMerge w:val="continue"/>
            <w:tcBorders>
              <w:tl2br w:val="nil"/>
              <w:tr2bl w:val="nil"/>
            </w:tcBorders>
            <w:shd w:val="clear" w:color="auto" w:fill="FFFFFF"/>
            <w:noWrap w:val="0"/>
            <w:tcMar>
              <w:top w:w="15" w:type="dxa"/>
              <w:left w:w="15" w:type="dxa"/>
              <w:right w:w="15" w:type="dxa"/>
            </w:tcMar>
            <w:vAlign w:val="center"/>
          </w:tcPr>
          <w:p w14:paraId="4C5A55A2">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014080CC">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新型农村合作医疗参合人数（人）</w:t>
            </w:r>
          </w:p>
        </w:tc>
        <w:tc>
          <w:tcPr>
            <w:tcW w:w="858" w:type="dxa"/>
            <w:tcBorders>
              <w:tl2br w:val="nil"/>
              <w:tr2bl w:val="nil"/>
            </w:tcBorders>
            <w:shd w:val="clear" w:color="auto" w:fill="FFFFFF"/>
            <w:noWrap w:val="0"/>
            <w:tcMar>
              <w:top w:w="15" w:type="dxa"/>
              <w:left w:w="15" w:type="dxa"/>
              <w:right w:w="15" w:type="dxa"/>
            </w:tcMar>
            <w:vAlign w:val="center"/>
          </w:tcPr>
          <w:p w14:paraId="2B86A98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213556</w:t>
            </w:r>
          </w:p>
        </w:tc>
        <w:tc>
          <w:tcPr>
            <w:tcW w:w="975" w:type="dxa"/>
            <w:tcBorders>
              <w:tl2br w:val="nil"/>
              <w:tr2bl w:val="nil"/>
            </w:tcBorders>
            <w:shd w:val="clear" w:color="auto" w:fill="FFFFFF"/>
            <w:noWrap w:val="0"/>
            <w:tcMar>
              <w:top w:w="15" w:type="dxa"/>
              <w:left w:w="15" w:type="dxa"/>
              <w:right w:w="15" w:type="dxa"/>
            </w:tcMar>
            <w:vAlign w:val="center"/>
          </w:tcPr>
          <w:p w14:paraId="1C3C13C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210094</w:t>
            </w:r>
          </w:p>
        </w:tc>
        <w:tc>
          <w:tcPr>
            <w:tcW w:w="985" w:type="dxa"/>
            <w:tcBorders>
              <w:tl2br w:val="nil"/>
              <w:tr2bl w:val="nil"/>
            </w:tcBorders>
            <w:shd w:val="clear" w:color="auto" w:fill="FFFFFF"/>
            <w:noWrap w:val="0"/>
            <w:tcMar>
              <w:top w:w="15" w:type="dxa"/>
              <w:left w:w="15" w:type="dxa"/>
              <w:right w:w="15" w:type="dxa"/>
            </w:tcMar>
            <w:vAlign w:val="center"/>
          </w:tcPr>
          <w:p w14:paraId="43D7171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w:t>
            </w:r>
          </w:p>
        </w:tc>
        <w:tc>
          <w:tcPr>
            <w:tcW w:w="809" w:type="dxa"/>
            <w:tcBorders>
              <w:tl2br w:val="nil"/>
              <w:tr2bl w:val="nil"/>
            </w:tcBorders>
            <w:shd w:val="clear" w:color="auto" w:fill="FFFFFF"/>
            <w:noWrap w:val="0"/>
            <w:tcMar>
              <w:top w:w="15" w:type="dxa"/>
              <w:left w:w="15" w:type="dxa"/>
              <w:right w:w="15" w:type="dxa"/>
            </w:tcMar>
            <w:vAlign w:val="center"/>
          </w:tcPr>
          <w:p w14:paraId="72C81A0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不统计</w:t>
            </w:r>
          </w:p>
        </w:tc>
        <w:tc>
          <w:tcPr>
            <w:tcW w:w="772" w:type="dxa"/>
            <w:tcBorders>
              <w:tl2br w:val="nil"/>
              <w:tr2bl w:val="nil"/>
            </w:tcBorders>
            <w:shd w:val="clear" w:color="auto" w:fill="FFFFFF"/>
            <w:noWrap w:val="0"/>
            <w:tcMar>
              <w:top w:w="15" w:type="dxa"/>
              <w:left w:w="15" w:type="dxa"/>
              <w:right w:w="15" w:type="dxa"/>
            </w:tcMar>
            <w:vAlign w:val="center"/>
          </w:tcPr>
          <w:p w14:paraId="71032C3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0A5C8011">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6033A5B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26</w:t>
            </w:r>
          </w:p>
        </w:tc>
        <w:tc>
          <w:tcPr>
            <w:tcW w:w="260" w:type="dxa"/>
            <w:vMerge w:val="continue"/>
            <w:tcBorders>
              <w:tl2br w:val="nil"/>
              <w:tr2bl w:val="nil"/>
            </w:tcBorders>
            <w:shd w:val="clear" w:color="auto" w:fill="FFFFFF"/>
            <w:noWrap w:val="0"/>
            <w:tcMar>
              <w:top w:w="15" w:type="dxa"/>
              <w:left w:w="15" w:type="dxa"/>
              <w:right w:w="15" w:type="dxa"/>
            </w:tcMar>
            <w:vAlign w:val="center"/>
          </w:tcPr>
          <w:p w14:paraId="778EBE2B">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527D341C">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城乡居民基本医疗保险人数（人）</w:t>
            </w:r>
          </w:p>
        </w:tc>
        <w:tc>
          <w:tcPr>
            <w:tcW w:w="858" w:type="dxa"/>
            <w:tcBorders>
              <w:tl2br w:val="nil"/>
              <w:tr2bl w:val="nil"/>
            </w:tcBorders>
            <w:shd w:val="clear" w:color="auto" w:fill="FFFFFF"/>
            <w:noWrap w:val="0"/>
            <w:tcMar>
              <w:top w:w="15" w:type="dxa"/>
              <w:left w:w="15" w:type="dxa"/>
              <w:right w:w="15" w:type="dxa"/>
            </w:tcMar>
            <w:vAlign w:val="center"/>
          </w:tcPr>
          <w:p w14:paraId="2E6F6A6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36560</w:t>
            </w:r>
          </w:p>
        </w:tc>
        <w:tc>
          <w:tcPr>
            <w:tcW w:w="975" w:type="dxa"/>
            <w:tcBorders>
              <w:tl2br w:val="nil"/>
              <w:tr2bl w:val="nil"/>
            </w:tcBorders>
            <w:shd w:val="clear" w:color="auto" w:fill="FFFFFF"/>
            <w:noWrap w:val="0"/>
            <w:tcMar>
              <w:top w:w="15" w:type="dxa"/>
              <w:left w:w="15" w:type="dxa"/>
              <w:right w:w="15" w:type="dxa"/>
            </w:tcMar>
            <w:vAlign w:val="center"/>
          </w:tcPr>
          <w:p w14:paraId="0E0AF7A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175000</w:t>
            </w:r>
          </w:p>
        </w:tc>
        <w:tc>
          <w:tcPr>
            <w:tcW w:w="985" w:type="dxa"/>
            <w:tcBorders>
              <w:tl2br w:val="nil"/>
              <w:tr2bl w:val="nil"/>
            </w:tcBorders>
            <w:shd w:val="clear" w:color="auto" w:fill="FFFFFF"/>
            <w:noWrap w:val="0"/>
            <w:tcMar>
              <w:top w:w="15" w:type="dxa"/>
              <w:left w:w="15" w:type="dxa"/>
              <w:right w:w="15" w:type="dxa"/>
            </w:tcMar>
            <w:vAlign w:val="center"/>
          </w:tcPr>
          <w:p w14:paraId="489021E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249778</w:t>
            </w:r>
          </w:p>
        </w:tc>
        <w:tc>
          <w:tcPr>
            <w:tcW w:w="809" w:type="dxa"/>
            <w:tcBorders>
              <w:tl2br w:val="nil"/>
              <w:tr2bl w:val="nil"/>
            </w:tcBorders>
            <w:shd w:val="clear" w:color="auto" w:fill="FFFFFF"/>
            <w:noWrap w:val="0"/>
            <w:tcMar>
              <w:top w:w="15" w:type="dxa"/>
              <w:left w:w="15" w:type="dxa"/>
              <w:right w:w="15" w:type="dxa"/>
            </w:tcMar>
            <w:vAlign w:val="center"/>
          </w:tcPr>
          <w:p w14:paraId="05A579F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249383</w:t>
            </w:r>
          </w:p>
        </w:tc>
        <w:tc>
          <w:tcPr>
            <w:tcW w:w="772" w:type="dxa"/>
            <w:tcBorders>
              <w:tl2br w:val="nil"/>
              <w:tr2bl w:val="nil"/>
            </w:tcBorders>
            <w:shd w:val="clear" w:color="auto" w:fill="FFFFFF"/>
            <w:noWrap w:val="0"/>
            <w:tcMar>
              <w:top w:w="15" w:type="dxa"/>
              <w:left w:w="15" w:type="dxa"/>
              <w:right w:w="15" w:type="dxa"/>
            </w:tcMar>
            <w:vAlign w:val="center"/>
          </w:tcPr>
          <w:p w14:paraId="19EE19A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3901FE7A">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710CE91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27</w:t>
            </w:r>
          </w:p>
        </w:tc>
        <w:tc>
          <w:tcPr>
            <w:tcW w:w="260" w:type="dxa"/>
            <w:vMerge w:val="continue"/>
            <w:tcBorders>
              <w:tl2br w:val="nil"/>
              <w:tr2bl w:val="nil"/>
            </w:tcBorders>
            <w:shd w:val="clear" w:color="auto" w:fill="FFFFFF"/>
            <w:noWrap w:val="0"/>
            <w:tcMar>
              <w:top w:w="15" w:type="dxa"/>
              <w:left w:w="15" w:type="dxa"/>
              <w:right w:w="15" w:type="dxa"/>
            </w:tcMar>
            <w:vAlign w:val="center"/>
          </w:tcPr>
          <w:p w14:paraId="68D28195">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33DF5D86">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城镇职工基本医疗保险人数（人）</w:t>
            </w:r>
          </w:p>
        </w:tc>
        <w:tc>
          <w:tcPr>
            <w:tcW w:w="858" w:type="dxa"/>
            <w:tcBorders>
              <w:tl2br w:val="nil"/>
              <w:tr2bl w:val="nil"/>
            </w:tcBorders>
            <w:shd w:val="clear" w:color="auto" w:fill="FFFFFF"/>
            <w:noWrap w:val="0"/>
            <w:tcMar>
              <w:top w:w="15" w:type="dxa"/>
              <w:left w:w="15" w:type="dxa"/>
              <w:right w:w="15" w:type="dxa"/>
            </w:tcMar>
            <w:vAlign w:val="center"/>
          </w:tcPr>
          <w:p w14:paraId="0BA8189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21943</w:t>
            </w:r>
          </w:p>
        </w:tc>
        <w:tc>
          <w:tcPr>
            <w:tcW w:w="975" w:type="dxa"/>
            <w:tcBorders>
              <w:tl2br w:val="nil"/>
              <w:tr2bl w:val="nil"/>
            </w:tcBorders>
            <w:shd w:val="clear" w:color="auto" w:fill="FFFFFF"/>
            <w:noWrap w:val="0"/>
            <w:tcMar>
              <w:top w:w="15" w:type="dxa"/>
              <w:left w:w="15" w:type="dxa"/>
              <w:right w:w="15" w:type="dxa"/>
            </w:tcMar>
            <w:vAlign w:val="center"/>
          </w:tcPr>
          <w:p w14:paraId="159A6F5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23000</w:t>
            </w:r>
          </w:p>
        </w:tc>
        <w:tc>
          <w:tcPr>
            <w:tcW w:w="985" w:type="dxa"/>
            <w:tcBorders>
              <w:tl2br w:val="nil"/>
              <w:tr2bl w:val="nil"/>
            </w:tcBorders>
            <w:shd w:val="clear" w:color="auto" w:fill="FFFFFF"/>
            <w:noWrap w:val="0"/>
            <w:tcMar>
              <w:top w:w="15" w:type="dxa"/>
              <w:left w:w="15" w:type="dxa"/>
              <w:right w:w="15" w:type="dxa"/>
            </w:tcMar>
            <w:vAlign w:val="center"/>
          </w:tcPr>
          <w:p w14:paraId="6E01167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23911</w:t>
            </w:r>
          </w:p>
        </w:tc>
        <w:tc>
          <w:tcPr>
            <w:tcW w:w="809" w:type="dxa"/>
            <w:tcBorders>
              <w:tl2br w:val="nil"/>
              <w:tr2bl w:val="nil"/>
            </w:tcBorders>
            <w:shd w:val="clear" w:color="auto" w:fill="FFFFFF"/>
            <w:noWrap w:val="0"/>
            <w:tcMar>
              <w:top w:w="15" w:type="dxa"/>
              <w:left w:w="15" w:type="dxa"/>
              <w:right w:w="15" w:type="dxa"/>
            </w:tcMar>
            <w:vAlign w:val="center"/>
          </w:tcPr>
          <w:p w14:paraId="13F951E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25520</w:t>
            </w:r>
          </w:p>
        </w:tc>
        <w:tc>
          <w:tcPr>
            <w:tcW w:w="772" w:type="dxa"/>
            <w:tcBorders>
              <w:tl2br w:val="nil"/>
              <w:tr2bl w:val="nil"/>
            </w:tcBorders>
            <w:shd w:val="clear" w:color="auto" w:fill="FFFFFF"/>
            <w:noWrap w:val="0"/>
            <w:tcMar>
              <w:top w:w="15" w:type="dxa"/>
              <w:left w:w="15" w:type="dxa"/>
              <w:right w:w="15" w:type="dxa"/>
            </w:tcMar>
            <w:vAlign w:val="center"/>
          </w:tcPr>
          <w:p w14:paraId="08FC4D8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6D674861">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5AC6198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28</w:t>
            </w:r>
          </w:p>
        </w:tc>
        <w:tc>
          <w:tcPr>
            <w:tcW w:w="260" w:type="dxa"/>
            <w:vMerge w:val="continue"/>
            <w:tcBorders>
              <w:tl2br w:val="nil"/>
              <w:tr2bl w:val="nil"/>
            </w:tcBorders>
            <w:shd w:val="clear" w:color="auto" w:fill="FFFFFF"/>
            <w:noWrap w:val="0"/>
            <w:tcMar>
              <w:top w:w="15" w:type="dxa"/>
              <w:left w:w="15" w:type="dxa"/>
              <w:right w:w="15" w:type="dxa"/>
            </w:tcMar>
            <w:vAlign w:val="center"/>
          </w:tcPr>
          <w:p w14:paraId="4A3C937E">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1B359380">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平均每万人拥有卫生技术人员数（人）</w:t>
            </w:r>
          </w:p>
        </w:tc>
        <w:tc>
          <w:tcPr>
            <w:tcW w:w="858" w:type="dxa"/>
            <w:tcBorders>
              <w:tl2br w:val="nil"/>
              <w:tr2bl w:val="nil"/>
            </w:tcBorders>
            <w:shd w:val="clear" w:color="auto" w:fill="FFFFFF"/>
            <w:noWrap w:val="0"/>
            <w:tcMar>
              <w:top w:w="15" w:type="dxa"/>
              <w:left w:w="15" w:type="dxa"/>
              <w:right w:w="15" w:type="dxa"/>
            </w:tcMar>
            <w:vAlign w:val="center"/>
          </w:tcPr>
          <w:p w14:paraId="0A2FF6E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47.5</w:t>
            </w:r>
          </w:p>
        </w:tc>
        <w:tc>
          <w:tcPr>
            <w:tcW w:w="975" w:type="dxa"/>
            <w:tcBorders>
              <w:tl2br w:val="nil"/>
              <w:tr2bl w:val="nil"/>
            </w:tcBorders>
            <w:shd w:val="clear" w:color="auto" w:fill="FFFFFF"/>
            <w:noWrap w:val="0"/>
            <w:tcMar>
              <w:top w:w="15" w:type="dxa"/>
              <w:left w:w="15" w:type="dxa"/>
              <w:right w:w="15" w:type="dxa"/>
            </w:tcMar>
            <w:vAlign w:val="center"/>
          </w:tcPr>
          <w:p w14:paraId="3D9719E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61</w:t>
            </w:r>
          </w:p>
        </w:tc>
        <w:tc>
          <w:tcPr>
            <w:tcW w:w="985" w:type="dxa"/>
            <w:tcBorders>
              <w:tl2br w:val="nil"/>
              <w:tr2bl w:val="nil"/>
            </w:tcBorders>
            <w:shd w:val="clear" w:color="auto" w:fill="FFFFFF"/>
            <w:noWrap w:val="0"/>
            <w:tcMar>
              <w:top w:w="15" w:type="dxa"/>
              <w:left w:w="15" w:type="dxa"/>
              <w:right w:w="15" w:type="dxa"/>
            </w:tcMar>
            <w:vAlign w:val="center"/>
          </w:tcPr>
          <w:p w14:paraId="2B67B64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58.9</w:t>
            </w:r>
          </w:p>
        </w:tc>
        <w:tc>
          <w:tcPr>
            <w:tcW w:w="809" w:type="dxa"/>
            <w:tcBorders>
              <w:tl2br w:val="nil"/>
              <w:tr2bl w:val="nil"/>
            </w:tcBorders>
            <w:shd w:val="clear" w:color="auto" w:fill="FFFFFF"/>
            <w:noWrap w:val="0"/>
            <w:tcMar>
              <w:top w:w="15" w:type="dxa"/>
              <w:left w:w="15" w:type="dxa"/>
              <w:right w:w="15" w:type="dxa"/>
            </w:tcMar>
            <w:vAlign w:val="center"/>
          </w:tcPr>
          <w:p w14:paraId="58C82E6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62.8</w:t>
            </w:r>
          </w:p>
        </w:tc>
        <w:tc>
          <w:tcPr>
            <w:tcW w:w="772" w:type="dxa"/>
            <w:tcBorders>
              <w:tl2br w:val="nil"/>
              <w:tr2bl w:val="nil"/>
            </w:tcBorders>
            <w:shd w:val="clear" w:color="auto" w:fill="FFFFFF"/>
            <w:noWrap w:val="0"/>
            <w:tcMar>
              <w:top w:w="15" w:type="dxa"/>
              <w:left w:w="15" w:type="dxa"/>
              <w:right w:w="15" w:type="dxa"/>
            </w:tcMar>
            <w:vAlign w:val="center"/>
          </w:tcPr>
          <w:p w14:paraId="3814E07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31AE2B85">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057C5CD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29</w:t>
            </w:r>
          </w:p>
        </w:tc>
        <w:tc>
          <w:tcPr>
            <w:tcW w:w="260" w:type="dxa"/>
            <w:vMerge w:val="continue"/>
            <w:tcBorders>
              <w:tl2br w:val="nil"/>
              <w:tr2bl w:val="nil"/>
            </w:tcBorders>
            <w:shd w:val="clear" w:color="auto" w:fill="FFFFFF"/>
            <w:noWrap w:val="0"/>
            <w:tcMar>
              <w:top w:w="15" w:type="dxa"/>
              <w:left w:w="15" w:type="dxa"/>
              <w:right w:w="15" w:type="dxa"/>
            </w:tcMar>
            <w:vAlign w:val="center"/>
          </w:tcPr>
          <w:p w14:paraId="245C0746">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756067D7">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居民价格消费指数（%）</w:t>
            </w:r>
          </w:p>
        </w:tc>
        <w:tc>
          <w:tcPr>
            <w:tcW w:w="858" w:type="dxa"/>
            <w:tcBorders>
              <w:tl2br w:val="nil"/>
              <w:tr2bl w:val="nil"/>
            </w:tcBorders>
            <w:shd w:val="clear" w:color="auto" w:fill="FFFFFF"/>
            <w:noWrap w:val="0"/>
            <w:tcMar>
              <w:top w:w="15" w:type="dxa"/>
              <w:left w:w="15" w:type="dxa"/>
              <w:right w:w="15" w:type="dxa"/>
            </w:tcMar>
            <w:vAlign w:val="center"/>
          </w:tcPr>
          <w:p w14:paraId="329EC62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101.4</w:t>
            </w:r>
          </w:p>
        </w:tc>
        <w:tc>
          <w:tcPr>
            <w:tcW w:w="975" w:type="dxa"/>
            <w:tcBorders>
              <w:tl2br w:val="nil"/>
              <w:tr2bl w:val="nil"/>
            </w:tcBorders>
            <w:shd w:val="clear" w:color="auto" w:fill="FFFFFF"/>
            <w:noWrap w:val="0"/>
            <w:tcMar>
              <w:top w:w="15" w:type="dxa"/>
              <w:left w:w="15" w:type="dxa"/>
              <w:right w:w="15" w:type="dxa"/>
            </w:tcMar>
            <w:vAlign w:val="center"/>
          </w:tcPr>
          <w:p w14:paraId="311A753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w:t>
            </w:r>
          </w:p>
        </w:tc>
        <w:tc>
          <w:tcPr>
            <w:tcW w:w="985" w:type="dxa"/>
            <w:tcBorders>
              <w:tl2br w:val="nil"/>
              <w:tr2bl w:val="nil"/>
            </w:tcBorders>
            <w:shd w:val="clear" w:color="auto" w:fill="FFFFFF"/>
            <w:noWrap w:val="0"/>
            <w:tcMar>
              <w:top w:w="15" w:type="dxa"/>
              <w:left w:w="15" w:type="dxa"/>
              <w:right w:w="15" w:type="dxa"/>
            </w:tcMar>
            <w:vAlign w:val="center"/>
          </w:tcPr>
          <w:p w14:paraId="3574D57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w:t>
            </w:r>
          </w:p>
        </w:tc>
        <w:tc>
          <w:tcPr>
            <w:tcW w:w="809" w:type="dxa"/>
            <w:tcBorders>
              <w:tl2br w:val="nil"/>
              <w:tr2bl w:val="nil"/>
            </w:tcBorders>
            <w:shd w:val="clear" w:color="auto" w:fill="FFFFFF"/>
            <w:noWrap w:val="0"/>
            <w:tcMar>
              <w:top w:w="15" w:type="dxa"/>
              <w:left w:w="15" w:type="dxa"/>
              <w:right w:w="15" w:type="dxa"/>
            </w:tcMar>
            <w:vAlign w:val="center"/>
          </w:tcPr>
          <w:p w14:paraId="259F297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不统计</w:t>
            </w:r>
          </w:p>
        </w:tc>
        <w:tc>
          <w:tcPr>
            <w:tcW w:w="772" w:type="dxa"/>
            <w:tcBorders>
              <w:tl2br w:val="nil"/>
              <w:tr2bl w:val="nil"/>
            </w:tcBorders>
            <w:shd w:val="clear" w:color="auto" w:fill="FFFFFF"/>
            <w:noWrap w:val="0"/>
            <w:tcMar>
              <w:top w:w="15" w:type="dxa"/>
              <w:left w:w="15" w:type="dxa"/>
              <w:right w:w="15" w:type="dxa"/>
            </w:tcMar>
            <w:vAlign w:val="center"/>
          </w:tcPr>
          <w:p w14:paraId="46720F9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76D38B53">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34BBFED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30</w:t>
            </w:r>
          </w:p>
        </w:tc>
        <w:tc>
          <w:tcPr>
            <w:tcW w:w="260" w:type="dxa"/>
            <w:vMerge w:val="restart"/>
            <w:tcBorders>
              <w:tl2br w:val="nil"/>
              <w:tr2bl w:val="nil"/>
            </w:tcBorders>
            <w:shd w:val="clear" w:color="auto" w:fill="FFFFFF"/>
            <w:noWrap w:val="0"/>
            <w:tcMar>
              <w:top w:w="15" w:type="dxa"/>
              <w:left w:w="15" w:type="dxa"/>
              <w:right w:w="15" w:type="dxa"/>
            </w:tcMar>
            <w:vAlign w:val="center"/>
          </w:tcPr>
          <w:p w14:paraId="12B3C72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eastAsia" w:ascii="Times New Roman" w:hAnsi="Times New Roman" w:eastAsia="仿宋_GB2312" w:cs="Times New Roman"/>
                <w:color w:val="auto"/>
                <w:spacing w:val="0"/>
                <w:kern w:val="0"/>
                <w:sz w:val="18"/>
                <w:szCs w:val="18"/>
                <w:lang w:eastAsia="zh-CN" w:bidi="ar"/>
              </w:rPr>
            </w:pPr>
            <w:r>
              <w:rPr>
                <w:rFonts w:hint="default" w:ascii="Times New Roman" w:hAnsi="Times New Roman" w:eastAsia="仿宋_GB2312" w:cs="Times New Roman"/>
                <w:color w:val="auto"/>
                <w:spacing w:val="0"/>
                <w:kern w:val="0"/>
                <w:sz w:val="18"/>
                <w:szCs w:val="18"/>
                <w:lang w:bidi="ar"/>
              </w:rPr>
              <w:t>资源</w:t>
            </w:r>
          </w:p>
          <w:p w14:paraId="47BFCD8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环境</w:t>
            </w:r>
          </w:p>
        </w:tc>
        <w:tc>
          <w:tcPr>
            <w:tcW w:w="4197" w:type="dxa"/>
            <w:tcBorders>
              <w:tl2br w:val="nil"/>
              <w:tr2bl w:val="nil"/>
            </w:tcBorders>
            <w:shd w:val="clear" w:color="auto" w:fill="FFFFFF"/>
            <w:noWrap w:val="0"/>
            <w:tcMar>
              <w:top w:w="15" w:type="dxa"/>
              <w:left w:w="15" w:type="dxa"/>
              <w:right w:w="15" w:type="dxa"/>
            </w:tcMar>
            <w:vAlign w:val="center"/>
          </w:tcPr>
          <w:p w14:paraId="679D3B1D">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森林覆盖率（%）</w:t>
            </w:r>
          </w:p>
        </w:tc>
        <w:tc>
          <w:tcPr>
            <w:tcW w:w="858" w:type="dxa"/>
            <w:tcBorders>
              <w:tl2br w:val="nil"/>
              <w:tr2bl w:val="nil"/>
            </w:tcBorders>
            <w:shd w:val="clear" w:color="auto" w:fill="FFFFFF"/>
            <w:noWrap w:val="0"/>
            <w:tcMar>
              <w:top w:w="15" w:type="dxa"/>
              <w:left w:w="15" w:type="dxa"/>
              <w:right w:w="15" w:type="dxa"/>
            </w:tcMar>
            <w:vAlign w:val="center"/>
          </w:tcPr>
          <w:p w14:paraId="64C2829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64.6</w:t>
            </w:r>
          </w:p>
        </w:tc>
        <w:tc>
          <w:tcPr>
            <w:tcW w:w="975" w:type="dxa"/>
            <w:tcBorders>
              <w:tl2br w:val="nil"/>
              <w:tr2bl w:val="nil"/>
            </w:tcBorders>
            <w:shd w:val="clear" w:color="auto" w:fill="FFFFFF"/>
            <w:noWrap w:val="0"/>
            <w:tcMar>
              <w:top w:w="15" w:type="dxa"/>
              <w:left w:w="15" w:type="dxa"/>
              <w:right w:w="15" w:type="dxa"/>
            </w:tcMar>
            <w:vAlign w:val="center"/>
          </w:tcPr>
          <w:p w14:paraId="7F632C4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66</w:t>
            </w:r>
          </w:p>
        </w:tc>
        <w:tc>
          <w:tcPr>
            <w:tcW w:w="985" w:type="dxa"/>
            <w:tcBorders>
              <w:tl2br w:val="nil"/>
              <w:tr2bl w:val="nil"/>
            </w:tcBorders>
            <w:shd w:val="clear" w:color="auto" w:fill="FFFFFF"/>
            <w:noWrap w:val="0"/>
            <w:tcMar>
              <w:top w:w="15" w:type="dxa"/>
              <w:left w:w="15" w:type="dxa"/>
              <w:right w:w="15" w:type="dxa"/>
            </w:tcMar>
            <w:vAlign w:val="center"/>
          </w:tcPr>
          <w:p w14:paraId="686B5A9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69.54</w:t>
            </w:r>
          </w:p>
        </w:tc>
        <w:tc>
          <w:tcPr>
            <w:tcW w:w="809" w:type="dxa"/>
            <w:tcBorders>
              <w:tl2br w:val="nil"/>
              <w:tr2bl w:val="nil"/>
            </w:tcBorders>
            <w:shd w:val="clear" w:color="auto" w:fill="FFFFFF"/>
            <w:noWrap w:val="0"/>
            <w:tcMar>
              <w:top w:w="15" w:type="dxa"/>
              <w:left w:w="15" w:type="dxa"/>
              <w:right w:w="15" w:type="dxa"/>
            </w:tcMar>
            <w:vAlign w:val="center"/>
          </w:tcPr>
          <w:p w14:paraId="4238660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default" w:ascii="Times New Roman" w:hAnsi="Times New Roman" w:eastAsia="仿宋_GB2312" w:cs="Times New Roman"/>
                <w:color w:val="auto"/>
                <w:spacing w:val="0"/>
                <w:kern w:val="0"/>
                <w:sz w:val="18"/>
                <w:szCs w:val="18"/>
                <w:lang w:val="en-US" w:eastAsia="zh-CN" w:bidi="ar"/>
              </w:rPr>
              <w:t>73.65</w:t>
            </w:r>
          </w:p>
        </w:tc>
        <w:tc>
          <w:tcPr>
            <w:tcW w:w="772" w:type="dxa"/>
            <w:tcBorders>
              <w:tl2br w:val="nil"/>
              <w:tr2bl w:val="nil"/>
            </w:tcBorders>
            <w:shd w:val="clear" w:color="auto" w:fill="FFFFFF"/>
            <w:noWrap w:val="0"/>
            <w:tcMar>
              <w:top w:w="15" w:type="dxa"/>
              <w:left w:w="15" w:type="dxa"/>
              <w:right w:w="15" w:type="dxa"/>
            </w:tcMar>
            <w:vAlign w:val="center"/>
          </w:tcPr>
          <w:p w14:paraId="4647E4E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7134C3C6">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342"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3EB2B32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31</w:t>
            </w:r>
          </w:p>
        </w:tc>
        <w:tc>
          <w:tcPr>
            <w:tcW w:w="260" w:type="dxa"/>
            <w:vMerge w:val="continue"/>
            <w:tcBorders>
              <w:tl2br w:val="nil"/>
              <w:tr2bl w:val="nil"/>
            </w:tcBorders>
            <w:shd w:val="clear" w:color="auto" w:fill="FFFFFF"/>
            <w:noWrap w:val="0"/>
            <w:tcMar>
              <w:top w:w="15" w:type="dxa"/>
              <w:left w:w="15" w:type="dxa"/>
              <w:right w:w="15" w:type="dxa"/>
            </w:tcMar>
            <w:vAlign w:val="center"/>
          </w:tcPr>
          <w:p w14:paraId="657BD601">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320387A9">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单位GDP能源消耗降低率（%）</w:t>
            </w:r>
          </w:p>
        </w:tc>
        <w:tc>
          <w:tcPr>
            <w:tcW w:w="858" w:type="dxa"/>
            <w:tcBorders>
              <w:tl2br w:val="nil"/>
              <w:tr2bl w:val="nil"/>
            </w:tcBorders>
            <w:shd w:val="clear" w:color="auto" w:fill="FFFFFF"/>
            <w:noWrap w:val="0"/>
            <w:tcMar>
              <w:top w:w="15" w:type="dxa"/>
              <w:left w:w="15" w:type="dxa"/>
              <w:right w:w="15" w:type="dxa"/>
            </w:tcMar>
            <w:vAlign w:val="center"/>
          </w:tcPr>
          <w:p w14:paraId="011DA7F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3.04</w:t>
            </w:r>
          </w:p>
        </w:tc>
        <w:tc>
          <w:tcPr>
            <w:tcW w:w="975" w:type="dxa"/>
            <w:tcBorders>
              <w:tl2br w:val="nil"/>
              <w:tr2bl w:val="nil"/>
            </w:tcBorders>
            <w:shd w:val="clear" w:color="auto" w:fill="FFFFFF"/>
            <w:noWrap w:val="0"/>
            <w:tcMar>
              <w:top w:w="15" w:type="dxa"/>
              <w:left w:w="15" w:type="dxa"/>
              <w:right w:w="15" w:type="dxa"/>
            </w:tcMar>
            <w:vAlign w:val="center"/>
          </w:tcPr>
          <w:p w14:paraId="40665D6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eastAsia" w:eastAsia="仿宋_GB2312" w:cs="Times New Roman"/>
                <w:color w:val="auto"/>
                <w:spacing w:val="0"/>
                <w:kern w:val="0"/>
                <w:sz w:val="18"/>
                <w:szCs w:val="18"/>
                <w:lang w:val="en-US" w:eastAsia="zh-CN" w:bidi="ar"/>
              </w:rPr>
              <w:t>13</w:t>
            </w:r>
          </w:p>
        </w:tc>
        <w:tc>
          <w:tcPr>
            <w:tcW w:w="985" w:type="dxa"/>
            <w:tcBorders>
              <w:tl2br w:val="nil"/>
              <w:tr2bl w:val="nil"/>
            </w:tcBorders>
            <w:shd w:val="clear" w:color="auto" w:fill="FFFFFF"/>
            <w:noWrap w:val="0"/>
            <w:tcMar>
              <w:top w:w="15" w:type="dxa"/>
              <w:left w:w="15" w:type="dxa"/>
              <w:right w:w="15" w:type="dxa"/>
            </w:tcMar>
            <w:vAlign w:val="center"/>
          </w:tcPr>
          <w:p w14:paraId="65A2354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0.42</w:t>
            </w:r>
          </w:p>
        </w:tc>
        <w:tc>
          <w:tcPr>
            <w:tcW w:w="809" w:type="dxa"/>
            <w:tcBorders>
              <w:tl2br w:val="nil"/>
              <w:tr2bl w:val="nil"/>
            </w:tcBorders>
            <w:shd w:val="clear" w:color="auto" w:fill="FFFFFF"/>
            <w:noWrap w:val="0"/>
            <w:tcMar>
              <w:top w:w="15" w:type="dxa"/>
              <w:left w:w="15" w:type="dxa"/>
              <w:right w:w="15" w:type="dxa"/>
            </w:tcMar>
            <w:vAlign w:val="center"/>
          </w:tcPr>
          <w:p w14:paraId="64FD776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3.91</w:t>
            </w:r>
          </w:p>
        </w:tc>
        <w:tc>
          <w:tcPr>
            <w:tcW w:w="772" w:type="dxa"/>
            <w:tcBorders>
              <w:tl2br w:val="nil"/>
              <w:tr2bl w:val="nil"/>
            </w:tcBorders>
            <w:shd w:val="clear" w:color="auto" w:fill="FFFFFF"/>
            <w:noWrap w:val="0"/>
            <w:tcMar>
              <w:top w:w="15" w:type="dxa"/>
              <w:left w:w="15" w:type="dxa"/>
              <w:right w:w="15" w:type="dxa"/>
            </w:tcMar>
            <w:vAlign w:val="center"/>
          </w:tcPr>
          <w:p w14:paraId="199673C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5CB9877B">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32AAAA7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32</w:t>
            </w:r>
          </w:p>
        </w:tc>
        <w:tc>
          <w:tcPr>
            <w:tcW w:w="260" w:type="dxa"/>
            <w:vMerge w:val="continue"/>
            <w:tcBorders>
              <w:tl2br w:val="nil"/>
              <w:tr2bl w:val="nil"/>
            </w:tcBorders>
            <w:shd w:val="clear" w:color="auto" w:fill="FFFFFF"/>
            <w:noWrap w:val="0"/>
            <w:tcMar>
              <w:top w:w="15" w:type="dxa"/>
              <w:left w:w="15" w:type="dxa"/>
              <w:right w:w="15" w:type="dxa"/>
            </w:tcMar>
            <w:vAlign w:val="center"/>
          </w:tcPr>
          <w:p w14:paraId="37AAA055">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39563352">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单位GDP化学需氧量排放强度（%）</w:t>
            </w:r>
          </w:p>
        </w:tc>
        <w:tc>
          <w:tcPr>
            <w:tcW w:w="858" w:type="dxa"/>
            <w:tcBorders>
              <w:tl2br w:val="nil"/>
              <w:tr2bl w:val="nil"/>
            </w:tcBorders>
            <w:shd w:val="clear" w:color="auto" w:fill="FFFFFF"/>
            <w:noWrap w:val="0"/>
            <w:tcMar>
              <w:top w:w="15" w:type="dxa"/>
              <w:left w:w="15" w:type="dxa"/>
              <w:right w:w="15" w:type="dxa"/>
            </w:tcMar>
            <w:vAlign w:val="center"/>
          </w:tcPr>
          <w:p w14:paraId="4A18242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3.7</w:t>
            </w:r>
          </w:p>
        </w:tc>
        <w:tc>
          <w:tcPr>
            <w:tcW w:w="975" w:type="dxa"/>
            <w:tcBorders>
              <w:tl2br w:val="nil"/>
              <w:tr2bl w:val="nil"/>
            </w:tcBorders>
            <w:shd w:val="clear" w:color="auto" w:fill="FFFFFF"/>
            <w:noWrap w:val="0"/>
            <w:tcMar>
              <w:top w:w="15" w:type="dxa"/>
              <w:left w:w="15" w:type="dxa"/>
              <w:right w:w="15" w:type="dxa"/>
            </w:tcMar>
            <w:vAlign w:val="center"/>
          </w:tcPr>
          <w:p w14:paraId="5A6AD66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3.5</w:t>
            </w:r>
          </w:p>
        </w:tc>
        <w:tc>
          <w:tcPr>
            <w:tcW w:w="985" w:type="dxa"/>
            <w:tcBorders>
              <w:tl2br w:val="nil"/>
              <w:tr2bl w:val="nil"/>
            </w:tcBorders>
            <w:shd w:val="clear" w:color="auto" w:fill="FFFFFF"/>
            <w:noWrap w:val="0"/>
            <w:tcMar>
              <w:top w:w="15" w:type="dxa"/>
              <w:left w:w="15" w:type="dxa"/>
              <w:right w:w="15" w:type="dxa"/>
            </w:tcMar>
            <w:vAlign w:val="center"/>
          </w:tcPr>
          <w:p w14:paraId="41ECF6E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w:t>
            </w:r>
          </w:p>
        </w:tc>
        <w:tc>
          <w:tcPr>
            <w:tcW w:w="809" w:type="dxa"/>
            <w:tcBorders>
              <w:tl2br w:val="nil"/>
              <w:tr2bl w:val="nil"/>
            </w:tcBorders>
            <w:shd w:val="clear" w:color="auto" w:fill="FFFFFF"/>
            <w:noWrap w:val="0"/>
            <w:tcMar>
              <w:top w:w="15" w:type="dxa"/>
              <w:left w:w="15" w:type="dxa"/>
              <w:right w:w="15" w:type="dxa"/>
            </w:tcMar>
            <w:vAlign w:val="center"/>
          </w:tcPr>
          <w:p w14:paraId="1A5A54E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1.5</w:t>
            </w:r>
          </w:p>
        </w:tc>
        <w:tc>
          <w:tcPr>
            <w:tcW w:w="772" w:type="dxa"/>
            <w:tcBorders>
              <w:tl2br w:val="nil"/>
              <w:tr2bl w:val="nil"/>
            </w:tcBorders>
            <w:shd w:val="clear" w:color="auto" w:fill="FFFFFF"/>
            <w:noWrap w:val="0"/>
            <w:tcMar>
              <w:top w:w="15" w:type="dxa"/>
              <w:left w:w="15" w:type="dxa"/>
              <w:right w:w="15" w:type="dxa"/>
            </w:tcMar>
            <w:vAlign w:val="center"/>
          </w:tcPr>
          <w:p w14:paraId="561E5BF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12595D29">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3935050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33</w:t>
            </w:r>
          </w:p>
        </w:tc>
        <w:tc>
          <w:tcPr>
            <w:tcW w:w="260" w:type="dxa"/>
            <w:vMerge w:val="continue"/>
            <w:tcBorders>
              <w:tl2br w:val="nil"/>
              <w:tr2bl w:val="nil"/>
            </w:tcBorders>
            <w:shd w:val="clear" w:color="auto" w:fill="FFFFFF"/>
            <w:noWrap w:val="0"/>
            <w:tcMar>
              <w:top w:w="15" w:type="dxa"/>
              <w:left w:w="15" w:type="dxa"/>
              <w:right w:w="15" w:type="dxa"/>
            </w:tcMar>
            <w:vAlign w:val="center"/>
          </w:tcPr>
          <w:p w14:paraId="2BAC3D0A">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389FA93F">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单位GDP二氧化硫排放强度（%）</w:t>
            </w:r>
          </w:p>
        </w:tc>
        <w:tc>
          <w:tcPr>
            <w:tcW w:w="858" w:type="dxa"/>
            <w:tcBorders>
              <w:tl2br w:val="nil"/>
              <w:tr2bl w:val="nil"/>
            </w:tcBorders>
            <w:shd w:val="clear" w:color="auto" w:fill="FFFFFF"/>
            <w:noWrap w:val="0"/>
            <w:tcMar>
              <w:top w:w="15" w:type="dxa"/>
              <w:left w:w="15" w:type="dxa"/>
              <w:right w:w="15" w:type="dxa"/>
            </w:tcMar>
            <w:vAlign w:val="center"/>
          </w:tcPr>
          <w:p w14:paraId="2BF7C09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11.5</w:t>
            </w:r>
          </w:p>
        </w:tc>
        <w:tc>
          <w:tcPr>
            <w:tcW w:w="975" w:type="dxa"/>
            <w:tcBorders>
              <w:tl2br w:val="nil"/>
              <w:tr2bl w:val="nil"/>
            </w:tcBorders>
            <w:shd w:val="clear" w:color="auto" w:fill="FFFFFF"/>
            <w:noWrap w:val="0"/>
            <w:tcMar>
              <w:top w:w="15" w:type="dxa"/>
              <w:left w:w="15" w:type="dxa"/>
              <w:right w:w="15" w:type="dxa"/>
            </w:tcMar>
            <w:vAlign w:val="center"/>
          </w:tcPr>
          <w:p w14:paraId="00BE7B2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4.5</w:t>
            </w:r>
          </w:p>
        </w:tc>
        <w:tc>
          <w:tcPr>
            <w:tcW w:w="985" w:type="dxa"/>
            <w:tcBorders>
              <w:tl2br w:val="nil"/>
              <w:tr2bl w:val="nil"/>
            </w:tcBorders>
            <w:shd w:val="clear" w:color="auto" w:fill="FFFFFF"/>
            <w:noWrap w:val="0"/>
            <w:tcMar>
              <w:top w:w="15" w:type="dxa"/>
              <w:left w:w="15" w:type="dxa"/>
              <w:right w:w="15" w:type="dxa"/>
            </w:tcMar>
            <w:vAlign w:val="center"/>
          </w:tcPr>
          <w:p w14:paraId="17E86F4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w:t>
            </w:r>
          </w:p>
        </w:tc>
        <w:tc>
          <w:tcPr>
            <w:tcW w:w="809" w:type="dxa"/>
            <w:tcBorders>
              <w:tl2br w:val="nil"/>
              <w:tr2bl w:val="nil"/>
            </w:tcBorders>
            <w:shd w:val="clear" w:color="auto" w:fill="FFFFFF"/>
            <w:noWrap w:val="0"/>
            <w:tcMar>
              <w:top w:w="15" w:type="dxa"/>
              <w:left w:w="15" w:type="dxa"/>
              <w:right w:w="15" w:type="dxa"/>
            </w:tcMar>
            <w:vAlign w:val="center"/>
          </w:tcPr>
          <w:p w14:paraId="72C7138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3.9</w:t>
            </w:r>
          </w:p>
        </w:tc>
        <w:tc>
          <w:tcPr>
            <w:tcW w:w="772" w:type="dxa"/>
            <w:tcBorders>
              <w:tl2br w:val="nil"/>
              <w:tr2bl w:val="nil"/>
            </w:tcBorders>
            <w:shd w:val="clear" w:color="auto" w:fill="FFFFFF"/>
            <w:noWrap w:val="0"/>
            <w:tcMar>
              <w:top w:w="15" w:type="dxa"/>
              <w:left w:w="15" w:type="dxa"/>
              <w:right w:w="15" w:type="dxa"/>
            </w:tcMar>
            <w:vAlign w:val="center"/>
          </w:tcPr>
          <w:p w14:paraId="5046224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03264C73">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056FBDC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34</w:t>
            </w:r>
          </w:p>
        </w:tc>
        <w:tc>
          <w:tcPr>
            <w:tcW w:w="260" w:type="dxa"/>
            <w:vMerge w:val="continue"/>
            <w:tcBorders>
              <w:tl2br w:val="nil"/>
              <w:tr2bl w:val="nil"/>
            </w:tcBorders>
            <w:shd w:val="clear" w:color="auto" w:fill="FFFFFF"/>
            <w:noWrap w:val="0"/>
            <w:tcMar>
              <w:top w:w="15" w:type="dxa"/>
              <w:left w:w="15" w:type="dxa"/>
              <w:right w:w="15" w:type="dxa"/>
            </w:tcMar>
            <w:vAlign w:val="center"/>
          </w:tcPr>
          <w:p w14:paraId="7A13E299">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60FF1CF0">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城市污水集中处理率（%）</w:t>
            </w:r>
          </w:p>
        </w:tc>
        <w:tc>
          <w:tcPr>
            <w:tcW w:w="858" w:type="dxa"/>
            <w:tcBorders>
              <w:tl2br w:val="nil"/>
              <w:tr2bl w:val="nil"/>
            </w:tcBorders>
            <w:shd w:val="clear" w:color="auto" w:fill="FFFFFF"/>
            <w:noWrap w:val="0"/>
            <w:tcMar>
              <w:top w:w="15" w:type="dxa"/>
              <w:left w:w="15" w:type="dxa"/>
              <w:right w:w="15" w:type="dxa"/>
            </w:tcMar>
            <w:vAlign w:val="center"/>
          </w:tcPr>
          <w:p w14:paraId="6934C47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80</w:t>
            </w:r>
          </w:p>
        </w:tc>
        <w:tc>
          <w:tcPr>
            <w:tcW w:w="975" w:type="dxa"/>
            <w:tcBorders>
              <w:tl2br w:val="nil"/>
              <w:tr2bl w:val="nil"/>
            </w:tcBorders>
            <w:shd w:val="clear" w:color="auto" w:fill="FFFFFF"/>
            <w:noWrap w:val="0"/>
            <w:tcMar>
              <w:top w:w="15" w:type="dxa"/>
              <w:left w:w="15" w:type="dxa"/>
              <w:right w:w="15" w:type="dxa"/>
            </w:tcMar>
            <w:vAlign w:val="center"/>
          </w:tcPr>
          <w:p w14:paraId="285D0D3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﹥85</w:t>
            </w:r>
          </w:p>
        </w:tc>
        <w:tc>
          <w:tcPr>
            <w:tcW w:w="985" w:type="dxa"/>
            <w:tcBorders>
              <w:tl2br w:val="nil"/>
              <w:tr2bl w:val="nil"/>
            </w:tcBorders>
            <w:shd w:val="clear" w:color="auto" w:fill="FFFFFF"/>
            <w:noWrap w:val="0"/>
            <w:tcMar>
              <w:top w:w="15" w:type="dxa"/>
              <w:left w:w="15" w:type="dxa"/>
              <w:right w:w="15" w:type="dxa"/>
            </w:tcMar>
            <w:vAlign w:val="center"/>
          </w:tcPr>
          <w:p w14:paraId="3CC1151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95.03</w:t>
            </w:r>
          </w:p>
        </w:tc>
        <w:tc>
          <w:tcPr>
            <w:tcW w:w="809" w:type="dxa"/>
            <w:tcBorders>
              <w:tl2br w:val="nil"/>
              <w:tr2bl w:val="nil"/>
            </w:tcBorders>
            <w:shd w:val="clear" w:color="auto" w:fill="FFFFFF"/>
            <w:noWrap w:val="0"/>
            <w:tcMar>
              <w:top w:w="15" w:type="dxa"/>
              <w:left w:w="15" w:type="dxa"/>
              <w:right w:w="15" w:type="dxa"/>
            </w:tcMar>
            <w:vAlign w:val="center"/>
          </w:tcPr>
          <w:p w14:paraId="2C90F7E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87.23</w:t>
            </w:r>
          </w:p>
        </w:tc>
        <w:tc>
          <w:tcPr>
            <w:tcW w:w="772" w:type="dxa"/>
            <w:tcBorders>
              <w:tl2br w:val="nil"/>
              <w:tr2bl w:val="nil"/>
            </w:tcBorders>
            <w:shd w:val="clear" w:color="auto" w:fill="FFFFFF"/>
            <w:noWrap w:val="0"/>
            <w:tcMar>
              <w:top w:w="15" w:type="dxa"/>
              <w:left w:w="15" w:type="dxa"/>
              <w:right w:w="15" w:type="dxa"/>
            </w:tcMar>
            <w:vAlign w:val="center"/>
          </w:tcPr>
          <w:p w14:paraId="4410AC6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12984D83">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4A5D190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35</w:t>
            </w:r>
          </w:p>
        </w:tc>
        <w:tc>
          <w:tcPr>
            <w:tcW w:w="260" w:type="dxa"/>
            <w:vMerge w:val="continue"/>
            <w:tcBorders>
              <w:tl2br w:val="nil"/>
              <w:tr2bl w:val="nil"/>
            </w:tcBorders>
            <w:shd w:val="clear" w:color="auto" w:fill="FFFFFF"/>
            <w:noWrap w:val="0"/>
            <w:tcMar>
              <w:top w:w="15" w:type="dxa"/>
              <w:left w:w="15" w:type="dxa"/>
              <w:right w:w="15" w:type="dxa"/>
            </w:tcMar>
            <w:vAlign w:val="center"/>
          </w:tcPr>
          <w:p w14:paraId="13535E52">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30082130">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城市生活垃圾无害化处理率（%）</w:t>
            </w:r>
          </w:p>
        </w:tc>
        <w:tc>
          <w:tcPr>
            <w:tcW w:w="858" w:type="dxa"/>
            <w:tcBorders>
              <w:tl2br w:val="nil"/>
              <w:tr2bl w:val="nil"/>
            </w:tcBorders>
            <w:shd w:val="clear" w:color="auto" w:fill="FFFFFF"/>
            <w:noWrap w:val="0"/>
            <w:tcMar>
              <w:top w:w="15" w:type="dxa"/>
              <w:left w:w="15" w:type="dxa"/>
              <w:right w:w="15" w:type="dxa"/>
            </w:tcMar>
            <w:vAlign w:val="center"/>
          </w:tcPr>
          <w:p w14:paraId="033E802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91.15</w:t>
            </w:r>
          </w:p>
        </w:tc>
        <w:tc>
          <w:tcPr>
            <w:tcW w:w="975" w:type="dxa"/>
            <w:tcBorders>
              <w:tl2br w:val="nil"/>
              <w:tr2bl w:val="nil"/>
            </w:tcBorders>
            <w:shd w:val="clear" w:color="auto" w:fill="FFFFFF"/>
            <w:noWrap w:val="0"/>
            <w:tcMar>
              <w:top w:w="15" w:type="dxa"/>
              <w:left w:w="15" w:type="dxa"/>
              <w:right w:w="15" w:type="dxa"/>
            </w:tcMar>
            <w:vAlign w:val="center"/>
          </w:tcPr>
          <w:p w14:paraId="2B4FB4C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﹥92</w:t>
            </w:r>
          </w:p>
        </w:tc>
        <w:tc>
          <w:tcPr>
            <w:tcW w:w="985" w:type="dxa"/>
            <w:tcBorders>
              <w:tl2br w:val="nil"/>
              <w:tr2bl w:val="nil"/>
            </w:tcBorders>
            <w:shd w:val="clear" w:color="auto" w:fill="FFFFFF"/>
            <w:noWrap w:val="0"/>
            <w:tcMar>
              <w:top w:w="15" w:type="dxa"/>
              <w:left w:w="15" w:type="dxa"/>
              <w:right w:w="15" w:type="dxa"/>
            </w:tcMar>
            <w:vAlign w:val="center"/>
          </w:tcPr>
          <w:p w14:paraId="1FDCCBA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100</w:t>
            </w:r>
          </w:p>
        </w:tc>
        <w:tc>
          <w:tcPr>
            <w:tcW w:w="809" w:type="dxa"/>
            <w:tcBorders>
              <w:tl2br w:val="nil"/>
              <w:tr2bl w:val="nil"/>
            </w:tcBorders>
            <w:shd w:val="clear" w:color="auto" w:fill="FFFFFF"/>
            <w:noWrap w:val="0"/>
            <w:tcMar>
              <w:top w:w="15" w:type="dxa"/>
              <w:left w:w="15" w:type="dxa"/>
              <w:right w:w="15" w:type="dxa"/>
            </w:tcMar>
            <w:vAlign w:val="center"/>
          </w:tcPr>
          <w:p w14:paraId="1286323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100</w:t>
            </w:r>
          </w:p>
        </w:tc>
        <w:tc>
          <w:tcPr>
            <w:tcW w:w="772" w:type="dxa"/>
            <w:tcBorders>
              <w:tl2br w:val="nil"/>
              <w:tr2bl w:val="nil"/>
            </w:tcBorders>
            <w:shd w:val="clear" w:color="auto" w:fill="FFFFFF"/>
            <w:noWrap w:val="0"/>
            <w:tcMar>
              <w:top w:w="15" w:type="dxa"/>
              <w:left w:w="15" w:type="dxa"/>
              <w:right w:w="15" w:type="dxa"/>
            </w:tcMar>
            <w:vAlign w:val="center"/>
          </w:tcPr>
          <w:p w14:paraId="76EF284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bl>
    <w:p w14:paraId="5557667E">
      <w:pPr>
        <w:pageBreakBefore w:val="0"/>
        <w:widowControl w:val="0"/>
        <w:kinsoku/>
        <w:wordWrap/>
        <w:overflowPunct/>
        <w:topLinePunct w:val="0"/>
        <w:autoSpaceDN/>
        <w:bidi w:val="0"/>
        <w:rPr>
          <w:rFonts w:hint="default"/>
          <w:color w:val="auto"/>
          <w:spacing w:val="0"/>
        </w:rPr>
      </w:pPr>
      <w:r>
        <w:rPr>
          <w:rFonts w:hint="default"/>
          <w:color w:val="auto"/>
          <w:spacing w:val="0"/>
        </w:rPr>
        <w:br w:type="page"/>
      </w:r>
    </w:p>
    <w:p w14:paraId="5C5A3BB1">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6" w:name="_Toc16501"/>
      <w:bookmarkStart w:id="7" w:name="_Toc22789"/>
      <w:r>
        <w:rPr>
          <w:rFonts w:hint="eastAsia" w:ascii="黑体" w:hAnsi="黑体" w:eastAsia="黑体" w:cs="黑体"/>
          <w:b/>
          <w:bCs w:val="0"/>
          <w:color w:val="auto"/>
          <w:spacing w:val="0"/>
          <w:szCs w:val="32"/>
        </w:rPr>
        <w:t>第二节  发展环境</w:t>
      </w:r>
      <w:bookmarkEnd w:id="6"/>
      <w:bookmarkEnd w:id="7"/>
    </w:p>
    <w:p w14:paraId="5EF24ACA">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一、面临的形势</w:t>
      </w:r>
    </w:p>
    <w:p w14:paraId="39B0C61C">
      <w:pPr>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仿宋_GB2312" w:cs="Times New Roman"/>
          <w:color w:val="auto"/>
          <w:spacing w:val="0"/>
          <w:lang w:val="en-US" w:eastAsia="zh-CN"/>
        </w:rPr>
      </w:pPr>
      <w:r>
        <w:rPr>
          <w:rFonts w:hint="default" w:ascii="Times New Roman" w:hAnsi="Times New Roman" w:eastAsia="仿宋_GB2312" w:cs="Times New Roman"/>
          <w:color w:val="auto"/>
          <w:spacing w:val="0"/>
          <w:lang w:val="en-US" w:eastAsia="zh-CN"/>
        </w:rPr>
        <w:t>当今世界正经历百年未有之大变局，新一轮科技革命和产业变革深入发展，国际力量对比深刻调整，和平与发展仍然是时代主题，人类命运共同体理念深入人心，同时国际环境日趋复杂，不稳定性、不确定性明显增加，</w:t>
      </w:r>
      <w:r>
        <w:rPr>
          <w:rFonts w:hint="default" w:ascii="Times New Roman" w:hAnsi="Times New Roman" w:eastAsia="仿宋_GB2312" w:cs="Times New Roman"/>
          <w:color w:val="auto"/>
          <w:spacing w:val="0"/>
        </w:rPr>
        <w:t>新冠肺炎疫情影响广泛深远，经济全球化遭遇逆流，世界进入动荡变革期，单边主义、保护主义、霸权主义对世界和平与发展构成威胁</w:t>
      </w:r>
      <w:r>
        <w:rPr>
          <w:rFonts w:hint="default" w:ascii="Times New Roman" w:hAnsi="Times New Roman" w:eastAsia="仿宋_GB2312" w:cs="Times New Roman"/>
          <w:color w:val="auto"/>
          <w:spacing w:val="0"/>
          <w:lang w:val="en-US" w:eastAsia="zh-CN"/>
        </w:rPr>
        <w:t>。我国已转向高质量发展阶段，制度优势显著，治理效能提升，经济长期向好，物质基础雄厚，人力资源丰富，市场空间广阔，发展韧性强劲，社会大局稳定，以国内大循环为主体、国内国际双循环相互促进的新发展格局正在逐步形成，</w:t>
      </w:r>
      <w:r>
        <w:rPr>
          <w:rFonts w:hint="default" w:ascii="Times New Roman" w:hAnsi="Times New Roman" w:eastAsia="仿宋_GB2312" w:cs="Times New Roman"/>
          <w:color w:val="auto"/>
          <w:spacing w:val="0"/>
          <w:szCs w:val="22"/>
          <w:lang w:val="en-US" w:eastAsia="zh-CN"/>
        </w:rPr>
        <w:t>RCEP区域全面经济伙伴关系协定签署，继续发展具有多方</w:t>
      </w:r>
      <w:r>
        <w:rPr>
          <w:rFonts w:hint="default" w:ascii="Times New Roman" w:hAnsi="Times New Roman" w:eastAsia="仿宋_GB2312" w:cs="Times New Roman"/>
          <w:color w:val="auto"/>
          <w:spacing w:val="0"/>
          <w:lang w:val="en-US" w:eastAsia="zh-CN"/>
        </w:rPr>
        <w:t>面优势和条件。</w:t>
      </w:r>
      <w:r>
        <w:rPr>
          <w:rFonts w:hint="default" w:ascii="Times New Roman" w:hAnsi="Times New Roman" w:eastAsia="仿宋_GB2312" w:cs="Times New Roman"/>
          <w:color w:val="auto"/>
          <w:spacing w:val="0"/>
          <w:sz w:val="32"/>
          <w:szCs w:val="22"/>
          <w:u w:val="none"/>
        </w:rPr>
        <w:t>从全省来看，作为欠发达省份的省情依然没有变，随着</w:t>
      </w:r>
      <w:r>
        <w:rPr>
          <w:rFonts w:hint="eastAsia" w:eastAsia="仿宋_GB2312" w:cs="Times New Roman"/>
          <w:color w:val="auto"/>
          <w:spacing w:val="0"/>
          <w:sz w:val="32"/>
          <w:szCs w:val="22"/>
          <w:u w:val="none"/>
          <w:lang w:eastAsia="zh-CN"/>
        </w:rPr>
        <w:t>“</w:t>
      </w:r>
      <w:r>
        <w:rPr>
          <w:rFonts w:hint="default" w:ascii="Times New Roman" w:hAnsi="Times New Roman" w:eastAsia="仿宋_GB2312" w:cs="Times New Roman"/>
          <w:color w:val="auto"/>
          <w:spacing w:val="0"/>
          <w:sz w:val="32"/>
          <w:szCs w:val="22"/>
          <w:u w:val="none"/>
        </w:rPr>
        <w:t>边疆、民族、山区、美丽</w:t>
      </w:r>
      <w:r>
        <w:rPr>
          <w:rFonts w:hint="eastAsia" w:eastAsia="仿宋_GB2312" w:cs="Times New Roman"/>
          <w:color w:val="auto"/>
          <w:spacing w:val="0"/>
          <w:sz w:val="32"/>
          <w:szCs w:val="22"/>
          <w:u w:val="none"/>
          <w:lang w:eastAsia="zh-CN"/>
        </w:rPr>
        <w:t>”</w:t>
      </w:r>
      <w:r>
        <w:rPr>
          <w:rFonts w:hint="default" w:ascii="Times New Roman" w:hAnsi="Times New Roman" w:eastAsia="仿宋_GB2312" w:cs="Times New Roman"/>
          <w:color w:val="auto"/>
          <w:spacing w:val="0"/>
          <w:sz w:val="32"/>
          <w:szCs w:val="22"/>
          <w:u w:val="none"/>
        </w:rPr>
        <w:t>省情新内涵不断丰富，世界一流</w:t>
      </w:r>
      <w:r>
        <w:rPr>
          <w:rFonts w:hint="eastAsia" w:eastAsia="仿宋_GB2312" w:cs="Times New Roman"/>
          <w:color w:val="auto"/>
          <w:spacing w:val="0"/>
          <w:sz w:val="32"/>
          <w:szCs w:val="22"/>
          <w:u w:val="none"/>
          <w:lang w:eastAsia="zh-CN"/>
        </w:rPr>
        <w:t>“</w:t>
      </w:r>
      <w:r>
        <w:rPr>
          <w:rFonts w:hint="default" w:ascii="Times New Roman" w:hAnsi="Times New Roman" w:eastAsia="仿宋_GB2312" w:cs="Times New Roman"/>
          <w:color w:val="auto"/>
          <w:spacing w:val="0"/>
          <w:sz w:val="32"/>
          <w:szCs w:val="22"/>
          <w:u w:val="none"/>
        </w:rPr>
        <w:t>三张牌</w:t>
      </w:r>
      <w:r>
        <w:rPr>
          <w:rFonts w:hint="eastAsia" w:eastAsia="仿宋_GB2312" w:cs="Times New Roman"/>
          <w:color w:val="auto"/>
          <w:spacing w:val="0"/>
          <w:sz w:val="32"/>
          <w:szCs w:val="22"/>
          <w:u w:val="none"/>
          <w:lang w:eastAsia="zh-CN"/>
        </w:rPr>
        <w:t>”</w:t>
      </w:r>
      <w:r>
        <w:rPr>
          <w:rFonts w:hint="default" w:ascii="Times New Roman" w:hAnsi="Times New Roman" w:eastAsia="仿宋_GB2312" w:cs="Times New Roman"/>
          <w:color w:val="auto"/>
          <w:spacing w:val="0"/>
          <w:sz w:val="32"/>
          <w:szCs w:val="22"/>
          <w:u w:val="none"/>
        </w:rPr>
        <w:t>打造、现代产业体系构建、</w:t>
      </w:r>
      <w:r>
        <w:rPr>
          <w:rFonts w:hint="eastAsia" w:eastAsia="仿宋_GB2312" w:cs="Times New Roman"/>
          <w:color w:val="auto"/>
          <w:spacing w:val="0"/>
          <w:sz w:val="32"/>
          <w:szCs w:val="22"/>
          <w:u w:val="none"/>
          <w:lang w:eastAsia="zh-CN"/>
        </w:rPr>
        <w:t>“</w:t>
      </w:r>
      <w:r>
        <w:rPr>
          <w:rFonts w:hint="default" w:ascii="Times New Roman" w:hAnsi="Times New Roman" w:eastAsia="仿宋_GB2312" w:cs="Times New Roman"/>
          <w:color w:val="auto"/>
          <w:spacing w:val="0"/>
          <w:sz w:val="32"/>
          <w:szCs w:val="22"/>
          <w:u w:val="none"/>
        </w:rPr>
        <w:t>中国最美丽省份</w:t>
      </w:r>
      <w:r>
        <w:rPr>
          <w:rFonts w:hint="eastAsia" w:eastAsia="仿宋_GB2312" w:cs="Times New Roman"/>
          <w:color w:val="auto"/>
          <w:spacing w:val="0"/>
          <w:sz w:val="32"/>
          <w:szCs w:val="22"/>
          <w:u w:val="none"/>
          <w:lang w:eastAsia="zh-CN"/>
        </w:rPr>
        <w:t>”</w:t>
      </w:r>
      <w:r>
        <w:rPr>
          <w:rFonts w:hint="default" w:ascii="Times New Roman" w:hAnsi="Times New Roman" w:eastAsia="仿宋_GB2312" w:cs="Times New Roman"/>
          <w:color w:val="auto"/>
          <w:spacing w:val="0"/>
          <w:sz w:val="32"/>
          <w:szCs w:val="22"/>
          <w:u w:val="none"/>
        </w:rPr>
        <w:t>建设、</w:t>
      </w:r>
      <w:r>
        <w:rPr>
          <w:rFonts w:hint="eastAsia" w:eastAsia="仿宋_GB2312" w:cs="Times New Roman"/>
          <w:color w:val="auto"/>
          <w:spacing w:val="0"/>
          <w:sz w:val="32"/>
          <w:szCs w:val="22"/>
          <w:u w:val="none"/>
          <w:lang w:eastAsia="zh-CN"/>
        </w:rPr>
        <w:t>“</w:t>
      </w:r>
      <w:r>
        <w:rPr>
          <w:rFonts w:hint="default" w:ascii="Times New Roman" w:hAnsi="Times New Roman" w:eastAsia="仿宋_GB2312" w:cs="Times New Roman"/>
          <w:color w:val="auto"/>
          <w:spacing w:val="0"/>
          <w:sz w:val="32"/>
          <w:szCs w:val="22"/>
          <w:u w:val="none"/>
        </w:rPr>
        <w:t>数字云南</w:t>
      </w:r>
      <w:r>
        <w:rPr>
          <w:rFonts w:hint="eastAsia" w:eastAsia="仿宋_GB2312" w:cs="Times New Roman"/>
          <w:color w:val="auto"/>
          <w:spacing w:val="0"/>
          <w:sz w:val="32"/>
          <w:szCs w:val="22"/>
          <w:u w:val="none"/>
          <w:lang w:eastAsia="zh-CN"/>
        </w:rPr>
        <w:t>”</w:t>
      </w:r>
      <w:r>
        <w:rPr>
          <w:rFonts w:hint="default" w:ascii="Times New Roman" w:hAnsi="Times New Roman" w:eastAsia="仿宋_GB2312" w:cs="Times New Roman"/>
          <w:color w:val="auto"/>
          <w:spacing w:val="0"/>
          <w:sz w:val="32"/>
          <w:szCs w:val="22"/>
          <w:u w:val="none"/>
        </w:rPr>
        <w:t>建设等深入推进，发展动力和后劲仍然很足。</w:t>
      </w:r>
      <w:r>
        <w:rPr>
          <w:rFonts w:hint="default" w:ascii="Times New Roman" w:hAnsi="Times New Roman" w:eastAsia="仿宋_GB2312" w:cs="Times New Roman"/>
          <w:color w:val="auto"/>
          <w:spacing w:val="0"/>
          <w:lang w:val="en-US" w:eastAsia="zh-CN"/>
        </w:rPr>
        <w:t>新平正处于转变发展方式、优化经济结构的关键阶段，面临大有可为的重要战略机遇，也需应对交错叠加的风险挑战。</w:t>
      </w:r>
    </w:p>
    <w:p w14:paraId="57813847">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二、面临的机遇</w:t>
      </w:r>
    </w:p>
    <w:p w14:paraId="0C5A0046">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color w:val="auto"/>
          <w:spacing w:val="0"/>
          <w:sz w:val="32"/>
          <w:szCs w:val="32"/>
          <w:highlight w:val="none"/>
        </w:rPr>
      </w:pPr>
      <w:r>
        <w:rPr>
          <w:rFonts w:hint="eastAsia" w:ascii="仿宋_GB2312" w:hAnsi="仿宋_GB2312" w:eastAsia="仿宋_GB2312" w:cs="仿宋_GB2312"/>
          <w:b/>
          <w:bCs/>
          <w:color w:val="auto"/>
          <w:spacing w:val="0"/>
          <w:sz w:val="32"/>
          <w:szCs w:val="32"/>
          <w:highlight w:val="none"/>
        </w:rPr>
        <w:t>习近平总书记考察云南重要讲话为新平县经济社会发展指明了方向。</w:t>
      </w:r>
      <w:r>
        <w:rPr>
          <w:rFonts w:hint="default" w:ascii="Times New Roman" w:hAnsi="Times New Roman" w:eastAsia="仿宋_GB2312" w:cs="Times New Roman"/>
          <w:color w:val="auto"/>
          <w:spacing w:val="0"/>
          <w:sz w:val="32"/>
          <w:szCs w:val="32"/>
          <w:highlight w:val="none"/>
        </w:rPr>
        <w:t>习近平总书记对云南提出的</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一个跨越</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三个定位</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eastAsia="zh-CN"/>
        </w:rPr>
        <w:t>五个着力</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和</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四个突出特点</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的内在逻辑，为新时代云南发展进一步打开了视野、指明了路径，也为新平县发展指明了方向。认真贯彻落实习近平总书记考察云南重要讲话精神，对标新平经济社会发展困难和挑战，抓实重点任务，推动县域经济走在全省前列。</w:t>
      </w:r>
    </w:p>
    <w:p w14:paraId="73B41B70">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color w:val="auto"/>
          <w:spacing w:val="0"/>
          <w:sz w:val="32"/>
          <w:szCs w:val="32"/>
        </w:rPr>
      </w:pPr>
      <w:r>
        <w:rPr>
          <w:rFonts w:hint="eastAsia" w:ascii="仿宋_GB2312" w:hAnsi="仿宋_GB2312" w:eastAsia="仿宋_GB2312" w:cs="仿宋_GB2312"/>
          <w:b/>
          <w:bCs/>
          <w:color w:val="auto"/>
          <w:spacing w:val="0"/>
          <w:sz w:val="32"/>
          <w:szCs w:val="32"/>
        </w:rPr>
        <w:t>推动形成</w:t>
      </w:r>
      <w:r>
        <w:rPr>
          <w:rFonts w:hint="eastAsia" w:ascii="仿宋_GB2312" w:hAnsi="仿宋_GB2312" w:eastAsia="仿宋_GB2312" w:cs="仿宋_GB2312"/>
          <w:b/>
          <w:bCs/>
          <w:color w:val="auto"/>
          <w:spacing w:val="0"/>
          <w:sz w:val="32"/>
          <w:szCs w:val="32"/>
          <w:lang w:eastAsia="zh-CN"/>
        </w:rPr>
        <w:t>“</w:t>
      </w:r>
      <w:r>
        <w:rPr>
          <w:rFonts w:hint="eastAsia" w:ascii="仿宋_GB2312" w:hAnsi="仿宋_GB2312" w:eastAsia="仿宋_GB2312" w:cs="仿宋_GB2312"/>
          <w:b/>
          <w:bCs/>
          <w:color w:val="auto"/>
          <w:spacing w:val="0"/>
          <w:sz w:val="32"/>
          <w:szCs w:val="32"/>
        </w:rPr>
        <w:t>大循环</w:t>
      </w:r>
      <w:r>
        <w:rPr>
          <w:rFonts w:hint="eastAsia" w:ascii="仿宋_GB2312" w:hAnsi="仿宋_GB2312" w:eastAsia="仿宋_GB2312" w:cs="仿宋_GB2312"/>
          <w:b/>
          <w:bCs/>
          <w:color w:val="auto"/>
          <w:spacing w:val="0"/>
          <w:sz w:val="32"/>
          <w:szCs w:val="32"/>
          <w:lang w:eastAsia="zh-CN"/>
        </w:rPr>
        <w:t>、</w:t>
      </w:r>
      <w:r>
        <w:rPr>
          <w:rFonts w:hint="eastAsia" w:ascii="仿宋_GB2312" w:hAnsi="仿宋_GB2312" w:eastAsia="仿宋_GB2312" w:cs="仿宋_GB2312"/>
          <w:b/>
          <w:bCs/>
          <w:color w:val="auto"/>
          <w:spacing w:val="0"/>
          <w:sz w:val="32"/>
          <w:szCs w:val="32"/>
        </w:rPr>
        <w:t>双循环</w:t>
      </w:r>
      <w:r>
        <w:rPr>
          <w:rFonts w:hint="eastAsia" w:ascii="仿宋_GB2312" w:hAnsi="仿宋_GB2312" w:eastAsia="仿宋_GB2312" w:cs="仿宋_GB2312"/>
          <w:b/>
          <w:bCs/>
          <w:color w:val="auto"/>
          <w:spacing w:val="0"/>
          <w:sz w:val="32"/>
          <w:szCs w:val="32"/>
          <w:lang w:eastAsia="zh-CN"/>
        </w:rPr>
        <w:t>”</w:t>
      </w:r>
      <w:r>
        <w:rPr>
          <w:rFonts w:hint="eastAsia" w:ascii="仿宋_GB2312" w:hAnsi="仿宋_GB2312" w:eastAsia="仿宋_GB2312" w:cs="仿宋_GB2312"/>
          <w:b/>
          <w:bCs/>
          <w:color w:val="auto"/>
          <w:spacing w:val="0"/>
          <w:sz w:val="32"/>
          <w:szCs w:val="32"/>
        </w:rPr>
        <w:t>新发展格局带来的历史性机遇。</w:t>
      </w:r>
      <w:r>
        <w:rPr>
          <w:rFonts w:hint="default" w:ascii="Times New Roman" w:hAnsi="Times New Roman" w:eastAsia="仿宋_GB2312" w:cs="Times New Roman"/>
          <w:color w:val="auto"/>
          <w:spacing w:val="0"/>
          <w:sz w:val="32"/>
          <w:szCs w:val="32"/>
        </w:rPr>
        <w:t>立足新平工业、农业等发展基础，把握国家扩大内需战略基点，找准融入新发展格局的切入点，加快推进绿色</w:t>
      </w:r>
      <w:r>
        <w:rPr>
          <w:rFonts w:hint="default" w:ascii="Times New Roman" w:hAnsi="Times New Roman" w:eastAsia="仿宋_GB2312" w:cs="Times New Roman"/>
          <w:color w:val="auto"/>
          <w:spacing w:val="0"/>
          <w:sz w:val="32"/>
          <w:szCs w:val="32"/>
          <w:highlight w:val="none"/>
        </w:rPr>
        <w:t>矿冶</w:t>
      </w:r>
      <w:r>
        <w:rPr>
          <w:rFonts w:hint="default" w:ascii="Times New Roman" w:hAnsi="Times New Roman" w:eastAsia="仿宋_GB2312" w:cs="Times New Roman"/>
          <w:color w:val="auto"/>
          <w:spacing w:val="0"/>
          <w:sz w:val="32"/>
          <w:szCs w:val="32"/>
        </w:rPr>
        <w:t>产业、高原特色现代农业、文化旅游产业发展，提升产业基础高级化、产业链现代化水平，将为新平在</w:t>
      </w:r>
      <w:r>
        <w:rPr>
          <w:rFonts w:hint="eastAsia"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大循环、双循环</w:t>
      </w:r>
      <w:r>
        <w:rPr>
          <w:rFonts w:hint="eastAsia"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格局中赢得主动、提升地位。</w:t>
      </w:r>
    </w:p>
    <w:p w14:paraId="4C51D1F1">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color w:val="auto"/>
          <w:spacing w:val="0"/>
          <w:sz w:val="32"/>
          <w:szCs w:val="32"/>
          <w:lang w:val="en-US" w:eastAsia="zh-CN"/>
        </w:rPr>
      </w:pPr>
      <w:r>
        <w:rPr>
          <w:rFonts w:hint="eastAsia" w:ascii="仿宋_GB2312" w:hAnsi="仿宋_GB2312" w:eastAsia="仿宋_GB2312" w:cs="仿宋_GB2312"/>
          <w:b/>
          <w:bCs/>
          <w:color w:val="auto"/>
          <w:spacing w:val="0"/>
          <w:sz w:val="32"/>
          <w:szCs w:val="32"/>
        </w:rPr>
        <w:t>云南省</w:t>
      </w:r>
      <w:r>
        <w:rPr>
          <w:rFonts w:hint="eastAsia" w:ascii="仿宋_GB2312" w:hAnsi="仿宋_GB2312" w:eastAsia="仿宋_GB2312" w:cs="仿宋_GB2312"/>
          <w:b/>
          <w:bCs/>
          <w:color w:val="auto"/>
          <w:spacing w:val="0"/>
          <w:sz w:val="32"/>
          <w:szCs w:val="32"/>
          <w:lang w:val="en-US" w:eastAsia="zh-CN"/>
        </w:rPr>
        <w:t>全力打造世界一流“三张牌”带来的机遇。</w:t>
      </w:r>
      <w:r>
        <w:rPr>
          <w:rFonts w:hint="default" w:ascii="Times New Roman" w:hAnsi="Times New Roman" w:eastAsia="仿宋_GB2312" w:cs="Times New Roman"/>
          <w:b w:val="0"/>
          <w:bCs w:val="0"/>
          <w:color w:val="auto"/>
          <w:spacing w:val="0"/>
          <w:sz w:val="32"/>
          <w:szCs w:val="32"/>
          <w:lang w:val="en-US" w:eastAsia="zh-CN"/>
        </w:rPr>
        <w:t>云南省集中资源持之以恒推动</w:t>
      </w:r>
      <w:r>
        <w:rPr>
          <w:rFonts w:hint="eastAsia" w:eastAsia="仿宋_GB2312" w:cs="Times New Roman"/>
          <w:b w:val="0"/>
          <w:bCs w:val="0"/>
          <w:color w:val="auto"/>
          <w:spacing w:val="0"/>
          <w:sz w:val="32"/>
          <w:szCs w:val="32"/>
          <w:lang w:val="en-US" w:eastAsia="zh-CN"/>
        </w:rPr>
        <w:t>“</w:t>
      </w:r>
      <w:r>
        <w:rPr>
          <w:rFonts w:hint="default" w:ascii="Times New Roman" w:hAnsi="Times New Roman" w:eastAsia="仿宋_GB2312" w:cs="Times New Roman"/>
          <w:b w:val="0"/>
          <w:bCs w:val="0"/>
          <w:color w:val="auto"/>
          <w:spacing w:val="0"/>
          <w:sz w:val="32"/>
          <w:szCs w:val="32"/>
          <w:lang w:val="en-US" w:eastAsia="zh-CN"/>
        </w:rPr>
        <w:t>三张牌</w:t>
      </w:r>
      <w:r>
        <w:rPr>
          <w:rFonts w:hint="eastAsia" w:eastAsia="仿宋_GB2312" w:cs="Times New Roman"/>
          <w:b w:val="0"/>
          <w:bCs w:val="0"/>
          <w:color w:val="auto"/>
          <w:spacing w:val="0"/>
          <w:sz w:val="32"/>
          <w:szCs w:val="32"/>
          <w:lang w:val="en-US" w:eastAsia="zh-CN"/>
        </w:rPr>
        <w:t>”</w:t>
      </w:r>
      <w:r>
        <w:rPr>
          <w:rFonts w:hint="default" w:ascii="Times New Roman" w:hAnsi="Times New Roman" w:eastAsia="仿宋_GB2312" w:cs="Times New Roman"/>
          <w:color w:val="auto"/>
          <w:spacing w:val="0"/>
          <w:sz w:val="32"/>
          <w:szCs w:val="32"/>
          <w:highlight w:val="none"/>
          <w:lang w:val="en-US" w:eastAsia="zh-CN"/>
        </w:rPr>
        <w:t>走深、走精、走长，推动一二三产业迈向价值链高端；</w:t>
      </w:r>
      <w:r>
        <w:rPr>
          <w:rFonts w:hint="default" w:ascii="Times New Roman" w:hAnsi="Times New Roman" w:eastAsia="仿宋_GB2312" w:cs="Times New Roman"/>
          <w:color w:val="auto"/>
          <w:spacing w:val="0"/>
          <w:sz w:val="32"/>
          <w:szCs w:val="32"/>
        </w:rPr>
        <w:t>玉溪市加快</w:t>
      </w:r>
      <w:r>
        <w:rPr>
          <w:rFonts w:hint="default" w:ascii="Times New Roman" w:hAnsi="Times New Roman" w:eastAsia="仿宋_GB2312" w:cs="Times New Roman"/>
          <w:color w:val="auto"/>
          <w:spacing w:val="0"/>
          <w:sz w:val="32"/>
          <w:szCs w:val="32"/>
          <w:lang w:val="en-US" w:eastAsia="zh-CN"/>
        </w:rPr>
        <w:t>构建现代产业体系</w:t>
      </w:r>
      <w:r>
        <w:rPr>
          <w:rFonts w:hint="default" w:ascii="Times New Roman" w:hAnsi="Times New Roman" w:eastAsia="仿宋_GB2312" w:cs="Times New Roman"/>
          <w:color w:val="auto"/>
          <w:spacing w:val="0"/>
          <w:sz w:val="32"/>
          <w:szCs w:val="32"/>
        </w:rPr>
        <w:t>，</w:t>
      </w:r>
      <w:r>
        <w:rPr>
          <w:rFonts w:hint="default" w:ascii="Times New Roman" w:hAnsi="Times New Roman" w:eastAsia="仿宋_GB2312" w:cs="Times New Roman"/>
          <w:color w:val="auto"/>
          <w:spacing w:val="0"/>
          <w:sz w:val="32"/>
          <w:szCs w:val="32"/>
          <w:highlight w:val="none"/>
          <w:lang w:val="en-US" w:eastAsia="zh-CN"/>
        </w:rPr>
        <w:t>全产业链塑造绿色钢铁新优势，</w:t>
      </w:r>
      <w:r>
        <w:rPr>
          <w:rFonts w:hint="default" w:ascii="Times New Roman" w:hAnsi="Times New Roman" w:eastAsia="仿宋_GB2312" w:cs="Times New Roman"/>
          <w:color w:val="auto"/>
          <w:spacing w:val="0"/>
          <w:sz w:val="32"/>
          <w:szCs w:val="32"/>
        </w:rPr>
        <w:t>建设</w:t>
      </w:r>
      <w:r>
        <w:rPr>
          <w:rFonts w:hint="eastAsia"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云南绿色钢城</w:t>
      </w:r>
      <w:r>
        <w:rPr>
          <w:rFonts w:hint="eastAsia"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lang w:val="en-US" w:eastAsia="zh-CN"/>
        </w:rPr>
        <w:t>等</w:t>
      </w:r>
      <w:r>
        <w:rPr>
          <w:rFonts w:hint="default" w:ascii="Times New Roman" w:hAnsi="Times New Roman" w:eastAsia="仿宋_GB2312" w:cs="Times New Roman"/>
          <w:color w:val="auto"/>
          <w:spacing w:val="0"/>
          <w:sz w:val="32"/>
          <w:szCs w:val="32"/>
        </w:rPr>
        <w:t>，将极大地激活新平发展潜力，</w:t>
      </w:r>
      <w:r>
        <w:rPr>
          <w:rFonts w:hint="default" w:ascii="Times New Roman" w:hAnsi="Times New Roman" w:eastAsia="仿宋_GB2312" w:cs="Times New Roman"/>
          <w:color w:val="auto"/>
          <w:spacing w:val="0"/>
          <w:sz w:val="32"/>
          <w:szCs w:val="32"/>
          <w:lang w:val="en-US" w:eastAsia="zh-CN"/>
        </w:rPr>
        <w:t>为新平打造云南</w:t>
      </w:r>
      <w:r>
        <w:rPr>
          <w:rFonts w:hint="default" w:ascii="Times New Roman" w:hAnsi="Times New Roman" w:eastAsia="仿宋_GB2312" w:cs="Times New Roman"/>
          <w:color w:val="auto"/>
          <w:spacing w:val="0"/>
          <w:sz w:val="32"/>
          <w:szCs w:val="32"/>
        </w:rPr>
        <w:t>绿色</w:t>
      </w:r>
      <w:r>
        <w:rPr>
          <w:rFonts w:hint="default" w:ascii="Times New Roman" w:hAnsi="Times New Roman" w:eastAsia="仿宋_GB2312" w:cs="Times New Roman"/>
          <w:color w:val="auto"/>
          <w:spacing w:val="0"/>
          <w:sz w:val="32"/>
          <w:szCs w:val="32"/>
          <w:highlight w:val="none"/>
        </w:rPr>
        <w:t>矿冶</w:t>
      </w:r>
      <w:r>
        <w:rPr>
          <w:rFonts w:hint="default" w:ascii="Times New Roman" w:hAnsi="Times New Roman" w:eastAsia="仿宋_GB2312" w:cs="Times New Roman"/>
          <w:color w:val="auto"/>
          <w:spacing w:val="0"/>
          <w:sz w:val="32"/>
          <w:szCs w:val="32"/>
        </w:rPr>
        <w:t>集聚区、</w:t>
      </w:r>
      <w:r>
        <w:rPr>
          <w:rFonts w:hint="default" w:ascii="Times New Roman" w:hAnsi="Times New Roman" w:eastAsia="仿宋_GB2312" w:cs="Times New Roman"/>
          <w:color w:val="auto"/>
          <w:spacing w:val="0"/>
          <w:sz w:val="32"/>
          <w:szCs w:val="32"/>
          <w:lang w:val="en-US" w:eastAsia="zh-CN"/>
        </w:rPr>
        <w:t>云南</w:t>
      </w:r>
      <w:r>
        <w:rPr>
          <w:rFonts w:hint="default" w:ascii="Times New Roman" w:hAnsi="Times New Roman" w:eastAsia="仿宋_GB2312" w:cs="Times New Roman"/>
          <w:color w:val="auto"/>
          <w:spacing w:val="0"/>
          <w:sz w:val="32"/>
          <w:szCs w:val="32"/>
        </w:rPr>
        <w:t>高原特色</w:t>
      </w:r>
      <w:r>
        <w:rPr>
          <w:rFonts w:hint="default" w:ascii="Times New Roman" w:hAnsi="Times New Roman" w:eastAsia="仿宋_GB2312" w:cs="Times New Roman"/>
          <w:color w:val="auto"/>
          <w:spacing w:val="0"/>
          <w:sz w:val="32"/>
          <w:szCs w:val="32"/>
          <w:lang w:val="en-US" w:eastAsia="zh-CN"/>
        </w:rPr>
        <w:t>现代</w:t>
      </w:r>
      <w:r>
        <w:rPr>
          <w:rFonts w:hint="default" w:ascii="Times New Roman" w:hAnsi="Times New Roman" w:eastAsia="仿宋_GB2312" w:cs="Times New Roman"/>
          <w:color w:val="auto"/>
          <w:spacing w:val="0"/>
          <w:sz w:val="32"/>
          <w:szCs w:val="32"/>
        </w:rPr>
        <w:t>农业示范区、中国花腰傣文化旅游目的地</w:t>
      </w:r>
      <w:r>
        <w:rPr>
          <w:rFonts w:hint="default" w:ascii="Times New Roman" w:hAnsi="Times New Roman" w:eastAsia="仿宋_GB2312" w:cs="Times New Roman"/>
          <w:color w:val="auto"/>
          <w:spacing w:val="0"/>
          <w:sz w:val="32"/>
          <w:szCs w:val="32"/>
          <w:lang w:val="en-US" w:eastAsia="zh-CN"/>
        </w:rPr>
        <w:t>带来重大机遇。</w:t>
      </w:r>
    </w:p>
    <w:p w14:paraId="7B8CE7B2">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 w:val="32"/>
          <w:szCs w:val="32"/>
        </w:rPr>
      </w:pPr>
      <w:r>
        <w:rPr>
          <w:rFonts w:hint="eastAsia" w:ascii="仿宋_GB2312" w:hAnsi="仿宋_GB2312" w:eastAsia="仿宋_GB2312" w:cs="仿宋_GB2312"/>
          <w:b/>
          <w:bCs/>
          <w:color w:val="auto"/>
          <w:spacing w:val="0"/>
          <w:sz w:val="32"/>
          <w:szCs w:val="32"/>
        </w:rPr>
        <w:t>云南省</w:t>
      </w:r>
      <w:r>
        <w:rPr>
          <w:rFonts w:hint="eastAsia" w:ascii="仿宋_GB2312" w:hAnsi="仿宋_GB2312" w:eastAsia="仿宋_GB2312" w:cs="仿宋_GB2312"/>
          <w:b/>
          <w:bCs/>
          <w:color w:val="auto"/>
          <w:spacing w:val="0"/>
          <w:sz w:val="32"/>
          <w:szCs w:val="32"/>
          <w:lang w:val="en-US" w:eastAsia="zh-CN"/>
        </w:rPr>
        <w:t>加快推进滇中城市群发展带来的机遇。</w:t>
      </w:r>
      <w:r>
        <w:rPr>
          <w:rFonts w:hint="default" w:ascii="Times New Roman" w:hAnsi="Times New Roman" w:eastAsia="仿宋_GB2312" w:cs="Times New Roman"/>
          <w:color w:val="auto"/>
          <w:spacing w:val="0"/>
          <w:sz w:val="32"/>
          <w:szCs w:val="32"/>
          <w:lang w:val="en-US" w:eastAsia="zh-CN"/>
        </w:rPr>
        <w:t>云南省</w:t>
      </w:r>
      <w:r>
        <w:rPr>
          <w:rFonts w:hint="eastAsia" w:eastAsia="仿宋_GB2312"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zh-CN"/>
        </w:rPr>
        <w:t>滇中崛起</w:t>
      </w:r>
      <w:r>
        <w:rPr>
          <w:rFonts w:hint="eastAsia" w:eastAsia="仿宋_GB2312"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zh-CN"/>
        </w:rPr>
        <w:t>区域战略落实，</w:t>
      </w:r>
      <w:r>
        <w:rPr>
          <w:rFonts w:hint="default" w:ascii="Times New Roman" w:hAnsi="Times New Roman" w:eastAsia="仿宋_GB2312" w:cs="Times New Roman"/>
          <w:color w:val="auto"/>
          <w:spacing w:val="0"/>
          <w:kern w:val="0"/>
          <w:sz w:val="32"/>
          <w:szCs w:val="32"/>
          <w:lang w:val="en-US" w:eastAsia="zh-CN" w:bidi="ar"/>
        </w:rPr>
        <w:t>《滇中城市群发展规划》推进实施，昆玉</w:t>
      </w:r>
      <w:r>
        <w:rPr>
          <w:rFonts w:hint="eastAsia" w:eastAsia="仿宋_GB2312" w:cs="Times New Roman"/>
          <w:color w:val="auto"/>
          <w:spacing w:val="0"/>
          <w:kern w:val="0"/>
          <w:sz w:val="32"/>
          <w:szCs w:val="32"/>
          <w:lang w:val="en-US" w:eastAsia="zh-CN" w:bidi="ar"/>
        </w:rPr>
        <w:t>一体化</w:t>
      </w:r>
      <w:r>
        <w:rPr>
          <w:rFonts w:hint="default" w:ascii="Times New Roman" w:hAnsi="Times New Roman" w:eastAsia="仿宋_GB2312" w:cs="Times New Roman"/>
          <w:color w:val="auto"/>
          <w:spacing w:val="0"/>
          <w:kern w:val="0"/>
          <w:sz w:val="32"/>
          <w:szCs w:val="32"/>
          <w:lang w:val="en-US" w:eastAsia="zh-CN" w:bidi="ar"/>
        </w:rPr>
        <w:t>加速步伐，以及</w:t>
      </w:r>
      <w:r>
        <w:rPr>
          <w:rFonts w:hint="default" w:ascii="Times New Roman" w:hAnsi="Times New Roman" w:eastAsia="仿宋_GB2312" w:cs="Times New Roman"/>
          <w:color w:val="auto"/>
          <w:spacing w:val="0"/>
          <w:sz w:val="32"/>
          <w:szCs w:val="32"/>
          <w:lang w:eastAsia="zh-CN"/>
        </w:rPr>
        <w:t>玉临高速</w:t>
      </w:r>
      <w:r>
        <w:rPr>
          <w:rFonts w:hint="default" w:ascii="Times New Roman" w:hAnsi="Times New Roman" w:eastAsia="仿宋_GB2312" w:cs="Times New Roman"/>
          <w:color w:val="auto"/>
          <w:spacing w:val="0"/>
          <w:sz w:val="32"/>
          <w:szCs w:val="32"/>
        </w:rPr>
        <w:t>、永金高速、</w:t>
      </w:r>
      <w:r>
        <w:rPr>
          <w:rFonts w:hint="default" w:ascii="Times New Roman" w:hAnsi="Times New Roman" w:eastAsia="仿宋_GB2312" w:cs="Times New Roman"/>
          <w:color w:val="auto"/>
          <w:spacing w:val="0"/>
          <w:sz w:val="32"/>
          <w:szCs w:val="32"/>
          <w:lang w:eastAsia="zh-CN"/>
        </w:rPr>
        <w:t>新平（扬武）—墨江（孟弄）高速、</w:t>
      </w:r>
      <w:r>
        <w:rPr>
          <w:rFonts w:hint="default" w:ascii="Times New Roman" w:hAnsi="Times New Roman" w:eastAsia="仿宋_GB2312" w:cs="Times New Roman"/>
          <w:color w:val="auto"/>
          <w:spacing w:val="0"/>
          <w:sz w:val="32"/>
          <w:szCs w:val="32"/>
        </w:rPr>
        <w:t>玉磨铁路建设，</w:t>
      </w:r>
      <w:r>
        <w:rPr>
          <w:rFonts w:hint="default" w:ascii="Times New Roman" w:hAnsi="Times New Roman" w:eastAsia="仿宋_GB2312" w:cs="Times New Roman"/>
          <w:color w:val="auto"/>
          <w:spacing w:val="0"/>
          <w:sz w:val="32"/>
          <w:szCs w:val="32"/>
          <w:lang w:val="en-US" w:eastAsia="zh-CN"/>
        </w:rPr>
        <w:t>新平</w:t>
      </w:r>
      <w:r>
        <w:rPr>
          <w:rFonts w:hint="default" w:ascii="Times New Roman" w:hAnsi="Times New Roman" w:eastAsia="仿宋_GB2312" w:cs="Times New Roman"/>
          <w:color w:val="auto"/>
          <w:spacing w:val="0"/>
          <w:sz w:val="32"/>
          <w:szCs w:val="32"/>
        </w:rPr>
        <w:t>在融入滇中城市群发展、扩大对内对外开放、推进区域协调发展等方面将迎来更为广阔的发展空间。</w:t>
      </w:r>
    </w:p>
    <w:p w14:paraId="20F1FEAE">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三、存在的困难和挑战</w:t>
      </w:r>
    </w:p>
    <w:p w14:paraId="7D3A2C0B">
      <w:pPr>
        <w:keepNext w:val="0"/>
        <w:keepLines w:val="0"/>
        <w:pageBreakBefore w:val="0"/>
        <w:widowControl w:val="0"/>
        <w:kinsoku/>
        <w:wordWrap/>
        <w:overflowPunct/>
        <w:topLinePunct w:val="0"/>
        <w:autoSpaceDE/>
        <w:autoSpaceDN/>
        <w:bidi w:val="0"/>
        <w:adjustRightInd/>
        <w:snapToGrid/>
        <w:spacing w:line="560" w:lineRule="exact"/>
        <w:ind w:firstLine="687"/>
        <w:jc w:val="left"/>
        <w:textAlignment w:val="auto"/>
        <w:rPr>
          <w:rFonts w:hint="default" w:ascii="Times New Roman" w:hAnsi="Times New Roman" w:cs="Times New Roman"/>
          <w:color w:val="auto"/>
          <w:spacing w:val="0"/>
          <w:sz w:val="32"/>
          <w:szCs w:val="32"/>
        </w:rPr>
      </w:pPr>
      <w:r>
        <w:rPr>
          <w:rFonts w:hint="eastAsia" w:ascii="仿宋_GB2312" w:hAnsi="仿宋_GB2312" w:eastAsia="仿宋_GB2312" w:cs="仿宋_GB2312"/>
          <w:b/>
          <w:bCs/>
          <w:color w:val="auto"/>
          <w:spacing w:val="0"/>
          <w:sz w:val="32"/>
          <w:szCs w:val="32"/>
        </w:rPr>
        <w:t>产业发展层次低，稳增长压力仍然较大。</w:t>
      </w:r>
      <w:r>
        <w:rPr>
          <w:rFonts w:hint="eastAsia" w:eastAsia="仿宋_GB2312" w:cs="Times New Roman"/>
          <w:color w:val="auto"/>
          <w:spacing w:val="0"/>
          <w:sz w:val="32"/>
          <w:szCs w:val="32"/>
          <w:lang w:eastAsia="zh-CN"/>
        </w:rPr>
        <w:t>“</w:t>
      </w:r>
      <w:r>
        <w:rPr>
          <w:rFonts w:hint="default" w:ascii="Times New Roman" w:hAnsi="Times New Roman" w:cs="Times New Roman"/>
          <w:color w:val="auto"/>
          <w:spacing w:val="0"/>
          <w:sz w:val="32"/>
          <w:szCs w:val="32"/>
        </w:rPr>
        <w:t>十四五</w:t>
      </w:r>
      <w:r>
        <w:rPr>
          <w:rFonts w:hint="eastAsia" w:cs="Times New Roman"/>
          <w:color w:val="auto"/>
          <w:spacing w:val="0"/>
          <w:sz w:val="32"/>
          <w:szCs w:val="32"/>
          <w:lang w:eastAsia="zh-CN"/>
        </w:rPr>
        <w:t>”</w:t>
      </w:r>
      <w:r>
        <w:rPr>
          <w:rFonts w:hint="default" w:ascii="Times New Roman" w:hAnsi="Times New Roman" w:cs="Times New Roman"/>
          <w:color w:val="auto"/>
          <w:spacing w:val="0"/>
          <w:sz w:val="32"/>
          <w:szCs w:val="32"/>
        </w:rPr>
        <w:t>期间，国内经济下行压力将进一步加大。新平经济增长对矿冶产业依赖度过高，而矿冶产业处于产业链前端和</w:t>
      </w:r>
      <w:r>
        <w:rPr>
          <w:rFonts w:hint="default" w:ascii="Times New Roman" w:hAnsi="Times New Roman" w:cs="Times New Roman"/>
          <w:color w:val="auto"/>
          <w:spacing w:val="0"/>
          <w:sz w:val="32"/>
          <w:szCs w:val="32"/>
          <w:lang w:val="en-US" w:eastAsia="zh-CN"/>
        </w:rPr>
        <w:t>价值</w:t>
      </w:r>
      <w:r>
        <w:rPr>
          <w:rFonts w:hint="default" w:ascii="Times New Roman" w:hAnsi="Times New Roman" w:cs="Times New Roman"/>
          <w:color w:val="auto"/>
          <w:spacing w:val="0"/>
          <w:sz w:val="32"/>
          <w:szCs w:val="32"/>
        </w:rPr>
        <w:t>链低端，亟待转型升级；农业产业链短，农产品初加工能力配置不完善，精深加工能力薄弱；文化旅游产业综合效益不高、竞争力偏弱，新兴产业发展缓慢。</w:t>
      </w:r>
      <w:r>
        <w:rPr>
          <w:rFonts w:hint="eastAsia" w:cs="Times New Roman"/>
          <w:color w:val="auto"/>
          <w:spacing w:val="0"/>
          <w:sz w:val="32"/>
          <w:szCs w:val="32"/>
          <w:lang w:eastAsia="zh-CN"/>
        </w:rPr>
        <w:t>“</w:t>
      </w:r>
      <w:r>
        <w:rPr>
          <w:rFonts w:hint="default" w:ascii="Times New Roman" w:hAnsi="Times New Roman" w:cs="Times New Roman"/>
          <w:color w:val="auto"/>
          <w:spacing w:val="0"/>
          <w:sz w:val="32"/>
          <w:szCs w:val="32"/>
        </w:rPr>
        <w:t>十四五</w:t>
      </w:r>
      <w:r>
        <w:rPr>
          <w:rFonts w:hint="eastAsia" w:cs="Times New Roman"/>
          <w:color w:val="auto"/>
          <w:spacing w:val="0"/>
          <w:sz w:val="32"/>
          <w:szCs w:val="32"/>
          <w:lang w:eastAsia="zh-CN"/>
        </w:rPr>
        <w:t>”</w:t>
      </w:r>
      <w:r>
        <w:rPr>
          <w:rFonts w:hint="default" w:ascii="Times New Roman" w:hAnsi="Times New Roman" w:cs="Times New Roman"/>
          <w:color w:val="auto"/>
          <w:spacing w:val="0"/>
          <w:sz w:val="32"/>
          <w:szCs w:val="32"/>
        </w:rPr>
        <w:t>期间，在稳定经济增长的同时，实现投资运行稳定和产业转型升级仍有较大压力。</w:t>
      </w:r>
    </w:p>
    <w:p w14:paraId="645E69DD">
      <w:pPr>
        <w:keepNext w:val="0"/>
        <w:keepLines w:val="0"/>
        <w:pageBreakBefore w:val="0"/>
        <w:widowControl w:val="0"/>
        <w:kinsoku/>
        <w:wordWrap/>
        <w:overflowPunct/>
        <w:topLinePunct w:val="0"/>
        <w:autoSpaceDE/>
        <w:autoSpaceDN/>
        <w:bidi w:val="0"/>
        <w:adjustRightInd/>
        <w:snapToGrid/>
        <w:spacing w:line="560" w:lineRule="exact"/>
        <w:ind w:firstLine="687"/>
        <w:jc w:val="both"/>
        <w:textAlignment w:val="auto"/>
        <w:rPr>
          <w:rFonts w:hint="default" w:ascii="Times New Roman" w:hAnsi="Times New Roman" w:eastAsia="仿宋_GB2312" w:cs="Times New Roman"/>
          <w:color w:val="auto"/>
          <w:spacing w:val="0"/>
          <w:sz w:val="32"/>
          <w:szCs w:val="32"/>
        </w:rPr>
      </w:pPr>
      <w:r>
        <w:rPr>
          <w:rFonts w:hint="eastAsia" w:ascii="仿宋_GB2312" w:hAnsi="仿宋_GB2312" w:eastAsia="仿宋_GB2312" w:cs="仿宋_GB2312"/>
          <w:b/>
          <w:bCs/>
          <w:color w:val="auto"/>
          <w:spacing w:val="0"/>
          <w:sz w:val="32"/>
          <w:szCs w:val="32"/>
        </w:rPr>
        <w:t>要素制约明显，支撑经济高质量发展的动力不强。</w:t>
      </w:r>
      <w:r>
        <w:rPr>
          <w:rFonts w:hint="default" w:ascii="Times New Roman" w:hAnsi="Times New Roman" w:eastAsia="仿宋_GB2312" w:cs="Times New Roman"/>
          <w:color w:val="auto"/>
          <w:spacing w:val="0"/>
          <w:sz w:val="32"/>
          <w:szCs w:val="32"/>
        </w:rPr>
        <w:t>新平科技、人才、资金等要素不足，县城、</w:t>
      </w:r>
      <w:r>
        <w:rPr>
          <w:rFonts w:hint="default" w:ascii="Times New Roman" w:hAnsi="Times New Roman" w:eastAsia="仿宋_GB2312" w:cs="Times New Roman"/>
          <w:color w:val="auto"/>
          <w:spacing w:val="0"/>
          <w:sz w:val="32"/>
          <w:szCs w:val="32"/>
          <w:highlight w:val="none"/>
          <w:lang w:val="en-US" w:eastAsia="zh-CN"/>
        </w:rPr>
        <w:t>工业园区扬武片区</w:t>
      </w:r>
      <w:r>
        <w:rPr>
          <w:rFonts w:hint="default" w:ascii="Times New Roman" w:hAnsi="Times New Roman" w:eastAsia="仿宋_GB2312" w:cs="Times New Roman"/>
          <w:color w:val="auto"/>
          <w:spacing w:val="0"/>
          <w:sz w:val="32"/>
          <w:szCs w:val="32"/>
        </w:rPr>
        <w:t>等适宜开发地区资源约束趋紧，用地指标紧缺，</w:t>
      </w:r>
      <w:r>
        <w:rPr>
          <w:rFonts w:hint="default" w:ascii="Times New Roman" w:hAnsi="Times New Roman" w:eastAsia="仿宋_GB2312" w:cs="Times New Roman"/>
          <w:color w:val="auto"/>
          <w:spacing w:val="0"/>
          <w:sz w:val="32"/>
          <w:szCs w:val="32"/>
          <w:lang w:val="en-US" w:eastAsia="zh-CN"/>
        </w:rPr>
        <w:t>项目前期工作滞后，</w:t>
      </w:r>
      <w:r>
        <w:rPr>
          <w:rFonts w:hint="default" w:ascii="Times New Roman" w:hAnsi="Times New Roman" w:eastAsia="仿宋_GB2312" w:cs="Times New Roman"/>
          <w:color w:val="auto"/>
          <w:spacing w:val="0"/>
          <w:sz w:val="32"/>
          <w:szCs w:val="32"/>
        </w:rPr>
        <w:t>项目落地难；</w:t>
      </w:r>
      <w:r>
        <w:rPr>
          <w:rFonts w:hint="default" w:ascii="Times New Roman" w:hAnsi="Times New Roman" w:eastAsia="仿宋_GB2312" w:cs="Times New Roman"/>
          <w:color w:val="auto"/>
          <w:spacing w:val="0"/>
          <w:sz w:val="32"/>
          <w:szCs w:val="32"/>
          <w:lang w:eastAsia="zh-CN"/>
        </w:rPr>
        <w:t>产学研结合程度不高，</w:t>
      </w:r>
      <w:r>
        <w:rPr>
          <w:rFonts w:hint="default" w:ascii="Times New Roman" w:hAnsi="Times New Roman" w:eastAsia="仿宋_GB2312" w:cs="Times New Roman"/>
          <w:color w:val="auto"/>
          <w:spacing w:val="0"/>
          <w:sz w:val="32"/>
          <w:szCs w:val="32"/>
        </w:rPr>
        <w:t>高层次人才严重匮乏</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高新技术企业较少；</w:t>
      </w:r>
      <w:r>
        <w:rPr>
          <w:rFonts w:hint="default" w:ascii="Times New Roman" w:hAnsi="Times New Roman" w:eastAsia="仿宋_GB2312" w:cs="Times New Roman"/>
          <w:color w:val="auto"/>
          <w:spacing w:val="0"/>
          <w:sz w:val="32"/>
          <w:szCs w:val="32"/>
          <w:lang w:eastAsia="zh-CN"/>
        </w:rPr>
        <w:t>贯彻落实金融支持实体经济政策力度不够，企业融资难和融资贵的问题依然存在。</w:t>
      </w:r>
      <w:r>
        <w:rPr>
          <w:rFonts w:hint="eastAsia"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十四五</w:t>
      </w:r>
      <w:r>
        <w:rPr>
          <w:rFonts w:hint="eastAsia"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期间，在要素不足的情况下，发力培育自身比较优势</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确保县域经济发展走在玉溪市前列面临</w:t>
      </w:r>
      <w:r>
        <w:rPr>
          <w:rFonts w:hint="default" w:ascii="Times New Roman" w:hAnsi="Times New Roman" w:eastAsia="仿宋_GB2312" w:cs="Times New Roman"/>
          <w:color w:val="auto"/>
          <w:spacing w:val="0"/>
          <w:sz w:val="32"/>
          <w:szCs w:val="32"/>
          <w:lang w:eastAsia="zh-CN"/>
        </w:rPr>
        <w:t>较大</w:t>
      </w:r>
      <w:r>
        <w:rPr>
          <w:rFonts w:hint="default" w:ascii="Times New Roman" w:hAnsi="Times New Roman" w:eastAsia="仿宋_GB2312" w:cs="Times New Roman"/>
          <w:color w:val="auto"/>
          <w:spacing w:val="0"/>
          <w:sz w:val="32"/>
          <w:szCs w:val="32"/>
        </w:rPr>
        <w:t>挑战。</w:t>
      </w:r>
    </w:p>
    <w:p w14:paraId="0E0D0DE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 w:val="32"/>
          <w:szCs w:val="32"/>
          <w:lang w:val="en-US" w:eastAsia="zh-CN"/>
        </w:rPr>
      </w:pPr>
      <w:r>
        <w:rPr>
          <w:rFonts w:hint="eastAsia" w:ascii="仿宋_GB2312" w:hAnsi="仿宋_GB2312" w:eastAsia="仿宋_GB2312" w:cs="仿宋_GB2312"/>
          <w:b/>
          <w:bCs/>
          <w:color w:val="auto"/>
          <w:spacing w:val="0"/>
          <w:sz w:val="32"/>
          <w:szCs w:val="32"/>
        </w:rPr>
        <w:t>财政收支矛盾较为突出，可支配财力难以满足快速发展需求</w:t>
      </w:r>
      <w:r>
        <w:rPr>
          <w:rFonts w:hint="eastAsia" w:ascii="仿宋_GB2312" w:hAnsi="仿宋_GB2312" w:eastAsia="仿宋_GB2312" w:cs="仿宋_GB2312"/>
          <w:b/>
          <w:bCs/>
          <w:color w:val="auto"/>
          <w:spacing w:val="0"/>
          <w:sz w:val="32"/>
          <w:szCs w:val="32"/>
          <w:lang w:eastAsia="zh-CN"/>
        </w:rPr>
        <w:t>。</w:t>
      </w:r>
      <w:r>
        <w:rPr>
          <w:rFonts w:hint="default" w:ascii="Times New Roman" w:hAnsi="Times New Roman" w:eastAsia="仿宋_GB2312" w:cs="Times New Roman"/>
          <w:color w:val="auto"/>
          <w:spacing w:val="0"/>
          <w:sz w:val="32"/>
          <w:szCs w:val="32"/>
        </w:rPr>
        <w:t>受经济下行、减税降费及疫情等多重影响，骨干税源大幅萎缩，财政增收乏力，财力构成过多依赖土地整理指标出让收入，收入质量不高；资产资源盘活力度不够，收入来源</w:t>
      </w:r>
      <w:r>
        <w:rPr>
          <w:rFonts w:hint="default" w:ascii="Times New Roman" w:hAnsi="Times New Roman" w:eastAsia="仿宋_GB2312" w:cs="Times New Roman"/>
          <w:color w:val="auto"/>
          <w:spacing w:val="0"/>
          <w:sz w:val="32"/>
          <w:szCs w:val="32"/>
          <w:lang w:eastAsia="zh-CN"/>
        </w:rPr>
        <w:t>持续性不强；</w:t>
      </w:r>
      <w:r>
        <w:rPr>
          <w:rFonts w:hint="eastAsia"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三保</w:t>
      </w:r>
      <w:r>
        <w:rPr>
          <w:rFonts w:hint="eastAsia"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支出增长较快，刚性支出不断增加，政府性债务还本付息压力持续加大</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财政包袱较重</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财政收入增速与</w:t>
      </w:r>
      <w:r>
        <w:rPr>
          <w:rFonts w:hint="default" w:ascii="Times New Roman" w:hAnsi="Times New Roman" w:eastAsia="仿宋_GB2312" w:cs="Times New Roman"/>
          <w:color w:val="auto"/>
          <w:spacing w:val="0"/>
          <w:szCs w:val="22"/>
          <w:lang w:val="en-US" w:eastAsia="zh-CN"/>
        </w:rPr>
        <w:t>GDP</w:t>
      </w:r>
      <w:r>
        <w:rPr>
          <w:rFonts w:hint="default" w:ascii="Times New Roman" w:hAnsi="Times New Roman" w:eastAsia="仿宋_GB2312" w:cs="Times New Roman"/>
          <w:color w:val="auto"/>
          <w:spacing w:val="0"/>
          <w:sz w:val="32"/>
          <w:szCs w:val="32"/>
        </w:rPr>
        <w:t>增长不匹配，可支配财力与发展需求不相适应，政府性债务化解和金融风险防控形势严峻。</w:t>
      </w:r>
    </w:p>
    <w:p w14:paraId="643EFBCA">
      <w:pPr>
        <w:keepNext w:val="0"/>
        <w:keepLines w:val="0"/>
        <w:pageBreakBefore w:val="0"/>
        <w:widowControl w:val="0"/>
        <w:kinsoku/>
        <w:wordWrap/>
        <w:overflowPunct/>
        <w:topLinePunct w:val="0"/>
        <w:autoSpaceDE/>
        <w:autoSpaceDN/>
        <w:bidi w:val="0"/>
        <w:adjustRightInd/>
        <w:snapToGrid/>
        <w:spacing w:line="560" w:lineRule="exact"/>
        <w:ind w:firstLine="687"/>
        <w:jc w:val="left"/>
        <w:textAlignment w:val="auto"/>
        <w:rPr>
          <w:rFonts w:hint="default" w:ascii="Times New Roman" w:hAnsi="Times New Roman" w:eastAsia="仿宋_GB2312" w:cs="Times New Roman"/>
          <w:color w:val="auto"/>
          <w:spacing w:val="0"/>
          <w:kern w:val="0"/>
          <w:sz w:val="32"/>
          <w:szCs w:val="32"/>
          <w:lang w:bidi="ar"/>
        </w:rPr>
      </w:pPr>
      <w:r>
        <w:rPr>
          <w:rFonts w:hint="eastAsia" w:ascii="仿宋_GB2312" w:hAnsi="仿宋_GB2312" w:eastAsia="仿宋_GB2312" w:cs="仿宋_GB2312"/>
          <w:b/>
          <w:bCs/>
          <w:color w:val="auto"/>
          <w:spacing w:val="0"/>
          <w:sz w:val="32"/>
          <w:szCs w:val="32"/>
        </w:rPr>
        <w:t>基础设施和公共服务设施仍然薄弱，城乡发展不平衡不充分现象突出。</w:t>
      </w:r>
      <w:r>
        <w:rPr>
          <w:rFonts w:hint="default" w:ascii="Times New Roman" w:hAnsi="Times New Roman" w:eastAsia="仿宋_GB2312" w:cs="Times New Roman"/>
          <w:color w:val="auto"/>
          <w:spacing w:val="0"/>
          <w:sz w:val="32"/>
          <w:szCs w:val="32"/>
        </w:rPr>
        <w:t>资源性缺水和工程性缺水问题并存，县城与平掌、建兴、者竜等乡镇缺乏快速路网</w:t>
      </w:r>
      <w:r>
        <w:rPr>
          <w:rFonts w:hint="default" w:ascii="Times New Roman" w:hAnsi="Times New Roman" w:eastAsia="仿宋_GB2312" w:cs="Times New Roman"/>
          <w:color w:val="auto"/>
          <w:spacing w:val="0"/>
          <w:sz w:val="32"/>
          <w:szCs w:val="32"/>
          <w:lang w:eastAsia="zh-CN"/>
        </w:rPr>
        <w:t>连接</w:t>
      </w:r>
      <w:r>
        <w:rPr>
          <w:rFonts w:hint="default" w:ascii="Times New Roman" w:hAnsi="Times New Roman" w:eastAsia="仿宋_GB2312" w:cs="Times New Roman"/>
          <w:color w:val="auto"/>
          <w:spacing w:val="0"/>
          <w:sz w:val="32"/>
          <w:szCs w:val="32"/>
        </w:rPr>
        <w:t>，农村公路建设、养护资金配套严重不足；</w:t>
      </w:r>
      <w:r>
        <w:rPr>
          <w:rFonts w:hint="default" w:ascii="Times New Roman" w:hAnsi="Times New Roman" w:eastAsia="仿宋_GB2312" w:cs="Times New Roman"/>
          <w:color w:val="auto"/>
          <w:spacing w:val="0"/>
          <w:kern w:val="0"/>
          <w:sz w:val="32"/>
          <w:szCs w:val="32"/>
          <w:lang w:bidi="ar"/>
        </w:rPr>
        <w:t>城镇化水平较低，</w:t>
      </w:r>
      <w:r>
        <w:rPr>
          <w:rFonts w:hint="default" w:ascii="Times New Roman" w:hAnsi="Times New Roman" w:eastAsia="仿宋_GB2312" w:cs="Times New Roman"/>
          <w:color w:val="auto"/>
          <w:spacing w:val="0"/>
          <w:sz w:val="32"/>
          <w:szCs w:val="32"/>
        </w:rPr>
        <w:t>乡镇之间发展差距大，城乡之间在医疗、教育、就业、文化、社会保障等方面资源均衡配置尚待加强，</w:t>
      </w:r>
      <w:r>
        <w:rPr>
          <w:rFonts w:hint="default" w:ascii="Times New Roman" w:hAnsi="Times New Roman" w:eastAsia="仿宋_GB2312" w:cs="Times New Roman"/>
          <w:color w:val="auto"/>
          <w:spacing w:val="0"/>
          <w:kern w:val="0"/>
          <w:sz w:val="32"/>
          <w:szCs w:val="32"/>
          <w:lang w:bidi="ar"/>
        </w:rPr>
        <w:t>与人民群众对美好生活的向往、对品质生活的追求还有较大差距。</w:t>
      </w:r>
    </w:p>
    <w:p w14:paraId="0879B80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当前和今后一个时期，新平县仍处于优势产业高质量发展、新型城镇化加速推进、基础设施不断改善、乡村振兴深入实施、民生福祉不断增进等的关键时期，机遇和挑战发生了新的发展变化，必须把握新发展阶段、新发展理念和新发展格局的深刻内涵，发扬斗争精神，树立底线思维，准确识变、科学应变、主动求变，理清思路，在危机中育先机、于变局中开新局，抓住机遇，应对挑战，全面开启社会主义现代化建设新征程。</w:t>
      </w:r>
      <w:bookmarkStart w:id="8" w:name="_Toc9334"/>
    </w:p>
    <w:p w14:paraId="43F0280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color w:val="auto"/>
          <w:spacing w:val="0"/>
          <w:sz w:val="32"/>
          <w:szCs w:val="32"/>
        </w:rPr>
      </w:pPr>
    </w:p>
    <w:p w14:paraId="7CE09538">
      <w:pPr>
        <w:pageBreakBefore w:val="0"/>
        <w:widowControl w:val="0"/>
        <w:kinsoku/>
        <w:wordWrap/>
        <w:overflowPunct/>
        <w:topLinePunct w:val="0"/>
        <w:autoSpaceDN/>
        <w:bidi w:val="0"/>
        <w:ind w:left="0" w:leftChars="0" w:firstLine="0" w:firstLineChars="0"/>
        <w:rPr>
          <w:rFonts w:hint="default"/>
          <w:color w:val="auto"/>
          <w:spacing w:val="0"/>
          <w:lang w:val="en-US" w:eastAsia="zh-CN"/>
        </w:rPr>
      </w:pPr>
      <w:r>
        <w:rPr>
          <w:rFonts w:hint="default"/>
          <w:color w:val="auto"/>
          <w:spacing w:val="0"/>
          <w:lang w:val="en-US" w:eastAsia="zh-CN"/>
        </w:rPr>
        <w:br w:type="page"/>
      </w:r>
    </w:p>
    <w:p w14:paraId="11642417">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color w:val="auto"/>
          <w:spacing w:val="0"/>
        </w:rPr>
      </w:pPr>
      <w:bookmarkStart w:id="9" w:name="_Toc11236"/>
      <w:bookmarkStart w:id="10" w:name="_Toc20272"/>
      <w:r>
        <w:rPr>
          <w:rFonts w:hint="eastAsia" w:ascii="方正小标宋_GBK" w:hAnsi="方正小标宋_GBK" w:eastAsia="方正小标宋_GBK" w:cs="方正小标宋_GBK"/>
          <w:bCs w:val="0"/>
          <w:color w:val="auto"/>
          <w:spacing w:val="0"/>
          <w:kern w:val="2"/>
          <w:sz w:val="36"/>
          <w:szCs w:val="36"/>
          <w:lang w:val="en-US" w:eastAsia="zh-CN"/>
        </w:rPr>
        <w:t xml:space="preserve">第二章  </w:t>
      </w:r>
      <w:bookmarkEnd w:id="8"/>
      <w:r>
        <w:rPr>
          <w:rFonts w:hint="eastAsia" w:ascii="方正小标宋_GBK" w:hAnsi="方正小标宋_GBK" w:eastAsia="方正小标宋_GBK" w:cs="方正小标宋_GBK"/>
          <w:bCs w:val="0"/>
          <w:color w:val="auto"/>
          <w:spacing w:val="0"/>
          <w:kern w:val="2"/>
          <w:sz w:val="36"/>
          <w:szCs w:val="36"/>
          <w:lang w:val="en-US" w:eastAsia="zh-CN"/>
        </w:rPr>
        <w:t>总体思路</w:t>
      </w:r>
      <w:bookmarkEnd w:id="9"/>
      <w:bookmarkEnd w:id="10"/>
      <w:bookmarkStart w:id="11" w:name="_Toc26271"/>
      <w:bookmarkStart w:id="12" w:name="_Toc29250"/>
      <w:bookmarkStart w:id="13" w:name="_Toc29196"/>
      <w:bookmarkStart w:id="14" w:name="_Toc2248"/>
    </w:p>
    <w:p w14:paraId="58C04252">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5" w:name="_Toc11422"/>
      <w:bookmarkStart w:id="16" w:name="_Toc11315"/>
      <w:r>
        <w:rPr>
          <w:rFonts w:hint="eastAsia" w:ascii="黑体" w:hAnsi="黑体" w:eastAsia="黑体" w:cs="黑体"/>
          <w:b/>
          <w:bCs w:val="0"/>
          <w:color w:val="auto"/>
          <w:spacing w:val="0"/>
          <w:szCs w:val="32"/>
        </w:rPr>
        <w:t>第一节  指导思想</w:t>
      </w:r>
      <w:bookmarkEnd w:id="11"/>
      <w:bookmarkEnd w:id="12"/>
      <w:bookmarkEnd w:id="13"/>
      <w:bookmarkEnd w:id="14"/>
      <w:bookmarkEnd w:id="15"/>
      <w:bookmarkEnd w:id="16"/>
    </w:p>
    <w:p w14:paraId="7699A654">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color w:val="auto"/>
          <w:spacing w:val="0"/>
          <w:szCs w:val="22"/>
        </w:rPr>
        <w:t>高举中国特色社会主义伟大旗帜，深入贯彻党的十九大和十九届二中、三中、四中、五中全会精神，坚持以马克思列宁主义、毛泽东思想、邓小平理论、</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三个代表</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重要思想、科学发展观、习近平新时代中国特色社会主义思想为指导，全面贯彻党的基本理论、基本路线、基本方略，统筹推进经济建设、政治建设、文化建设、社会建设、生态文明建设的总体布局，协调推进全面建设社会主义现代化国家、全面深化改革、全面依法治国、全面从严治党的战略布局，坚定不移贯彻创新、协调、绿色、开放、共享的新发展理念，坚持稳中求进工作总基调，以推动高质量发展为主题，以深化供给侧结构性改革为主线，以改革创新为根本动力，以满足人民日益增长的美好生活需要为根本目的，统筹发展和安全，加快建设现代化经济体系，加快构建以国内大循环为主体、国内国际双循环相互促进的新发展格局，扛起改革创新、美丽生态、产业引领、乡村振兴、民生幸福、从严治党</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六面大旗</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，强化破难意识、争先意识、项目意识、统筹意识、民生意识、执行意识</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六种意识</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，坚持</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12345</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发展思路，深入实施富强新平、活力新平、文化新平、美丽新平、和谐新平发展战略，努力在产业转型升级、基础设施补短板、城乡融合发展、生态文明建设</w:t>
      </w:r>
      <w:r>
        <w:rPr>
          <w:rFonts w:hint="default" w:ascii="Times New Roman" w:hAnsi="Times New Roman" w:eastAsia="仿宋_GB2312" w:cs="Times New Roman"/>
          <w:color w:val="auto"/>
          <w:spacing w:val="0"/>
          <w:szCs w:val="22"/>
          <w:lang w:val="en-US" w:eastAsia="zh-CN"/>
        </w:rPr>
        <w:t>上</w:t>
      </w:r>
      <w:r>
        <w:rPr>
          <w:rFonts w:hint="default" w:ascii="Times New Roman" w:hAnsi="Times New Roman" w:eastAsia="仿宋_GB2312" w:cs="Times New Roman"/>
          <w:color w:val="auto"/>
          <w:spacing w:val="0"/>
          <w:szCs w:val="22"/>
        </w:rPr>
        <w:t>取得重大突破，打造云南绿色</w:t>
      </w:r>
      <w:r>
        <w:rPr>
          <w:rFonts w:hint="default" w:ascii="Times New Roman" w:hAnsi="Times New Roman" w:eastAsia="仿宋_GB2312" w:cs="Times New Roman"/>
          <w:color w:val="auto"/>
          <w:spacing w:val="0"/>
          <w:szCs w:val="22"/>
          <w:highlight w:val="none"/>
        </w:rPr>
        <w:t>矿冶</w:t>
      </w:r>
      <w:r>
        <w:rPr>
          <w:rFonts w:hint="default" w:ascii="Times New Roman" w:hAnsi="Times New Roman" w:eastAsia="仿宋_GB2312" w:cs="Times New Roman"/>
          <w:color w:val="auto"/>
          <w:spacing w:val="0"/>
          <w:szCs w:val="22"/>
        </w:rPr>
        <w:t>集聚区、云南高原特色现代农业示范区和中国花腰傣文化旅游目的地，全力推动县域经济高质量发展走在全省前列，开启中国特色社会主义现代化建设新平篇章。</w:t>
      </w:r>
    </w:p>
    <w:p w14:paraId="22E59512">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eastAsia="zh-CN"/>
        </w:rPr>
      </w:pPr>
      <w:bookmarkStart w:id="17" w:name="_Toc5937"/>
      <w:bookmarkStart w:id="18" w:name="_Toc27421"/>
      <w:r>
        <w:rPr>
          <w:rFonts w:hint="eastAsia" w:ascii="黑体" w:hAnsi="黑体" w:eastAsia="黑体" w:cs="黑体"/>
          <w:b/>
          <w:bCs w:val="0"/>
          <w:color w:val="auto"/>
          <w:spacing w:val="0"/>
          <w:szCs w:val="32"/>
        </w:rPr>
        <w:t>第二节  基本原则</w:t>
      </w:r>
      <w:bookmarkEnd w:id="17"/>
      <w:bookmarkEnd w:id="18"/>
    </w:p>
    <w:p w14:paraId="4567574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Cs/>
          <w:color w:val="auto"/>
          <w:spacing w:val="0"/>
          <w:kern w:val="2"/>
          <w:sz w:val="32"/>
          <w:szCs w:val="32"/>
          <w:u w:val="none"/>
          <w:lang w:val="en-US" w:eastAsia="zh-CN" w:bidi="ar-SA"/>
        </w:rPr>
      </w:pPr>
      <w:r>
        <w:rPr>
          <w:rFonts w:hint="eastAsia" w:ascii="仿宋_GB2312" w:hAnsi="仿宋_GB2312" w:eastAsia="仿宋_GB2312" w:cs="仿宋_GB2312"/>
          <w:b/>
          <w:bCs/>
          <w:color w:val="auto"/>
          <w:spacing w:val="0"/>
          <w:sz w:val="32"/>
          <w:szCs w:val="32"/>
          <w:u w:val="none"/>
        </w:rPr>
        <w:t>坚持党的全面领导。</w:t>
      </w:r>
      <w:r>
        <w:rPr>
          <w:rFonts w:hint="default" w:ascii="Times New Roman" w:hAnsi="Times New Roman" w:eastAsia="仿宋_GB2312" w:cs="Times New Roman"/>
          <w:bCs/>
          <w:color w:val="auto"/>
          <w:spacing w:val="0"/>
          <w:kern w:val="2"/>
          <w:sz w:val="32"/>
          <w:szCs w:val="32"/>
          <w:u w:val="none"/>
          <w:lang w:val="en-US" w:eastAsia="zh-CN" w:bidi="ar-SA"/>
        </w:rPr>
        <w:t>增强</w:t>
      </w:r>
      <w:r>
        <w:rPr>
          <w:rFonts w:hint="eastAsia" w:eastAsia="仿宋_GB2312" w:cs="Times New Roman"/>
          <w:bCs/>
          <w:color w:val="auto"/>
          <w:spacing w:val="0"/>
          <w:kern w:val="2"/>
          <w:sz w:val="32"/>
          <w:szCs w:val="32"/>
          <w:u w:val="none"/>
          <w:lang w:val="en-US" w:eastAsia="zh-CN" w:bidi="ar-SA"/>
        </w:rPr>
        <w:t>“</w:t>
      </w:r>
      <w:r>
        <w:rPr>
          <w:rFonts w:hint="default" w:ascii="Times New Roman" w:hAnsi="Times New Roman" w:eastAsia="仿宋_GB2312" w:cs="Times New Roman"/>
          <w:bCs/>
          <w:color w:val="auto"/>
          <w:spacing w:val="0"/>
          <w:kern w:val="2"/>
          <w:sz w:val="32"/>
          <w:szCs w:val="32"/>
          <w:u w:val="none"/>
          <w:lang w:val="en-US" w:eastAsia="zh-CN" w:bidi="ar-SA"/>
        </w:rPr>
        <w:t>四个意识</w:t>
      </w:r>
      <w:r>
        <w:rPr>
          <w:rFonts w:hint="eastAsia" w:eastAsia="仿宋_GB2312" w:cs="Times New Roman"/>
          <w:bCs/>
          <w:color w:val="auto"/>
          <w:spacing w:val="0"/>
          <w:kern w:val="2"/>
          <w:sz w:val="32"/>
          <w:szCs w:val="32"/>
          <w:u w:val="none"/>
          <w:lang w:val="en-US" w:eastAsia="zh-CN" w:bidi="ar-SA"/>
        </w:rPr>
        <w:t>”</w:t>
      </w:r>
      <w:r>
        <w:rPr>
          <w:rFonts w:hint="default" w:ascii="Times New Roman" w:hAnsi="Times New Roman" w:eastAsia="仿宋_GB2312" w:cs="Times New Roman"/>
          <w:bCs/>
          <w:color w:val="auto"/>
          <w:spacing w:val="0"/>
          <w:kern w:val="2"/>
          <w:sz w:val="32"/>
          <w:szCs w:val="32"/>
          <w:u w:val="none"/>
          <w:lang w:val="en-US" w:eastAsia="zh-CN" w:bidi="ar-SA"/>
        </w:rPr>
        <w:t>、坚定</w:t>
      </w:r>
      <w:r>
        <w:rPr>
          <w:rFonts w:hint="eastAsia" w:eastAsia="仿宋_GB2312" w:cs="Times New Roman"/>
          <w:bCs/>
          <w:color w:val="auto"/>
          <w:spacing w:val="0"/>
          <w:kern w:val="2"/>
          <w:sz w:val="32"/>
          <w:szCs w:val="32"/>
          <w:u w:val="none"/>
          <w:lang w:val="en-US" w:eastAsia="zh-CN" w:bidi="ar-SA"/>
        </w:rPr>
        <w:t>“</w:t>
      </w:r>
      <w:r>
        <w:rPr>
          <w:rFonts w:hint="default" w:ascii="Times New Roman" w:hAnsi="Times New Roman" w:eastAsia="仿宋_GB2312" w:cs="Times New Roman"/>
          <w:bCs/>
          <w:color w:val="auto"/>
          <w:spacing w:val="0"/>
          <w:kern w:val="2"/>
          <w:sz w:val="32"/>
          <w:szCs w:val="32"/>
          <w:u w:val="none"/>
          <w:lang w:val="en-US" w:eastAsia="zh-CN" w:bidi="ar-SA"/>
        </w:rPr>
        <w:t>四个自信</w:t>
      </w:r>
      <w:r>
        <w:rPr>
          <w:rFonts w:hint="eastAsia" w:eastAsia="仿宋_GB2312" w:cs="Times New Roman"/>
          <w:bCs/>
          <w:color w:val="auto"/>
          <w:spacing w:val="0"/>
          <w:kern w:val="2"/>
          <w:sz w:val="32"/>
          <w:szCs w:val="32"/>
          <w:u w:val="none"/>
          <w:lang w:val="en-US" w:eastAsia="zh-CN" w:bidi="ar-SA"/>
        </w:rPr>
        <w:t>”</w:t>
      </w:r>
      <w:r>
        <w:rPr>
          <w:rFonts w:hint="default" w:ascii="Times New Roman" w:hAnsi="Times New Roman" w:eastAsia="仿宋_GB2312" w:cs="Times New Roman"/>
          <w:bCs/>
          <w:color w:val="auto"/>
          <w:spacing w:val="0"/>
          <w:kern w:val="2"/>
          <w:sz w:val="32"/>
          <w:szCs w:val="32"/>
          <w:u w:val="none"/>
          <w:lang w:val="en-US" w:eastAsia="zh-CN" w:bidi="ar-SA"/>
        </w:rPr>
        <w:t>、做到</w:t>
      </w:r>
      <w:r>
        <w:rPr>
          <w:rFonts w:hint="eastAsia" w:eastAsia="仿宋_GB2312" w:cs="Times New Roman"/>
          <w:bCs/>
          <w:color w:val="auto"/>
          <w:spacing w:val="0"/>
          <w:kern w:val="2"/>
          <w:sz w:val="32"/>
          <w:szCs w:val="32"/>
          <w:u w:val="none"/>
          <w:lang w:val="en-US" w:eastAsia="zh-CN" w:bidi="ar-SA"/>
        </w:rPr>
        <w:t>“</w:t>
      </w:r>
      <w:r>
        <w:rPr>
          <w:rFonts w:hint="default" w:ascii="Times New Roman" w:hAnsi="Times New Roman" w:eastAsia="仿宋_GB2312" w:cs="Times New Roman"/>
          <w:bCs/>
          <w:color w:val="auto"/>
          <w:spacing w:val="0"/>
          <w:kern w:val="2"/>
          <w:sz w:val="32"/>
          <w:szCs w:val="32"/>
          <w:u w:val="none"/>
          <w:lang w:val="en-US" w:eastAsia="zh-CN" w:bidi="ar-SA"/>
        </w:rPr>
        <w:t>两个维护</w:t>
      </w:r>
      <w:r>
        <w:rPr>
          <w:rFonts w:hint="eastAsia" w:eastAsia="仿宋_GB2312" w:cs="Times New Roman"/>
          <w:bCs/>
          <w:color w:val="auto"/>
          <w:spacing w:val="0"/>
          <w:kern w:val="2"/>
          <w:sz w:val="32"/>
          <w:szCs w:val="32"/>
          <w:u w:val="none"/>
          <w:lang w:val="en-US" w:eastAsia="zh-CN" w:bidi="ar-SA"/>
        </w:rPr>
        <w:t>”</w:t>
      </w:r>
      <w:r>
        <w:rPr>
          <w:rFonts w:hint="default" w:ascii="Times New Roman" w:hAnsi="Times New Roman" w:eastAsia="仿宋_GB2312" w:cs="Times New Roman"/>
          <w:bCs/>
          <w:color w:val="auto"/>
          <w:spacing w:val="0"/>
          <w:kern w:val="2"/>
          <w:sz w:val="32"/>
          <w:szCs w:val="32"/>
          <w:u w:val="none"/>
          <w:lang w:val="en-US" w:eastAsia="zh-CN" w:bidi="ar-SA"/>
        </w:rPr>
        <w:t>，坚持以习近平新时代中国特色社会主义思想为指导，坚持制度优势，发挥党总揽全局、把握方向、凝聚力量的作用，切实把党领导经济工作的制度优势转化为治理效能。</w:t>
      </w:r>
    </w:p>
    <w:p w14:paraId="7344845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Cs/>
          <w:color w:val="auto"/>
          <w:spacing w:val="0"/>
          <w:kern w:val="2"/>
          <w:sz w:val="32"/>
          <w:szCs w:val="32"/>
          <w:u w:val="none"/>
          <w:lang w:val="en-US" w:eastAsia="zh-CN" w:bidi="ar-SA"/>
        </w:rPr>
      </w:pPr>
      <w:r>
        <w:rPr>
          <w:rFonts w:hint="eastAsia" w:ascii="仿宋_GB2312" w:hAnsi="仿宋_GB2312" w:eastAsia="仿宋_GB2312" w:cs="仿宋_GB2312"/>
          <w:b/>
          <w:bCs/>
          <w:color w:val="auto"/>
          <w:spacing w:val="0"/>
          <w:sz w:val="32"/>
          <w:szCs w:val="32"/>
          <w:u w:val="none"/>
        </w:rPr>
        <w:t>坚持以人民为中心。</w:t>
      </w:r>
      <w:r>
        <w:rPr>
          <w:rFonts w:hint="default" w:ascii="Times New Roman" w:hAnsi="Times New Roman" w:eastAsia="仿宋_GB2312" w:cs="Times New Roman"/>
          <w:bCs/>
          <w:color w:val="auto"/>
          <w:spacing w:val="0"/>
          <w:kern w:val="2"/>
          <w:sz w:val="32"/>
          <w:szCs w:val="32"/>
          <w:u w:val="none"/>
          <w:lang w:val="en-US" w:eastAsia="zh-CN" w:bidi="ar-SA"/>
        </w:rPr>
        <w:t>立足全面建成小康社会基础，围绕社会主义现代化建设更高要求，坚持发展为了人民、发展依靠人民、发展成果由人民共享，巩固好脱贫攻坚成果，不断满足各族人民群众日益增长的美好生活需要，增强人民群众获得感、幸福感、安全感。</w:t>
      </w:r>
    </w:p>
    <w:p w14:paraId="4A739ED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Cs/>
          <w:color w:val="auto"/>
          <w:spacing w:val="0"/>
          <w:kern w:val="2"/>
          <w:sz w:val="32"/>
          <w:szCs w:val="32"/>
          <w:u w:val="none"/>
          <w:lang w:val="en-US" w:eastAsia="zh-CN" w:bidi="ar-SA"/>
        </w:rPr>
      </w:pPr>
      <w:r>
        <w:rPr>
          <w:rFonts w:hint="eastAsia" w:ascii="仿宋_GB2312" w:hAnsi="仿宋_GB2312" w:eastAsia="仿宋_GB2312" w:cs="仿宋_GB2312"/>
          <w:b/>
          <w:bCs/>
          <w:color w:val="auto"/>
          <w:spacing w:val="0"/>
          <w:sz w:val="32"/>
          <w:szCs w:val="32"/>
          <w:u w:val="none"/>
        </w:rPr>
        <w:t>坚持新发展理念。</w:t>
      </w:r>
      <w:r>
        <w:rPr>
          <w:rFonts w:hint="default" w:ascii="Times New Roman" w:hAnsi="Times New Roman" w:eastAsia="仿宋_GB2312" w:cs="Times New Roman"/>
          <w:bCs/>
          <w:color w:val="auto"/>
          <w:spacing w:val="0"/>
          <w:kern w:val="2"/>
          <w:sz w:val="32"/>
          <w:szCs w:val="32"/>
          <w:u w:val="none"/>
          <w:lang w:val="en-US" w:eastAsia="zh-CN" w:bidi="ar-SA"/>
        </w:rPr>
        <w:t>把创新、协调、绿色、开放、共享的新发展理念贯穿发展全过程和各领域，统筹发展与安全，破解发展中突出</w:t>
      </w:r>
      <w:r>
        <w:rPr>
          <w:rFonts w:hint="eastAsia" w:eastAsia="仿宋_GB2312" w:cs="Times New Roman"/>
          <w:bCs/>
          <w:color w:val="auto"/>
          <w:spacing w:val="0"/>
          <w:kern w:val="2"/>
          <w:sz w:val="32"/>
          <w:szCs w:val="32"/>
          <w:u w:val="none"/>
          <w:lang w:val="en-US" w:eastAsia="zh-CN" w:bidi="ar-SA"/>
        </w:rPr>
        <w:t>的</w:t>
      </w:r>
      <w:r>
        <w:rPr>
          <w:rFonts w:hint="default" w:ascii="Times New Roman" w:hAnsi="Times New Roman" w:eastAsia="仿宋_GB2312" w:cs="Times New Roman"/>
          <w:bCs/>
          <w:color w:val="auto"/>
          <w:spacing w:val="0"/>
          <w:kern w:val="2"/>
          <w:sz w:val="32"/>
          <w:szCs w:val="32"/>
          <w:u w:val="none"/>
          <w:lang w:val="en-US" w:eastAsia="zh-CN" w:bidi="ar-SA"/>
        </w:rPr>
        <w:t>问题，实现更高质量、更有效率、更加公平、更可持续、更为安全的发展。</w:t>
      </w:r>
    </w:p>
    <w:p w14:paraId="6DD69DE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Cs/>
          <w:color w:val="auto"/>
          <w:spacing w:val="0"/>
          <w:kern w:val="2"/>
          <w:sz w:val="32"/>
          <w:szCs w:val="32"/>
          <w:u w:val="none"/>
          <w:lang w:val="en-US" w:eastAsia="zh-CN" w:bidi="ar-SA"/>
        </w:rPr>
      </w:pPr>
      <w:r>
        <w:rPr>
          <w:rFonts w:hint="eastAsia" w:ascii="仿宋_GB2312" w:hAnsi="仿宋_GB2312" w:eastAsia="仿宋_GB2312" w:cs="仿宋_GB2312"/>
          <w:b/>
          <w:bCs/>
          <w:color w:val="auto"/>
          <w:spacing w:val="0"/>
          <w:sz w:val="32"/>
          <w:szCs w:val="32"/>
          <w:u w:val="none"/>
        </w:rPr>
        <w:t>坚持深化改革开放。</w:t>
      </w:r>
      <w:r>
        <w:rPr>
          <w:rFonts w:hint="default" w:ascii="Times New Roman" w:hAnsi="Times New Roman" w:eastAsia="仿宋_GB2312" w:cs="Times New Roman"/>
          <w:bCs/>
          <w:color w:val="auto"/>
          <w:spacing w:val="0"/>
          <w:kern w:val="2"/>
          <w:sz w:val="32"/>
          <w:szCs w:val="32"/>
          <w:u w:val="none"/>
          <w:lang w:val="en-US" w:eastAsia="zh-CN" w:bidi="ar-SA"/>
        </w:rPr>
        <w:t>以更大的决心和勇气深化重点领域改革，坚持实施更大范围、更宽领域、更深层次对外开放，深挖发展潜力，畅通国民经济循环，创新参与国际合作竞争方式，推动形成以国内大循环为主体、国内国际双循环相互促进的新发展格局。</w:t>
      </w:r>
    </w:p>
    <w:p w14:paraId="472A9AC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Cs/>
          <w:color w:val="auto"/>
          <w:spacing w:val="0"/>
          <w:kern w:val="2"/>
          <w:sz w:val="32"/>
          <w:szCs w:val="32"/>
          <w:u w:val="none"/>
          <w:lang w:val="en-US" w:eastAsia="zh-CN" w:bidi="ar-SA"/>
        </w:rPr>
      </w:pPr>
      <w:r>
        <w:rPr>
          <w:rFonts w:hint="eastAsia" w:ascii="仿宋_GB2312" w:hAnsi="仿宋_GB2312" w:eastAsia="仿宋_GB2312" w:cs="仿宋_GB2312"/>
          <w:b/>
          <w:bCs/>
          <w:color w:val="auto"/>
          <w:spacing w:val="0"/>
          <w:sz w:val="32"/>
          <w:szCs w:val="32"/>
          <w:u w:val="none"/>
        </w:rPr>
        <w:t>坚持系统观念。</w:t>
      </w:r>
      <w:r>
        <w:rPr>
          <w:rFonts w:hint="default" w:ascii="Times New Roman" w:hAnsi="Times New Roman" w:eastAsia="仿宋_GB2312" w:cs="Times New Roman"/>
          <w:bCs/>
          <w:color w:val="auto"/>
          <w:spacing w:val="0"/>
          <w:kern w:val="2"/>
          <w:sz w:val="32"/>
          <w:szCs w:val="32"/>
          <w:u w:val="none"/>
          <w:lang w:val="en-US" w:eastAsia="zh-CN" w:bidi="ar-SA"/>
        </w:rPr>
        <w:t>加强前瞻性思考、全局性谋划、战略性布局、整体性推进，处理好稳和进、立和破、虚和实、标和本、远和近的关系，着力固根基、扬优势、补短板、强弱项</w:t>
      </w:r>
      <w:r>
        <w:rPr>
          <w:rFonts w:hint="eastAsia" w:eastAsia="仿宋_GB2312" w:cs="Times New Roman"/>
          <w:bCs/>
          <w:color w:val="auto"/>
          <w:spacing w:val="0"/>
          <w:kern w:val="2"/>
          <w:sz w:val="32"/>
          <w:szCs w:val="32"/>
          <w:u w:val="none"/>
          <w:lang w:val="en-US" w:eastAsia="zh-CN" w:bidi="ar-SA"/>
        </w:rPr>
        <w:t>，</w:t>
      </w:r>
      <w:r>
        <w:rPr>
          <w:rFonts w:hint="default" w:ascii="Times New Roman" w:hAnsi="Times New Roman" w:eastAsia="仿宋_GB2312" w:cs="Times New Roman"/>
          <w:bCs/>
          <w:color w:val="auto"/>
          <w:spacing w:val="0"/>
          <w:kern w:val="2"/>
          <w:sz w:val="32"/>
          <w:szCs w:val="32"/>
          <w:u w:val="none"/>
          <w:lang w:val="en-US" w:eastAsia="zh-CN" w:bidi="ar-SA"/>
        </w:rPr>
        <w:t>注重防范化解重大风险挑战，实现发展质量、结构、规模速度、效益、安全相统一。</w:t>
      </w:r>
    </w:p>
    <w:p w14:paraId="4BA48FF7">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9" w:name="_Toc18130"/>
      <w:bookmarkStart w:id="20" w:name="_Toc6095"/>
      <w:r>
        <w:rPr>
          <w:rFonts w:hint="eastAsia" w:ascii="黑体" w:hAnsi="黑体" w:eastAsia="黑体" w:cs="黑体"/>
          <w:b/>
          <w:bCs w:val="0"/>
          <w:color w:val="auto"/>
          <w:spacing w:val="0"/>
          <w:szCs w:val="32"/>
        </w:rPr>
        <w:t>第三节  发展思路</w:t>
      </w:r>
      <w:bookmarkEnd w:id="19"/>
      <w:bookmarkEnd w:id="20"/>
    </w:p>
    <w:p w14:paraId="41391C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32"/>
        </w:rPr>
        <w:t>立</w:t>
      </w:r>
      <w:r>
        <w:rPr>
          <w:rFonts w:hint="default" w:ascii="Times New Roman" w:hAnsi="Times New Roman" w:eastAsia="仿宋_GB2312" w:cs="Times New Roman"/>
          <w:color w:val="auto"/>
          <w:spacing w:val="0"/>
          <w:szCs w:val="24"/>
        </w:rPr>
        <w:t>足新平发展基础和实际情况，</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十四五</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时期，按照</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2"/>
        </w:rPr>
        <w:t>12345</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的发展思路，即围绕打造</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滇中绿谷</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发展目标，立足</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富民</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强县</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两个根本，紧扣云南绿色</w:t>
      </w:r>
      <w:r>
        <w:rPr>
          <w:rFonts w:hint="default" w:ascii="Times New Roman" w:hAnsi="Times New Roman" w:eastAsia="仿宋_GB2312" w:cs="Times New Roman"/>
          <w:color w:val="auto"/>
          <w:spacing w:val="0"/>
          <w:szCs w:val="24"/>
          <w:highlight w:val="none"/>
        </w:rPr>
        <w:t>矿冶</w:t>
      </w:r>
      <w:r>
        <w:rPr>
          <w:rFonts w:hint="default" w:ascii="Times New Roman" w:hAnsi="Times New Roman" w:eastAsia="仿宋_GB2312" w:cs="Times New Roman"/>
          <w:color w:val="auto"/>
          <w:spacing w:val="0"/>
          <w:szCs w:val="24"/>
        </w:rPr>
        <w:t>集聚区、云南高原特色现代农业示范区、中国花腰傣文化旅游目的地三大发展定位，坚定工业集群化、农业现代化、服务业专业化、城镇特色化四个发展方向，努力建设富强新平、活力新平、文化新平、美丽新平、和谐新平，奋力开创新平转型跨越、绿色崛起新境界。</w:t>
      </w:r>
    </w:p>
    <w:p w14:paraId="6BAD4BB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color w:val="auto"/>
          <w:spacing w:val="0"/>
          <w:szCs w:val="32"/>
        </w:rPr>
      </w:pPr>
      <w:r>
        <w:rPr>
          <w:rFonts w:hint="eastAsia" w:ascii="仿宋_GB2312" w:hAnsi="仿宋_GB2312" w:eastAsia="仿宋_GB2312" w:cs="仿宋_GB2312"/>
          <w:b/>
          <w:bCs/>
          <w:color w:val="auto"/>
          <w:spacing w:val="0"/>
          <w:szCs w:val="32"/>
        </w:rPr>
        <w:t>围绕</w:t>
      </w:r>
      <w:r>
        <w:rPr>
          <w:rFonts w:hint="eastAsia" w:ascii="仿宋_GB2312" w:hAnsi="仿宋_GB2312" w:eastAsia="仿宋_GB2312" w:cs="仿宋_GB2312"/>
          <w:color w:val="auto"/>
          <w:spacing w:val="0"/>
          <w:szCs w:val="22"/>
        </w:rPr>
        <w:t>1</w:t>
      </w:r>
      <w:r>
        <w:rPr>
          <w:rFonts w:hint="eastAsia" w:ascii="仿宋_GB2312" w:hAnsi="仿宋_GB2312" w:eastAsia="仿宋_GB2312" w:cs="仿宋_GB2312"/>
          <w:b/>
          <w:bCs/>
          <w:color w:val="auto"/>
          <w:spacing w:val="0"/>
          <w:szCs w:val="32"/>
        </w:rPr>
        <w:t>个发展目标。滇中绿谷。</w:t>
      </w:r>
      <w:r>
        <w:rPr>
          <w:rFonts w:hint="default" w:ascii="Times New Roman" w:hAnsi="Times New Roman" w:eastAsia="仿宋_GB2312" w:cs="Times New Roman"/>
          <w:color w:val="auto"/>
          <w:spacing w:val="0"/>
          <w:szCs w:val="32"/>
        </w:rPr>
        <w:t>主动融入昆曼公路、泛亚铁路中线等经济大通道战略中，统筹全域绿色发展综合改革试验，把矿冶资源、生物资源、花腰傣文化优势转化为绿色产业集群优势，开启生态、生产、生活</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三生</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新空间，构建以</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绿色矿冶</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为主体、以</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大农业</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和</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大文旅</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为两翼的现代绿色产业体系，实现经济社会可持续发展、民族团结进步、一二三产业融合发展，近期（</w:t>
      </w:r>
      <w:r>
        <w:rPr>
          <w:rFonts w:hint="default" w:ascii="Times New Roman" w:hAnsi="Times New Roman" w:eastAsia="仿宋_GB2312" w:cs="Times New Roman"/>
          <w:color w:val="auto"/>
          <w:spacing w:val="0"/>
          <w:szCs w:val="22"/>
        </w:rPr>
        <w:t>2020—2025</w:t>
      </w:r>
      <w:r>
        <w:rPr>
          <w:rFonts w:hint="default" w:ascii="Times New Roman" w:hAnsi="Times New Roman" w:eastAsia="仿宋_GB2312" w:cs="Times New Roman"/>
          <w:color w:val="auto"/>
          <w:spacing w:val="0"/>
          <w:szCs w:val="22"/>
          <w:lang w:eastAsia="zh-CN"/>
        </w:rPr>
        <w:t>年</w:t>
      </w:r>
      <w:r>
        <w:rPr>
          <w:rFonts w:hint="default" w:ascii="Times New Roman" w:hAnsi="Times New Roman" w:eastAsia="仿宋_GB2312" w:cs="Times New Roman"/>
          <w:color w:val="auto"/>
          <w:spacing w:val="0"/>
          <w:szCs w:val="32"/>
        </w:rPr>
        <w:t>）把新平打造为玉溪南部中心城市，中期（</w:t>
      </w:r>
      <w:r>
        <w:rPr>
          <w:rFonts w:hint="default" w:ascii="Times New Roman" w:hAnsi="Times New Roman" w:eastAsia="仿宋_GB2312" w:cs="Times New Roman"/>
          <w:color w:val="auto"/>
          <w:spacing w:val="0"/>
          <w:szCs w:val="22"/>
        </w:rPr>
        <w:t>2025—2030</w:t>
      </w:r>
      <w:r>
        <w:rPr>
          <w:rFonts w:hint="default" w:ascii="Times New Roman" w:hAnsi="Times New Roman" w:eastAsia="仿宋_GB2312" w:cs="Times New Roman"/>
          <w:color w:val="auto"/>
          <w:spacing w:val="0"/>
          <w:szCs w:val="22"/>
          <w:lang w:eastAsia="zh-CN"/>
        </w:rPr>
        <w:t>年</w:t>
      </w:r>
      <w:r>
        <w:rPr>
          <w:rFonts w:hint="default" w:ascii="Times New Roman" w:hAnsi="Times New Roman" w:eastAsia="仿宋_GB2312" w:cs="Times New Roman"/>
          <w:color w:val="auto"/>
          <w:spacing w:val="0"/>
          <w:szCs w:val="32"/>
        </w:rPr>
        <w:t>）打造为滇中高端绿色产业集聚高地，远期（</w:t>
      </w:r>
      <w:r>
        <w:rPr>
          <w:rFonts w:hint="default" w:ascii="Times New Roman" w:hAnsi="Times New Roman" w:eastAsia="仿宋_GB2312" w:cs="Times New Roman"/>
          <w:color w:val="auto"/>
          <w:spacing w:val="0"/>
          <w:szCs w:val="22"/>
        </w:rPr>
        <w:t>2030—2035</w:t>
      </w:r>
      <w:r>
        <w:rPr>
          <w:rFonts w:hint="default" w:ascii="Times New Roman" w:hAnsi="Times New Roman" w:eastAsia="仿宋_GB2312" w:cs="Times New Roman"/>
          <w:color w:val="auto"/>
          <w:spacing w:val="0"/>
          <w:szCs w:val="22"/>
          <w:lang w:eastAsia="zh-CN"/>
        </w:rPr>
        <w:t>年</w:t>
      </w:r>
      <w:r>
        <w:rPr>
          <w:rFonts w:hint="default" w:ascii="Times New Roman" w:hAnsi="Times New Roman" w:eastAsia="仿宋_GB2312" w:cs="Times New Roman"/>
          <w:color w:val="auto"/>
          <w:spacing w:val="0"/>
          <w:szCs w:val="32"/>
        </w:rPr>
        <w:t>）打造</w:t>
      </w:r>
      <w:r>
        <w:rPr>
          <w:rFonts w:hint="default" w:ascii="Times New Roman" w:hAnsi="Times New Roman" w:eastAsia="仿宋_GB2312" w:cs="Times New Roman"/>
          <w:color w:val="auto"/>
          <w:spacing w:val="0"/>
          <w:szCs w:val="32"/>
          <w:highlight w:val="none"/>
        </w:rPr>
        <w:t>为</w:t>
      </w:r>
      <w:r>
        <w:rPr>
          <w:rFonts w:hint="default" w:ascii="Times New Roman" w:hAnsi="Times New Roman" w:eastAsia="仿宋_GB2312" w:cs="Times New Roman"/>
          <w:color w:val="auto"/>
          <w:spacing w:val="0"/>
          <w:szCs w:val="32"/>
        </w:rPr>
        <w:t>区域性（面向南亚东南亚）国际绿色产业新领军城市。</w:t>
      </w:r>
    </w:p>
    <w:p w14:paraId="2818FFB6">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b/>
          <w:bCs/>
          <w:color w:val="auto"/>
          <w:spacing w:val="0"/>
          <w:szCs w:val="32"/>
        </w:rPr>
        <w:t>立足</w:t>
      </w:r>
      <w:r>
        <w:rPr>
          <w:rFonts w:hint="default" w:ascii="Times New Roman" w:hAnsi="Times New Roman" w:eastAsia="仿宋_GB2312" w:cs="Times New Roman"/>
          <w:color w:val="auto"/>
          <w:spacing w:val="0"/>
          <w:szCs w:val="22"/>
        </w:rPr>
        <w:t>2</w:t>
      </w:r>
      <w:r>
        <w:rPr>
          <w:rFonts w:hint="default" w:ascii="Times New Roman" w:hAnsi="Times New Roman" w:eastAsia="仿宋_GB2312" w:cs="Times New Roman"/>
          <w:b/>
          <w:bCs/>
          <w:color w:val="auto"/>
          <w:spacing w:val="0"/>
          <w:szCs w:val="32"/>
        </w:rPr>
        <w:t>个根本。富民。</w:t>
      </w:r>
      <w:r>
        <w:rPr>
          <w:rFonts w:hint="eastAsia" w:ascii="仿宋_GB2312" w:hAnsi="仿宋_GB2312" w:eastAsia="仿宋_GB2312" w:cs="仿宋_GB2312"/>
          <w:color w:val="auto"/>
          <w:spacing w:val="0"/>
          <w:szCs w:val="32"/>
        </w:rPr>
        <w:t>坚持以人民为中心的发展思想，把增进人民福祉、促进人的全面发展作为发展的出发点和落脚点，发展富民产业，提高人民收入水平，让全体人民走向共同富裕之路。</w:t>
      </w:r>
      <w:r>
        <w:rPr>
          <w:rFonts w:hint="eastAsia" w:ascii="仿宋_GB2312" w:hAnsi="仿宋_GB2312" w:eastAsia="仿宋_GB2312" w:cs="仿宋_GB2312"/>
          <w:b/>
          <w:bCs/>
          <w:color w:val="auto"/>
          <w:spacing w:val="0"/>
          <w:szCs w:val="32"/>
        </w:rPr>
        <w:t>强县。</w:t>
      </w:r>
      <w:r>
        <w:rPr>
          <w:rFonts w:hint="default" w:ascii="Times New Roman" w:hAnsi="Times New Roman" w:eastAsia="仿宋_GB2312" w:cs="Times New Roman"/>
          <w:color w:val="auto"/>
          <w:spacing w:val="0"/>
          <w:szCs w:val="32"/>
        </w:rPr>
        <w:t>全面提升经济发展的质量与效率，进一步激发市场活力、增强内生动力、释放内需潜力、扩大有效投资，激发整个社会的创造力及经济活力，高质量地建成社会主义现代化强县。</w:t>
      </w:r>
    </w:p>
    <w:p w14:paraId="204BF8D2">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rPr>
      </w:pPr>
      <w:r>
        <w:rPr>
          <w:rFonts w:hint="eastAsia" w:ascii="仿宋_GB2312" w:hAnsi="仿宋_GB2312" w:eastAsia="仿宋_GB2312" w:cs="仿宋_GB2312"/>
          <w:b/>
          <w:bCs/>
          <w:color w:val="auto"/>
          <w:spacing w:val="0"/>
          <w:szCs w:val="32"/>
        </w:rPr>
        <w:t>紧扣</w:t>
      </w:r>
      <w:r>
        <w:rPr>
          <w:rFonts w:hint="eastAsia" w:ascii="仿宋_GB2312" w:hAnsi="仿宋_GB2312" w:eastAsia="仿宋_GB2312" w:cs="仿宋_GB2312"/>
          <w:color w:val="auto"/>
          <w:spacing w:val="0"/>
          <w:szCs w:val="22"/>
        </w:rPr>
        <w:t>3</w:t>
      </w:r>
      <w:r>
        <w:rPr>
          <w:rFonts w:hint="eastAsia" w:ascii="仿宋_GB2312" w:hAnsi="仿宋_GB2312" w:eastAsia="仿宋_GB2312" w:cs="仿宋_GB2312"/>
          <w:b/>
          <w:bCs/>
          <w:color w:val="auto"/>
          <w:spacing w:val="0"/>
          <w:szCs w:val="32"/>
        </w:rPr>
        <w:t>个发展定位。</w:t>
      </w:r>
      <w:r>
        <w:rPr>
          <w:rFonts w:hint="eastAsia" w:ascii="仿宋_GB2312" w:hAnsi="仿宋_GB2312" w:eastAsia="仿宋_GB2312" w:cs="仿宋_GB2312"/>
          <w:b/>
          <w:bCs/>
          <w:color w:val="auto"/>
          <w:spacing w:val="0"/>
          <w:szCs w:val="32"/>
          <w:lang w:val="en-US" w:eastAsia="zh-CN"/>
        </w:rPr>
        <w:t>云南</w:t>
      </w:r>
      <w:r>
        <w:rPr>
          <w:rFonts w:hint="eastAsia" w:ascii="仿宋_GB2312" w:hAnsi="仿宋_GB2312" w:eastAsia="仿宋_GB2312" w:cs="仿宋_GB2312"/>
          <w:b/>
          <w:bCs/>
          <w:color w:val="auto"/>
          <w:spacing w:val="0"/>
          <w:szCs w:val="32"/>
        </w:rPr>
        <w:t>绿色矿冶集聚区。</w:t>
      </w:r>
      <w:r>
        <w:rPr>
          <w:rFonts w:hint="default" w:ascii="Times New Roman" w:hAnsi="Times New Roman" w:eastAsia="仿宋_GB2312" w:cs="Times New Roman"/>
          <w:color w:val="auto"/>
          <w:spacing w:val="0"/>
          <w:szCs w:val="32"/>
        </w:rPr>
        <w:t>立足新平丰富的矿产资源优势及矿冶产业发展基础，抓住玉溪市</w:t>
      </w:r>
      <w:r>
        <w:rPr>
          <w:rFonts w:hint="default" w:ascii="Times New Roman" w:hAnsi="Times New Roman" w:eastAsia="仿宋_GB2312" w:cs="Times New Roman"/>
          <w:color w:val="auto"/>
          <w:spacing w:val="0"/>
          <w:szCs w:val="32"/>
          <w:lang w:val="en-US" w:eastAsia="zh-CN"/>
        </w:rPr>
        <w:t>全产业链塑造绿色钢铁新优势</w:t>
      </w:r>
      <w:r>
        <w:rPr>
          <w:rFonts w:hint="default" w:ascii="Times New Roman" w:hAnsi="Times New Roman" w:eastAsia="仿宋_GB2312" w:cs="Times New Roman"/>
          <w:color w:val="auto"/>
          <w:spacing w:val="0"/>
          <w:szCs w:val="32"/>
        </w:rPr>
        <w:t>契机</w:t>
      </w:r>
      <w:r>
        <w:rPr>
          <w:rFonts w:hint="default" w:ascii="Times New Roman" w:hAnsi="Times New Roman" w:eastAsia="仿宋_GB2312" w:cs="Times New Roman"/>
          <w:color w:val="auto"/>
          <w:spacing w:val="0"/>
          <w:szCs w:val="32"/>
          <w:lang w:val="en-US" w:eastAsia="zh-CN"/>
        </w:rPr>
        <w:t>，以云南绿色钢城为引领打造优势矿冶产业集群</w:t>
      </w:r>
      <w:r>
        <w:rPr>
          <w:rFonts w:hint="default" w:ascii="Times New Roman" w:hAnsi="Times New Roman" w:eastAsia="仿宋_GB2312" w:cs="Times New Roman"/>
          <w:color w:val="auto"/>
          <w:spacing w:val="0"/>
          <w:szCs w:val="32"/>
        </w:rPr>
        <w:t>，加强原料资源保障能力，积极协调大红山两大国有铜、铁矿采选企业加大向仙福公司和红山球团公司等矿冶企业供给铁精矿产品力度。积极引导和支持仙福公司开发生产型钢、复合板材、管材、不锈钢及高性能合金钢等新产品，不断延伸产业链，提高产品附加值。推进企业</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两化</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深度融合，加快实施重大技改项目，力争规模以上矿冶企业实现生产经营管理全过程</w:t>
      </w:r>
      <w:r>
        <w:rPr>
          <w:rFonts w:hint="default" w:ascii="Times New Roman" w:hAnsi="Times New Roman" w:eastAsia="仿宋_GB2312" w:cs="Times New Roman"/>
          <w:color w:val="auto"/>
          <w:spacing w:val="0"/>
          <w:szCs w:val="32"/>
          <w:lang w:val="en-US" w:eastAsia="zh-CN"/>
        </w:rPr>
        <w:t>的</w:t>
      </w:r>
      <w:r>
        <w:rPr>
          <w:rFonts w:hint="default" w:ascii="Times New Roman" w:hAnsi="Times New Roman" w:eastAsia="仿宋_GB2312" w:cs="Times New Roman"/>
          <w:color w:val="auto"/>
          <w:spacing w:val="0"/>
          <w:szCs w:val="32"/>
        </w:rPr>
        <w:t>信息化</w:t>
      </w:r>
      <w:r>
        <w:rPr>
          <w:rFonts w:hint="default" w:ascii="Times New Roman" w:hAnsi="Times New Roman"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现代化，推动矿冶产业向现代化、绿色化迈进，</w:t>
      </w:r>
      <w:r>
        <w:rPr>
          <w:rFonts w:hint="default" w:ascii="Times New Roman" w:hAnsi="Times New Roman" w:eastAsia="仿宋_GB2312" w:cs="Times New Roman"/>
          <w:color w:val="auto"/>
          <w:spacing w:val="0"/>
          <w:szCs w:val="32"/>
          <w:highlight w:val="none"/>
        </w:rPr>
        <w:t>率先把新平打造为全省绿色矿冶集聚区</w:t>
      </w:r>
      <w:r>
        <w:rPr>
          <w:rFonts w:hint="default" w:ascii="Times New Roman" w:hAnsi="Times New Roman" w:eastAsia="仿宋_GB2312" w:cs="Times New Roman"/>
          <w:color w:val="auto"/>
          <w:spacing w:val="0"/>
          <w:szCs w:val="32"/>
        </w:rPr>
        <w:t>。</w:t>
      </w:r>
      <w:r>
        <w:rPr>
          <w:rFonts w:hint="eastAsia" w:ascii="仿宋_GB2312" w:hAnsi="仿宋_GB2312" w:eastAsia="仿宋_GB2312" w:cs="仿宋_GB2312"/>
          <w:b/>
          <w:bCs/>
          <w:color w:val="auto"/>
          <w:spacing w:val="0"/>
          <w:szCs w:val="32"/>
          <w:lang w:val="en-US" w:eastAsia="zh-CN"/>
        </w:rPr>
        <w:t>云南</w:t>
      </w:r>
      <w:r>
        <w:rPr>
          <w:rFonts w:hint="eastAsia" w:ascii="仿宋_GB2312" w:hAnsi="仿宋_GB2312" w:eastAsia="仿宋_GB2312" w:cs="仿宋_GB2312"/>
          <w:b/>
          <w:bCs/>
          <w:color w:val="auto"/>
          <w:spacing w:val="0"/>
          <w:szCs w:val="32"/>
        </w:rPr>
        <w:t>高原特色</w:t>
      </w:r>
      <w:r>
        <w:rPr>
          <w:rFonts w:hint="eastAsia" w:ascii="仿宋_GB2312" w:hAnsi="仿宋_GB2312" w:eastAsia="仿宋_GB2312" w:cs="仿宋_GB2312"/>
          <w:b/>
          <w:bCs/>
          <w:color w:val="auto"/>
          <w:spacing w:val="0"/>
          <w:szCs w:val="32"/>
          <w:lang w:val="en-US" w:eastAsia="zh-CN"/>
        </w:rPr>
        <w:t>现代</w:t>
      </w:r>
      <w:r>
        <w:rPr>
          <w:rFonts w:hint="eastAsia" w:ascii="仿宋_GB2312" w:hAnsi="仿宋_GB2312" w:eastAsia="仿宋_GB2312" w:cs="仿宋_GB2312"/>
          <w:b/>
          <w:bCs/>
          <w:color w:val="auto"/>
          <w:spacing w:val="0"/>
          <w:szCs w:val="32"/>
        </w:rPr>
        <w:t>农业示范区。</w:t>
      </w:r>
      <w:r>
        <w:rPr>
          <w:rFonts w:hint="default" w:ascii="Times New Roman" w:hAnsi="Times New Roman" w:eastAsia="仿宋_GB2312" w:cs="Times New Roman"/>
          <w:color w:val="auto"/>
          <w:spacing w:val="0"/>
          <w:szCs w:val="32"/>
        </w:rPr>
        <w:t>立足新平高原特色农业发展基础及优越的气候条件，以</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绿色食品牌</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lang w:val="en-US" w:eastAsia="zh-CN"/>
        </w:rPr>
        <w:t>打造</w:t>
      </w:r>
      <w:r>
        <w:rPr>
          <w:rFonts w:hint="default" w:ascii="Times New Roman" w:hAnsi="Times New Roman" w:eastAsia="仿宋_GB2312" w:cs="Times New Roman"/>
          <w:color w:val="auto"/>
          <w:spacing w:val="0"/>
          <w:szCs w:val="32"/>
        </w:rPr>
        <w:t>为抓手，以农业增效、农民增收为中心任务，深入实施乡村振兴战略，加快红河谷—绿汁江热区产业经济带建设，打造高产、优质、高效、生态、安全的高原特色农产品主产区和现代农业品牌。</w:t>
      </w:r>
      <w:r>
        <w:rPr>
          <w:rFonts w:hint="default" w:ascii="Times New Roman" w:hAnsi="Times New Roman" w:eastAsia="仿宋_GB2312" w:cs="Times New Roman"/>
          <w:color w:val="auto"/>
          <w:spacing w:val="0"/>
          <w:szCs w:val="32"/>
          <w:lang w:val="en-US" w:eastAsia="zh-CN"/>
        </w:rPr>
        <w:t>开展农业</w:t>
      </w:r>
      <w:r>
        <w:rPr>
          <w:rFonts w:hint="eastAsia" w:eastAsia="仿宋_GB2312" w:cs="Times New Roman"/>
          <w:color w:val="auto"/>
          <w:spacing w:val="0"/>
          <w:szCs w:val="32"/>
          <w:lang w:val="en-US" w:eastAsia="zh-CN"/>
        </w:rPr>
        <w:t>“</w:t>
      </w:r>
      <w:r>
        <w:rPr>
          <w:rFonts w:hint="default" w:ascii="Times New Roman" w:hAnsi="Times New Roman" w:eastAsia="仿宋_GB2312" w:cs="Times New Roman"/>
          <w:color w:val="auto"/>
          <w:spacing w:val="0"/>
          <w:szCs w:val="32"/>
          <w:lang w:val="en-US" w:eastAsia="zh-CN"/>
        </w:rPr>
        <w:t>一二三</w:t>
      </w:r>
      <w:r>
        <w:rPr>
          <w:rFonts w:hint="eastAsia" w:eastAsia="仿宋_GB2312" w:cs="Times New Roman"/>
          <w:color w:val="auto"/>
          <w:spacing w:val="0"/>
          <w:szCs w:val="32"/>
          <w:lang w:val="en-US" w:eastAsia="zh-CN"/>
        </w:rPr>
        <w:t>”</w:t>
      </w:r>
      <w:r>
        <w:rPr>
          <w:rFonts w:hint="default" w:ascii="Times New Roman" w:hAnsi="Times New Roman" w:eastAsia="仿宋_GB2312" w:cs="Times New Roman"/>
          <w:color w:val="auto"/>
          <w:spacing w:val="0"/>
          <w:szCs w:val="32"/>
          <w:lang w:val="en-US" w:eastAsia="zh-CN"/>
        </w:rPr>
        <w:t>行动，</w:t>
      </w:r>
      <w:r>
        <w:rPr>
          <w:rFonts w:hint="default" w:ascii="Times New Roman" w:hAnsi="Times New Roman" w:eastAsia="仿宋_GB2312" w:cs="Times New Roman"/>
          <w:color w:val="auto"/>
          <w:spacing w:val="0"/>
          <w:szCs w:val="32"/>
        </w:rPr>
        <w:t>在保障粮食安全生产的基础上，发展壮大优势特色产业，强化科技推广运用，着力补齐</w:t>
      </w:r>
      <w:r>
        <w:rPr>
          <w:rFonts w:hint="default" w:ascii="Times New Roman" w:hAnsi="Times New Roman" w:eastAsia="仿宋_GB2312" w:cs="Times New Roman"/>
          <w:color w:val="auto"/>
          <w:spacing w:val="0"/>
          <w:szCs w:val="32"/>
          <w:lang w:val="en-US" w:eastAsia="zh-CN"/>
        </w:rPr>
        <w:t>农业</w:t>
      </w:r>
      <w:r>
        <w:rPr>
          <w:rFonts w:hint="default" w:ascii="Times New Roman" w:hAnsi="Times New Roman" w:eastAsia="仿宋_GB2312" w:cs="Times New Roman"/>
          <w:color w:val="auto"/>
          <w:spacing w:val="0"/>
          <w:szCs w:val="32"/>
        </w:rPr>
        <w:t>基础短板，构建完善农业</w:t>
      </w:r>
      <w:r>
        <w:rPr>
          <w:rFonts w:hint="default" w:ascii="Times New Roman" w:hAnsi="Times New Roman" w:eastAsia="仿宋_GB2312" w:cs="Times New Roman"/>
          <w:color w:val="auto"/>
          <w:spacing w:val="0"/>
          <w:szCs w:val="32"/>
          <w:lang w:val="en-US" w:eastAsia="zh-CN"/>
        </w:rPr>
        <w:t>经营</w:t>
      </w:r>
      <w:r>
        <w:rPr>
          <w:rFonts w:hint="default" w:ascii="Times New Roman" w:hAnsi="Times New Roman" w:eastAsia="仿宋_GB2312" w:cs="Times New Roman"/>
          <w:color w:val="auto"/>
          <w:spacing w:val="0"/>
          <w:szCs w:val="32"/>
        </w:rPr>
        <w:t>体系，实现一产</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接二连三</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，不断提高现代农业综合效益、竞争力和影响力，率先把新平打造为云南高原特色农业示范区。</w:t>
      </w:r>
      <w:r>
        <w:rPr>
          <w:rFonts w:hint="eastAsia" w:ascii="仿宋_GB2312" w:hAnsi="仿宋_GB2312" w:eastAsia="仿宋_GB2312" w:cs="仿宋_GB2312"/>
          <w:b/>
          <w:bCs/>
          <w:color w:val="auto"/>
          <w:spacing w:val="0"/>
          <w:szCs w:val="32"/>
        </w:rPr>
        <w:t>中国花腰傣</w:t>
      </w:r>
      <w:r>
        <w:rPr>
          <w:rFonts w:hint="eastAsia" w:ascii="仿宋_GB2312" w:hAnsi="仿宋_GB2312" w:eastAsia="仿宋_GB2312" w:cs="仿宋_GB2312"/>
          <w:b/>
          <w:bCs/>
          <w:color w:val="auto"/>
          <w:spacing w:val="0"/>
          <w:szCs w:val="32"/>
          <w:lang w:eastAsia="zh-CN"/>
        </w:rPr>
        <w:t>文化</w:t>
      </w:r>
      <w:r>
        <w:rPr>
          <w:rFonts w:hint="eastAsia" w:ascii="仿宋_GB2312" w:hAnsi="仿宋_GB2312" w:eastAsia="仿宋_GB2312" w:cs="仿宋_GB2312"/>
          <w:b/>
          <w:bCs/>
          <w:color w:val="auto"/>
          <w:spacing w:val="0"/>
          <w:szCs w:val="32"/>
        </w:rPr>
        <w:t>旅游目的地。</w:t>
      </w:r>
      <w:r>
        <w:rPr>
          <w:rFonts w:hint="default" w:ascii="Times New Roman" w:hAnsi="Times New Roman" w:eastAsia="仿宋_GB2312" w:cs="Times New Roman"/>
          <w:color w:val="auto"/>
          <w:spacing w:val="0"/>
          <w:szCs w:val="32"/>
        </w:rPr>
        <w:t>主打中国</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花腰傣之乡</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品牌，立足哀牢山、磨盘山、红河谷、戛洒花腰傣风情小镇、</w:t>
      </w:r>
      <w:r>
        <w:rPr>
          <w:rFonts w:hint="default" w:ascii="Times New Roman" w:hAnsi="Times New Roman" w:eastAsia="仿宋_GB2312" w:cs="Times New Roman"/>
          <w:color w:val="auto"/>
          <w:spacing w:val="0"/>
          <w:szCs w:val="32"/>
          <w:lang w:val="en-US" w:eastAsia="zh-CN"/>
        </w:rPr>
        <w:t>特色</w:t>
      </w:r>
      <w:r>
        <w:rPr>
          <w:rFonts w:hint="default" w:ascii="Times New Roman" w:hAnsi="Times New Roman" w:eastAsia="仿宋_GB2312" w:cs="Times New Roman"/>
          <w:color w:val="auto"/>
          <w:spacing w:val="0"/>
          <w:szCs w:val="32"/>
        </w:rPr>
        <w:t>农产品等资源，以打</w:t>
      </w:r>
      <w:r>
        <w:rPr>
          <w:rFonts w:hint="default" w:ascii="Times New Roman" w:hAnsi="Times New Roman" w:eastAsia="仿宋_GB2312" w:cs="Times New Roman"/>
          <w:color w:val="auto"/>
          <w:spacing w:val="0"/>
          <w:szCs w:val="32"/>
          <w:lang w:val="en-US" w:eastAsia="zh-CN"/>
        </w:rPr>
        <w:t>造</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健康生活目的地牌</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为抓手，</w:t>
      </w:r>
      <w:r>
        <w:rPr>
          <w:rFonts w:hint="default" w:ascii="Times New Roman" w:hAnsi="Times New Roman" w:eastAsia="仿宋_GB2312" w:cs="Times New Roman"/>
          <w:color w:val="auto"/>
          <w:spacing w:val="0"/>
          <w:szCs w:val="32"/>
          <w:lang w:val="en-US" w:eastAsia="zh-CN"/>
        </w:rPr>
        <w:t>积极融入滇中核心旅游圈，</w:t>
      </w:r>
      <w:r>
        <w:rPr>
          <w:rFonts w:hint="default" w:ascii="Times New Roman" w:hAnsi="Times New Roman" w:eastAsia="仿宋_GB2312" w:cs="Times New Roman"/>
          <w:color w:val="auto"/>
          <w:spacing w:val="0"/>
          <w:szCs w:val="32"/>
        </w:rPr>
        <w:t>着力推进服务业专业化，强化龙头带动，加强花腰傣等文化</w:t>
      </w:r>
      <w:r>
        <w:rPr>
          <w:rFonts w:hint="default" w:ascii="Times New Roman" w:hAnsi="Times New Roman" w:eastAsia="仿宋_GB2312" w:cs="Times New Roman"/>
          <w:color w:val="auto"/>
          <w:spacing w:val="0"/>
          <w:szCs w:val="32"/>
          <w:lang w:bidi="ar"/>
        </w:rPr>
        <w:t>资源进行合理开发利用，</w:t>
      </w:r>
      <w:r>
        <w:rPr>
          <w:rFonts w:hint="default" w:ascii="Times New Roman" w:hAnsi="Times New Roman" w:eastAsia="仿宋_GB2312" w:cs="Times New Roman"/>
          <w:color w:val="auto"/>
          <w:spacing w:val="0"/>
          <w:szCs w:val="32"/>
        </w:rPr>
        <w:t>加快乡村精品旅游、康体养生、现代物流、电子商务、数字经济等服务业融合发展，擦亮</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花腰傣之乡</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中国天然氧吧</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等名片，努力把新平</w:t>
      </w:r>
      <w:r>
        <w:rPr>
          <w:rFonts w:hint="default" w:ascii="Times New Roman" w:hAnsi="Times New Roman" w:eastAsia="仿宋_GB2312" w:cs="Times New Roman"/>
          <w:color w:val="auto"/>
          <w:spacing w:val="0"/>
          <w:szCs w:val="32"/>
          <w:lang w:val="en-US" w:eastAsia="zh-CN"/>
        </w:rPr>
        <w:t>打造为</w:t>
      </w:r>
      <w:r>
        <w:rPr>
          <w:rFonts w:hint="default" w:ascii="Times New Roman" w:hAnsi="Times New Roman" w:eastAsia="仿宋_GB2312" w:cs="Times New Roman"/>
          <w:color w:val="auto"/>
          <w:spacing w:val="0"/>
          <w:szCs w:val="32"/>
        </w:rPr>
        <w:t>中国花腰傣</w:t>
      </w:r>
      <w:r>
        <w:rPr>
          <w:rFonts w:hint="default" w:ascii="Times New Roman" w:hAnsi="Times New Roman" w:eastAsia="仿宋_GB2312" w:cs="Times New Roman"/>
          <w:color w:val="auto"/>
          <w:spacing w:val="0"/>
          <w:szCs w:val="32"/>
          <w:lang w:eastAsia="zh-CN"/>
        </w:rPr>
        <w:t>文化</w:t>
      </w:r>
      <w:r>
        <w:rPr>
          <w:rFonts w:hint="default" w:ascii="Times New Roman" w:hAnsi="Times New Roman" w:eastAsia="仿宋_GB2312" w:cs="Times New Roman"/>
          <w:color w:val="auto"/>
          <w:spacing w:val="0"/>
          <w:szCs w:val="32"/>
        </w:rPr>
        <w:t>旅游目的地。</w:t>
      </w:r>
    </w:p>
    <w:p w14:paraId="423B19E3">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方正仿宋_GBK" w:cs="Times New Roman"/>
          <w:color w:val="auto"/>
          <w:spacing w:val="0"/>
          <w:szCs w:val="32"/>
        </w:rPr>
      </w:pPr>
      <w:r>
        <w:rPr>
          <w:rFonts w:hint="eastAsia" w:ascii="仿宋_GB2312" w:hAnsi="仿宋_GB2312" w:eastAsia="仿宋_GB2312" w:cs="仿宋_GB2312"/>
          <w:b/>
          <w:bCs/>
          <w:color w:val="auto"/>
          <w:spacing w:val="0"/>
          <w:szCs w:val="32"/>
        </w:rPr>
        <w:t>坚定</w:t>
      </w:r>
      <w:r>
        <w:rPr>
          <w:rFonts w:hint="eastAsia" w:ascii="仿宋_GB2312" w:hAnsi="仿宋_GB2312" w:eastAsia="仿宋_GB2312" w:cs="仿宋_GB2312"/>
          <w:color w:val="auto"/>
          <w:spacing w:val="0"/>
          <w:szCs w:val="22"/>
        </w:rPr>
        <w:t>4</w:t>
      </w:r>
      <w:r>
        <w:rPr>
          <w:rFonts w:hint="eastAsia" w:ascii="仿宋_GB2312" w:hAnsi="仿宋_GB2312" w:eastAsia="仿宋_GB2312" w:cs="仿宋_GB2312"/>
          <w:b/>
          <w:bCs/>
          <w:color w:val="auto"/>
          <w:spacing w:val="0"/>
          <w:szCs w:val="32"/>
        </w:rPr>
        <w:t>化方向。工业集群化。</w:t>
      </w:r>
      <w:r>
        <w:rPr>
          <w:rFonts w:hint="default" w:ascii="Times New Roman" w:hAnsi="Times New Roman" w:eastAsia="仿宋_GB2312" w:cs="Times New Roman"/>
          <w:color w:val="auto"/>
          <w:spacing w:val="0"/>
          <w:szCs w:val="32"/>
        </w:rPr>
        <w:t>以重点企业为支撑、产业链延伸为重点，突出特色优势，外引内联并重，优化产业布局，聚力</w:t>
      </w:r>
      <w:r>
        <w:rPr>
          <w:rFonts w:hint="default" w:ascii="Times New Roman" w:hAnsi="Times New Roman" w:eastAsia="仿宋_GB2312" w:cs="Times New Roman"/>
          <w:color w:val="auto"/>
          <w:spacing w:val="0"/>
          <w:szCs w:val="32"/>
          <w:lang w:eastAsia="zh-CN"/>
        </w:rPr>
        <w:t>产</w:t>
      </w:r>
      <w:r>
        <w:rPr>
          <w:rFonts w:hint="default" w:ascii="Times New Roman" w:hAnsi="Times New Roman" w:eastAsia="仿宋_GB2312" w:cs="Times New Roman"/>
          <w:color w:val="auto"/>
          <w:spacing w:val="0"/>
          <w:szCs w:val="32"/>
        </w:rPr>
        <w:t>业园区建设，提升工业聚集度，决战决胜工业经济。</w:t>
      </w:r>
      <w:r>
        <w:rPr>
          <w:rFonts w:hint="eastAsia" w:ascii="仿宋_GB2312" w:hAnsi="仿宋_GB2312" w:eastAsia="仿宋_GB2312" w:cs="仿宋_GB2312"/>
          <w:b/>
          <w:bCs/>
          <w:color w:val="auto"/>
          <w:spacing w:val="0"/>
          <w:szCs w:val="32"/>
        </w:rPr>
        <w:t>农业现代化。</w:t>
      </w:r>
      <w:r>
        <w:rPr>
          <w:rFonts w:hint="default" w:ascii="Times New Roman" w:hAnsi="Times New Roman" w:eastAsia="仿宋_GB2312" w:cs="Times New Roman"/>
          <w:color w:val="auto"/>
          <w:spacing w:val="0"/>
          <w:szCs w:val="32"/>
        </w:rPr>
        <w:t>以农业供给侧结构性改革为主线，以产业兴旺为目标，不断调整优化产业结构，强化科技推广运用，着力补齐基础短板，加快红河谷—绿汁江热区产业经济带建设，着力构建高产、优质、低耗的绿色农业生产体系，着力提高现代农业综合效益和竞争力。</w:t>
      </w:r>
      <w:r>
        <w:rPr>
          <w:rFonts w:hint="eastAsia" w:ascii="仿宋_GB2312" w:hAnsi="仿宋_GB2312" w:eastAsia="仿宋_GB2312" w:cs="仿宋_GB2312"/>
          <w:b/>
          <w:bCs/>
          <w:color w:val="auto"/>
          <w:spacing w:val="0"/>
          <w:szCs w:val="32"/>
        </w:rPr>
        <w:t>服务业专业化。</w:t>
      </w:r>
      <w:r>
        <w:rPr>
          <w:rFonts w:hint="default" w:ascii="Times New Roman" w:hAnsi="Times New Roman" w:eastAsia="仿宋_GB2312" w:cs="Times New Roman"/>
          <w:color w:val="auto"/>
          <w:spacing w:val="0"/>
          <w:szCs w:val="32"/>
        </w:rPr>
        <w:t>以提质增效为核心，以扩大总量和优化结构为主攻方向，强化龙头带动，积极构筑</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大旅游、大商贸、大物流、大市场</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格局，制定服务业倍增计划，着力推进服务业专业化。</w:t>
      </w:r>
      <w:r>
        <w:rPr>
          <w:rFonts w:hint="eastAsia" w:ascii="仿宋_GB2312" w:hAnsi="仿宋_GB2312" w:eastAsia="仿宋_GB2312" w:cs="仿宋_GB2312"/>
          <w:b/>
          <w:bCs/>
          <w:color w:val="auto"/>
          <w:spacing w:val="0"/>
          <w:szCs w:val="32"/>
        </w:rPr>
        <w:t>城镇特色化。</w:t>
      </w:r>
      <w:r>
        <w:rPr>
          <w:rFonts w:hint="default" w:ascii="Times New Roman" w:hAnsi="Times New Roman" w:eastAsia="仿宋_GB2312" w:cs="Times New Roman"/>
          <w:b w:val="0"/>
          <w:bCs w:val="0"/>
          <w:color w:val="auto"/>
          <w:spacing w:val="0"/>
          <w:szCs w:val="32"/>
          <w:lang w:val="en-US" w:eastAsia="zh-CN"/>
        </w:rPr>
        <w:t>高水平</w:t>
      </w:r>
      <w:r>
        <w:rPr>
          <w:rFonts w:hint="default" w:ascii="Times New Roman" w:hAnsi="Times New Roman" w:eastAsia="仿宋_GB2312" w:cs="Times New Roman"/>
          <w:color w:val="auto"/>
          <w:spacing w:val="0"/>
          <w:szCs w:val="32"/>
        </w:rPr>
        <w:t>建设</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美丽县城</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特色小镇</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，按照生产空间集约高效、生活空间宜居适度、生态空间山清水秀的要求，统筹规划，高品质、高水平、大气魄有序推进城镇建设，把新平真正建成突显民族特色的美丽宜居公园城市。</w:t>
      </w:r>
    </w:p>
    <w:p w14:paraId="1B6929C9">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b/>
          <w:bCs/>
          <w:color w:val="auto"/>
          <w:spacing w:val="0"/>
          <w:szCs w:val="32"/>
        </w:rPr>
        <w:t>建设</w:t>
      </w:r>
      <w:r>
        <w:rPr>
          <w:rFonts w:hint="eastAsia" w:eastAsia="仿宋_GB2312" w:cs="Times New Roman"/>
          <w:b/>
          <w:bCs/>
          <w:color w:val="auto"/>
          <w:spacing w:val="0"/>
          <w:szCs w:val="32"/>
          <w:lang w:eastAsia="zh-CN"/>
        </w:rPr>
        <w:t>“</w:t>
      </w:r>
      <w:r>
        <w:rPr>
          <w:rFonts w:hint="default" w:ascii="Times New Roman" w:hAnsi="Times New Roman" w:eastAsia="仿宋_GB2312" w:cs="Times New Roman"/>
          <w:color w:val="auto"/>
          <w:spacing w:val="0"/>
          <w:szCs w:val="22"/>
        </w:rPr>
        <w:t>5</w:t>
      </w:r>
      <w:r>
        <w:rPr>
          <w:rFonts w:hint="default" w:ascii="Times New Roman" w:hAnsi="Times New Roman" w:eastAsia="仿宋_GB2312" w:cs="Times New Roman"/>
          <w:b/>
          <w:bCs/>
          <w:color w:val="auto"/>
          <w:spacing w:val="0"/>
          <w:szCs w:val="32"/>
        </w:rPr>
        <w:t>个新平</w:t>
      </w:r>
      <w:r>
        <w:rPr>
          <w:rFonts w:hint="eastAsia" w:eastAsia="仿宋_GB2312" w:cs="Times New Roman"/>
          <w:b/>
          <w:bCs/>
          <w:color w:val="auto"/>
          <w:spacing w:val="0"/>
          <w:szCs w:val="32"/>
          <w:lang w:eastAsia="zh-CN"/>
        </w:rPr>
        <w:t>”</w:t>
      </w:r>
      <w:r>
        <w:rPr>
          <w:rFonts w:hint="default" w:ascii="Times New Roman" w:hAnsi="Times New Roman" w:eastAsia="仿宋_GB2312" w:cs="Times New Roman"/>
          <w:b/>
          <w:bCs/>
          <w:color w:val="auto"/>
          <w:spacing w:val="0"/>
          <w:szCs w:val="32"/>
        </w:rPr>
        <w:t>。富强新平。</w:t>
      </w:r>
      <w:r>
        <w:rPr>
          <w:rFonts w:hint="default" w:ascii="Times New Roman" w:hAnsi="Times New Roman" w:eastAsia="仿宋_GB2312" w:cs="Times New Roman"/>
          <w:color w:val="auto"/>
          <w:spacing w:val="0"/>
          <w:szCs w:val="32"/>
        </w:rPr>
        <w:t>聚力</w:t>
      </w:r>
      <w:r>
        <w:rPr>
          <w:rFonts w:hint="default" w:ascii="Times New Roman" w:hAnsi="Times New Roman" w:eastAsia="仿宋_GB2312" w:cs="Times New Roman"/>
          <w:color w:val="auto"/>
          <w:spacing w:val="0"/>
          <w:szCs w:val="32"/>
          <w:lang w:eastAsia="zh-CN"/>
        </w:rPr>
        <w:t>产</w:t>
      </w:r>
      <w:r>
        <w:rPr>
          <w:rFonts w:hint="default" w:ascii="Times New Roman" w:hAnsi="Times New Roman" w:eastAsia="仿宋_GB2312" w:cs="Times New Roman"/>
          <w:color w:val="auto"/>
          <w:spacing w:val="0"/>
          <w:szCs w:val="32"/>
        </w:rPr>
        <w:t>业园区、重大工程建设，一产抓特色、二产抓突破、三产抓升级，加快培育数字经济、新能源等新兴产业，打造</w:t>
      </w:r>
      <w:r>
        <w:rPr>
          <w:rFonts w:hint="default" w:ascii="Times New Roman" w:hAnsi="Times New Roman" w:eastAsia="仿宋_GB2312" w:cs="Times New Roman"/>
          <w:color w:val="auto"/>
          <w:spacing w:val="0"/>
          <w:szCs w:val="32"/>
          <w:lang w:val="en-US" w:eastAsia="zh-CN"/>
        </w:rPr>
        <w:t>云南</w:t>
      </w:r>
      <w:r>
        <w:rPr>
          <w:rFonts w:hint="default" w:ascii="Times New Roman" w:hAnsi="Times New Roman" w:eastAsia="仿宋_GB2312" w:cs="Times New Roman"/>
          <w:color w:val="auto"/>
          <w:spacing w:val="0"/>
          <w:szCs w:val="32"/>
        </w:rPr>
        <w:t>绿色矿冶集聚区、</w:t>
      </w:r>
      <w:r>
        <w:rPr>
          <w:rFonts w:hint="default" w:ascii="Times New Roman" w:hAnsi="Times New Roman" w:eastAsia="仿宋_GB2312" w:cs="Times New Roman"/>
          <w:color w:val="auto"/>
          <w:spacing w:val="0"/>
          <w:szCs w:val="32"/>
          <w:lang w:val="en-US" w:eastAsia="zh-CN"/>
        </w:rPr>
        <w:t>云南</w:t>
      </w:r>
      <w:r>
        <w:rPr>
          <w:rFonts w:hint="default" w:ascii="Times New Roman" w:hAnsi="Times New Roman" w:eastAsia="仿宋_GB2312" w:cs="Times New Roman"/>
          <w:color w:val="auto"/>
          <w:spacing w:val="0"/>
          <w:szCs w:val="32"/>
        </w:rPr>
        <w:t>高原特色</w:t>
      </w:r>
      <w:r>
        <w:rPr>
          <w:rFonts w:hint="default" w:ascii="Times New Roman" w:hAnsi="Times New Roman" w:eastAsia="仿宋_GB2312" w:cs="Times New Roman"/>
          <w:color w:val="auto"/>
          <w:spacing w:val="0"/>
          <w:szCs w:val="32"/>
          <w:lang w:val="en-US" w:eastAsia="zh-CN"/>
        </w:rPr>
        <w:t>现代</w:t>
      </w:r>
      <w:r>
        <w:rPr>
          <w:rFonts w:hint="default" w:ascii="Times New Roman" w:hAnsi="Times New Roman" w:eastAsia="仿宋_GB2312" w:cs="Times New Roman"/>
          <w:color w:val="auto"/>
          <w:spacing w:val="0"/>
          <w:szCs w:val="32"/>
        </w:rPr>
        <w:t>农业示范区和中国花腰傣</w:t>
      </w:r>
      <w:r>
        <w:rPr>
          <w:rFonts w:hint="default" w:ascii="Times New Roman" w:hAnsi="Times New Roman" w:eastAsia="仿宋_GB2312" w:cs="Times New Roman"/>
          <w:color w:val="auto"/>
          <w:spacing w:val="0"/>
          <w:szCs w:val="32"/>
          <w:lang w:eastAsia="zh-CN"/>
        </w:rPr>
        <w:t>文化</w:t>
      </w:r>
      <w:r>
        <w:rPr>
          <w:rFonts w:hint="default" w:ascii="Times New Roman" w:hAnsi="Times New Roman" w:eastAsia="仿宋_GB2312" w:cs="Times New Roman"/>
          <w:color w:val="auto"/>
          <w:spacing w:val="0"/>
          <w:szCs w:val="32"/>
        </w:rPr>
        <w:t>旅游目的地，形成三次产业协同带动的格局，显著增强县域经济实力和竞争力，实现经济</w:t>
      </w:r>
      <w:r>
        <w:rPr>
          <w:rFonts w:hint="default" w:ascii="Times New Roman" w:hAnsi="Times New Roman" w:eastAsia="仿宋_GB2312" w:cs="Times New Roman"/>
          <w:color w:val="auto"/>
          <w:spacing w:val="0"/>
          <w:szCs w:val="32"/>
          <w:lang w:val="en-US" w:eastAsia="zh-CN"/>
        </w:rPr>
        <w:t>发展</w:t>
      </w:r>
      <w:r>
        <w:rPr>
          <w:rFonts w:hint="default" w:ascii="Times New Roman" w:hAnsi="Times New Roman" w:eastAsia="仿宋_GB2312" w:cs="Times New Roman"/>
          <w:color w:val="auto"/>
          <w:spacing w:val="0"/>
          <w:szCs w:val="32"/>
        </w:rPr>
        <w:t>新跨越。</w:t>
      </w:r>
      <w:r>
        <w:rPr>
          <w:rFonts w:hint="default" w:ascii="Times New Roman" w:hAnsi="Times New Roman" w:eastAsia="仿宋_GB2312" w:cs="Times New Roman"/>
          <w:b/>
          <w:bCs/>
          <w:color w:val="auto"/>
          <w:spacing w:val="0"/>
          <w:szCs w:val="32"/>
        </w:rPr>
        <w:t>活力新平。</w:t>
      </w:r>
      <w:r>
        <w:rPr>
          <w:rFonts w:hint="default" w:ascii="Times New Roman" w:hAnsi="Times New Roman" w:eastAsia="仿宋_GB2312" w:cs="Times New Roman"/>
          <w:color w:val="auto"/>
          <w:spacing w:val="0"/>
          <w:szCs w:val="32"/>
        </w:rPr>
        <w:t>不断丰富开放内涵，提高开放质量，形成全方位、宽领域的对外开放新格局，坚持市场化改革方向，消除不利于发挥市场基础性作用的各种障碍，健全保障加快发展的体制机制，把创新作为引领发展的第一动力，增强全县高质量发展驱动力。</w:t>
      </w:r>
      <w:r>
        <w:rPr>
          <w:rFonts w:hint="default" w:ascii="Times New Roman" w:hAnsi="Times New Roman" w:eastAsia="仿宋_GB2312" w:cs="Times New Roman"/>
          <w:b/>
          <w:bCs/>
          <w:color w:val="auto"/>
          <w:spacing w:val="0"/>
          <w:szCs w:val="32"/>
        </w:rPr>
        <w:t>文化新平。</w:t>
      </w:r>
      <w:r>
        <w:rPr>
          <w:rFonts w:hint="default" w:ascii="Times New Roman" w:hAnsi="Times New Roman" w:eastAsia="仿宋_GB2312" w:cs="Times New Roman"/>
          <w:color w:val="auto"/>
          <w:spacing w:val="0"/>
          <w:szCs w:val="32"/>
        </w:rPr>
        <w:t>推进文化事业大繁荣、文化产业大发展、文化软实力大提升，达到社会文化生活丰富多彩，群众基本文化权益得到更好保障。发挥</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中国花腰傣之乡</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、彝族文化与</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两山一谷</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文化旅游资源的独特优势，凝聚文化和旅游发展新合力，打造中国花腰傣文化旅游目的地，开创新平文化旅游发展新局面。</w:t>
      </w:r>
      <w:r>
        <w:rPr>
          <w:rFonts w:hint="default" w:ascii="Times New Roman" w:hAnsi="Times New Roman" w:eastAsia="仿宋_GB2312" w:cs="Times New Roman"/>
          <w:b/>
          <w:bCs/>
          <w:color w:val="auto"/>
          <w:spacing w:val="0"/>
          <w:szCs w:val="32"/>
        </w:rPr>
        <w:t>美丽新平。</w:t>
      </w:r>
      <w:r>
        <w:rPr>
          <w:rFonts w:hint="default" w:ascii="Times New Roman" w:hAnsi="Times New Roman" w:eastAsia="仿宋_GB2312" w:cs="Times New Roman"/>
          <w:color w:val="auto"/>
          <w:spacing w:val="0"/>
          <w:szCs w:val="32"/>
        </w:rPr>
        <w:t>深入践行</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绿水青山就是金山银山</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的理念，探索生态资源价值转化体制机制，全面提升生态系统功能，改善重点流域和重点区域环境质量，争创国家级生态文明建设示范县，</w:t>
      </w:r>
      <w:r>
        <w:rPr>
          <w:rFonts w:hint="default" w:ascii="Times New Roman" w:hAnsi="Times New Roman" w:eastAsia="仿宋_GB2312" w:cs="Times New Roman"/>
          <w:color w:val="auto"/>
          <w:spacing w:val="0"/>
          <w:szCs w:val="32"/>
          <w:lang w:val="en-US" w:eastAsia="zh-CN"/>
        </w:rPr>
        <w:t>构建</w:t>
      </w:r>
      <w:r>
        <w:rPr>
          <w:rFonts w:hint="default" w:ascii="Times New Roman" w:hAnsi="Times New Roman" w:eastAsia="仿宋_GB2312" w:cs="Times New Roman"/>
          <w:color w:val="auto"/>
          <w:spacing w:val="0"/>
          <w:szCs w:val="32"/>
        </w:rPr>
        <w:t>美丽县城、特色小镇、美丽乡村</w:t>
      </w:r>
      <w:r>
        <w:rPr>
          <w:rFonts w:hint="default" w:ascii="Times New Roman" w:hAnsi="Times New Roman" w:eastAsia="仿宋_GB2312" w:cs="Times New Roman"/>
          <w:color w:val="auto"/>
          <w:spacing w:val="0"/>
          <w:szCs w:val="32"/>
          <w:lang w:val="en-US" w:eastAsia="zh-CN"/>
        </w:rPr>
        <w:t>为一体的美丽新平建设体系</w:t>
      </w:r>
      <w:r>
        <w:rPr>
          <w:rFonts w:hint="default" w:ascii="Times New Roman" w:hAnsi="Times New Roman" w:eastAsia="仿宋_GB2312" w:cs="Times New Roman"/>
          <w:color w:val="auto"/>
          <w:spacing w:val="0"/>
          <w:szCs w:val="32"/>
        </w:rPr>
        <w:t>，</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滇中绿谷</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建设取得突破进展。</w:t>
      </w:r>
      <w:r>
        <w:rPr>
          <w:rFonts w:hint="default" w:ascii="Times New Roman" w:hAnsi="Times New Roman" w:eastAsia="仿宋_GB2312" w:cs="Times New Roman"/>
          <w:b/>
          <w:bCs/>
          <w:color w:val="auto"/>
          <w:spacing w:val="0"/>
          <w:szCs w:val="32"/>
        </w:rPr>
        <w:t>和谐新平。</w:t>
      </w:r>
      <w:r>
        <w:rPr>
          <w:rFonts w:hint="default" w:ascii="Times New Roman" w:hAnsi="Times New Roman" w:eastAsia="仿宋_GB2312" w:cs="Times New Roman"/>
          <w:color w:val="auto"/>
          <w:spacing w:val="0"/>
          <w:szCs w:val="32"/>
        </w:rPr>
        <w:t>完善共建共治共享的社会治理制度，加强和创新基层社会治理，化解社会矛盾，维护社会稳定，强化公共卫生和疾控体系</w:t>
      </w:r>
      <w:r>
        <w:rPr>
          <w:rFonts w:hint="default" w:ascii="Times New Roman" w:hAnsi="Times New Roman" w:eastAsia="仿宋_GB2312" w:cs="Times New Roman"/>
          <w:color w:val="auto"/>
          <w:spacing w:val="0"/>
          <w:szCs w:val="32"/>
          <w:lang w:val="en-US" w:eastAsia="zh-CN"/>
        </w:rPr>
        <w:t>建设</w:t>
      </w:r>
      <w:r>
        <w:rPr>
          <w:rFonts w:hint="default" w:ascii="Times New Roman" w:hAnsi="Times New Roman" w:eastAsia="仿宋_GB2312" w:cs="Times New Roman"/>
          <w:color w:val="auto"/>
          <w:spacing w:val="0"/>
          <w:szCs w:val="32"/>
        </w:rPr>
        <w:t>，促进人口均衡发展，</w:t>
      </w:r>
      <w:r>
        <w:rPr>
          <w:rFonts w:hint="default" w:ascii="Times New Roman" w:hAnsi="Times New Roman" w:eastAsia="仿宋_GB2312" w:cs="Times New Roman"/>
          <w:color w:val="auto"/>
          <w:spacing w:val="0"/>
          <w:szCs w:val="32"/>
          <w:lang w:val="en-US" w:eastAsia="zh-CN"/>
        </w:rPr>
        <w:t>力争实现</w:t>
      </w:r>
      <w:r>
        <w:rPr>
          <w:rFonts w:hint="default" w:ascii="Times New Roman" w:hAnsi="Times New Roman" w:eastAsia="仿宋_GB2312" w:cs="Times New Roman"/>
          <w:color w:val="auto"/>
          <w:spacing w:val="0"/>
          <w:szCs w:val="32"/>
        </w:rPr>
        <w:t>人的全面发展和社会全面进步。</w:t>
      </w:r>
      <w:bookmarkStart w:id="21" w:name="_Toc28405"/>
      <w:bookmarkStart w:id="22" w:name="_Toc21147"/>
      <w:bookmarkStart w:id="23" w:name="_Toc17273"/>
      <w:bookmarkStart w:id="24" w:name="_Toc31597"/>
      <w:bookmarkStart w:id="25" w:name="_Toc4129"/>
      <w:bookmarkStart w:id="26" w:name="_Toc13401"/>
      <w:bookmarkStart w:id="27" w:name="_Toc11733"/>
      <w:bookmarkStart w:id="28" w:name="_Toc115"/>
      <w:bookmarkStart w:id="29" w:name="_Toc4380"/>
      <w:bookmarkStart w:id="30" w:name="_Toc24643"/>
      <w:bookmarkStart w:id="31" w:name="_Toc23419"/>
      <w:bookmarkStart w:id="32" w:name="_Toc15037"/>
    </w:p>
    <w:p w14:paraId="7C229519">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33" w:name="_Toc6809"/>
      <w:bookmarkStart w:id="34" w:name="_Toc16918"/>
      <w:r>
        <w:rPr>
          <w:rFonts w:hint="eastAsia" w:ascii="黑体" w:hAnsi="黑体" w:eastAsia="黑体" w:cs="黑体"/>
          <w:b/>
          <w:bCs w:val="0"/>
          <w:color w:val="auto"/>
          <w:spacing w:val="0"/>
          <w:szCs w:val="32"/>
        </w:rPr>
        <w:t>第四节  规划目标</w:t>
      </w:r>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549D4DDC">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pacing w:val="0"/>
          <w:sz w:val="32"/>
          <w:szCs w:val="22"/>
          <w:highlight w:val="none"/>
        </w:rPr>
      </w:pPr>
      <w:r>
        <w:rPr>
          <w:rFonts w:hint="default" w:ascii="Times New Roman" w:hAnsi="Times New Roman" w:eastAsia="仿宋_GB2312" w:cs="Times New Roman"/>
          <w:b/>
          <w:bCs/>
          <w:color w:val="auto"/>
          <w:spacing w:val="0"/>
          <w:sz w:val="32"/>
          <w:szCs w:val="32"/>
          <w:highlight w:val="none"/>
        </w:rPr>
        <w:t>经济发展取得新成效。</w:t>
      </w:r>
      <w:r>
        <w:rPr>
          <w:rFonts w:hint="default" w:ascii="Times New Roman" w:hAnsi="Times New Roman" w:eastAsia="仿宋_GB2312" w:cs="Times New Roman"/>
          <w:color w:val="auto"/>
          <w:spacing w:val="0"/>
          <w:sz w:val="32"/>
          <w:szCs w:val="32"/>
          <w:highlight w:val="none"/>
        </w:rPr>
        <w:t>在质量效益明显提升的基础上实现经</w:t>
      </w:r>
      <w:r>
        <w:rPr>
          <w:rFonts w:hint="default" w:ascii="Times New Roman" w:hAnsi="Times New Roman" w:eastAsia="仿宋_GB2312" w:cs="Times New Roman"/>
          <w:color w:val="auto"/>
          <w:spacing w:val="0"/>
          <w:sz w:val="32"/>
          <w:szCs w:val="22"/>
          <w:highlight w:val="none"/>
        </w:rPr>
        <w:t>济持续健康发展，增长潜力充分发挥，地区生产总值年均增速达</w:t>
      </w:r>
      <w:r>
        <w:rPr>
          <w:rFonts w:hint="default" w:ascii="Times New Roman" w:hAnsi="Times New Roman" w:eastAsia="仿宋_GB2312" w:cs="Times New Roman"/>
          <w:color w:val="auto"/>
          <w:spacing w:val="0"/>
          <w:szCs w:val="22"/>
          <w:highlight w:val="none"/>
        </w:rPr>
        <w:t>7</w:t>
      </w:r>
      <w:r>
        <w:rPr>
          <w:rFonts w:hint="default" w:ascii="Times New Roman" w:hAnsi="Times New Roman" w:eastAsia="仿宋_GB2312" w:cs="Times New Roman"/>
          <w:color w:val="auto"/>
          <w:spacing w:val="0"/>
          <w:sz w:val="32"/>
          <w:szCs w:val="22"/>
          <w:highlight w:val="none"/>
        </w:rPr>
        <w:t>%以上，力争到</w:t>
      </w:r>
      <w:r>
        <w:rPr>
          <w:rFonts w:hint="default" w:ascii="Times New Roman" w:hAnsi="Times New Roman" w:eastAsia="仿宋_GB2312" w:cs="Times New Roman"/>
          <w:color w:val="auto"/>
          <w:spacing w:val="0"/>
          <w:szCs w:val="22"/>
          <w:highlight w:val="none"/>
        </w:rPr>
        <w:t>2025</w:t>
      </w:r>
      <w:r>
        <w:rPr>
          <w:rFonts w:hint="default" w:ascii="Times New Roman" w:hAnsi="Times New Roman" w:eastAsia="仿宋_GB2312" w:cs="Times New Roman"/>
          <w:color w:val="auto"/>
          <w:spacing w:val="0"/>
          <w:sz w:val="32"/>
          <w:szCs w:val="22"/>
          <w:highlight w:val="none"/>
        </w:rPr>
        <w:t>年突破</w:t>
      </w:r>
      <w:r>
        <w:rPr>
          <w:rFonts w:hint="default" w:ascii="Times New Roman" w:hAnsi="Times New Roman" w:eastAsia="仿宋_GB2312" w:cs="Times New Roman"/>
          <w:color w:val="auto"/>
          <w:spacing w:val="0"/>
          <w:szCs w:val="22"/>
          <w:highlight w:val="none"/>
        </w:rPr>
        <w:t>300</w:t>
      </w:r>
      <w:r>
        <w:rPr>
          <w:rFonts w:hint="default" w:ascii="Times New Roman" w:hAnsi="Times New Roman" w:eastAsia="仿宋_GB2312" w:cs="Times New Roman"/>
          <w:color w:val="auto"/>
          <w:spacing w:val="0"/>
          <w:sz w:val="32"/>
          <w:szCs w:val="22"/>
          <w:highlight w:val="none"/>
        </w:rPr>
        <w:t>亿元。城乡居民人均可支配收入增速与经济增长基本同步。</w:t>
      </w:r>
      <w:r>
        <w:rPr>
          <w:rFonts w:hint="eastAsia" w:eastAsia="仿宋_GB2312" w:cs="Times New Roman"/>
          <w:color w:val="auto"/>
          <w:spacing w:val="0"/>
          <w:sz w:val="32"/>
          <w:szCs w:val="22"/>
          <w:highlight w:val="none"/>
          <w:lang w:eastAsia="zh-CN"/>
        </w:rPr>
        <w:t>“</w:t>
      </w:r>
      <w:r>
        <w:rPr>
          <w:rFonts w:hint="default" w:ascii="Times New Roman" w:hAnsi="Times New Roman" w:eastAsia="仿宋_GB2312" w:cs="Times New Roman"/>
          <w:color w:val="auto"/>
          <w:spacing w:val="0"/>
          <w:sz w:val="32"/>
          <w:szCs w:val="22"/>
          <w:highlight w:val="none"/>
        </w:rPr>
        <w:t>滇中绿谷</w:t>
      </w:r>
      <w:r>
        <w:rPr>
          <w:rFonts w:hint="eastAsia" w:eastAsia="仿宋_GB2312" w:cs="Times New Roman"/>
          <w:color w:val="auto"/>
          <w:spacing w:val="0"/>
          <w:sz w:val="32"/>
          <w:szCs w:val="22"/>
          <w:highlight w:val="none"/>
          <w:lang w:eastAsia="zh-CN"/>
        </w:rPr>
        <w:t>”</w:t>
      </w:r>
      <w:r>
        <w:rPr>
          <w:rFonts w:hint="default" w:ascii="Times New Roman" w:hAnsi="Times New Roman" w:eastAsia="仿宋_GB2312" w:cs="Times New Roman"/>
          <w:color w:val="auto"/>
          <w:spacing w:val="0"/>
          <w:sz w:val="32"/>
          <w:szCs w:val="22"/>
          <w:highlight w:val="none"/>
        </w:rPr>
        <w:t>全面建设；县域工业总产值突破</w:t>
      </w:r>
      <w:r>
        <w:rPr>
          <w:rFonts w:hint="default" w:ascii="Times New Roman" w:hAnsi="Times New Roman" w:eastAsia="仿宋_GB2312" w:cs="Times New Roman"/>
          <w:color w:val="auto"/>
          <w:spacing w:val="0"/>
          <w:szCs w:val="22"/>
          <w:highlight w:val="none"/>
        </w:rPr>
        <w:t>500</w:t>
      </w:r>
      <w:r>
        <w:rPr>
          <w:rFonts w:hint="default" w:ascii="Times New Roman" w:hAnsi="Times New Roman" w:eastAsia="仿宋_GB2312" w:cs="Times New Roman"/>
          <w:color w:val="auto"/>
          <w:spacing w:val="0"/>
          <w:sz w:val="32"/>
          <w:szCs w:val="22"/>
          <w:highlight w:val="none"/>
        </w:rPr>
        <w:t>亿元；打造千亿级产业园区，构建矿冶产业、高原特色现代农业、文化旅游现代服务业3个百亿级产业和装备制造、生物资源加工、轻工制造、清洁能源4个十亿级产业的现代产业体系。</w:t>
      </w:r>
    </w:p>
    <w:p w14:paraId="58E30C29">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rPr>
        <w:t>生态文明建设实现新进步。</w:t>
      </w:r>
      <w:r>
        <w:rPr>
          <w:rFonts w:hint="default" w:ascii="Times New Roman" w:hAnsi="Times New Roman" w:eastAsia="仿宋_GB2312" w:cs="Times New Roman"/>
          <w:color w:val="auto"/>
          <w:spacing w:val="0"/>
          <w:sz w:val="32"/>
          <w:szCs w:val="32"/>
          <w:highlight w:val="none"/>
        </w:rPr>
        <w:t>主体功能区战略深入实施，国土空间开发保护格局基本形成，山水林田湖草得到系统治理，矿区生态环境逐步修复，哀牢山、磨盘山、红河谷等重点生态功能区保护不断加强，生产生活方式实现绿色转型。</w:t>
      </w:r>
    </w:p>
    <w:p w14:paraId="1B70F8F2">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pacing w:val="0"/>
          <w:sz w:val="32"/>
          <w:szCs w:val="22"/>
          <w:highlight w:val="none"/>
        </w:rPr>
      </w:pPr>
      <w:r>
        <w:rPr>
          <w:rFonts w:hint="default" w:ascii="Times New Roman" w:hAnsi="Times New Roman" w:eastAsia="仿宋_GB2312" w:cs="Times New Roman"/>
          <w:b/>
          <w:bCs/>
          <w:color w:val="auto"/>
          <w:spacing w:val="0"/>
          <w:sz w:val="32"/>
          <w:szCs w:val="22"/>
          <w:highlight w:val="none"/>
        </w:rPr>
        <w:t>基础设施建设取得新突破。</w:t>
      </w:r>
      <w:r>
        <w:rPr>
          <w:rFonts w:hint="default" w:ascii="Times New Roman" w:hAnsi="Times New Roman" w:eastAsia="仿宋_GB2312" w:cs="Times New Roman"/>
          <w:color w:val="auto"/>
          <w:spacing w:val="0"/>
          <w:sz w:val="32"/>
          <w:szCs w:val="32"/>
          <w:highlight w:val="none"/>
        </w:rPr>
        <w:t>综合交通网进一步完善，高速、铁路、机场等工作稳步推进；水网建设不断强化，资源性、工程性缺水问题进一步缓解，防汛抗旱应急管理能力不断提高；新基建加快建设，</w:t>
      </w:r>
      <w:r>
        <w:rPr>
          <w:rFonts w:hint="default" w:ascii="Times New Roman" w:hAnsi="Times New Roman" w:eastAsia="仿宋_GB2312" w:cs="Times New Roman"/>
          <w:color w:val="auto"/>
          <w:spacing w:val="0"/>
          <w:sz w:val="32"/>
          <w:szCs w:val="22"/>
          <w:highlight w:val="none"/>
        </w:rPr>
        <w:t>重点地区、重点领域5G网络实现全覆盖；能源安全有效保障。</w:t>
      </w:r>
    </w:p>
    <w:p w14:paraId="1E4CC1BF">
      <w:pPr>
        <w:pStyle w:val="19"/>
        <w:pageBreakBefore w:val="0"/>
        <w:widowControl w:val="0"/>
        <w:kinsoku/>
        <w:wordWrap/>
        <w:overflowPunct/>
        <w:topLinePunct w:val="0"/>
        <w:autoSpaceDE/>
        <w:autoSpaceDN/>
        <w:bidi w:val="0"/>
        <w:adjustRightInd/>
        <w:snapToGrid/>
        <w:spacing w:after="0" w:line="560" w:lineRule="exact"/>
        <w:ind w:left="0" w:leftChars="0" w:firstLine="64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rPr>
        <w:t>城乡融合发展取得新进展。</w:t>
      </w:r>
      <w:r>
        <w:rPr>
          <w:rFonts w:hint="default" w:ascii="Times New Roman" w:hAnsi="Times New Roman" w:eastAsia="仿宋_GB2312" w:cs="Times New Roman"/>
          <w:color w:val="auto"/>
          <w:spacing w:val="0"/>
          <w:sz w:val="32"/>
          <w:szCs w:val="32"/>
          <w:highlight w:val="none"/>
        </w:rPr>
        <w:t>县城和特色城镇实现协调发展，县城成为城镇化建设的重要载体，戛洒镇建成全国知名特色城镇，规划建设扬武产城融合先行先试区，常住人口城镇</w:t>
      </w:r>
      <w:r>
        <w:rPr>
          <w:rFonts w:hint="default" w:ascii="Times New Roman" w:hAnsi="Times New Roman" w:eastAsia="仿宋_GB2312" w:cs="Times New Roman"/>
          <w:color w:val="auto"/>
          <w:spacing w:val="0"/>
          <w:kern w:val="2"/>
          <w:sz w:val="32"/>
          <w:szCs w:val="32"/>
          <w:highlight w:val="none"/>
          <w:lang w:val="en-US" w:eastAsia="zh-CN" w:bidi="ar-SA"/>
        </w:rPr>
        <w:t>化率与全市平均水平差距进一步缩小；城乡融合体制机制基本建立，乡村振兴</w:t>
      </w:r>
      <w:r>
        <w:rPr>
          <w:rFonts w:hint="default" w:ascii="Times New Roman" w:hAnsi="Times New Roman" w:eastAsia="仿宋_GB2312" w:cs="Times New Roman"/>
          <w:color w:val="auto"/>
          <w:spacing w:val="0"/>
          <w:sz w:val="32"/>
          <w:szCs w:val="32"/>
          <w:highlight w:val="none"/>
        </w:rPr>
        <w:t>与巩固拓展脱贫攻坚成果有效衔接，农村生产生活条件全面改善，建成一批美丽宜居乡村。</w:t>
      </w:r>
    </w:p>
    <w:p w14:paraId="3D30AC7F">
      <w:pPr>
        <w:pStyle w:val="19"/>
        <w:pageBreakBefore w:val="0"/>
        <w:widowControl w:val="0"/>
        <w:kinsoku/>
        <w:wordWrap/>
        <w:overflowPunct/>
        <w:topLinePunct w:val="0"/>
        <w:autoSpaceDE/>
        <w:autoSpaceDN/>
        <w:bidi w:val="0"/>
        <w:adjustRightInd/>
        <w:snapToGrid/>
        <w:spacing w:after="0" w:line="560" w:lineRule="exact"/>
        <w:ind w:left="0" w:leftChars="0" w:firstLine="64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rPr>
        <w:t>民生福祉达到新水平。</w:t>
      </w:r>
      <w:r>
        <w:rPr>
          <w:rFonts w:hint="default" w:ascii="Times New Roman" w:hAnsi="Times New Roman" w:eastAsia="仿宋_GB2312" w:cs="Times New Roman"/>
          <w:color w:val="auto"/>
          <w:spacing w:val="0"/>
          <w:sz w:val="32"/>
          <w:szCs w:val="32"/>
          <w:highlight w:val="none"/>
          <w:lang w:eastAsia="zh-CN"/>
        </w:rPr>
        <w:t>严格落实</w:t>
      </w:r>
      <w:r>
        <w:rPr>
          <w:rFonts w:hint="eastAsia" w:eastAsia="仿宋_GB2312" w:cs="Times New Roman"/>
          <w:bCs/>
          <w:color w:val="auto"/>
          <w:spacing w:val="0"/>
          <w:sz w:val="32"/>
          <w:szCs w:val="32"/>
          <w:highlight w:val="none"/>
          <w:lang w:eastAsia="zh-CN"/>
        </w:rPr>
        <w:t>“</w:t>
      </w:r>
      <w:r>
        <w:rPr>
          <w:rFonts w:hint="default" w:ascii="Times New Roman" w:hAnsi="Times New Roman" w:eastAsia="仿宋_GB2312" w:cs="Times New Roman"/>
          <w:bCs/>
          <w:color w:val="auto"/>
          <w:spacing w:val="0"/>
          <w:sz w:val="32"/>
          <w:szCs w:val="32"/>
          <w:highlight w:val="none"/>
        </w:rPr>
        <w:t>四个不摘</w:t>
      </w:r>
      <w:r>
        <w:rPr>
          <w:rFonts w:hint="eastAsia" w:eastAsia="仿宋_GB2312" w:cs="Times New Roman"/>
          <w:bCs/>
          <w:color w:val="auto"/>
          <w:spacing w:val="0"/>
          <w:sz w:val="32"/>
          <w:szCs w:val="32"/>
          <w:highlight w:val="none"/>
          <w:lang w:eastAsia="zh-CN"/>
        </w:rPr>
        <w:t>”</w:t>
      </w:r>
      <w:r>
        <w:rPr>
          <w:rFonts w:hint="default" w:ascii="Times New Roman" w:hAnsi="Times New Roman" w:eastAsia="仿宋_GB2312" w:cs="Times New Roman"/>
          <w:bCs/>
          <w:color w:val="auto"/>
          <w:spacing w:val="0"/>
          <w:sz w:val="32"/>
          <w:szCs w:val="32"/>
          <w:highlight w:val="none"/>
        </w:rPr>
        <w:t>要求，</w:t>
      </w:r>
      <w:r>
        <w:rPr>
          <w:rFonts w:hint="default" w:ascii="Times New Roman" w:hAnsi="Times New Roman" w:eastAsia="仿宋_GB2312" w:cs="Times New Roman"/>
          <w:bCs/>
          <w:color w:val="auto"/>
          <w:spacing w:val="0"/>
          <w:sz w:val="32"/>
          <w:szCs w:val="32"/>
          <w:highlight w:val="none"/>
          <w:lang w:eastAsia="zh-CN"/>
        </w:rPr>
        <w:t>切实</w:t>
      </w:r>
      <w:r>
        <w:rPr>
          <w:rFonts w:hint="default" w:ascii="Times New Roman" w:hAnsi="Times New Roman" w:eastAsia="仿宋_GB2312" w:cs="Times New Roman"/>
          <w:bCs/>
          <w:color w:val="auto"/>
          <w:spacing w:val="0"/>
          <w:sz w:val="32"/>
          <w:szCs w:val="32"/>
          <w:highlight w:val="none"/>
        </w:rPr>
        <w:t>巩固拓展脱贫攻坚成果</w:t>
      </w:r>
      <w:r>
        <w:rPr>
          <w:rFonts w:hint="default" w:ascii="Times New Roman" w:hAnsi="Times New Roman" w:eastAsia="仿宋_GB2312" w:cs="Times New Roman"/>
          <w:bCs/>
          <w:color w:val="auto"/>
          <w:spacing w:val="0"/>
          <w:sz w:val="32"/>
          <w:szCs w:val="32"/>
          <w:highlight w:val="none"/>
          <w:lang w:eastAsia="zh-CN"/>
        </w:rPr>
        <w:t>同乡村振兴有效衔接</w:t>
      </w:r>
      <w:r>
        <w:rPr>
          <w:rFonts w:hint="default" w:ascii="Times New Roman" w:hAnsi="Times New Roman" w:eastAsia="仿宋_GB2312" w:cs="Times New Roman"/>
          <w:bCs/>
          <w:color w:val="auto"/>
          <w:spacing w:val="0"/>
          <w:sz w:val="32"/>
          <w:szCs w:val="32"/>
          <w:highlight w:val="none"/>
        </w:rPr>
        <w:t>；</w:t>
      </w:r>
      <w:r>
        <w:rPr>
          <w:rFonts w:hint="default" w:ascii="Times New Roman" w:hAnsi="Times New Roman" w:eastAsia="仿宋_GB2312" w:cs="Times New Roman"/>
          <w:color w:val="auto"/>
          <w:spacing w:val="0"/>
          <w:sz w:val="32"/>
          <w:szCs w:val="32"/>
          <w:highlight w:val="none"/>
        </w:rPr>
        <w:t>优质教育资源基本实现均衡配置，全民受教育程度不断提升；</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健康新平</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建设取得重大进展，实现医疗服务模式由医疗为中心向以疾病预防和健康促进为中心转变；公共文化服务体系和文化产业体系更加健全；养老、托</w:t>
      </w:r>
      <w:r>
        <w:rPr>
          <w:rFonts w:hint="default" w:ascii="Times New Roman" w:hAnsi="Times New Roman" w:eastAsia="仿宋_GB2312" w:cs="Times New Roman"/>
          <w:color w:val="auto"/>
          <w:spacing w:val="0"/>
          <w:sz w:val="32"/>
          <w:szCs w:val="32"/>
          <w:highlight w:val="none"/>
          <w:lang w:val="en-US" w:eastAsia="zh-CN"/>
        </w:rPr>
        <w:t>育</w:t>
      </w:r>
      <w:r>
        <w:rPr>
          <w:rFonts w:hint="default" w:ascii="Times New Roman" w:hAnsi="Times New Roman" w:eastAsia="仿宋_GB2312" w:cs="Times New Roman"/>
          <w:color w:val="auto"/>
          <w:spacing w:val="0"/>
          <w:sz w:val="32"/>
          <w:szCs w:val="32"/>
          <w:highlight w:val="none"/>
        </w:rPr>
        <w:t>服务水平不断提升；多层次社会保障体系更加健全，就业更加充分。</w:t>
      </w:r>
    </w:p>
    <w:p w14:paraId="48656F9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b/>
          <w:bCs/>
          <w:color w:val="auto"/>
          <w:spacing w:val="0"/>
          <w:sz w:val="32"/>
          <w:szCs w:val="32"/>
          <w:highlight w:val="none"/>
        </w:rPr>
        <w:t>社会治理效能得到新提升。</w:t>
      </w:r>
      <w:r>
        <w:rPr>
          <w:rFonts w:hint="eastAsia" w:ascii="仿宋_GB2312" w:hAnsi="仿宋_GB2312" w:eastAsia="仿宋_GB2312" w:cs="仿宋_GB2312"/>
          <w:color w:val="auto"/>
          <w:spacing w:val="0"/>
          <w:sz w:val="32"/>
          <w:szCs w:val="32"/>
          <w:highlight w:val="none"/>
        </w:rPr>
        <w:t>社会主义民主法治更加健全，社会公平正义进一步彰显，政府行政效率和公信力显著提升，社会治理特别是城乡基层治理水平明显提高，防范化解重大风险体制机制不断健全，突发公共事件应急能力显著增强，自然灾害防御水平明显提升。</w:t>
      </w:r>
    </w:p>
    <w:p w14:paraId="3A2D2FEA">
      <w:pPr>
        <w:pageBreakBefore w:val="0"/>
        <w:widowControl w:val="0"/>
        <w:kinsoku/>
        <w:wordWrap/>
        <w:overflowPunct/>
        <w:topLinePunct w:val="0"/>
        <w:autoSpaceDN/>
        <w:bidi w:val="0"/>
        <w:rPr>
          <w:rFonts w:hint="default" w:eastAsia="仿宋_GB2312" w:cs="Times New Roman"/>
          <w:color w:val="auto"/>
          <w:spacing w:val="0"/>
          <w:sz w:val="32"/>
          <w:szCs w:val="32"/>
        </w:rPr>
      </w:pPr>
    </w:p>
    <w:tbl>
      <w:tblPr>
        <w:tblStyle w:val="20"/>
        <w:tblW w:w="9143" w:type="dxa"/>
        <w:jc w:val="center"/>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Layout w:type="fixed"/>
        <w:tblCellMar>
          <w:top w:w="0" w:type="dxa"/>
          <w:left w:w="0" w:type="dxa"/>
          <w:bottom w:w="0" w:type="dxa"/>
          <w:right w:w="0" w:type="dxa"/>
        </w:tblCellMar>
      </w:tblPr>
      <w:tblGrid>
        <w:gridCol w:w="332"/>
        <w:gridCol w:w="550"/>
        <w:gridCol w:w="3862"/>
        <w:gridCol w:w="858"/>
        <w:gridCol w:w="975"/>
        <w:gridCol w:w="985"/>
        <w:gridCol w:w="809"/>
        <w:gridCol w:w="772"/>
      </w:tblGrid>
      <w:tr w14:paraId="7D12A562">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9143" w:type="dxa"/>
            <w:gridSpan w:val="8"/>
            <w:tcBorders>
              <w:bottom w:val="single" w:color="4F81BD" w:sz="8" w:space="0"/>
              <w:tl2br w:val="nil"/>
              <w:tr2bl w:val="nil"/>
            </w:tcBorders>
            <w:shd w:val="clear" w:color="auto" w:fill="4F81BD"/>
            <w:tcMar>
              <w:top w:w="15" w:type="dxa"/>
              <w:left w:w="15" w:type="dxa"/>
              <w:right w:w="15" w:type="dxa"/>
            </w:tcMar>
            <w:vAlign w:val="center"/>
          </w:tcPr>
          <w:p w14:paraId="19585E44">
            <w:pPr>
              <w:pStyle w:val="2"/>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jc w:val="center"/>
              <w:rPr>
                <w:rFonts w:hint="default" w:ascii="Times New Roman" w:hAnsi="Times New Roman" w:eastAsia="宋体" w:cs="Times New Roman"/>
                <w:color w:val="auto"/>
                <w:spacing w:val="0"/>
                <w:sz w:val="21"/>
                <w:szCs w:val="21"/>
              </w:rPr>
            </w:pPr>
            <w:r>
              <w:rPr>
                <w:rFonts w:hint="default" w:ascii="Times New Roman" w:hAnsi="Times New Roman" w:eastAsia="仿宋_GB2312" w:cs="Times New Roman"/>
                <w:b/>
                <w:bCs/>
                <w:color w:val="auto"/>
                <w:spacing w:val="0"/>
                <w:sz w:val="28"/>
                <w:szCs w:val="28"/>
              </w:rPr>
              <w:t>专栏</w:t>
            </w:r>
            <w:r>
              <w:rPr>
                <w:rFonts w:hint="default" w:ascii="Times New Roman" w:hAnsi="Times New Roman" w:eastAsia="仿宋_GB2312" w:cs="Times New Roman"/>
                <w:b/>
                <w:bCs/>
                <w:color w:val="auto"/>
                <w:spacing w:val="0"/>
                <w:sz w:val="28"/>
                <w:szCs w:val="28"/>
                <w:lang w:val="en-US" w:eastAsia="zh-CN"/>
              </w:rPr>
              <w:t>2</w:t>
            </w:r>
            <w:r>
              <w:rPr>
                <w:rFonts w:hint="default" w:ascii="Times New Roman" w:hAnsi="Times New Roman" w:eastAsia="仿宋_GB2312" w:cs="Times New Roman"/>
                <w:b/>
                <w:bCs/>
                <w:color w:val="auto"/>
                <w:spacing w:val="0"/>
                <w:sz w:val="28"/>
                <w:szCs w:val="28"/>
              </w:rPr>
              <w:t xml:space="preserve">  </w:t>
            </w:r>
            <w:r>
              <w:rPr>
                <w:rFonts w:hint="default" w:ascii="Times New Roman" w:hAnsi="Times New Roman" w:eastAsia="仿宋_GB2312" w:cs="Times New Roman"/>
                <w:b/>
                <w:bCs/>
                <w:color w:val="auto"/>
                <w:spacing w:val="0"/>
                <w:sz w:val="28"/>
                <w:szCs w:val="28"/>
                <w:lang w:eastAsia="zh-CN"/>
              </w:rPr>
              <w:t>新平县</w:t>
            </w:r>
            <w:r>
              <w:rPr>
                <w:rFonts w:hint="eastAsia" w:eastAsia="仿宋_GB2312" w:cs="Times New Roman"/>
                <w:b/>
                <w:bCs/>
                <w:color w:val="auto"/>
                <w:spacing w:val="0"/>
                <w:sz w:val="28"/>
                <w:szCs w:val="28"/>
                <w:lang w:eastAsia="zh-CN"/>
              </w:rPr>
              <w:t>“</w:t>
            </w:r>
            <w:r>
              <w:rPr>
                <w:rFonts w:hint="default" w:ascii="Times New Roman" w:hAnsi="Times New Roman" w:eastAsia="仿宋_GB2312" w:cs="Times New Roman"/>
                <w:b/>
                <w:bCs/>
                <w:color w:val="auto"/>
                <w:spacing w:val="0"/>
                <w:sz w:val="28"/>
                <w:szCs w:val="28"/>
                <w:lang w:eastAsia="zh-CN"/>
              </w:rPr>
              <w:t>十四五</w:t>
            </w:r>
            <w:r>
              <w:rPr>
                <w:rFonts w:hint="eastAsia" w:eastAsia="仿宋_GB2312" w:cs="Times New Roman"/>
                <w:b/>
                <w:bCs/>
                <w:color w:val="auto"/>
                <w:spacing w:val="0"/>
                <w:sz w:val="28"/>
                <w:szCs w:val="28"/>
                <w:lang w:eastAsia="zh-CN"/>
              </w:rPr>
              <w:t>”</w:t>
            </w:r>
            <w:r>
              <w:rPr>
                <w:rFonts w:hint="default" w:ascii="Times New Roman" w:hAnsi="Times New Roman" w:eastAsia="仿宋_GB2312" w:cs="Times New Roman"/>
                <w:b/>
                <w:bCs/>
                <w:color w:val="auto"/>
                <w:spacing w:val="0"/>
                <w:sz w:val="28"/>
                <w:szCs w:val="28"/>
                <w:lang w:eastAsia="zh-CN"/>
              </w:rPr>
              <w:t>发展主要指标</w:t>
            </w:r>
          </w:p>
        </w:tc>
      </w:tr>
      <w:tr w14:paraId="58442C48">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440" w:hRule="atLeast"/>
          <w:jc w:val="center"/>
        </w:trPr>
        <w:tc>
          <w:tcPr>
            <w:tcW w:w="332" w:type="dxa"/>
            <w:vMerge w:val="restart"/>
            <w:tcBorders>
              <w:top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3832F26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b/>
                <w:color w:val="auto"/>
                <w:spacing w:val="0"/>
                <w:sz w:val="21"/>
                <w:szCs w:val="21"/>
              </w:rPr>
            </w:pPr>
            <w:r>
              <w:rPr>
                <w:rFonts w:hint="default" w:ascii="Times New Roman" w:hAnsi="Times New Roman" w:eastAsia="仿宋_GB2312" w:cs="Times New Roman"/>
                <w:b/>
                <w:bCs/>
                <w:color w:val="auto"/>
                <w:spacing w:val="0"/>
                <w:kern w:val="2"/>
                <w:sz w:val="21"/>
                <w:szCs w:val="21"/>
                <w:highlight w:val="none"/>
                <w:lang w:val="en-US" w:eastAsia="zh-CN" w:bidi="ar-SA"/>
              </w:rPr>
              <w:t>序号</w:t>
            </w:r>
          </w:p>
        </w:tc>
        <w:tc>
          <w:tcPr>
            <w:tcW w:w="550" w:type="dxa"/>
            <w:vMerge w:val="restart"/>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4BDB78B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b/>
                <w:color w:val="auto"/>
                <w:spacing w:val="0"/>
                <w:sz w:val="21"/>
                <w:szCs w:val="21"/>
              </w:rPr>
            </w:pPr>
            <w:r>
              <w:rPr>
                <w:rFonts w:hint="default" w:ascii="Times New Roman" w:hAnsi="Times New Roman" w:eastAsia="仿宋_GB2312" w:cs="Times New Roman"/>
                <w:b/>
                <w:bCs/>
                <w:color w:val="auto"/>
                <w:spacing w:val="0"/>
                <w:kern w:val="2"/>
                <w:sz w:val="21"/>
                <w:szCs w:val="21"/>
                <w:highlight w:val="none"/>
                <w:lang w:val="en-US" w:eastAsia="zh-CN" w:bidi="ar-SA"/>
              </w:rPr>
              <w:t>分类</w:t>
            </w:r>
          </w:p>
        </w:tc>
        <w:tc>
          <w:tcPr>
            <w:tcW w:w="3862" w:type="dxa"/>
            <w:vMerge w:val="restart"/>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00A05FF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b/>
                <w:color w:val="auto"/>
                <w:spacing w:val="0"/>
                <w:sz w:val="21"/>
                <w:szCs w:val="21"/>
              </w:rPr>
            </w:pPr>
            <w:r>
              <w:rPr>
                <w:rFonts w:hint="default" w:ascii="Times New Roman" w:hAnsi="Times New Roman" w:eastAsia="仿宋_GB2312" w:cs="Times New Roman"/>
                <w:b/>
                <w:bCs/>
                <w:color w:val="auto"/>
                <w:spacing w:val="0"/>
                <w:kern w:val="2"/>
                <w:sz w:val="21"/>
                <w:szCs w:val="21"/>
                <w:highlight w:val="none"/>
                <w:lang w:val="en-US" w:eastAsia="zh-CN" w:bidi="ar-SA"/>
              </w:rPr>
              <w:t>指标名称</w:t>
            </w:r>
          </w:p>
        </w:tc>
        <w:tc>
          <w:tcPr>
            <w:tcW w:w="858" w:type="dxa"/>
            <w:vMerge w:val="restart"/>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734782E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b/>
                <w:color w:val="auto"/>
                <w:spacing w:val="0"/>
                <w:sz w:val="21"/>
                <w:szCs w:val="21"/>
              </w:rPr>
            </w:pPr>
            <w:r>
              <w:rPr>
                <w:rFonts w:hint="default" w:ascii="Times New Roman" w:hAnsi="Times New Roman" w:eastAsia="仿宋_GB2312" w:cs="Times New Roman"/>
                <w:b/>
                <w:bCs/>
                <w:color w:val="auto"/>
                <w:spacing w:val="0"/>
                <w:kern w:val="2"/>
                <w:sz w:val="21"/>
                <w:szCs w:val="21"/>
                <w:highlight w:val="none"/>
                <w:lang w:val="en-US" w:eastAsia="zh-CN" w:bidi="ar-SA"/>
              </w:rPr>
              <w:t>单位</w:t>
            </w:r>
          </w:p>
        </w:tc>
        <w:tc>
          <w:tcPr>
            <w:tcW w:w="975" w:type="dxa"/>
            <w:vMerge w:val="restart"/>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7C57AF3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b/>
                <w:color w:val="auto"/>
                <w:spacing w:val="0"/>
                <w:sz w:val="21"/>
                <w:szCs w:val="21"/>
              </w:rPr>
            </w:pPr>
            <w:r>
              <w:rPr>
                <w:rFonts w:hint="default" w:ascii="Times New Roman" w:hAnsi="Times New Roman" w:eastAsia="仿宋_GB2312" w:cs="Times New Roman"/>
                <w:b/>
                <w:bCs/>
                <w:color w:val="auto"/>
                <w:spacing w:val="0"/>
                <w:kern w:val="2"/>
                <w:sz w:val="21"/>
                <w:szCs w:val="21"/>
                <w:highlight w:val="none"/>
                <w:lang w:val="en-US" w:eastAsia="zh-CN" w:bidi="ar-SA"/>
              </w:rPr>
              <w:t>2020年</w:t>
            </w:r>
            <w:r>
              <w:rPr>
                <w:rFonts w:hint="eastAsia" w:eastAsia="仿宋_GB2312" w:cs="Times New Roman"/>
                <w:b/>
                <w:bCs/>
                <w:color w:val="auto"/>
                <w:spacing w:val="0"/>
                <w:kern w:val="2"/>
                <w:sz w:val="21"/>
                <w:szCs w:val="21"/>
                <w:highlight w:val="none"/>
                <w:lang w:val="en-US" w:eastAsia="zh-CN" w:bidi="ar-SA"/>
              </w:rPr>
              <w:t>完成数</w:t>
            </w:r>
          </w:p>
        </w:tc>
        <w:tc>
          <w:tcPr>
            <w:tcW w:w="1794" w:type="dxa"/>
            <w:gridSpan w:val="2"/>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76B8743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b/>
                <w:bCs/>
                <w:color w:val="auto"/>
                <w:spacing w:val="0"/>
                <w:kern w:val="2"/>
                <w:sz w:val="21"/>
                <w:szCs w:val="21"/>
                <w:highlight w:val="none"/>
                <w:lang w:val="en-US" w:eastAsia="zh-CN" w:bidi="ar-SA"/>
              </w:rPr>
            </w:pPr>
            <w:r>
              <w:rPr>
                <w:rFonts w:hint="default" w:ascii="Times New Roman" w:hAnsi="Times New Roman" w:eastAsia="仿宋_GB2312" w:cs="Times New Roman"/>
                <w:b/>
                <w:bCs/>
                <w:color w:val="auto"/>
                <w:spacing w:val="0"/>
                <w:kern w:val="2"/>
                <w:sz w:val="21"/>
                <w:szCs w:val="21"/>
                <w:highlight w:val="none"/>
                <w:lang w:val="en-US" w:eastAsia="zh-CN" w:bidi="ar-SA"/>
              </w:rPr>
              <w:t>2025年</w:t>
            </w:r>
            <w:r>
              <w:rPr>
                <w:rFonts w:hint="eastAsia" w:eastAsia="仿宋_GB2312" w:cs="Times New Roman"/>
                <w:b/>
                <w:bCs/>
                <w:color w:val="auto"/>
                <w:spacing w:val="0"/>
                <w:kern w:val="2"/>
                <w:sz w:val="21"/>
                <w:szCs w:val="21"/>
                <w:highlight w:val="none"/>
                <w:lang w:val="en-US" w:eastAsia="zh-CN" w:bidi="ar-SA"/>
              </w:rPr>
              <w:t>预计完成数</w:t>
            </w:r>
          </w:p>
        </w:tc>
        <w:tc>
          <w:tcPr>
            <w:tcW w:w="772" w:type="dxa"/>
            <w:vMerge w:val="restart"/>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6E91C5B8">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宋体" w:cs="Times New Roman"/>
                <w:b/>
                <w:color w:val="auto"/>
                <w:spacing w:val="0"/>
                <w:sz w:val="21"/>
                <w:szCs w:val="21"/>
              </w:rPr>
            </w:pPr>
            <w:r>
              <w:rPr>
                <w:rFonts w:hint="default" w:ascii="Times New Roman" w:hAnsi="Times New Roman" w:eastAsia="仿宋_GB2312" w:cs="Times New Roman"/>
                <w:b/>
                <w:color w:val="auto"/>
                <w:spacing w:val="0"/>
                <w:kern w:val="0"/>
                <w:sz w:val="21"/>
                <w:szCs w:val="21"/>
                <w:lang w:bidi="ar"/>
              </w:rPr>
              <w:t>指标属性</w:t>
            </w:r>
          </w:p>
        </w:tc>
      </w:tr>
      <w:tr w14:paraId="2E68CD29">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440" w:hRule="atLeast"/>
          <w:jc w:val="center"/>
        </w:trPr>
        <w:tc>
          <w:tcPr>
            <w:tcW w:w="332" w:type="dxa"/>
            <w:vMerge w:val="continue"/>
            <w:tcBorders>
              <w:top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0F6A992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6D37762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536A9F8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858"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39831D1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975"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7CC806C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985" w:type="dxa"/>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401017B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bCs/>
                <w:color w:val="auto"/>
                <w:spacing w:val="0"/>
                <w:kern w:val="2"/>
                <w:sz w:val="21"/>
                <w:szCs w:val="21"/>
                <w:highlight w:val="none"/>
                <w:lang w:val="en-US" w:eastAsia="zh-CN" w:bidi="ar-SA"/>
              </w:rPr>
              <w:t>绝对值</w:t>
            </w:r>
          </w:p>
        </w:tc>
        <w:tc>
          <w:tcPr>
            <w:tcW w:w="809" w:type="dxa"/>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3AD26D1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bCs/>
                <w:color w:val="auto"/>
                <w:spacing w:val="0"/>
                <w:kern w:val="2"/>
                <w:sz w:val="21"/>
                <w:szCs w:val="21"/>
                <w:highlight w:val="none"/>
                <w:lang w:val="en-US" w:eastAsia="zh-CN" w:bidi="ar-SA"/>
              </w:rPr>
              <w:t>年均增长（%）</w:t>
            </w:r>
          </w:p>
        </w:tc>
        <w:tc>
          <w:tcPr>
            <w:tcW w:w="772" w:type="dxa"/>
            <w:vMerge w:val="continue"/>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5AB56BA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p>
        </w:tc>
      </w:tr>
      <w:tr w14:paraId="4F190FBD">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22CA03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w:t>
            </w:r>
          </w:p>
        </w:tc>
        <w:tc>
          <w:tcPr>
            <w:tcW w:w="550" w:type="dxa"/>
            <w:vMerge w:val="restart"/>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4FBEE96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经济发展</w:t>
            </w: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6CDA19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地区生产总值</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659C4D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亿元</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780174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eastAsia" w:eastAsia="仿宋_GB2312" w:cs="Times New Roman"/>
                <w:color w:val="auto"/>
                <w:spacing w:val="0"/>
                <w:sz w:val="21"/>
                <w:szCs w:val="21"/>
                <w:lang w:val="en-US" w:eastAsia="zh-CN"/>
              </w:rPr>
              <w:t>213.9</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9C568D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300</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BAAE6F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7</w:t>
            </w:r>
          </w:p>
        </w:tc>
        <w:tc>
          <w:tcPr>
            <w:tcW w:w="772" w:type="dxa"/>
            <w:tcBorders>
              <w:top w:val="single" w:color="4F81BD" w:sz="8" w:space="0"/>
              <w:left w:val="single" w:color="4F81BD" w:sz="8" w:space="0"/>
              <w:bottom w:val="single" w:color="4F81BD" w:sz="8" w:space="0"/>
            </w:tcBorders>
            <w:shd w:val="clear" w:color="auto" w:fill="FFFFFF"/>
            <w:noWrap/>
            <w:tcMar>
              <w:top w:w="15" w:type="dxa"/>
              <w:left w:w="15" w:type="dxa"/>
              <w:right w:w="15" w:type="dxa"/>
            </w:tcMar>
            <w:vAlign w:val="center"/>
          </w:tcPr>
          <w:p w14:paraId="07DAEF2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0120E7AD">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0817EA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2</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2EB258B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48F3CD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人均GDP</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0AF7C6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元</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9D3A4F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eastAsia" w:eastAsia="仿宋_GB2312" w:cs="Times New Roman"/>
                <w:color w:val="auto"/>
                <w:spacing w:val="0"/>
                <w:sz w:val="21"/>
                <w:szCs w:val="21"/>
                <w:lang w:val="en-US" w:eastAsia="zh-CN"/>
              </w:rPr>
              <w:t>73227</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BB6096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98000</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A34120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6</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0052949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67264E2B">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867691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3</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2A63662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2F715D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全员劳动生产率</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A980DB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万元/人</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AA92E0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sz w:val="21"/>
                <w:szCs w:val="21"/>
                <w:highlight w:val="none"/>
                <w:lang w:val="en-US" w:eastAsia="zh-CN"/>
              </w:rPr>
              <w:t>47.2</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D72B02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0"/>
                <w:sz w:val="21"/>
                <w:szCs w:val="21"/>
                <w:highlight w:val="none"/>
                <w:lang w:val="en-US" w:eastAsia="zh-CN" w:bidi="ar"/>
              </w:rPr>
              <w:t>60.2</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BE4BCC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3964D5B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6E3AECAC">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4A91C6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4</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6B49000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E6FF7F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常住人口城镇化率</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B82504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96EAB4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42.5</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C2DFCD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65</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8F6449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64DF5E3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47A45EB1">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C13C07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5</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786258D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C1FC69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地方财政一般公共预算收入</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636B90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亿元</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97BBAD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12.9</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49E4A6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14.9</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179DE4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3</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7CF6CF3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7AF29C48">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5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F8A5E3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6</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39063BF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B4F012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规模以上固定资产投资</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9CF4F0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亿元</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C3BD25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eastAsia" w:eastAsia="仿宋_GB2312" w:cs="Times New Roman"/>
                <w:color w:val="auto"/>
                <w:spacing w:val="0"/>
                <w:kern w:val="0"/>
                <w:sz w:val="21"/>
                <w:szCs w:val="21"/>
                <w:lang w:val="en-US" w:eastAsia="zh-CN" w:bidi="ar"/>
              </w:rPr>
              <w:t>77.5</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3D596E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128</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64186C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10</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401B1DC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31E5B3BB">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46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6480F3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7</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25755C1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C96E7F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高原特色农业增加值占GDP的比重</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BE2A98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4ECE09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13.</w:t>
            </w:r>
            <w:r>
              <w:rPr>
                <w:rFonts w:hint="eastAsia" w:eastAsia="仿宋_GB2312" w:cs="Times New Roman"/>
                <w:color w:val="auto"/>
                <w:spacing w:val="0"/>
                <w:kern w:val="0"/>
                <w:sz w:val="21"/>
                <w:szCs w:val="21"/>
                <w:lang w:val="en-US" w:eastAsia="zh-CN" w:bidi="ar"/>
              </w:rPr>
              <w:t>8</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7B68AE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11.2</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2A18E9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1590491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3C691C59">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E41D66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8</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4145DE6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712BA7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工业增加值占GDP比重</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671B8C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5F85C6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eastAsia" w:eastAsia="仿宋_GB2312" w:cs="Times New Roman"/>
                <w:color w:val="auto"/>
                <w:spacing w:val="0"/>
                <w:kern w:val="0"/>
                <w:sz w:val="21"/>
                <w:szCs w:val="21"/>
                <w:lang w:val="en-US" w:eastAsia="zh-CN" w:bidi="ar"/>
              </w:rPr>
              <w:t>31</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DD3A13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41.6</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960D71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0092567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4E7E60AC">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4F2895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9</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28B6C97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D095AD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现代服务业增加值占GDP的比重</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76AA5D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0FE9C4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eastAsia" w:eastAsia="仿宋_GB2312" w:cs="Times New Roman"/>
                <w:color w:val="auto"/>
                <w:spacing w:val="0"/>
                <w:kern w:val="0"/>
                <w:sz w:val="21"/>
                <w:szCs w:val="21"/>
                <w:lang w:val="en-US" w:eastAsia="zh-CN" w:bidi="ar"/>
              </w:rPr>
              <w:t>45.1</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024633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46.7</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CAB1DC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3EC9B3C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439989EB">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3C7FFA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10</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4273BE6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3D2646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农产品加工产值与农产品总产值比</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8DFBCD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9EFFFE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64.5</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317DD5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200</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8F77D7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190E981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5E9F0AC3">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641830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11</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3415036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EC3E34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制造业增加值占GDP比重</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FEF465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651627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0"/>
                <w:sz w:val="21"/>
                <w:szCs w:val="21"/>
                <w:highlight w:val="none"/>
                <w:lang w:val="en-US" w:eastAsia="zh-CN" w:bidi="ar"/>
              </w:rPr>
              <w:t>17</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8F5B1F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highlight w:val="none"/>
                <w:lang w:val="en-US" w:eastAsia="zh-CN" w:bidi="ar"/>
              </w:rPr>
              <w:t>22</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ED6BDB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515C01A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34EAB43C">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8CD7DC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12</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30DED4D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14B27D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进出口贸易总额</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AE2C59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万美元</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C8FC87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eastAsia" w:eastAsia="仿宋_GB2312" w:cs="Times New Roman"/>
                <w:color w:val="auto"/>
                <w:spacing w:val="0"/>
                <w:kern w:val="0"/>
                <w:sz w:val="21"/>
                <w:szCs w:val="21"/>
                <w:lang w:val="en-US" w:eastAsia="zh-CN" w:bidi="ar"/>
              </w:rPr>
              <w:t>8303</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6F05FA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15165</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EA8AE8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12.1</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65E203E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7C5620B7">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07C666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13</w:t>
            </w:r>
          </w:p>
        </w:tc>
        <w:tc>
          <w:tcPr>
            <w:tcW w:w="550" w:type="dxa"/>
            <w:vMerge w:val="restart"/>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731BE7C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创新驱动</w:t>
            </w: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34FCC5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研发经费投入强度</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20435B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939569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0.99</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78E9CC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1</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F6A5C3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6D2FE9B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7350BB8D">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0C7498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14</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1C75197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31ACDF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每万人口发明专利拥有量</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743D0D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件</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77182F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7</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0FE439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8</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DDA803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2.7</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50580A7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4BE7167D">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369B93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15</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3084102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25BAFC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高新技术企业数量</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08A67B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户</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852D75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9A0100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7</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6860F6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28.5</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32A6E2C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05E2545E">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9622B7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16</w:t>
            </w:r>
          </w:p>
        </w:tc>
        <w:tc>
          <w:tcPr>
            <w:tcW w:w="550" w:type="dxa"/>
            <w:vMerge w:val="restart"/>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1F37BC3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民生福祉</w:t>
            </w: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C5FACA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城镇常住居民人均可支配收入</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6E4495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元</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BDCE75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bidi="ar"/>
              </w:rPr>
            </w:pPr>
            <w:r>
              <w:rPr>
                <w:rFonts w:hint="eastAsia" w:eastAsia="仿宋_GB2312" w:cs="Times New Roman"/>
                <w:color w:val="auto"/>
                <w:spacing w:val="0"/>
                <w:kern w:val="0"/>
                <w:sz w:val="21"/>
                <w:szCs w:val="21"/>
                <w:lang w:val="en-US" w:eastAsia="zh-CN" w:bidi="ar"/>
              </w:rPr>
              <w:t>41952</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3573F5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59408</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8AF602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7</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65E494B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76FACFA2">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D128B0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17</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453435F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C09593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农村常住居民人均可支配收入</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20F0D7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元</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438A30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eastAsia" w:eastAsia="仿宋_GB2312" w:cs="Times New Roman"/>
                <w:color w:val="auto"/>
                <w:spacing w:val="0"/>
                <w:kern w:val="0"/>
                <w:sz w:val="21"/>
                <w:szCs w:val="21"/>
                <w:lang w:val="en-US" w:eastAsia="zh-CN" w:bidi="ar"/>
              </w:rPr>
              <w:t>15858</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E92B3E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23562</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062DB1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8</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7E1DDBE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1F57A014">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67F0F7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18</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4AB6EC1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DDE45C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城镇登记失业率</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08B76C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01DC99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3.4</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87BA7A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5.5</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E8660D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51129A6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约束性</w:t>
            </w:r>
          </w:p>
        </w:tc>
      </w:tr>
      <w:tr w14:paraId="2B5CD652">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B6A5C3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19</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46AC099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04CEC7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基本养老保险参保人数</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5CDA41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人</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A9616C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208898</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05DB74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210000</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E87A73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0.05</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050FD87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20139CA1">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43CD65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20</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37BE4B0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98EBBD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人均预期寿命</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3ED74A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岁</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6B75C5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77.34</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8819E7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77.5</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F5DF5F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0.21</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0DF2202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eastAsia="zh-CN"/>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6DBBAF0F">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8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E79CD6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21</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017B84F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1F2DE6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每千人拥有执业（助理）医师数</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5F258B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人</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00E9AA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2.3</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8DD7B1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2.6</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2367A0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2.5</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0055B46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098A5CA5">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8BF160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22</w:t>
            </w:r>
          </w:p>
        </w:tc>
        <w:tc>
          <w:tcPr>
            <w:tcW w:w="550" w:type="dxa"/>
            <w:vMerge w:val="restart"/>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70B392B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eastAsia="zh-CN"/>
              </w:rPr>
            </w:pPr>
            <w:r>
              <w:rPr>
                <w:rFonts w:hint="default" w:ascii="Times New Roman" w:hAnsi="Times New Roman" w:eastAsia="仿宋_GB2312" w:cs="Times New Roman"/>
                <w:color w:val="auto"/>
                <w:spacing w:val="0"/>
                <w:sz w:val="21"/>
                <w:szCs w:val="21"/>
                <w:lang w:eastAsia="zh-CN"/>
              </w:rPr>
              <w:t>生态宜居</w:t>
            </w: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5DC3D8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单位GDP能源消耗降幅</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DD08AE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004413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31E6D2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3</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D3638B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1C0A313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约束性</w:t>
            </w:r>
          </w:p>
        </w:tc>
      </w:tr>
      <w:tr w14:paraId="5A43FC98">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D15F9F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23</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1879FF5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eastAsia="zh-CN"/>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83BD98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单位GDP二氧化碳排放降幅</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63AF58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21681C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14</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E4C08F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25</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35C071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05535C4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约束性</w:t>
            </w:r>
          </w:p>
        </w:tc>
      </w:tr>
      <w:tr w14:paraId="07788C37">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D767D0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24</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51ADBB6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C225AD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城市污水集中处理率</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D877B2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B5CD08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eastAsia" w:eastAsia="仿宋_GB2312" w:cs="Times New Roman"/>
                <w:color w:val="auto"/>
                <w:spacing w:val="0"/>
                <w:kern w:val="0"/>
                <w:sz w:val="21"/>
                <w:szCs w:val="21"/>
                <w:lang w:val="en-US" w:eastAsia="zh-CN" w:bidi="ar"/>
              </w:rPr>
              <w:t>87.23</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D9DA90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90</w:t>
            </w:r>
          </w:p>
        </w:tc>
        <w:tc>
          <w:tcPr>
            <w:tcW w:w="809" w:type="dxa"/>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67F2E2C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291277F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约束性</w:t>
            </w:r>
          </w:p>
        </w:tc>
      </w:tr>
      <w:tr w14:paraId="2A7F729F">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3DC6CF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25</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6FB3D94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4A2CA9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森林覆盖率</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4195A5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380BE9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0"/>
                <w:sz w:val="21"/>
                <w:szCs w:val="21"/>
                <w:lang w:val="en-US" w:eastAsia="zh-CN" w:bidi="ar"/>
              </w:rPr>
              <w:t>73.65</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F7B43B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73.67</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2B16DF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0BFBFE0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约束性</w:t>
            </w:r>
          </w:p>
        </w:tc>
      </w:tr>
      <w:tr w14:paraId="7228DB35">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BFDB41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26</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38958B2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0D8AE2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县城环境空气质量优良级天数达标率</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668163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8F9263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100</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D798E6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99.2</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B5F7DC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059E3D9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约束性</w:t>
            </w:r>
          </w:p>
        </w:tc>
      </w:tr>
      <w:tr w14:paraId="72B85E19">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8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ED0BCB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b w:val="0"/>
                <w:bCs w:val="0"/>
                <w:color w:val="auto"/>
                <w:spacing w:val="0"/>
                <w:kern w:val="2"/>
                <w:sz w:val="21"/>
                <w:szCs w:val="21"/>
                <w:highlight w:val="none"/>
                <w:lang w:val="en-US" w:eastAsia="zh-CN" w:bidi="ar-SA"/>
              </w:rPr>
            </w:pPr>
            <w:r>
              <w:rPr>
                <w:rFonts w:hint="default" w:ascii="Times New Roman" w:hAnsi="Times New Roman" w:eastAsia="仿宋_GB2312" w:cs="Times New Roman"/>
                <w:b w:val="0"/>
                <w:bCs w:val="0"/>
                <w:color w:val="auto"/>
                <w:spacing w:val="0"/>
                <w:kern w:val="2"/>
                <w:sz w:val="21"/>
                <w:szCs w:val="21"/>
                <w:highlight w:val="none"/>
                <w:lang w:val="en-US" w:eastAsia="zh-CN" w:bidi="ar-SA"/>
              </w:rPr>
              <w:t>27</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53DE876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eastAsia="zh-CN"/>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022EC1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粮食总产量</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29F498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亿公斤</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F2E62C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0"/>
                <w:sz w:val="21"/>
                <w:szCs w:val="21"/>
                <w:lang w:val="en-US" w:eastAsia="zh-CN" w:bidi="ar"/>
              </w:rPr>
              <w:t>1.81</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D90443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04B2A6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2</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48FA02C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2"/>
                <w:sz w:val="21"/>
                <w:szCs w:val="21"/>
                <w:highlight w:val="none"/>
                <w:lang w:val="en-US" w:eastAsia="zh-CN" w:bidi="ar-SA"/>
              </w:rPr>
            </w:pPr>
            <w:r>
              <w:rPr>
                <w:rFonts w:hint="default" w:ascii="Times New Roman" w:hAnsi="Times New Roman" w:eastAsia="仿宋_GB2312" w:cs="Times New Roman"/>
                <w:color w:val="auto"/>
                <w:spacing w:val="0"/>
                <w:kern w:val="2"/>
                <w:sz w:val="21"/>
                <w:szCs w:val="21"/>
                <w:highlight w:val="none"/>
                <w:lang w:val="en-US" w:eastAsia="zh-CN" w:bidi="ar-SA"/>
              </w:rPr>
              <w:t>约束性</w:t>
            </w:r>
          </w:p>
        </w:tc>
      </w:tr>
      <w:tr w14:paraId="5071F89E">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right w:val="single" w:color="4F81BD" w:sz="8" w:space="0"/>
            </w:tcBorders>
            <w:shd w:val="clear" w:color="auto" w:fill="FFFFFF"/>
            <w:noWrap/>
            <w:tcMar>
              <w:top w:w="15" w:type="dxa"/>
              <w:left w:w="15" w:type="dxa"/>
              <w:right w:w="15" w:type="dxa"/>
            </w:tcMar>
            <w:vAlign w:val="center"/>
          </w:tcPr>
          <w:p w14:paraId="03E3EC9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b w:val="0"/>
                <w:bCs w:val="0"/>
                <w:color w:val="auto"/>
                <w:spacing w:val="0"/>
                <w:kern w:val="2"/>
                <w:sz w:val="21"/>
                <w:szCs w:val="21"/>
                <w:highlight w:val="none"/>
                <w:lang w:val="en-US" w:eastAsia="zh-CN" w:bidi="ar-SA"/>
              </w:rPr>
            </w:pPr>
            <w:r>
              <w:rPr>
                <w:rFonts w:hint="default" w:ascii="Times New Roman" w:hAnsi="Times New Roman" w:eastAsia="仿宋_GB2312" w:cs="Times New Roman"/>
                <w:b w:val="0"/>
                <w:bCs w:val="0"/>
                <w:color w:val="auto"/>
                <w:spacing w:val="0"/>
                <w:kern w:val="2"/>
                <w:sz w:val="21"/>
                <w:szCs w:val="21"/>
                <w:highlight w:val="none"/>
                <w:lang w:val="en-US" w:eastAsia="zh-CN" w:bidi="ar-SA"/>
              </w:rPr>
              <w:t>28</w:t>
            </w:r>
          </w:p>
        </w:tc>
        <w:tc>
          <w:tcPr>
            <w:tcW w:w="550" w:type="dxa"/>
            <w:vMerge w:val="continue"/>
            <w:tcBorders>
              <w:top w:val="single" w:color="4F81BD" w:sz="8" w:space="0"/>
              <w:left w:val="single" w:color="4F81BD" w:sz="8" w:space="0"/>
              <w:right w:val="single" w:color="4F81BD" w:sz="8" w:space="0"/>
            </w:tcBorders>
            <w:shd w:val="clear" w:color="auto" w:fill="FFFFFF"/>
            <w:tcMar>
              <w:top w:w="15" w:type="dxa"/>
              <w:left w:w="15" w:type="dxa"/>
              <w:right w:w="15" w:type="dxa"/>
            </w:tcMar>
            <w:vAlign w:val="center"/>
          </w:tcPr>
          <w:p w14:paraId="35D3A12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right w:val="single" w:color="4F81BD" w:sz="8" w:space="0"/>
            </w:tcBorders>
            <w:shd w:val="clear" w:color="auto" w:fill="FFFFFF"/>
            <w:noWrap/>
            <w:tcMar>
              <w:top w:w="15" w:type="dxa"/>
              <w:left w:w="15" w:type="dxa"/>
              <w:right w:w="15" w:type="dxa"/>
            </w:tcMar>
            <w:vAlign w:val="center"/>
          </w:tcPr>
          <w:p w14:paraId="7103340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全社会用电量</w:t>
            </w:r>
          </w:p>
        </w:tc>
        <w:tc>
          <w:tcPr>
            <w:tcW w:w="858" w:type="dxa"/>
            <w:tcBorders>
              <w:top w:val="single" w:color="4F81BD" w:sz="8" w:space="0"/>
              <w:left w:val="single" w:color="4F81BD" w:sz="8" w:space="0"/>
              <w:right w:val="single" w:color="4F81BD" w:sz="8" w:space="0"/>
            </w:tcBorders>
            <w:shd w:val="clear" w:color="auto" w:fill="FFFFFF"/>
            <w:noWrap/>
            <w:tcMar>
              <w:top w:w="15" w:type="dxa"/>
              <w:left w:w="15" w:type="dxa"/>
              <w:right w:w="15" w:type="dxa"/>
            </w:tcMar>
            <w:vAlign w:val="center"/>
          </w:tcPr>
          <w:p w14:paraId="02711DB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亿千瓦</w:t>
            </w:r>
          </w:p>
        </w:tc>
        <w:tc>
          <w:tcPr>
            <w:tcW w:w="975" w:type="dxa"/>
            <w:tcBorders>
              <w:top w:val="single" w:color="4F81BD" w:sz="8" w:space="0"/>
              <w:left w:val="single" w:color="4F81BD" w:sz="8" w:space="0"/>
              <w:right w:val="single" w:color="4F81BD" w:sz="8" w:space="0"/>
            </w:tcBorders>
            <w:shd w:val="clear" w:color="auto" w:fill="FFFFFF"/>
            <w:noWrap/>
            <w:tcMar>
              <w:top w:w="15" w:type="dxa"/>
              <w:left w:w="15" w:type="dxa"/>
              <w:right w:w="15" w:type="dxa"/>
            </w:tcMar>
            <w:vAlign w:val="center"/>
          </w:tcPr>
          <w:p w14:paraId="784BA1D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27.13</w:t>
            </w:r>
          </w:p>
        </w:tc>
        <w:tc>
          <w:tcPr>
            <w:tcW w:w="985" w:type="dxa"/>
            <w:tcBorders>
              <w:top w:val="single" w:color="4F81BD" w:sz="8" w:space="0"/>
              <w:left w:val="single" w:color="4F81BD" w:sz="8" w:space="0"/>
              <w:right w:val="single" w:color="4F81BD" w:sz="8" w:space="0"/>
            </w:tcBorders>
            <w:shd w:val="clear" w:color="auto" w:fill="FFFFFF"/>
            <w:noWrap/>
            <w:tcMar>
              <w:top w:w="15" w:type="dxa"/>
              <w:left w:w="15" w:type="dxa"/>
              <w:right w:w="15" w:type="dxa"/>
            </w:tcMar>
            <w:vAlign w:val="center"/>
          </w:tcPr>
          <w:p w14:paraId="4971934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43.07</w:t>
            </w:r>
          </w:p>
        </w:tc>
        <w:tc>
          <w:tcPr>
            <w:tcW w:w="809" w:type="dxa"/>
            <w:tcBorders>
              <w:top w:val="single" w:color="4F81BD" w:sz="8" w:space="0"/>
              <w:left w:val="single" w:color="4F81BD" w:sz="8" w:space="0"/>
              <w:right w:val="single" w:color="4F81BD" w:sz="8" w:space="0"/>
            </w:tcBorders>
            <w:shd w:val="clear" w:color="auto" w:fill="FFFFFF"/>
            <w:noWrap/>
            <w:tcMar>
              <w:top w:w="15" w:type="dxa"/>
              <w:left w:w="15" w:type="dxa"/>
              <w:right w:w="15" w:type="dxa"/>
            </w:tcMar>
            <w:vAlign w:val="center"/>
          </w:tcPr>
          <w:p w14:paraId="57D9319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rPr>
            </w:pPr>
            <w:r>
              <w:rPr>
                <w:rFonts w:hint="default" w:ascii="Times New Roman" w:hAnsi="Times New Roman" w:eastAsia="仿宋_GB2312" w:cs="Times New Roman"/>
                <w:color w:val="auto"/>
                <w:spacing w:val="0"/>
                <w:sz w:val="21"/>
                <w:szCs w:val="21"/>
                <w:lang w:val="en-US" w:eastAsia="zh-CN"/>
              </w:rPr>
              <w:t>9.37</w:t>
            </w:r>
          </w:p>
        </w:tc>
        <w:tc>
          <w:tcPr>
            <w:tcW w:w="772" w:type="dxa"/>
            <w:tcBorders>
              <w:top w:val="single" w:color="4F81BD" w:sz="8" w:space="0"/>
              <w:left w:val="single" w:color="4F81BD" w:sz="8" w:space="0"/>
            </w:tcBorders>
            <w:shd w:val="clear" w:color="auto" w:fill="FFFFFF"/>
            <w:tcMar>
              <w:top w:w="15" w:type="dxa"/>
              <w:left w:w="15" w:type="dxa"/>
              <w:right w:w="15" w:type="dxa"/>
            </w:tcMar>
            <w:vAlign w:val="center"/>
          </w:tcPr>
          <w:p w14:paraId="14801E5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2"/>
                <w:sz w:val="21"/>
                <w:szCs w:val="21"/>
                <w:highlight w:val="none"/>
                <w:lang w:val="en-US" w:eastAsia="zh-CN" w:bidi="ar-SA"/>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bl>
    <w:p w14:paraId="0ECA3448">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35" w:name="_Toc157"/>
      <w:bookmarkStart w:id="36" w:name="_Toc26947"/>
      <w:bookmarkStart w:id="37" w:name="_Toc26633"/>
      <w:bookmarkStart w:id="38" w:name="_Toc16334"/>
      <w:r>
        <w:rPr>
          <w:rFonts w:hint="eastAsia" w:ascii="黑体" w:hAnsi="黑体" w:eastAsia="黑体" w:cs="黑体"/>
          <w:b/>
          <w:bCs w:val="0"/>
          <w:color w:val="auto"/>
          <w:spacing w:val="0"/>
          <w:szCs w:val="32"/>
        </w:rPr>
        <w:t xml:space="preserve">第五节  </w:t>
      </w:r>
      <w:bookmarkEnd w:id="35"/>
      <w:r>
        <w:rPr>
          <w:rFonts w:hint="eastAsia" w:ascii="黑体" w:hAnsi="黑体" w:eastAsia="黑体" w:cs="黑体"/>
          <w:b/>
          <w:bCs w:val="0"/>
          <w:color w:val="auto"/>
          <w:spacing w:val="0"/>
          <w:szCs w:val="32"/>
        </w:rPr>
        <w:t>远景展望</w:t>
      </w:r>
      <w:bookmarkEnd w:id="36"/>
      <w:bookmarkEnd w:id="37"/>
      <w:bookmarkEnd w:id="38"/>
    </w:p>
    <w:p w14:paraId="02FA9DF0">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在全面建成小康社会的基础上，再奋斗十五年，到二〇三五年，与全国全省全市同步基本实现社会主义现代化。地区生产总值达</w:t>
      </w:r>
      <w:r>
        <w:rPr>
          <w:rFonts w:hint="default" w:ascii="Times New Roman" w:hAnsi="Times New Roman" w:eastAsia="仿宋_GB2312" w:cs="Times New Roman"/>
          <w:color w:val="auto"/>
          <w:spacing w:val="0"/>
          <w:szCs w:val="22"/>
          <w:highlight w:val="none"/>
        </w:rPr>
        <w:t>600</w:t>
      </w:r>
      <w:r>
        <w:rPr>
          <w:rFonts w:hint="default" w:ascii="Times New Roman" w:hAnsi="Times New Roman" w:eastAsia="仿宋_GB2312" w:cs="Times New Roman"/>
          <w:color w:val="auto"/>
          <w:spacing w:val="0"/>
          <w:sz w:val="32"/>
          <w:szCs w:val="32"/>
          <w:highlight w:val="none"/>
        </w:rPr>
        <w:t>亿元左右，城乡居民可支配收入在</w:t>
      </w:r>
      <w:r>
        <w:rPr>
          <w:rFonts w:hint="default" w:ascii="Times New Roman" w:hAnsi="Times New Roman" w:eastAsia="仿宋_GB2312" w:cs="Times New Roman"/>
          <w:color w:val="auto"/>
          <w:spacing w:val="0"/>
          <w:szCs w:val="22"/>
          <w:highlight w:val="none"/>
        </w:rPr>
        <w:t>2020</w:t>
      </w:r>
      <w:r>
        <w:rPr>
          <w:rFonts w:hint="default" w:ascii="Times New Roman" w:hAnsi="Times New Roman" w:eastAsia="仿宋_GB2312" w:cs="Times New Roman"/>
          <w:color w:val="auto"/>
          <w:spacing w:val="0"/>
          <w:sz w:val="32"/>
          <w:szCs w:val="32"/>
          <w:highlight w:val="none"/>
        </w:rPr>
        <w:t>年的基础上翻一番；富强新平、活力新平、文化新平、美丽新平、和谐新平基本建成；基本实现新型工业化、信息化、城镇化、农业现代化，建成现代化经济体系；基本实现社会治理体系和治理能力现代化，人民平等参与、平等发展权利得到充分保障，基本建成法治政府、法治社会；建成文化强县、教育强县、人才强县、体育强县、健康新平，居民素质和社会文明程度达到新高度，文化软实力显著增强；广泛形成绿色生产生活方式，生态环境根本好转；中等收入群体显著扩大，城乡区域发展差距和居民生活水平差距显著缩小；人民生活更加美好，人的全面发展、全体人民共同富裕取得更为明显的实质性进展。</w:t>
      </w:r>
    </w:p>
    <w:p w14:paraId="61000366">
      <w:pPr>
        <w:pageBreakBefore w:val="0"/>
        <w:widowControl w:val="0"/>
        <w:kinsoku/>
        <w:wordWrap/>
        <w:overflowPunct/>
        <w:topLinePunct w:val="0"/>
        <w:autoSpaceDN/>
        <w:bidi w:val="0"/>
        <w:spacing w:before="0" w:after="0"/>
        <w:rPr>
          <w:rFonts w:hint="default" w:ascii="Times New Roman" w:hAnsi="Times New Roman" w:eastAsia="仿宋_GB2312" w:cs="Times New Roman"/>
          <w:color w:val="auto"/>
          <w:spacing w:val="0"/>
        </w:rPr>
      </w:pPr>
    </w:p>
    <w:p w14:paraId="5940BDF3">
      <w:pPr>
        <w:pageBreakBefore w:val="0"/>
        <w:widowControl w:val="0"/>
        <w:kinsoku/>
        <w:wordWrap/>
        <w:overflowPunct/>
        <w:topLinePunct w:val="0"/>
        <w:autoSpaceDN/>
        <w:bidi w:val="0"/>
        <w:ind w:left="0" w:leftChars="0" w:firstLine="0" w:firstLineChars="0"/>
        <w:rPr>
          <w:rFonts w:hint="default"/>
          <w:color w:val="auto"/>
          <w:spacing w:val="0"/>
        </w:rPr>
      </w:pPr>
      <w:r>
        <w:rPr>
          <w:rFonts w:hint="default"/>
          <w:color w:val="auto"/>
          <w:spacing w:val="0"/>
        </w:rPr>
        <w:br w:type="page"/>
      </w:r>
    </w:p>
    <w:p w14:paraId="6CF22C89">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bCs w:val="0"/>
          <w:color w:val="auto"/>
          <w:spacing w:val="0"/>
          <w:kern w:val="2"/>
          <w:sz w:val="36"/>
          <w:szCs w:val="36"/>
          <w:lang w:val="en-US" w:eastAsia="zh-CN"/>
        </w:rPr>
      </w:pPr>
      <w:bookmarkStart w:id="39" w:name="_Toc17022"/>
      <w:bookmarkStart w:id="40" w:name="_Toc27909"/>
      <w:r>
        <w:rPr>
          <w:rFonts w:hint="eastAsia" w:ascii="方正小标宋_GBK" w:hAnsi="方正小标宋_GBK" w:eastAsia="方正小标宋_GBK" w:cs="方正小标宋_GBK"/>
          <w:bCs w:val="0"/>
          <w:color w:val="auto"/>
          <w:spacing w:val="0"/>
          <w:kern w:val="2"/>
          <w:sz w:val="36"/>
          <w:szCs w:val="36"/>
          <w:lang w:val="en-US" w:eastAsia="zh-CN"/>
        </w:rPr>
        <w:t>第三章  优化生产力空间布局，拓展高质量发展</w:t>
      </w:r>
      <w:bookmarkStart w:id="41" w:name="_Toc14782"/>
      <w:r>
        <w:rPr>
          <w:rFonts w:hint="eastAsia" w:ascii="方正小标宋_GBK" w:hAnsi="方正小标宋_GBK" w:eastAsia="方正小标宋_GBK" w:cs="方正小标宋_GBK"/>
          <w:bCs w:val="0"/>
          <w:color w:val="auto"/>
          <w:spacing w:val="0"/>
          <w:kern w:val="2"/>
          <w:sz w:val="36"/>
          <w:szCs w:val="36"/>
          <w:lang w:val="en-US" w:eastAsia="zh-CN"/>
        </w:rPr>
        <w:t>新空间</w:t>
      </w:r>
      <w:bookmarkEnd w:id="39"/>
      <w:bookmarkEnd w:id="40"/>
      <w:bookmarkEnd w:id="41"/>
    </w:p>
    <w:p w14:paraId="3F58DA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color w:val="auto"/>
          <w:spacing w:val="0"/>
        </w:rPr>
      </w:pPr>
      <w:r>
        <w:rPr>
          <w:rFonts w:hint="default" w:ascii="Times New Roman" w:hAnsi="Times New Roman" w:eastAsia="仿宋_GB2312" w:cs="Times New Roman"/>
          <w:color w:val="auto"/>
          <w:spacing w:val="0"/>
          <w:sz w:val="32"/>
          <w:szCs w:val="32"/>
          <w:highlight w:val="none"/>
        </w:rPr>
        <w:t>立足资源环境承载能力和国土空间开发适宜性评价，以国土空间规划为引领，贯彻落实国家、省、市重大区域战略，</w:t>
      </w:r>
      <w:r>
        <w:rPr>
          <w:rFonts w:hint="default" w:ascii="Times New Roman" w:hAnsi="Times New Roman" w:eastAsia="仿宋_GB2312" w:cs="Times New Roman"/>
          <w:color w:val="auto"/>
          <w:spacing w:val="0"/>
          <w:sz w:val="32"/>
          <w:szCs w:val="32"/>
          <w:highlight w:val="none"/>
          <w:lang w:val="en-US" w:eastAsia="zh-CN"/>
        </w:rPr>
        <w:t>强化</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三区三线</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管控，促进各类要素合理流动和高效集聚，构建高质量发展的空间布局。</w:t>
      </w:r>
    </w:p>
    <w:p w14:paraId="75988304">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42" w:name="_Toc15741"/>
      <w:bookmarkStart w:id="43" w:name="_Toc2588"/>
      <w:r>
        <w:rPr>
          <w:rFonts w:hint="eastAsia" w:ascii="黑体" w:hAnsi="黑体" w:eastAsia="黑体" w:cs="黑体"/>
          <w:b/>
          <w:bCs w:val="0"/>
          <w:color w:val="auto"/>
          <w:spacing w:val="0"/>
          <w:szCs w:val="32"/>
        </w:rPr>
        <w:t>第一节  统筹国土空间开发保护格局</w:t>
      </w:r>
      <w:bookmarkEnd w:id="42"/>
      <w:bookmarkEnd w:id="43"/>
    </w:p>
    <w:p w14:paraId="3E45C2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落实好新平作为农产品主产区的主体功能定位，围绕</w:t>
      </w:r>
      <w:r>
        <w:rPr>
          <w:rFonts w:hint="default" w:ascii="Times New Roman" w:hAnsi="Times New Roman" w:eastAsia="仿宋_GB2312" w:cs="Times New Roman"/>
          <w:color w:val="auto"/>
          <w:spacing w:val="0"/>
          <w:sz w:val="32"/>
          <w:szCs w:val="32"/>
          <w:highlight w:val="none"/>
          <w:lang w:eastAsia="zh-CN"/>
        </w:rPr>
        <w:t>打造</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滇中绿谷</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eastAsia="zh-CN"/>
        </w:rPr>
        <w:t>目标</w:t>
      </w:r>
      <w:r>
        <w:rPr>
          <w:rFonts w:hint="default" w:ascii="Times New Roman" w:hAnsi="Times New Roman" w:eastAsia="仿宋_GB2312" w:cs="Times New Roman"/>
          <w:color w:val="auto"/>
          <w:spacing w:val="0"/>
          <w:sz w:val="32"/>
          <w:szCs w:val="32"/>
          <w:highlight w:val="none"/>
        </w:rPr>
        <w:t>，构建全域覆盖、边界清晰、功能明确、战略引领与刚性管控互为补充的空间管控体系，</w:t>
      </w:r>
      <w:r>
        <w:rPr>
          <w:rFonts w:hint="default" w:ascii="Times New Roman" w:hAnsi="Times New Roman" w:eastAsia="仿宋_GB2312" w:cs="Times New Roman"/>
          <w:color w:val="auto"/>
          <w:spacing w:val="0"/>
          <w:sz w:val="32"/>
          <w:szCs w:val="32"/>
          <w:highlight w:val="none"/>
          <w:lang w:val="en-US" w:eastAsia="zh-CN"/>
        </w:rPr>
        <w:t>优化</w:t>
      </w:r>
      <w:r>
        <w:rPr>
          <w:rFonts w:hint="default" w:ascii="Times New Roman" w:hAnsi="Times New Roman" w:eastAsia="仿宋_GB2312" w:cs="Times New Roman"/>
          <w:color w:val="auto"/>
          <w:spacing w:val="0"/>
          <w:sz w:val="32"/>
          <w:szCs w:val="32"/>
          <w:highlight w:val="none"/>
        </w:rPr>
        <w:t>生态、农业、城镇空间，形成城乡融合、区域一体的网络化、开放式、集约型县域国土空间开发保护格局。</w:t>
      </w:r>
    </w:p>
    <w:p w14:paraId="2A6B2588">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一、引导各类空间协调发展</w:t>
      </w:r>
    </w:p>
    <w:p w14:paraId="28599454">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 w:val="32"/>
          <w:szCs w:val="32"/>
          <w:highlight w:val="none"/>
        </w:rPr>
      </w:pPr>
      <w:r>
        <w:rPr>
          <w:rFonts w:hint="eastAsia" w:ascii="仿宋_GB2312" w:hAnsi="仿宋_GB2312" w:eastAsia="仿宋_GB2312" w:cs="仿宋_GB2312"/>
          <w:b/>
          <w:bCs/>
          <w:color w:val="auto"/>
          <w:spacing w:val="0"/>
          <w:szCs w:val="22"/>
        </w:rPr>
        <w:t>优先确定生态空间。</w:t>
      </w:r>
      <w:r>
        <w:rPr>
          <w:rFonts w:hint="default" w:ascii="Times New Roman" w:hAnsi="Times New Roman" w:eastAsia="仿宋_GB2312" w:cs="Times New Roman"/>
          <w:color w:val="auto"/>
          <w:spacing w:val="0"/>
          <w:sz w:val="32"/>
          <w:szCs w:val="32"/>
          <w:highlight w:val="none"/>
        </w:rPr>
        <w:t>坚持保护优先、自然恢复为主的方针，遵循生态保护连续性原则，加强生态空间与城镇空间、农业空间中的江河水系、绿地系统、森林、耕地等</w:t>
      </w:r>
      <w:r>
        <w:rPr>
          <w:rFonts w:hint="default" w:ascii="Times New Roman" w:hAnsi="Times New Roman" w:eastAsia="仿宋_GB2312" w:cs="Times New Roman"/>
          <w:color w:val="auto"/>
          <w:spacing w:val="0"/>
          <w:sz w:val="32"/>
          <w:szCs w:val="32"/>
          <w:highlight w:val="none"/>
          <w:lang w:eastAsia="zh-CN"/>
        </w:rPr>
        <w:t>山水林田湖草</w:t>
      </w:r>
      <w:r>
        <w:rPr>
          <w:rFonts w:hint="default" w:ascii="Times New Roman" w:hAnsi="Times New Roman" w:eastAsia="仿宋_GB2312" w:cs="Times New Roman"/>
          <w:color w:val="auto"/>
          <w:spacing w:val="0"/>
          <w:sz w:val="32"/>
          <w:szCs w:val="32"/>
          <w:highlight w:val="none"/>
        </w:rPr>
        <w:t>生态要素的衔接联通，构建健康、完整、连续的绿色空间网络，明确哀牢山、磨盘山自然保护区、磨盘山国家森林公园、古州野林省级森林公园等自然保护地、生态重要和敏感地区</w:t>
      </w:r>
      <w:r>
        <w:rPr>
          <w:rFonts w:hint="default" w:ascii="Times New Roman" w:hAnsi="Times New Roman" w:eastAsia="仿宋_GB2312" w:cs="Times New Roman"/>
          <w:color w:val="auto"/>
          <w:spacing w:val="0"/>
          <w:sz w:val="32"/>
          <w:szCs w:val="32"/>
          <w:highlight w:val="none"/>
          <w:lang w:eastAsia="zh-CN"/>
        </w:rPr>
        <w:t>为生态保护区</w:t>
      </w:r>
      <w:r>
        <w:rPr>
          <w:rFonts w:hint="default" w:ascii="Times New Roman" w:hAnsi="Times New Roman" w:eastAsia="仿宋_GB2312" w:cs="Times New Roman"/>
          <w:color w:val="auto"/>
          <w:spacing w:val="0"/>
          <w:sz w:val="32"/>
          <w:szCs w:val="32"/>
          <w:highlight w:val="none"/>
        </w:rPr>
        <w:t>，构建全域以哀牢山、磨盘山、</w:t>
      </w:r>
      <w:r>
        <w:rPr>
          <w:rFonts w:hint="default" w:ascii="Times New Roman" w:hAnsi="Times New Roman" w:eastAsia="仿宋_GB2312" w:cs="Times New Roman"/>
          <w:color w:val="auto"/>
          <w:spacing w:val="0"/>
          <w:sz w:val="32"/>
          <w:szCs w:val="32"/>
          <w:highlight w:val="none"/>
          <w:lang w:eastAsia="zh-CN"/>
        </w:rPr>
        <w:t>红河</w:t>
      </w:r>
      <w:r>
        <w:rPr>
          <w:rFonts w:hint="default" w:ascii="Times New Roman" w:hAnsi="Times New Roman" w:eastAsia="仿宋_GB2312" w:cs="Times New Roman"/>
          <w:color w:val="auto"/>
          <w:spacing w:val="0"/>
          <w:sz w:val="32"/>
          <w:szCs w:val="32"/>
          <w:highlight w:val="none"/>
        </w:rPr>
        <w:t>、绿汁江等为重要生态屏障和生态廊道，形成连续、完整、系统的生态保护格局和开敞空间网络体系，确定生态保护与修复重点区域，合理预留基础设施廊道，维护生态安全和生物多样性，构建生态保护格局。</w:t>
      </w:r>
    </w:p>
    <w:p w14:paraId="5991737F">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b/>
          <w:bCs/>
          <w:color w:val="auto"/>
          <w:spacing w:val="0"/>
          <w:szCs w:val="22"/>
        </w:rPr>
        <w:t>保障农业发展空间。</w:t>
      </w:r>
      <w:r>
        <w:rPr>
          <w:rFonts w:hint="default" w:ascii="Times New Roman" w:hAnsi="Times New Roman" w:eastAsia="仿宋_GB2312" w:cs="Times New Roman"/>
          <w:color w:val="auto"/>
          <w:spacing w:val="0"/>
          <w:szCs w:val="22"/>
        </w:rPr>
        <w:t>优先保护耕地，维护粮食安全，以粮食生产功能区和重要农产品生产保护区为基础，稳定和优化农业生产空间布局，重点保护集中连片的优质耕地，引导农业发展向优势区聚集。提</w:t>
      </w:r>
      <w:r>
        <w:rPr>
          <w:rFonts w:hint="default" w:ascii="Times New Roman" w:hAnsi="Times New Roman" w:eastAsia="仿宋_GB2312" w:cs="Times New Roman"/>
          <w:color w:val="auto"/>
          <w:spacing w:val="0"/>
        </w:rPr>
        <w:t>高粮食保障能力及蔬菜自给率，结合地形地貌及气候特征，科学布局立体农业、观光农业等多种农业形态，因地制宜确定农业空间，形成布局合理、产业集中、优势突出的农业生产格局。</w:t>
      </w:r>
    </w:p>
    <w:p w14:paraId="1956280A">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b/>
          <w:bCs/>
          <w:color w:val="auto"/>
          <w:spacing w:val="0"/>
          <w:szCs w:val="22"/>
        </w:rPr>
        <w:t>融合城乡发展空间。</w:t>
      </w:r>
      <w:r>
        <w:rPr>
          <w:rFonts w:hint="default" w:ascii="Times New Roman" w:hAnsi="Times New Roman" w:eastAsia="仿宋_GB2312" w:cs="Times New Roman"/>
          <w:color w:val="auto"/>
          <w:spacing w:val="0"/>
        </w:rPr>
        <w:t>明确新平县域城镇体系规模等级、</w:t>
      </w:r>
      <w:r>
        <w:rPr>
          <w:rFonts w:hint="default" w:ascii="Times New Roman" w:hAnsi="Times New Roman" w:eastAsia="仿宋_GB2312" w:cs="Times New Roman"/>
          <w:color w:val="auto"/>
          <w:spacing w:val="0"/>
          <w:lang w:eastAsia="zh-CN"/>
        </w:rPr>
        <w:t>功能</w:t>
      </w:r>
      <w:r>
        <w:rPr>
          <w:rFonts w:hint="default" w:ascii="Times New Roman" w:hAnsi="Times New Roman" w:eastAsia="仿宋_GB2312" w:cs="Times New Roman"/>
          <w:color w:val="auto"/>
          <w:spacing w:val="0"/>
        </w:rPr>
        <w:t>和空间结构，明确城镇、</w:t>
      </w:r>
      <w:r>
        <w:rPr>
          <w:rFonts w:hint="default" w:ascii="Times New Roman" w:hAnsi="Times New Roman" w:eastAsia="仿宋_GB2312" w:cs="Times New Roman"/>
          <w:color w:val="auto"/>
          <w:spacing w:val="0"/>
          <w:lang w:eastAsia="zh-CN"/>
        </w:rPr>
        <w:t>产</w:t>
      </w:r>
      <w:r>
        <w:rPr>
          <w:rFonts w:hint="default" w:ascii="Times New Roman" w:hAnsi="Times New Roman" w:eastAsia="仿宋_GB2312" w:cs="Times New Roman"/>
          <w:color w:val="auto"/>
          <w:spacing w:val="0"/>
        </w:rPr>
        <w:t>业园区、特色小镇、村庄布局优化的要求。统筹优化全域产业空间布局，协调城乡各产业空间发展和分工，保障城乡新产业新业态发展空间，重点预留产业集聚区发展空间、乡村特色产业空间。围绕乡村振兴战略，优化村庄布局，统筹各类村庄协调发展，促进</w:t>
      </w:r>
      <w:r>
        <w:rPr>
          <w:rFonts w:hint="eastAsia" w:eastAsia="仿宋_GB2312" w:cs="Times New Roman"/>
          <w:color w:val="auto"/>
          <w:spacing w:val="0"/>
          <w:lang w:eastAsia="zh-CN"/>
        </w:rPr>
        <w:t>一二三产业融合</w:t>
      </w:r>
      <w:r>
        <w:rPr>
          <w:rFonts w:hint="default" w:ascii="Times New Roman" w:hAnsi="Times New Roman" w:eastAsia="仿宋_GB2312" w:cs="Times New Roman"/>
          <w:color w:val="auto"/>
          <w:spacing w:val="0"/>
        </w:rPr>
        <w:t>。立足现状基础设施发展水平与发展趋势，统筹城乡设施布局，建立网络化基础设施系统和覆盖城乡、均衡布局的公共服务体系，改善人居环境，构建不同层次和类型、功能复合的城乡生活圈，加强资源整合，推进设施共建共享。</w:t>
      </w:r>
    </w:p>
    <w:p w14:paraId="40D68AB3">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b/>
          <w:bCs/>
          <w:color w:val="auto"/>
          <w:spacing w:val="0"/>
          <w:szCs w:val="22"/>
        </w:rPr>
        <w:t>彰显城乡特色空间。</w:t>
      </w:r>
      <w:r>
        <w:rPr>
          <w:rFonts w:hint="default" w:ascii="Times New Roman" w:hAnsi="Times New Roman" w:eastAsia="仿宋_GB2312" w:cs="Times New Roman"/>
          <w:color w:val="auto"/>
          <w:spacing w:val="0"/>
          <w:szCs w:val="22"/>
        </w:rPr>
        <w:t>立足新平</w:t>
      </w:r>
      <w:r>
        <w:rPr>
          <w:rFonts w:hint="default" w:ascii="Times New Roman" w:hAnsi="Times New Roman" w:eastAsia="仿宋_GB2312" w:cs="Times New Roman"/>
          <w:color w:val="auto"/>
          <w:spacing w:val="0"/>
        </w:rPr>
        <w:t>地理风貌特征及彝族</w:t>
      </w:r>
      <w:r>
        <w:rPr>
          <w:rFonts w:hint="default" w:ascii="Times New Roman" w:hAnsi="Times New Roman" w:eastAsia="仿宋_GB2312" w:cs="Times New Roman"/>
          <w:color w:val="auto"/>
          <w:spacing w:val="0"/>
          <w:lang w:eastAsia="zh-CN"/>
        </w:rPr>
        <w:t>、</w:t>
      </w:r>
      <w:r>
        <w:rPr>
          <w:rFonts w:hint="default" w:ascii="Times New Roman" w:hAnsi="Times New Roman" w:eastAsia="仿宋_GB2312" w:cs="Times New Roman"/>
          <w:color w:val="auto"/>
          <w:spacing w:val="0"/>
        </w:rPr>
        <w:t>傣族等特色民族人文资源</w:t>
      </w:r>
      <w:r>
        <w:rPr>
          <w:rFonts w:hint="default" w:ascii="Times New Roman" w:hAnsi="Times New Roman" w:eastAsia="仿宋_GB2312" w:cs="Times New Roman"/>
          <w:color w:val="auto"/>
          <w:spacing w:val="0"/>
          <w:szCs w:val="22"/>
        </w:rPr>
        <w:t>，加强自然和人文景观的整体保护与塑造，提出全域山水格局的空间形态引导和管控原则。注重对</w:t>
      </w:r>
      <w:r>
        <w:rPr>
          <w:rFonts w:hint="default" w:ascii="Times New Roman" w:hAnsi="Times New Roman" w:eastAsia="仿宋_GB2312" w:cs="Times New Roman"/>
          <w:color w:val="auto"/>
          <w:spacing w:val="0"/>
          <w:szCs w:val="22"/>
          <w:lang w:eastAsia="zh-CN"/>
        </w:rPr>
        <w:t>大槟榔园</w:t>
      </w:r>
      <w:r>
        <w:rPr>
          <w:rFonts w:hint="default" w:ascii="Times New Roman" w:hAnsi="Times New Roman" w:eastAsia="仿宋_GB2312" w:cs="Times New Roman"/>
          <w:color w:val="auto"/>
          <w:spacing w:val="0"/>
          <w:szCs w:val="22"/>
        </w:rPr>
        <w:t>、</w:t>
      </w:r>
      <w:r>
        <w:rPr>
          <w:rFonts w:hint="default" w:ascii="Times New Roman" w:hAnsi="Times New Roman" w:eastAsia="仿宋_GB2312" w:cs="Times New Roman"/>
          <w:color w:val="auto"/>
          <w:spacing w:val="0"/>
          <w:szCs w:val="22"/>
          <w:lang w:eastAsia="zh-CN"/>
        </w:rPr>
        <w:t>阿波左、</w:t>
      </w:r>
      <w:r>
        <w:rPr>
          <w:rFonts w:hint="default" w:ascii="Times New Roman" w:hAnsi="Times New Roman" w:eastAsia="仿宋_GB2312" w:cs="Times New Roman"/>
          <w:color w:val="auto"/>
          <w:spacing w:val="0"/>
          <w:szCs w:val="22"/>
        </w:rPr>
        <w:t>南薅等特色村落的保护与开发，</w:t>
      </w:r>
      <w:r>
        <w:rPr>
          <w:rFonts w:hint="default" w:ascii="Times New Roman" w:hAnsi="Times New Roman" w:eastAsia="仿宋_GB2312" w:cs="Times New Roman"/>
          <w:color w:val="auto"/>
          <w:spacing w:val="0"/>
        </w:rPr>
        <w:t>注重对土掌房、竹编、花腰傣服饰等历史文化及民间习俗</w:t>
      </w:r>
      <w:r>
        <w:rPr>
          <w:rFonts w:hint="default" w:ascii="Times New Roman" w:hAnsi="Times New Roman" w:eastAsia="仿宋_GB2312" w:cs="Times New Roman"/>
          <w:color w:val="auto"/>
          <w:spacing w:val="0"/>
          <w:lang w:eastAsia="zh-CN"/>
        </w:rPr>
        <w:t>文化</w:t>
      </w:r>
      <w:r>
        <w:rPr>
          <w:rFonts w:hint="default" w:ascii="Times New Roman" w:hAnsi="Times New Roman" w:eastAsia="仿宋_GB2312" w:cs="Times New Roman"/>
          <w:color w:val="auto"/>
          <w:spacing w:val="0"/>
        </w:rPr>
        <w:t>的传承，明确</w:t>
      </w:r>
      <w:r>
        <w:rPr>
          <w:rFonts w:hint="default" w:ascii="Times New Roman" w:hAnsi="Times New Roman" w:eastAsia="仿宋_GB2312" w:cs="Times New Roman"/>
          <w:color w:val="auto"/>
          <w:spacing w:val="0"/>
          <w:lang w:eastAsia="zh-CN"/>
        </w:rPr>
        <w:t>全</w:t>
      </w:r>
      <w:r>
        <w:rPr>
          <w:rFonts w:hint="default" w:ascii="Times New Roman" w:hAnsi="Times New Roman" w:eastAsia="仿宋_GB2312" w:cs="Times New Roman"/>
          <w:color w:val="auto"/>
          <w:spacing w:val="0"/>
        </w:rPr>
        <w:t>县历史文化遗产保护名录，完善保护目标、保护原则、保护范围和总体要求。将彝</w:t>
      </w:r>
      <w:r>
        <w:rPr>
          <w:rFonts w:hint="default" w:ascii="Times New Roman" w:hAnsi="Times New Roman" w:eastAsia="仿宋_GB2312" w:cs="Times New Roman"/>
          <w:color w:val="auto"/>
          <w:spacing w:val="0"/>
          <w:lang w:eastAsia="zh-CN"/>
        </w:rPr>
        <w:t>族</w:t>
      </w:r>
      <w:r>
        <w:rPr>
          <w:rFonts w:hint="default" w:ascii="Times New Roman" w:hAnsi="Times New Roman" w:eastAsia="仿宋_GB2312" w:cs="Times New Roman"/>
          <w:color w:val="auto"/>
          <w:spacing w:val="0"/>
        </w:rPr>
        <w:t>、</w:t>
      </w:r>
      <w:r>
        <w:rPr>
          <w:rFonts w:hint="default" w:ascii="Times New Roman" w:hAnsi="Times New Roman" w:eastAsia="仿宋_GB2312" w:cs="Times New Roman"/>
          <w:color w:val="auto"/>
          <w:spacing w:val="0"/>
          <w:lang w:eastAsia="zh-CN"/>
        </w:rPr>
        <w:t>傣族</w:t>
      </w:r>
      <w:r>
        <w:rPr>
          <w:rFonts w:hint="default" w:ascii="Times New Roman" w:hAnsi="Times New Roman" w:eastAsia="仿宋_GB2312" w:cs="Times New Roman"/>
          <w:color w:val="auto"/>
          <w:spacing w:val="0"/>
        </w:rPr>
        <w:t>等民族文化与地域文化作为资源融入生产、生活、生态，实现文化资源活化利用，编制区域空间特色规划</w:t>
      </w:r>
      <w:r>
        <w:rPr>
          <w:rFonts w:hint="default" w:ascii="Times New Roman" w:hAnsi="Times New Roman" w:eastAsia="仿宋_GB2312" w:cs="Times New Roman"/>
          <w:color w:val="auto"/>
          <w:spacing w:val="0"/>
          <w:lang w:eastAsia="zh-CN"/>
        </w:rPr>
        <w:t>，推进实用性村庄规划</w:t>
      </w:r>
      <w:r>
        <w:rPr>
          <w:rFonts w:hint="eastAsia" w:eastAsia="仿宋_GB2312" w:cs="Times New Roman"/>
          <w:color w:val="auto"/>
          <w:spacing w:val="0"/>
          <w:lang w:val="en-US" w:eastAsia="zh-CN"/>
        </w:rPr>
        <w:t>编制</w:t>
      </w:r>
      <w:r>
        <w:rPr>
          <w:rFonts w:hint="default" w:ascii="Times New Roman" w:hAnsi="Times New Roman" w:eastAsia="仿宋_GB2312" w:cs="Times New Roman"/>
          <w:color w:val="auto"/>
          <w:spacing w:val="0"/>
        </w:rPr>
        <w:t>，明确城市设计、城乡风貌特色、历史文脉传承、水系和绿地系统建设要求，坚持历史文化和风貌特色保护，提出县域文化魅力空间总体格局。</w:t>
      </w:r>
    </w:p>
    <w:p w14:paraId="3510EC75">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b/>
          <w:bCs/>
          <w:color w:val="auto"/>
          <w:spacing w:val="0"/>
        </w:rPr>
        <w:t>协同地上地下空间。</w:t>
      </w:r>
      <w:r>
        <w:rPr>
          <w:rFonts w:hint="default" w:ascii="Times New Roman" w:hAnsi="Times New Roman" w:eastAsia="仿宋_GB2312" w:cs="Times New Roman"/>
          <w:color w:val="auto"/>
          <w:spacing w:val="0"/>
        </w:rPr>
        <w:t>对大红山、鲁奎山等重要矿产资源保护开发区域</w:t>
      </w:r>
      <w:r>
        <w:rPr>
          <w:rFonts w:hint="eastAsia" w:eastAsia="仿宋_GB2312" w:cs="Times New Roman"/>
          <w:color w:val="auto"/>
          <w:spacing w:val="0"/>
          <w:lang w:eastAsia="zh-CN"/>
        </w:rPr>
        <w:t>，</w:t>
      </w:r>
      <w:r>
        <w:rPr>
          <w:rFonts w:hint="default" w:ascii="Times New Roman" w:hAnsi="Times New Roman" w:eastAsia="仿宋_GB2312" w:cs="Times New Roman"/>
          <w:color w:val="auto"/>
          <w:spacing w:val="0"/>
        </w:rPr>
        <w:t>按照防治矿山地质灾害，推动清洁能源、绿色矿山建设等转型升级，提高矿产资源利用效率的要求，提出矿产资源保护和开发的重要区域，处理好地上与地下、矿产资源勘查开采与生态保护红线及永久基</w:t>
      </w:r>
      <w:r>
        <w:rPr>
          <w:rFonts w:hint="default" w:ascii="Times New Roman" w:hAnsi="Times New Roman" w:eastAsia="仿宋_GB2312" w:cs="Times New Roman"/>
          <w:color w:val="auto"/>
          <w:spacing w:val="0"/>
          <w:szCs w:val="22"/>
        </w:rPr>
        <w:t>本农田等控制线的关系。以平战结合原则，促进地下空间开发与县城人防系统布置相结合</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重点统筹县城利用地下、半地下空间资源，布局地下停车场</w:t>
      </w:r>
      <w:r>
        <w:rPr>
          <w:rFonts w:hint="default" w:ascii="Times New Roman" w:hAnsi="Times New Roman" w:eastAsia="仿宋_GB2312" w:cs="Times New Roman"/>
          <w:color w:val="auto"/>
          <w:spacing w:val="0"/>
          <w:szCs w:val="22"/>
          <w:u w:val="none"/>
        </w:rPr>
        <w:t>等。</w:t>
      </w:r>
    </w:p>
    <w:p w14:paraId="59D3CE8C">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color w:val="auto"/>
          <w:spacing w:val="0"/>
          <w:szCs w:val="22"/>
        </w:rPr>
      </w:pPr>
      <w:r>
        <w:rPr>
          <w:rFonts w:hint="eastAsia" w:ascii="黑体" w:hAnsi="黑体" w:eastAsia="黑体" w:cs="黑体"/>
          <w:b/>
          <w:color w:val="auto"/>
          <w:spacing w:val="0"/>
          <w:szCs w:val="22"/>
        </w:rPr>
        <w:t>二、强化三条控制线底线约束</w:t>
      </w:r>
    </w:p>
    <w:p w14:paraId="708ADAE4">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b/>
          <w:bCs/>
          <w:color w:val="auto"/>
          <w:spacing w:val="0"/>
        </w:rPr>
        <w:t>严格落实生态保护红线。</w:t>
      </w:r>
      <w:r>
        <w:rPr>
          <w:rFonts w:hint="default" w:ascii="Times New Roman" w:hAnsi="Times New Roman" w:eastAsia="仿宋_GB2312" w:cs="Times New Roman"/>
          <w:b w:val="0"/>
          <w:bCs w:val="0"/>
          <w:color w:val="auto"/>
          <w:spacing w:val="0"/>
          <w:lang w:val="en-US" w:eastAsia="zh-CN"/>
        </w:rPr>
        <w:t>划定</w:t>
      </w:r>
      <w:r>
        <w:rPr>
          <w:rFonts w:hint="default" w:ascii="Times New Roman" w:hAnsi="Times New Roman" w:eastAsia="仿宋_GB2312" w:cs="Times New Roman"/>
          <w:color w:val="auto"/>
          <w:spacing w:val="0"/>
        </w:rPr>
        <w:t>生态保护红线，主要包括哀牢山自然保护区、磨盘山国家森林公园。</w:t>
      </w:r>
      <w:r>
        <w:rPr>
          <w:rFonts w:hint="default" w:ascii="Times New Roman" w:hAnsi="Times New Roman" w:eastAsia="仿宋_GB2312" w:cs="Times New Roman"/>
          <w:color w:val="auto"/>
          <w:spacing w:val="0"/>
          <w:szCs w:val="22"/>
        </w:rPr>
        <w:t>充分发</w:t>
      </w:r>
      <w:r>
        <w:rPr>
          <w:rFonts w:hint="default" w:ascii="Times New Roman" w:hAnsi="Times New Roman" w:eastAsia="仿宋_GB2312" w:cs="Times New Roman"/>
          <w:color w:val="auto"/>
          <w:spacing w:val="0"/>
        </w:rPr>
        <w:t>挥生态保护红线对国土空间开发底线的约束作用</w:t>
      </w:r>
      <w:r>
        <w:rPr>
          <w:rFonts w:hint="default" w:ascii="Times New Roman" w:hAnsi="Times New Roman" w:eastAsia="仿宋_GB2312" w:cs="Times New Roman"/>
          <w:color w:val="auto"/>
          <w:spacing w:val="0"/>
          <w:lang w:eastAsia="zh-CN"/>
        </w:rPr>
        <w:t>，</w:t>
      </w:r>
      <w:r>
        <w:rPr>
          <w:rFonts w:hint="default" w:ascii="Times New Roman" w:hAnsi="Times New Roman" w:eastAsia="仿宋_GB2312" w:cs="Times New Roman"/>
          <w:color w:val="auto"/>
          <w:spacing w:val="0"/>
        </w:rPr>
        <w:t>严禁任意改变用途，确保生态功能不降低、面积不减少、性质不改变。坚持山水林田</w:t>
      </w:r>
      <w:r>
        <w:rPr>
          <w:rFonts w:hint="default" w:ascii="Times New Roman" w:hAnsi="Times New Roman" w:eastAsia="仿宋_GB2312" w:cs="Times New Roman"/>
          <w:color w:val="auto"/>
          <w:spacing w:val="0"/>
          <w:u w:val="none"/>
        </w:rPr>
        <w:t>湖</w:t>
      </w:r>
      <w:r>
        <w:rPr>
          <w:rFonts w:hint="default" w:ascii="Times New Roman" w:hAnsi="Times New Roman" w:eastAsia="仿宋_GB2312" w:cs="Times New Roman"/>
          <w:color w:val="auto"/>
          <w:spacing w:val="0"/>
        </w:rPr>
        <w:t>草是一个生命共同体，加强生态保护红线区域的生态保护和生态修复，以强化生物多样性维护和水土保持功能为重点，修复受损生态系统，不断提高生态保护红线内的生态系统服务功能。</w:t>
      </w:r>
    </w:p>
    <w:p w14:paraId="12EACF88">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b/>
          <w:bCs/>
          <w:color w:val="auto"/>
          <w:spacing w:val="0"/>
        </w:rPr>
        <w:t>严格落实永久基本农田保护红线。</w:t>
      </w:r>
      <w:r>
        <w:rPr>
          <w:rFonts w:hint="default" w:ascii="Times New Roman" w:hAnsi="Times New Roman" w:eastAsia="仿宋_GB2312" w:cs="Times New Roman"/>
          <w:color w:val="auto"/>
          <w:spacing w:val="0"/>
        </w:rPr>
        <w:t>坚持最严格的耕地保护制度和最严格的节约用地制度，守住耕地保护红线。</w:t>
      </w:r>
      <w:r>
        <w:rPr>
          <w:rFonts w:hint="default" w:ascii="Times New Roman" w:hAnsi="Times New Roman" w:eastAsia="仿宋_GB2312" w:cs="Times New Roman"/>
          <w:color w:val="auto"/>
          <w:spacing w:val="0"/>
          <w:lang w:val="en-US" w:eastAsia="zh-CN"/>
        </w:rPr>
        <w:t>严守</w:t>
      </w:r>
      <w:r>
        <w:rPr>
          <w:rFonts w:hint="default" w:ascii="Times New Roman" w:hAnsi="Times New Roman" w:eastAsia="仿宋_GB2312" w:cs="Times New Roman"/>
          <w:color w:val="auto"/>
          <w:spacing w:val="0"/>
        </w:rPr>
        <w:t>永久基本农田</w:t>
      </w:r>
      <w:r>
        <w:rPr>
          <w:rFonts w:hint="default" w:ascii="Times New Roman" w:hAnsi="Times New Roman" w:eastAsia="仿宋_GB2312" w:cs="Times New Roman"/>
          <w:color w:val="auto"/>
          <w:spacing w:val="0"/>
          <w:lang w:val="en-US" w:eastAsia="zh-CN"/>
        </w:rPr>
        <w:t>保护红线</w:t>
      </w:r>
      <w:r>
        <w:rPr>
          <w:rFonts w:hint="default" w:ascii="Times New Roman" w:hAnsi="Times New Roman" w:eastAsia="仿宋_GB2312" w:cs="Times New Roman"/>
          <w:color w:val="auto"/>
          <w:spacing w:val="0"/>
        </w:rPr>
        <w:t>，落实永久基本农田储备区划定及管理。</w:t>
      </w:r>
      <w:r>
        <w:rPr>
          <w:rFonts w:hint="default" w:ascii="Times New Roman" w:hAnsi="Times New Roman" w:eastAsia="仿宋_GB2312" w:cs="Times New Roman"/>
          <w:color w:val="auto"/>
          <w:spacing w:val="0"/>
          <w:szCs w:val="22"/>
        </w:rPr>
        <w:t>将</w:t>
      </w:r>
      <w:r>
        <w:rPr>
          <w:rFonts w:hint="default" w:ascii="Times New Roman" w:hAnsi="Times New Roman" w:eastAsia="仿宋_GB2312" w:cs="Times New Roman"/>
          <w:color w:val="auto"/>
          <w:spacing w:val="0"/>
          <w:szCs w:val="22"/>
          <w:lang w:eastAsia="zh-CN"/>
        </w:rPr>
        <w:t>全县</w:t>
      </w:r>
      <w:r>
        <w:rPr>
          <w:rFonts w:hint="default" w:ascii="Times New Roman" w:hAnsi="Times New Roman" w:eastAsia="仿宋_GB2312" w:cs="Times New Roman"/>
          <w:color w:val="auto"/>
          <w:spacing w:val="0"/>
          <w:szCs w:val="22"/>
        </w:rPr>
        <w:t>永久基本农田逐一落实到地块，与土地承包经营权登记数据相结合，切实做到落地到户、落实责任、更新标志，实现永久基本农田数量、质量、生态</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三位一体</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保护。严格落实永久基本农田保护责任，强化全面监测监管，建立健全</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划、建、管、护</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长效机制。</w:t>
      </w:r>
    </w:p>
    <w:p w14:paraId="1EC330B9">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b/>
          <w:bCs/>
          <w:color w:val="auto"/>
          <w:spacing w:val="0"/>
        </w:rPr>
        <w:t>科学划定城镇开发边界。</w:t>
      </w:r>
      <w:r>
        <w:rPr>
          <w:rFonts w:hint="default" w:ascii="Times New Roman" w:hAnsi="Times New Roman" w:eastAsia="仿宋_GB2312" w:cs="Times New Roman"/>
          <w:color w:val="auto"/>
          <w:spacing w:val="0"/>
          <w:szCs w:val="22"/>
        </w:rPr>
        <w:t>落实省、市国土空间总体规划城镇开发边界划定的规模与管控要求，</w:t>
      </w:r>
      <w:r>
        <w:rPr>
          <w:rFonts w:hint="default" w:ascii="Times New Roman" w:hAnsi="Times New Roman" w:eastAsia="仿宋_GB2312" w:cs="Times New Roman"/>
          <w:color w:val="auto"/>
          <w:spacing w:val="0"/>
        </w:rPr>
        <w:t>立足地形条件、自然生态、环境容量等因素，综合考虑人口、产业、城镇规模和发展趋势，划定县城</w:t>
      </w:r>
      <w:r>
        <w:rPr>
          <w:rFonts w:hint="default" w:ascii="Times New Roman" w:hAnsi="Times New Roman" w:eastAsia="仿宋_GB2312" w:cs="Times New Roman"/>
          <w:color w:val="auto"/>
          <w:spacing w:val="0"/>
          <w:lang w:eastAsia="zh-CN"/>
        </w:rPr>
        <w:t>及</w:t>
      </w:r>
      <w:r>
        <w:rPr>
          <w:rFonts w:hint="default" w:ascii="Times New Roman" w:hAnsi="Times New Roman" w:eastAsia="仿宋_GB2312" w:cs="Times New Roman"/>
          <w:color w:val="auto"/>
          <w:spacing w:val="0"/>
        </w:rPr>
        <w:t>戛洒镇、扬武镇</w:t>
      </w:r>
      <w:r>
        <w:rPr>
          <w:rFonts w:hint="default" w:ascii="Times New Roman" w:hAnsi="Times New Roman" w:eastAsia="仿宋_GB2312" w:cs="Times New Roman"/>
          <w:color w:val="auto"/>
          <w:spacing w:val="0"/>
          <w:lang w:eastAsia="zh-CN"/>
        </w:rPr>
        <w:t>、漠沙镇等集镇</w:t>
      </w:r>
      <w:r>
        <w:rPr>
          <w:rFonts w:hint="default" w:ascii="Times New Roman" w:hAnsi="Times New Roman" w:eastAsia="仿宋_GB2312" w:cs="Times New Roman"/>
          <w:color w:val="auto"/>
          <w:spacing w:val="0"/>
        </w:rPr>
        <w:t>城镇开发边界，把建成区、集中连片城镇建设区和城中村、城边村</w:t>
      </w:r>
      <w:r>
        <w:rPr>
          <w:rFonts w:hint="default" w:ascii="Times New Roman" w:hAnsi="Times New Roman" w:eastAsia="仿宋_GB2312" w:cs="Times New Roman"/>
          <w:color w:val="auto"/>
          <w:spacing w:val="0"/>
          <w:lang w:eastAsia="zh-CN"/>
        </w:rPr>
        <w:t>、</w:t>
      </w:r>
      <w:r>
        <w:rPr>
          <w:rFonts w:hint="default" w:ascii="Times New Roman" w:hAnsi="Times New Roman" w:eastAsia="仿宋_GB2312" w:cs="Times New Roman"/>
          <w:color w:val="auto"/>
          <w:spacing w:val="0"/>
        </w:rPr>
        <w:t>依法设立的各类开发区划入城镇集中建设区</w:t>
      </w:r>
      <w:r>
        <w:rPr>
          <w:rFonts w:hint="default" w:ascii="Times New Roman" w:hAnsi="Times New Roman" w:eastAsia="仿宋_GB2312" w:cs="Times New Roman"/>
          <w:color w:val="auto"/>
          <w:spacing w:val="0"/>
          <w:lang w:eastAsia="zh-CN"/>
        </w:rPr>
        <w:t>，确保</w:t>
      </w:r>
      <w:r>
        <w:rPr>
          <w:rFonts w:hint="default" w:ascii="Times New Roman" w:hAnsi="Times New Roman" w:eastAsia="仿宋_GB2312" w:cs="Times New Roman"/>
          <w:color w:val="auto"/>
          <w:spacing w:val="0"/>
        </w:rPr>
        <w:t>不突破国土空间总体规划建设用地规模并预留一定弹性。</w:t>
      </w:r>
      <w:r>
        <w:rPr>
          <w:rFonts w:hint="default" w:ascii="Times New Roman" w:hAnsi="Times New Roman" w:eastAsia="仿宋_GB2312" w:cs="Times New Roman"/>
          <w:color w:val="auto"/>
          <w:spacing w:val="0"/>
          <w:szCs w:val="22"/>
        </w:rPr>
        <w:t>按照集约适度、绿色发展的要求，</w:t>
      </w:r>
      <w:r>
        <w:rPr>
          <w:rFonts w:hint="default" w:ascii="Times New Roman" w:hAnsi="Times New Roman" w:eastAsia="仿宋_GB2312" w:cs="Times New Roman"/>
          <w:color w:val="auto"/>
          <w:spacing w:val="0"/>
          <w:szCs w:val="22"/>
          <w:lang w:eastAsia="zh-CN"/>
        </w:rPr>
        <w:t>结合</w:t>
      </w:r>
      <w:r>
        <w:rPr>
          <w:rFonts w:hint="default" w:ascii="Times New Roman" w:hAnsi="Times New Roman" w:eastAsia="仿宋_GB2312" w:cs="Times New Roman"/>
          <w:color w:val="auto"/>
          <w:spacing w:val="0"/>
          <w:szCs w:val="22"/>
        </w:rPr>
        <w:t>产业发展和城市功能</w:t>
      </w:r>
      <w:r>
        <w:rPr>
          <w:rFonts w:hint="default" w:ascii="Times New Roman" w:hAnsi="Times New Roman" w:eastAsia="仿宋_GB2312" w:cs="Times New Roman"/>
          <w:color w:val="auto"/>
          <w:spacing w:val="0"/>
          <w:szCs w:val="22"/>
          <w:lang w:eastAsia="zh-CN"/>
        </w:rPr>
        <w:t>需</w:t>
      </w:r>
      <w:r>
        <w:rPr>
          <w:rFonts w:hint="default" w:ascii="Times New Roman" w:hAnsi="Times New Roman" w:eastAsia="仿宋_GB2312" w:cs="Times New Roman"/>
          <w:color w:val="auto"/>
          <w:spacing w:val="0"/>
          <w:szCs w:val="22"/>
        </w:rPr>
        <w:t>求，统</w:t>
      </w:r>
      <w:r>
        <w:rPr>
          <w:rFonts w:hint="default" w:ascii="Times New Roman" w:hAnsi="Times New Roman" w:eastAsia="仿宋_GB2312" w:cs="Times New Roman"/>
          <w:color w:val="auto"/>
          <w:spacing w:val="0"/>
        </w:rPr>
        <w:t>筹城乡建设用地，积极利用存量，合理配置增量，</w:t>
      </w:r>
      <w:r>
        <w:rPr>
          <w:rFonts w:hint="default" w:ascii="Times New Roman" w:hAnsi="Times New Roman" w:eastAsia="仿宋_GB2312" w:cs="Times New Roman"/>
          <w:color w:val="auto"/>
          <w:spacing w:val="0"/>
          <w:lang w:eastAsia="zh-CN"/>
        </w:rPr>
        <w:t>保障</w:t>
      </w:r>
      <w:r>
        <w:rPr>
          <w:rFonts w:hint="default" w:ascii="Times New Roman" w:hAnsi="Times New Roman" w:eastAsia="仿宋_GB2312" w:cs="Times New Roman"/>
          <w:color w:val="auto"/>
          <w:spacing w:val="0"/>
        </w:rPr>
        <w:t>城乡发展空间。</w:t>
      </w:r>
    </w:p>
    <w:p w14:paraId="3D8FFA1D">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44" w:name="_Toc4837"/>
      <w:bookmarkStart w:id="45" w:name="_Toc8095"/>
      <w:r>
        <w:rPr>
          <w:rFonts w:hint="eastAsia" w:ascii="黑体" w:hAnsi="黑体" w:eastAsia="黑体" w:cs="黑体"/>
          <w:b/>
          <w:bCs w:val="0"/>
          <w:color w:val="auto"/>
          <w:spacing w:val="0"/>
          <w:szCs w:val="32"/>
        </w:rPr>
        <w:t>第二节  优化生产力</w:t>
      </w:r>
      <w:r>
        <w:rPr>
          <w:rFonts w:hint="eastAsia" w:ascii="黑体" w:hAnsi="黑体" w:eastAsia="黑体" w:cs="黑体"/>
          <w:b/>
          <w:bCs w:val="0"/>
          <w:color w:val="auto"/>
          <w:spacing w:val="0"/>
          <w:szCs w:val="32"/>
          <w:lang w:val="en-US" w:eastAsia="zh-CN"/>
        </w:rPr>
        <w:t>空间</w:t>
      </w:r>
      <w:r>
        <w:rPr>
          <w:rFonts w:hint="eastAsia" w:ascii="黑体" w:hAnsi="黑体" w:eastAsia="黑体" w:cs="黑体"/>
          <w:b/>
          <w:bCs w:val="0"/>
          <w:color w:val="auto"/>
          <w:spacing w:val="0"/>
          <w:szCs w:val="32"/>
        </w:rPr>
        <w:t>布局</w:t>
      </w:r>
      <w:bookmarkEnd w:id="44"/>
      <w:bookmarkEnd w:id="45"/>
    </w:p>
    <w:p w14:paraId="1956BE76">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color w:val="auto"/>
          <w:spacing w:val="0"/>
          <w:szCs w:val="22"/>
          <w:lang w:val="en-US" w:eastAsia="zh-CN"/>
        </w:rPr>
        <w:t>统筹全域发展布局</w:t>
      </w:r>
      <w:r>
        <w:rPr>
          <w:rFonts w:hint="default" w:ascii="Times New Roman" w:hAnsi="Times New Roman" w:eastAsia="仿宋_GB2312" w:cs="Times New Roman"/>
          <w:color w:val="auto"/>
          <w:spacing w:val="0"/>
          <w:szCs w:val="22"/>
        </w:rPr>
        <w:t>，</w:t>
      </w:r>
      <w:r>
        <w:rPr>
          <w:rFonts w:hint="default" w:ascii="Times New Roman" w:hAnsi="Times New Roman" w:eastAsia="仿宋_GB2312" w:cs="Times New Roman"/>
          <w:color w:val="auto"/>
          <w:spacing w:val="0"/>
          <w:szCs w:val="22"/>
          <w:lang w:val="en-US" w:eastAsia="zh-CN"/>
        </w:rPr>
        <w:t>发挥区域比较优势，构建</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一核三极三带</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的</w:t>
      </w:r>
      <w:r>
        <w:rPr>
          <w:rFonts w:hint="default" w:ascii="Times New Roman" w:hAnsi="Times New Roman" w:eastAsia="仿宋_GB2312" w:cs="Times New Roman"/>
          <w:color w:val="auto"/>
          <w:spacing w:val="0"/>
          <w:szCs w:val="22"/>
          <w:lang w:val="en-US" w:eastAsia="zh-CN"/>
        </w:rPr>
        <w:t>生产力</w:t>
      </w:r>
      <w:r>
        <w:rPr>
          <w:rFonts w:hint="default" w:ascii="Times New Roman" w:hAnsi="Times New Roman" w:eastAsia="仿宋_GB2312" w:cs="Times New Roman"/>
          <w:color w:val="auto"/>
          <w:spacing w:val="0"/>
          <w:szCs w:val="22"/>
        </w:rPr>
        <w:t>空间布局。</w:t>
      </w:r>
    </w:p>
    <w:p w14:paraId="04E29E53">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b/>
          <w:bCs/>
          <w:color w:val="auto"/>
          <w:spacing w:val="0"/>
          <w:szCs w:val="32"/>
        </w:rPr>
        <w:t>一核</w:t>
      </w:r>
      <w:r>
        <w:rPr>
          <w:rFonts w:hint="default" w:ascii="Times New Roman" w:hAnsi="Times New Roman" w:eastAsia="仿宋_GB2312" w:cs="Times New Roman"/>
          <w:b/>
          <w:bCs/>
          <w:color w:val="auto"/>
          <w:spacing w:val="0"/>
          <w:szCs w:val="32"/>
          <w:lang w:eastAsia="zh-CN"/>
        </w:rPr>
        <w:t>：</w:t>
      </w:r>
      <w:r>
        <w:rPr>
          <w:rFonts w:hint="default" w:ascii="Times New Roman" w:hAnsi="Times New Roman" w:eastAsia="仿宋_GB2312" w:cs="Times New Roman"/>
          <w:color w:val="auto"/>
          <w:spacing w:val="0"/>
          <w:szCs w:val="32"/>
        </w:rPr>
        <w:t>即新平</w:t>
      </w:r>
      <w:r>
        <w:rPr>
          <w:rFonts w:hint="default" w:ascii="Times New Roman" w:hAnsi="Times New Roman" w:eastAsia="仿宋_GB2312" w:cs="Times New Roman"/>
          <w:color w:val="auto"/>
          <w:spacing w:val="0"/>
          <w:szCs w:val="32"/>
          <w:lang w:eastAsia="zh-CN"/>
        </w:rPr>
        <w:t>县城</w:t>
      </w:r>
      <w:r>
        <w:rPr>
          <w:rFonts w:hint="default" w:ascii="Times New Roman" w:hAnsi="Times New Roman" w:eastAsia="仿宋_GB2312" w:cs="Times New Roman"/>
          <w:color w:val="auto"/>
          <w:spacing w:val="0"/>
          <w:szCs w:val="32"/>
        </w:rPr>
        <w:t>。全面提升县城规划、建设和管理水平，</w:t>
      </w:r>
      <w:r>
        <w:rPr>
          <w:rFonts w:hint="default" w:ascii="Times New Roman" w:hAnsi="Times New Roman" w:eastAsia="仿宋_GB2312" w:cs="Times New Roman"/>
          <w:color w:val="auto"/>
          <w:spacing w:val="0"/>
          <w:szCs w:val="32"/>
          <w:lang w:val="en-US" w:eastAsia="zh-CN"/>
        </w:rPr>
        <w:t>进一步提升</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美丽县城</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建设</w:t>
      </w:r>
      <w:r>
        <w:rPr>
          <w:rFonts w:hint="default" w:ascii="Times New Roman" w:hAnsi="Times New Roman" w:eastAsia="仿宋_GB2312" w:cs="Times New Roman"/>
          <w:color w:val="auto"/>
          <w:spacing w:val="0"/>
          <w:szCs w:val="32"/>
          <w:lang w:val="en-US" w:eastAsia="zh-CN"/>
        </w:rPr>
        <w:t>水平</w:t>
      </w:r>
      <w:r>
        <w:rPr>
          <w:rFonts w:hint="default" w:ascii="Times New Roman" w:hAnsi="Times New Roman" w:eastAsia="仿宋_GB2312" w:cs="Times New Roman"/>
          <w:color w:val="auto"/>
          <w:spacing w:val="0"/>
          <w:szCs w:val="32"/>
        </w:rPr>
        <w:t>，</w:t>
      </w:r>
      <w:r>
        <w:rPr>
          <w:rFonts w:hint="default" w:ascii="Times New Roman" w:hAnsi="Times New Roman" w:eastAsia="仿宋_GB2312" w:cs="Times New Roman"/>
          <w:color w:val="auto"/>
          <w:spacing w:val="0"/>
          <w:sz w:val="32"/>
          <w:szCs w:val="32"/>
          <w:u w:val="none"/>
        </w:rPr>
        <w:t>发挥新平县城的政治、经济、文化中心作用，推动人口、科技、文化等要素集聚，</w:t>
      </w:r>
      <w:r>
        <w:rPr>
          <w:rFonts w:hint="default" w:ascii="Times New Roman" w:hAnsi="Times New Roman" w:eastAsia="仿宋_GB2312" w:cs="Times New Roman"/>
          <w:color w:val="auto"/>
          <w:spacing w:val="0"/>
          <w:szCs w:val="32"/>
        </w:rPr>
        <w:t>深化桂山和古城一体化发展，以</w:t>
      </w:r>
      <w:r>
        <w:rPr>
          <w:rFonts w:hint="default" w:ascii="Times New Roman" w:hAnsi="Times New Roman" w:eastAsia="仿宋_GB2312" w:cs="Times New Roman"/>
          <w:color w:val="auto"/>
          <w:spacing w:val="0"/>
          <w:szCs w:val="32"/>
          <w:lang w:eastAsia="zh-CN"/>
        </w:rPr>
        <w:t>新型城镇化</w:t>
      </w:r>
      <w:r>
        <w:rPr>
          <w:rFonts w:hint="default" w:ascii="Times New Roman" w:hAnsi="Times New Roman" w:eastAsia="仿宋_GB2312" w:cs="Times New Roman"/>
          <w:color w:val="auto"/>
          <w:spacing w:val="0"/>
          <w:szCs w:val="32"/>
        </w:rPr>
        <w:t>为重点，</w:t>
      </w:r>
      <w:r>
        <w:rPr>
          <w:rFonts w:hint="default" w:ascii="Times New Roman" w:hAnsi="Times New Roman" w:eastAsia="仿宋_GB2312" w:cs="Times New Roman"/>
          <w:color w:val="auto"/>
          <w:spacing w:val="0"/>
          <w:sz w:val="32"/>
          <w:szCs w:val="32"/>
          <w:u w:val="none"/>
        </w:rPr>
        <w:t>强化行政服务、商贸服务、金融服务等功能，提升公共服务质量，提高城市承载能力，做强商贸物流、文化旅游、休闲度假、房地产等产业，增强中心城区辐射带动能力，</w:t>
      </w:r>
      <w:r>
        <w:rPr>
          <w:rFonts w:hint="default" w:ascii="Times New Roman" w:hAnsi="Times New Roman" w:eastAsia="仿宋_GB2312" w:cs="Times New Roman"/>
          <w:color w:val="auto"/>
          <w:spacing w:val="0"/>
          <w:szCs w:val="32"/>
        </w:rPr>
        <w:t>不断提升城市首位度，引领全县服务水平提升和产业升级，</w:t>
      </w:r>
      <w:r>
        <w:rPr>
          <w:rFonts w:hint="default" w:ascii="Times New Roman" w:hAnsi="Times New Roman" w:eastAsia="仿宋_GB2312" w:cs="Times New Roman"/>
          <w:b w:val="0"/>
          <w:bCs w:val="0"/>
          <w:color w:val="auto"/>
          <w:spacing w:val="0"/>
          <w:sz w:val="32"/>
          <w:szCs w:val="32"/>
          <w:u w:val="none"/>
        </w:rPr>
        <w:t>打造县域发展核心</w:t>
      </w:r>
      <w:r>
        <w:rPr>
          <w:rFonts w:hint="default" w:ascii="Times New Roman" w:hAnsi="Times New Roman" w:eastAsia="仿宋_GB2312" w:cs="Times New Roman"/>
          <w:color w:val="auto"/>
          <w:spacing w:val="0"/>
          <w:szCs w:val="32"/>
        </w:rPr>
        <w:t>。</w:t>
      </w:r>
    </w:p>
    <w:p w14:paraId="364A731B">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b/>
          <w:bCs/>
          <w:color w:val="auto"/>
          <w:spacing w:val="0"/>
          <w:szCs w:val="32"/>
        </w:rPr>
        <w:t>三极</w:t>
      </w:r>
      <w:r>
        <w:rPr>
          <w:rFonts w:hint="default" w:ascii="Times New Roman" w:hAnsi="Times New Roman" w:eastAsia="仿宋_GB2312" w:cs="Times New Roman"/>
          <w:b/>
          <w:bCs/>
          <w:color w:val="auto"/>
          <w:spacing w:val="0"/>
          <w:szCs w:val="32"/>
          <w:lang w:eastAsia="zh-CN"/>
        </w:rPr>
        <w:t>：</w:t>
      </w:r>
      <w:r>
        <w:rPr>
          <w:rFonts w:hint="default" w:ascii="Times New Roman" w:hAnsi="Times New Roman" w:eastAsia="仿宋_GB2312" w:cs="Times New Roman"/>
          <w:color w:val="auto"/>
          <w:spacing w:val="0"/>
          <w:sz w:val="32"/>
          <w:szCs w:val="32"/>
          <w:u w:val="none"/>
        </w:rPr>
        <w:t>放大戛洒、扬武、漠沙的交通区位、资源禀赋、产业基础等优势，做大做强中心城镇，增强集聚、辐射功能，打造</w:t>
      </w:r>
      <w:r>
        <w:rPr>
          <w:rFonts w:hint="default" w:ascii="Times New Roman" w:hAnsi="Times New Roman" w:eastAsia="仿宋_GB2312" w:cs="Times New Roman"/>
          <w:color w:val="auto"/>
          <w:spacing w:val="0"/>
          <w:sz w:val="32"/>
          <w:szCs w:val="32"/>
          <w:u w:val="none"/>
          <w:lang w:val="en-US" w:eastAsia="zh-CN"/>
        </w:rPr>
        <w:t>戛洒文化旅游、漠沙现代农业、扬武绿色</w:t>
      </w:r>
      <w:r>
        <w:rPr>
          <w:rFonts w:hint="default" w:ascii="Times New Roman" w:hAnsi="Times New Roman" w:eastAsia="仿宋_GB2312" w:cs="Times New Roman"/>
          <w:color w:val="auto"/>
          <w:spacing w:val="0"/>
          <w:sz w:val="32"/>
          <w:szCs w:val="32"/>
          <w:highlight w:val="none"/>
          <w:u w:val="none"/>
          <w:lang w:val="en-US" w:eastAsia="zh-CN"/>
        </w:rPr>
        <w:t>矿冶</w:t>
      </w:r>
      <w:r>
        <w:rPr>
          <w:rFonts w:hint="default" w:ascii="Times New Roman" w:hAnsi="Times New Roman" w:eastAsia="仿宋_GB2312" w:cs="Times New Roman"/>
          <w:b/>
          <w:bCs/>
          <w:color w:val="auto"/>
          <w:spacing w:val="0"/>
          <w:sz w:val="32"/>
          <w:szCs w:val="32"/>
          <w:u w:val="none"/>
        </w:rPr>
        <w:t>三</w:t>
      </w:r>
      <w:r>
        <w:rPr>
          <w:rFonts w:hint="default" w:ascii="Times New Roman" w:hAnsi="Times New Roman" w:eastAsia="仿宋_GB2312" w:cs="Times New Roman"/>
          <w:b w:val="0"/>
          <w:bCs w:val="0"/>
          <w:color w:val="auto"/>
          <w:spacing w:val="0"/>
          <w:sz w:val="32"/>
          <w:szCs w:val="32"/>
          <w:u w:val="none"/>
        </w:rPr>
        <w:t>个县域经济增长极</w:t>
      </w:r>
      <w:r>
        <w:rPr>
          <w:rFonts w:hint="default" w:ascii="Times New Roman" w:hAnsi="Times New Roman" w:eastAsia="仿宋_GB2312" w:cs="Times New Roman"/>
          <w:color w:val="auto"/>
          <w:spacing w:val="0"/>
          <w:szCs w:val="32"/>
        </w:rPr>
        <w:t>。</w:t>
      </w:r>
    </w:p>
    <w:p w14:paraId="77CA8ECF">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b/>
          <w:bCs/>
          <w:color w:val="auto"/>
          <w:spacing w:val="0"/>
          <w:szCs w:val="32"/>
        </w:rPr>
        <w:t>戛洒</w:t>
      </w:r>
      <w:r>
        <w:rPr>
          <w:rFonts w:hint="default" w:ascii="Times New Roman" w:hAnsi="Times New Roman" w:eastAsia="仿宋_GB2312" w:cs="Times New Roman"/>
          <w:b/>
          <w:bCs/>
          <w:color w:val="auto"/>
          <w:spacing w:val="0"/>
          <w:szCs w:val="32"/>
          <w:lang w:val="en-US" w:eastAsia="zh-CN"/>
        </w:rPr>
        <w:t>文化旅游</w:t>
      </w:r>
      <w:r>
        <w:rPr>
          <w:rFonts w:hint="default" w:ascii="Times New Roman" w:hAnsi="Times New Roman" w:eastAsia="仿宋_GB2312" w:cs="Times New Roman"/>
          <w:b/>
          <w:bCs/>
          <w:color w:val="auto"/>
          <w:spacing w:val="0"/>
          <w:szCs w:val="32"/>
        </w:rPr>
        <w:t>增长极。</w:t>
      </w:r>
      <w:r>
        <w:rPr>
          <w:rFonts w:hint="default" w:ascii="Times New Roman" w:hAnsi="Times New Roman" w:eastAsia="仿宋_GB2312" w:cs="Times New Roman"/>
          <w:color w:val="auto"/>
          <w:spacing w:val="0"/>
          <w:szCs w:val="32"/>
        </w:rPr>
        <w:t>坚持文化与旅游、城镇建设、庄园农业等多领域深度融合发展的模式，以文化旅游为重点，巩固提升矿</w:t>
      </w:r>
      <w:r>
        <w:rPr>
          <w:rFonts w:hint="default" w:ascii="Times New Roman" w:hAnsi="Times New Roman" w:eastAsia="仿宋_GB2312" w:cs="Times New Roman"/>
          <w:color w:val="auto"/>
          <w:spacing w:val="0"/>
          <w:szCs w:val="32"/>
          <w:lang w:eastAsia="zh-CN"/>
        </w:rPr>
        <w:t>产</w:t>
      </w:r>
      <w:r>
        <w:rPr>
          <w:rFonts w:hint="default" w:ascii="Times New Roman" w:hAnsi="Times New Roman" w:eastAsia="仿宋_GB2312" w:cs="Times New Roman"/>
          <w:color w:val="auto"/>
          <w:spacing w:val="0"/>
          <w:szCs w:val="32"/>
        </w:rPr>
        <w:t>资源采选及加工业，大力发展庄园经济，</w:t>
      </w:r>
      <w:r>
        <w:rPr>
          <w:rFonts w:hint="default" w:ascii="Times New Roman" w:hAnsi="Times New Roman" w:eastAsia="仿宋_GB2312" w:cs="Times New Roman"/>
          <w:color w:val="auto"/>
          <w:spacing w:val="0"/>
          <w:szCs w:val="32"/>
          <w:highlight w:val="none"/>
        </w:rPr>
        <w:t>把腰街作为</w:t>
      </w:r>
      <w:r>
        <w:rPr>
          <w:rFonts w:hint="default" w:ascii="Times New Roman" w:hAnsi="Times New Roman" w:eastAsia="仿宋_GB2312" w:cs="Times New Roman"/>
          <w:color w:val="auto"/>
          <w:spacing w:val="0"/>
          <w:szCs w:val="32"/>
          <w:highlight w:val="none"/>
          <w:lang w:eastAsia="zh-CN"/>
        </w:rPr>
        <w:t>全县</w:t>
      </w:r>
      <w:r>
        <w:rPr>
          <w:rFonts w:hint="default" w:ascii="Times New Roman" w:hAnsi="Times New Roman" w:eastAsia="仿宋_GB2312" w:cs="Times New Roman"/>
          <w:color w:val="auto"/>
          <w:spacing w:val="0"/>
          <w:szCs w:val="32"/>
          <w:highlight w:val="none"/>
        </w:rPr>
        <w:t>乡村振兴先行先试示范区</w:t>
      </w:r>
      <w:r>
        <w:rPr>
          <w:rFonts w:hint="default" w:ascii="Times New Roman" w:hAnsi="Times New Roman" w:eastAsia="仿宋_GB2312" w:cs="Times New Roman"/>
          <w:color w:val="auto"/>
          <w:spacing w:val="0"/>
          <w:szCs w:val="32"/>
          <w:highlight w:val="none"/>
          <w:lang w:eastAsia="zh-CN"/>
        </w:rPr>
        <w:t>，</w:t>
      </w:r>
      <w:r>
        <w:rPr>
          <w:rFonts w:hint="default" w:ascii="Times New Roman" w:hAnsi="Times New Roman" w:eastAsia="仿宋_GB2312" w:cs="Times New Roman"/>
          <w:color w:val="auto"/>
          <w:spacing w:val="0"/>
          <w:szCs w:val="32"/>
        </w:rPr>
        <w:t>力争把戛洒花腰傣风情小镇创建成为全省特色小镇，把</w:t>
      </w:r>
      <w:r>
        <w:rPr>
          <w:rFonts w:hint="default" w:ascii="Times New Roman" w:hAnsi="Times New Roman" w:eastAsia="仿宋_GB2312" w:cs="Times New Roman"/>
          <w:color w:val="auto"/>
          <w:spacing w:val="0"/>
          <w:szCs w:val="32"/>
          <w:lang w:eastAsia="zh-CN"/>
        </w:rPr>
        <w:t>戛洒</w:t>
      </w:r>
      <w:r>
        <w:rPr>
          <w:rFonts w:hint="default" w:ascii="Times New Roman" w:hAnsi="Times New Roman" w:eastAsia="仿宋_GB2312" w:cs="Times New Roman"/>
          <w:color w:val="auto"/>
          <w:spacing w:val="0"/>
          <w:szCs w:val="32"/>
        </w:rPr>
        <w:t>打造成为带动</w:t>
      </w:r>
      <w:r>
        <w:rPr>
          <w:rFonts w:hint="default" w:ascii="Times New Roman" w:hAnsi="Times New Roman" w:eastAsia="仿宋_GB2312" w:cs="Times New Roman"/>
          <w:color w:val="auto"/>
          <w:spacing w:val="0"/>
          <w:szCs w:val="32"/>
          <w:lang w:eastAsia="zh-CN"/>
        </w:rPr>
        <w:t>全县发展</w:t>
      </w:r>
      <w:r>
        <w:rPr>
          <w:rFonts w:hint="default" w:ascii="Times New Roman" w:hAnsi="Times New Roman" w:eastAsia="仿宋_GB2312" w:cs="Times New Roman"/>
          <w:color w:val="auto"/>
          <w:spacing w:val="0"/>
          <w:szCs w:val="32"/>
        </w:rPr>
        <w:t>花腰傣</w:t>
      </w:r>
      <w:r>
        <w:rPr>
          <w:rFonts w:hint="default" w:ascii="Times New Roman" w:hAnsi="Times New Roman" w:eastAsia="仿宋_GB2312" w:cs="Times New Roman"/>
          <w:color w:val="auto"/>
          <w:spacing w:val="0"/>
          <w:szCs w:val="32"/>
          <w:lang w:eastAsia="zh-CN"/>
        </w:rPr>
        <w:t>文化</w:t>
      </w:r>
      <w:r>
        <w:rPr>
          <w:rFonts w:hint="default" w:ascii="Times New Roman" w:hAnsi="Times New Roman" w:eastAsia="仿宋_GB2312" w:cs="Times New Roman"/>
          <w:color w:val="auto"/>
          <w:spacing w:val="0"/>
          <w:szCs w:val="32"/>
        </w:rPr>
        <w:t>旅游</w:t>
      </w:r>
      <w:r>
        <w:rPr>
          <w:rFonts w:hint="default" w:ascii="Times New Roman" w:hAnsi="Times New Roman" w:eastAsia="仿宋_GB2312" w:cs="Times New Roman"/>
          <w:color w:val="auto"/>
          <w:spacing w:val="0"/>
          <w:szCs w:val="32"/>
          <w:lang w:eastAsia="zh-CN"/>
        </w:rPr>
        <w:t>的</w:t>
      </w:r>
      <w:r>
        <w:rPr>
          <w:rFonts w:hint="default" w:ascii="Times New Roman" w:hAnsi="Times New Roman" w:eastAsia="仿宋_GB2312" w:cs="Times New Roman"/>
          <w:color w:val="auto"/>
          <w:spacing w:val="0"/>
          <w:szCs w:val="32"/>
        </w:rPr>
        <w:t>重要增长极和西部次中心。</w:t>
      </w:r>
    </w:p>
    <w:p w14:paraId="307DB72F">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b/>
          <w:bCs/>
          <w:color w:val="auto"/>
          <w:spacing w:val="0"/>
          <w:szCs w:val="32"/>
        </w:rPr>
        <w:t>扬武</w:t>
      </w:r>
      <w:r>
        <w:rPr>
          <w:rFonts w:hint="default" w:ascii="Times New Roman" w:hAnsi="Times New Roman" w:eastAsia="仿宋_GB2312" w:cs="Times New Roman"/>
          <w:b/>
          <w:bCs/>
          <w:color w:val="auto"/>
          <w:spacing w:val="0"/>
          <w:szCs w:val="32"/>
          <w:lang w:val="en-US" w:eastAsia="zh-CN"/>
        </w:rPr>
        <w:t>绿色</w:t>
      </w:r>
      <w:r>
        <w:rPr>
          <w:rFonts w:hint="default" w:ascii="Times New Roman" w:hAnsi="Times New Roman" w:eastAsia="仿宋_GB2312" w:cs="Times New Roman"/>
          <w:b/>
          <w:bCs/>
          <w:color w:val="auto"/>
          <w:spacing w:val="0"/>
          <w:szCs w:val="32"/>
          <w:highlight w:val="none"/>
          <w:lang w:val="en-US" w:eastAsia="zh-CN"/>
        </w:rPr>
        <w:t>矿冶</w:t>
      </w:r>
      <w:r>
        <w:rPr>
          <w:rFonts w:hint="default" w:ascii="Times New Roman" w:hAnsi="Times New Roman" w:eastAsia="仿宋_GB2312" w:cs="Times New Roman"/>
          <w:b/>
          <w:bCs/>
          <w:color w:val="auto"/>
          <w:spacing w:val="0"/>
          <w:szCs w:val="32"/>
        </w:rPr>
        <w:t>增长极。</w:t>
      </w:r>
      <w:r>
        <w:rPr>
          <w:rFonts w:hint="default" w:ascii="Times New Roman" w:hAnsi="Times New Roman" w:eastAsia="仿宋_GB2312" w:cs="Times New Roman"/>
          <w:color w:val="auto"/>
          <w:spacing w:val="0"/>
          <w:szCs w:val="32"/>
        </w:rPr>
        <w:t>发挥</w:t>
      </w:r>
      <w:r>
        <w:rPr>
          <w:rFonts w:hint="default" w:ascii="Times New Roman" w:hAnsi="Times New Roman" w:eastAsia="仿宋_GB2312" w:cs="Times New Roman"/>
          <w:color w:val="auto"/>
          <w:spacing w:val="0"/>
          <w:szCs w:val="32"/>
          <w:lang w:eastAsia="zh-CN"/>
        </w:rPr>
        <w:t>昆磨</w:t>
      </w:r>
      <w:r>
        <w:rPr>
          <w:rFonts w:hint="default" w:ascii="Times New Roman" w:hAnsi="Times New Roman" w:eastAsia="仿宋_GB2312" w:cs="Times New Roman"/>
          <w:color w:val="auto"/>
          <w:spacing w:val="0"/>
          <w:szCs w:val="32"/>
        </w:rPr>
        <w:t>高速、</w:t>
      </w:r>
      <w:r>
        <w:rPr>
          <w:rFonts w:hint="default" w:ascii="Times New Roman" w:hAnsi="Times New Roman" w:eastAsia="仿宋_GB2312" w:cs="Times New Roman"/>
          <w:color w:val="auto"/>
          <w:spacing w:val="0"/>
          <w:szCs w:val="32"/>
          <w:lang w:eastAsia="zh-CN"/>
        </w:rPr>
        <w:t>大开门至宝秀</w:t>
      </w:r>
      <w:r>
        <w:rPr>
          <w:rFonts w:hint="default" w:ascii="Times New Roman" w:hAnsi="Times New Roman" w:eastAsia="仿宋_GB2312" w:cs="Times New Roman"/>
          <w:color w:val="auto"/>
          <w:spacing w:val="0"/>
          <w:szCs w:val="32"/>
        </w:rPr>
        <w:t>高速和玉磨铁路在扬武交汇的区位交通优势，以大开门片区综合开发为依托，做大做强扬武中心城镇经济实力，把扬武打造成带动全县发展绿色</w:t>
      </w:r>
      <w:r>
        <w:rPr>
          <w:rFonts w:hint="default" w:ascii="Times New Roman" w:hAnsi="Times New Roman" w:eastAsia="仿宋_GB2312" w:cs="Times New Roman"/>
          <w:color w:val="auto"/>
          <w:spacing w:val="0"/>
          <w:szCs w:val="32"/>
          <w:highlight w:val="none"/>
        </w:rPr>
        <w:t>矿冶</w:t>
      </w:r>
      <w:r>
        <w:rPr>
          <w:rFonts w:hint="default" w:ascii="Times New Roman" w:hAnsi="Times New Roman" w:eastAsia="仿宋_GB2312" w:cs="Times New Roman"/>
          <w:color w:val="auto"/>
          <w:spacing w:val="0"/>
          <w:szCs w:val="32"/>
        </w:rPr>
        <w:t>的重要增长极和东部次中心。</w:t>
      </w:r>
    </w:p>
    <w:p w14:paraId="27863BAC">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b/>
          <w:bCs/>
          <w:color w:val="auto"/>
          <w:spacing w:val="0"/>
          <w:szCs w:val="32"/>
        </w:rPr>
        <w:t>漠沙</w:t>
      </w:r>
      <w:r>
        <w:rPr>
          <w:rFonts w:hint="default" w:ascii="Times New Roman" w:hAnsi="Times New Roman" w:eastAsia="仿宋_GB2312" w:cs="Times New Roman"/>
          <w:b/>
          <w:bCs/>
          <w:color w:val="auto"/>
          <w:spacing w:val="0"/>
          <w:szCs w:val="32"/>
          <w:lang w:val="en-US" w:eastAsia="zh-CN"/>
        </w:rPr>
        <w:t>现代农业</w:t>
      </w:r>
      <w:r>
        <w:rPr>
          <w:rFonts w:hint="default" w:ascii="Times New Roman" w:hAnsi="Times New Roman" w:eastAsia="仿宋_GB2312" w:cs="Times New Roman"/>
          <w:b/>
          <w:bCs/>
          <w:color w:val="auto"/>
          <w:spacing w:val="0"/>
          <w:szCs w:val="32"/>
        </w:rPr>
        <w:t>增长极。</w:t>
      </w:r>
      <w:r>
        <w:rPr>
          <w:rFonts w:hint="default" w:ascii="Times New Roman" w:hAnsi="Times New Roman" w:eastAsia="仿宋_GB2312" w:cs="Times New Roman"/>
          <w:color w:val="auto"/>
          <w:spacing w:val="0"/>
          <w:szCs w:val="32"/>
        </w:rPr>
        <w:t>充分发挥立体气候优势，以漠沙现代农业示范区建设带动建兴、平掌，大力发展蔬菜、水果、甘蔗、茶叶、中药材等高原特色农业和生态旅游，把漠沙打造成为带动全县发展高原特色</w:t>
      </w:r>
      <w:r>
        <w:rPr>
          <w:rFonts w:hint="default" w:ascii="Times New Roman" w:hAnsi="Times New Roman" w:eastAsia="仿宋_GB2312" w:cs="Times New Roman"/>
          <w:color w:val="auto"/>
          <w:spacing w:val="0"/>
          <w:szCs w:val="32"/>
          <w:lang w:eastAsia="zh-CN"/>
        </w:rPr>
        <w:t>现代</w:t>
      </w:r>
      <w:r>
        <w:rPr>
          <w:rFonts w:hint="default" w:ascii="Times New Roman" w:hAnsi="Times New Roman" w:eastAsia="仿宋_GB2312" w:cs="Times New Roman"/>
          <w:color w:val="auto"/>
          <w:spacing w:val="0"/>
          <w:szCs w:val="32"/>
        </w:rPr>
        <w:t>农业的重要增长极和南部次中心。</w:t>
      </w:r>
    </w:p>
    <w:p w14:paraId="2793DA9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b/>
          <w:bCs/>
          <w:color w:val="auto"/>
          <w:spacing w:val="0"/>
          <w:szCs w:val="32"/>
        </w:rPr>
        <w:t>三带</w:t>
      </w:r>
      <w:r>
        <w:rPr>
          <w:rFonts w:hint="default" w:ascii="Times New Roman" w:hAnsi="Times New Roman" w:eastAsia="仿宋_GB2312" w:cs="Times New Roman"/>
          <w:b/>
          <w:bCs/>
          <w:color w:val="auto"/>
          <w:spacing w:val="0"/>
          <w:szCs w:val="32"/>
          <w:lang w:eastAsia="zh-CN"/>
        </w:rPr>
        <w:t>：</w:t>
      </w:r>
      <w:r>
        <w:rPr>
          <w:rFonts w:hint="default" w:ascii="Times New Roman" w:hAnsi="Times New Roman" w:eastAsia="仿宋_GB2312" w:cs="Times New Roman"/>
          <w:color w:val="auto"/>
          <w:spacing w:val="0"/>
          <w:szCs w:val="32"/>
        </w:rPr>
        <w:t>把握交通、热区河谷资源等带来的发展溢出效应，因地制宜，整合区域发展要素，打造昆曼国际通道产业发展带、红河谷—绿汁江热区产业经济带、</w:t>
      </w:r>
      <w:r>
        <w:rPr>
          <w:rFonts w:hint="default" w:ascii="Times New Roman" w:hAnsi="Times New Roman" w:eastAsia="仿宋_GB2312" w:cs="Times New Roman"/>
          <w:color w:val="auto"/>
          <w:spacing w:val="0"/>
          <w:szCs w:val="32"/>
          <w:u w:val="none"/>
          <w:lang w:eastAsia="zh-CN"/>
        </w:rPr>
        <w:t>哀牢山</w:t>
      </w:r>
      <w:r>
        <w:rPr>
          <w:rFonts w:hint="default" w:ascii="Times New Roman" w:hAnsi="Times New Roman" w:eastAsia="仿宋_GB2312" w:cs="Times New Roman"/>
          <w:color w:val="auto"/>
          <w:spacing w:val="0"/>
          <w:szCs w:val="32"/>
          <w:u w:val="none"/>
        </w:rPr>
        <w:t>—</w:t>
      </w:r>
      <w:r>
        <w:rPr>
          <w:rFonts w:hint="default" w:ascii="Times New Roman" w:hAnsi="Times New Roman" w:eastAsia="仿宋_GB2312" w:cs="Times New Roman"/>
          <w:color w:val="auto"/>
          <w:spacing w:val="0"/>
          <w:szCs w:val="32"/>
          <w:u w:val="none"/>
          <w:lang w:eastAsia="zh-CN"/>
        </w:rPr>
        <w:t>磨盘山绿色经济带</w:t>
      </w:r>
      <w:r>
        <w:rPr>
          <w:rFonts w:hint="default" w:ascii="Times New Roman" w:hAnsi="Times New Roman" w:eastAsia="仿宋_GB2312" w:cs="Times New Roman"/>
          <w:color w:val="auto"/>
          <w:spacing w:val="0"/>
          <w:szCs w:val="32"/>
        </w:rPr>
        <w:t>。</w:t>
      </w:r>
    </w:p>
    <w:p w14:paraId="41A5811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b/>
          <w:bCs/>
          <w:color w:val="auto"/>
          <w:spacing w:val="0"/>
          <w:szCs w:val="32"/>
        </w:rPr>
        <w:t>昆曼国际通道产业发展带。</w:t>
      </w:r>
      <w:r>
        <w:rPr>
          <w:rFonts w:hint="default" w:ascii="Times New Roman" w:hAnsi="Times New Roman" w:eastAsia="仿宋_GB2312" w:cs="Times New Roman"/>
          <w:color w:val="auto"/>
          <w:spacing w:val="0"/>
          <w:szCs w:val="32"/>
          <w:u w:val="none"/>
          <w:lang w:eastAsia="zh-CN"/>
        </w:rPr>
        <w:t>依托全资源型经济转型发展建设机遇，</w:t>
      </w:r>
      <w:r>
        <w:rPr>
          <w:rFonts w:hint="default" w:ascii="Times New Roman" w:hAnsi="Times New Roman" w:eastAsia="仿宋_GB2312" w:cs="Times New Roman"/>
          <w:color w:val="auto"/>
          <w:spacing w:val="0"/>
          <w:szCs w:val="32"/>
          <w:lang w:val="en-US" w:eastAsia="zh-CN"/>
        </w:rPr>
        <w:t>以扬武镇全域为主体，</w:t>
      </w:r>
      <w:r>
        <w:rPr>
          <w:rFonts w:hint="default" w:ascii="Times New Roman" w:hAnsi="Times New Roman" w:eastAsia="仿宋_GB2312" w:cs="Times New Roman"/>
          <w:color w:val="auto"/>
          <w:spacing w:val="0"/>
          <w:szCs w:val="32"/>
          <w:u w:val="none"/>
          <w:lang w:eastAsia="zh-CN"/>
        </w:rPr>
        <w:t>立足绿色钢城建设，</w:t>
      </w:r>
      <w:r>
        <w:rPr>
          <w:rFonts w:hint="default" w:ascii="Times New Roman" w:hAnsi="Times New Roman" w:eastAsia="仿宋_GB2312" w:cs="Times New Roman"/>
          <w:color w:val="auto"/>
          <w:spacing w:val="0"/>
          <w:szCs w:val="32"/>
          <w:lang w:eastAsia="zh-CN"/>
        </w:rPr>
        <w:t>加强与昆曼公路沿线县区产业联动发展，</w:t>
      </w:r>
      <w:r>
        <w:rPr>
          <w:rFonts w:hint="default" w:ascii="Times New Roman" w:hAnsi="Times New Roman" w:eastAsia="仿宋_GB2312" w:cs="Times New Roman"/>
          <w:color w:val="auto"/>
          <w:spacing w:val="0"/>
          <w:szCs w:val="32"/>
          <w:lang w:val="en-US" w:eastAsia="zh-CN"/>
        </w:rPr>
        <w:t>推动</w:t>
      </w:r>
      <w:r>
        <w:rPr>
          <w:rFonts w:hint="default" w:ascii="Times New Roman" w:hAnsi="Times New Roman" w:eastAsia="仿宋_GB2312" w:cs="Times New Roman"/>
          <w:color w:val="auto"/>
          <w:spacing w:val="0"/>
          <w:szCs w:val="32"/>
          <w:lang w:eastAsia="zh-CN"/>
        </w:rPr>
        <w:t>工业重心东移，</w:t>
      </w:r>
      <w:r>
        <w:rPr>
          <w:rFonts w:hint="default" w:ascii="Times New Roman" w:hAnsi="Times New Roman" w:eastAsia="仿宋_GB2312" w:cs="Times New Roman"/>
          <w:color w:val="auto"/>
          <w:spacing w:val="0"/>
          <w:szCs w:val="32"/>
        </w:rPr>
        <w:t>以绿色</w:t>
      </w:r>
      <w:r>
        <w:rPr>
          <w:rFonts w:hint="default" w:ascii="Times New Roman" w:hAnsi="Times New Roman" w:eastAsia="仿宋_GB2312" w:cs="Times New Roman"/>
          <w:color w:val="auto"/>
          <w:spacing w:val="0"/>
          <w:szCs w:val="32"/>
          <w:highlight w:val="none"/>
        </w:rPr>
        <w:t>矿冶</w:t>
      </w:r>
      <w:r>
        <w:rPr>
          <w:rFonts w:hint="default" w:ascii="Times New Roman" w:hAnsi="Times New Roman" w:eastAsia="仿宋_GB2312" w:cs="Times New Roman"/>
          <w:color w:val="auto"/>
          <w:spacing w:val="0"/>
          <w:szCs w:val="32"/>
        </w:rPr>
        <w:t>集聚区建设推进城乡要素均衡配置，加快大开门综合开发，提升扬武集镇综合承载力，</w:t>
      </w:r>
      <w:r>
        <w:rPr>
          <w:rFonts w:hint="default" w:ascii="Times New Roman" w:hAnsi="Times New Roman" w:eastAsia="仿宋_GB2312" w:cs="Times New Roman"/>
          <w:color w:val="auto"/>
          <w:spacing w:val="0"/>
          <w:szCs w:val="32"/>
          <w:lang w:eastAsia="zh-CN"/>
        </w:rPr>
        <w:t>大力发展</w:t>
      </w:r>
      <w:r>
        <w:rPr>
          <w:rFonts w:hint="default" w:ascii="Times New Roman" w:hAnsi="Times New Roman" w:eastAsia="仿宋_GB2312" w:cs="Times New Roman"/>
          <w:color w:val="auto"/>
          <w:spacing w:val="0"/>
          <w:szCs w:val="32"/>
          <w:highlight w:val="none"/>
          <w:lang w:eastAsia="zh-CN"/>
        </w:rPr>
        <w:t>矿冶</w:t>
      </w:r>
      <w:r>
        <w:rPr>
          <w:rFonts w:hint="default" w:ascii="Times New Roman" w:hAnsi="Times New Roman" w:eastAsia="仿宋_GB2312" w:cs="Times New Roman"/>
          <w:color w:val="auto"/>
          <w:spacing w:val="0"/>
          <w:szCs w:val="32"/>
          <w:lang w:eastAsia="zh-CN"/>
        </w:rPr>
        <w:t>及配套、</w:t>
      </w:r>
      <w:r>
        <w:rPr>
          <w:rFonts w:hint="default" w:ascii="Times New Roman" w:hAnsi="Times New Roman" w:eastAsia="仿宋_GB2312" w:cs="Times New Roman"/>
          <w:color w:val="auto"/>
          <w:spacing w:val="0"/>
          <w:szCs w:val="32"/>
        </w:rPr>
        <w:t>商贸物流</w:t>
      </w:r>
      <w:r>
        <w:rPr>
          <w:rFonts w:hint="default" w:ascii="Times New Roman" w:hAnsi="Times New Roman" w:eastAsia="仿宋_GB2312" w:cs="Times New Roman"/>
          <w:color w:val="auto"/>
          <w:spacing w:val="0"/>
          <w:szCs w:val="32"/>
          <w:lang w:val="en-US" w:eastAsia="zh-CN"/>
        </w:rPr>
        <w:t>等产业</w:t>
      </w:r>
      <w:r>
        <w:rPr>
          <w:rFonts w:hint="default" w:ascii="Times New Roman" w:hAnsi="Times New Roman" w:eastAsia="仿宋_GB2312" w:cs="Times New Roman"/>
          <w:color w:val="auto"/>
          <w:spacing w:val="0"/>
          <w:szCs w:val="32"/>
          <w:lang w:eastAsia="zh-CN"/>
        </w:rPr>
        <w:t>，打造昆曼</w:t>
      </w:r>
      <w:r>
        <w:rPr>
          <w:rFonts w:hint="default" w:ascii="Times New Roman" w:hAnsi="Times New Roman" w:eastAsia="仿宋_GB2312" w:cs="Times New Roman"/>
          <w:b w:val="0"/>
          <w:bCs w:val="0"/>
          <w:color w:val="auto"/>
          <w:spacing w:val="0"/>
          <w:szCs w:val="32"/>
        </w:rPr>
        <w:t>国际通道产业</w:t>
      </w:r>
      <w:r>
        <w:rPr>
          <w:rFonts w:hint="default" w:ascii="Times New Roman" w:hAnsi="Times New Roman" w:eastAsia="仿宋_GB2312" w:cs="Times New Roman"/>
          <w:b w:val="0"/>
          <w:bCs w:val="0"/>
          <w:color w:val="auto"/>
          <w:spacing w:val="0"/>
          <w:szCs w:val="32"/>
          <w:lang w:eastAsia="zh-CN"/>
        </w:rPr>
        <w:t>经济</w:t>
      </w:r>
      <w:r>
        <w:rPr>
          <w:rFonts w:hint="default" w:ascii="Times New Roman" w:hAnsi="Times New Roman" w:eastAsia="仿宋_GB2312" w:cs="Times New Roman"/>
          <w:b w:val="0"/>
          <w:bCs w:val="0"/>
          <w:color w:val="auto"/>
          <w:spacing w:val="0"/>
          <w:szCs w:val="32"/>
        </w:rPr>
        <w:t>带</w:t>
      </w:r>
      <w:r>
        <w:rPr>
          <w:rFonts w:hint="default" w:ascii="Times New Roman" w:hAnsi="Times New Roman" w:eastAsia="仿宋_GB2312" w:cs="Times New Roman"/>
          <w:b w:val="0"/>
          <w:bCs w:val="0"/>
          <w:color w:val="auto"/>
          <w:spacing w:val="0"/>
          <w:szCs w:val="32"/>
          <w:lang w:eastAsia="zh-CN"/>
        </w:rPr>
        <w:t>，</w:t>
      </w:r>
      <w:r>
        <w:rPr>
          <w:rFonts w:hint="default" w:ascii="Times New Roman" w:hAnsi="Times New Roman" w:eastAsia="仿宋_GB2312" w:cs="Times New Roman"/>
          <w:color w:val="auto"/>
          <w:spacing w:val="0"/>
          <w:szCs w:val="32"/>
          <w:lang w:eastAsia="zh-CN"/>
        </w:rPr>
        <w:t>形成支撑全县工业经济发展的主动脉</w:t>
      </w:r>
      <w:r>
        <w:rPr>
          <w:rFonts w:hint="default" w:ascii="Times New Roman" w:hAnsi="Times New Roman" w:eastAsia="仿宋_GB2312" w:cs="Times New Roman"/>
          <w:color w:val="auto"/>
          <w:spacing w:val="0"/>
          <w:szCs w:val="32"/>
        </w:rPr>
        <w:t>。</w:t>
      </w:r>
    </w:p>
    <w:p w14:paraId="17D18A3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b/>
          <w:bCs/>
          <w:color w:val="auto"/>
          <w:spacing w:val="0"/>
          <w:szCs w:val="32"/>
        </w:rPr>
        <w:t>红河谷—绿汁江热区产业经济带。</w:t>
      </w:r>
      <w:r>
        <w:rPr>
          <w:rFonts w:hint="default" w:ascii="Times New Roman" w:hAnsi="Times New Roman" w:eastAsia="仿宋_GB2312" w:cs="Times New Roman"/>
          <w:b w:val="0"/>
          <w:bCs w:val="0"/>
          <w:color w:val="auto"/>
          <w:spacing w:val="0"/>
          <w:szCs w:val="32"/>
          <w:lang w:eastAsia="zh-CN"/>
        </w:rPr>
        <w:t>按照全市热区产业发展规划布局，</w:t>
      </w:r>
      <w:r>
        <w:rPr>
          <w:rFonts w:hint="default" w:ascii="Times New Roman" w:hAnsi="Times New Roman" w:eastAsia="仿宋_GB2312" w:cs="Times New Roman"/>
          <w:color w:val="auto"/>
          <w:spacing w:val="0"/>
          <w:szCs w:val="32"/>
          <w:u w:val="none"/>
          <w:lang w:eastAsia="zh-CN"/>
        </w:rPr>
        <w:t>发挥新化、老厂、者竜、水塘、戛洒、漠沙的热区资源优势，厚植产业发展基础，培育新产业新动能，做强热区特色农业，做大沿江两岸经济，</w:t>
      </w:r>
      <w:r>
        <w:rPr>
          <w:rFonts w:hint="default" w:ascii="Times New Roman" w:hAnsi="Times New Roman" w:eastAsia="仿宋_GB2312" w:cs="Times New Roman"/>
          <w:color w:val="auto"/>
          <w:spacing w:val="0"/>
          <w:szCs w:val="32"/>
        </w:rPr>
        <w:t>推动流域农业发展、旅游开发、生态治理，以热区农业综合开发促进居民生产生活条件改善、巩固</w:t>
      </w:r>
      <w:r>
        <w:rPr>
          <w:rFonts w:hint="default" w:ascii="Times New Roman" w:hAnsi="Times New Roman" w:eastAsia="仿宋_GB2312" w:cs="Times New Roman"/>
          <w:color w:val="auto"/>
          <w:spacing w:val="0"/>
          <w:szCs w:val="32"/>
          <w:lang w:eastAsia="zh-CN"/>
        </w:rPr>
        <w:t>拓展</w:t>
      </w:r>
      <w:r>
        <w:rPr>
          <w:rFonts w:hint="default" w:ascii="Times New Roman" w:hAnsi="Times New Roman" w:eastAsia="仿宋_GB2312" w:cs="Times New Roman"/>
          <w:color w:val="auto"/>
          <w:spacing w:val="0"/>
          <w:szCs w:val="32"/>
        </w:rPr>
        <w:t>脱贫攻坚成果，</w:t>
      </w:r>
      <w:r>
        <w:rPr>
          <w:rFonts w:hint="default" w:ascii="Times New Roman" w:hAnsi="Times New Roman" w:eastAsia="仿宋_GB2312" w:cs="Times New Roman"/>
          <w:color w:val="auto"/>
          <w:spacing w:val="0"/>
          <w:szCs w:val="32"/>
          <w:lang w:eastAsia="zh-CN"/>
        </w:rPr>
        <w:t>打造</w:t>
      </w:r>
      <w:r>
        <w:rPr>
          <w:rFonts w:hint="default" w:ascii="Times New Roman" w:hAnsi="Times New Roman" w:eastAsia="仿宋_GB2312" w:cs="Times New Roman"/>
          <w:b w:val="0"/>
          <w:bCs w:val="0"/>
          <w:color w:val="auto"/>
          <w:spacing w:val="0"/>
          <w:szCs w:val="32"/>
        </w:rPr>
        <w:t>红河谷—绿汁江热区产业经济</w:t>
      </w:r>
      <w:r>
        <w:rPr>
          <w:rFonts w:hint="default" w:ascii="Times New Roman" w:hAnsi="Times New Roman" w:eastAsia="仿宋_GB2312" w:cs="Times New Roman"/>
          <w:b w:val="0"/>
          <w:bCs w:val="0"/>
          <w:color w:val="auto"/>
          <w:spacing w:val="0"/>
          <w:szCs w:val="32"/>
          <w:lang w:eastAsia="zh-CN"/>
        </w:rPr>
        <w:t>带，实现</w:t>
      </w:r>
      <w:r>
        <w:rPr>
          <w:rFonts w:hint="default" w:ascii="Times New Roman" w:hAnsi="Times New Roman" w:eastAsia="仿宋_GB2312" w:cs="Times New Roman"/>
          <w:color w:val="auto"/>
          <w:spacing w:val="0"/>
          <w:szCs w:val="32"/>
          <w:lang w:eastAsia="zh-CN"/>
        </w:rPr>
        <w:t>农旅融合</w:t>
      </w:r>
      <w:r>
        <w:rPr>
          <w:rFonts w:hint="default" w:ascii="Times New Roman" w:hAnsi="Times New Roman" w:eastAsia="仿宋_GB2312" w:cs="Times New Roman"/>
          <w:color w:val="auto"/>
          <w:spacing w:val="0"/>
          <w:szCs w:val="32"/>
        </w:rPr>
        <w:t>发展</w:t>
      </w:r>
      <w:r>
        <w:rPr>
          <w:rFonts w:hint="default" w:ascii="Times New Roman" w:hAnsi="Times New Roman" w:eastAsia="仿宋_GB2312" w:cs="Times New Roman"/>
          <w:color w:val="auto"/>
          <w:spacing w:val="0"/>
          <w:szCs w:val="32"/>
          <w:lang w:eastAsia="zh-CN"/>
        </w:rPr>
        <w:t>，形成支撑全县现代农业发展的核心区</w:t>
      </w:r>
      <w:r>
        <w:rPr>
          <w:rFonts w:hint="default" w:ascii="Times New Roman" w:hAnsi="Times New Roman" w:eastAsia="仿宋_GB2312" w:cs="Times New Roman"/>
          <w:color w:val="auto"/>
          <w:spacing w:val="0"/>
          <w:szCs w:val="32"/>
        </w:rPr>
        <w:t>。</w:t>
      </w:r>
    </w:p>
    <w:p w14:paraId="6050D99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b/>
          <w:bCs/>
          <w:color w:val="auto"/>
          <w:spacing w:val="0"/>
          <w:szCs w:val="32"/>
          <w:u w:val="none"/>
          <w:lang w:eastAsia="zh-CN"/>
        </w:rPr>
        <w:t>哀牢山</w:t>
      </w:r>
      <w:r>
        <w:rPr>
          <w:rFonts w:hint="default" w:ascii="Times New Roman" w:hAnsi="Times New Roman" w:eastAsia="仿宋_GB2312" w:cs="Times New Roman"/>
          <w:b/>
          <w:bCs/>
          <w:color w:val="auto"/>
          <w:spacing w:val="0"/>
          <w:szCs w:val="32"/>
          <w:u w:val="none"/>
        </w:rPr>
        <w:t>—</w:t>
      </w:r>
      <w:r>
        <w:rPr>
          <w:rFonts w:hint="default" w:ascii="Times New Roman" w:hAnsi="Times New Roman" w:eastAsia="仿宋_GB2312" w:cs="Times New Roman"/>
          <w:b/>
          <w:bCs/>
          <w:color w:val="auto"/>
          <w:spacing w:val="0"/>
          <w:szCs w:val="32"/>
          <w:u w:val="none"/>
          <w:lang w:eastAsia="zh-CN"/>
        </w:rPr>
        <w:t>磨盘山绿色经济带。</w:t>
      </w:r>
      <w:r>
        <w:rPr>
          <w:rFonts w:hint="default" w:ascii="Times New Roman" w:hAnsi="Times New Roman" w:eastAsia="仿宋_GB2312" w:cs="Times New Roman"/>
          <w:color w:val="auto"/>
          <w:spacing w:val="0"/>
          <w:szCs w:val="32"/>
          <w:lang w:val="en-US" w:eastAsia="zh-CN"/>
        </w:rPr>
        <w:t>牢固树立</w:t>
      </w:r>
      <w:r>
        <w:rPr>
          <w:rFonts w:hint="eastAsia" w:eastAsia="仿宋_GB2312" w:cs="Times New Roman"/>
          <w:color w:val="auto"/>
          <w:spacing w:val="0"/>
          <w:szCs w:val="32"/>
          <w:lang w:val="en-US" w:eastAsia="zh-CN"/>
        </w:rPr>
        <w:t>“</w:t>
      </w:r>
      <w:r>
        <w:rPr>
          <w:rFonts w:hint="default" w:ascii="Times New Roman" w:hAnsi="Times New Roman" w:eastAsia="仿宋_GB2312" w:cs="Times New Roman"/>
          <w:color w:val="auto"/>
          <w:spacing w:val="0"/>
          <w:szCs w:val="32"/>
          <w:lang w:val="en-US" w:eastAsia="zh-CN"/>
        </w:rPr>
        <w:t>绿水青山就是金山银山</w:t>
      </w:r>
      <w:r>
        <w:rPr>
          <w:rFonts w:hint="eastAsia" w:eastAsia="仿宋_GB2312" w:cs="Times New Roman"/>
          <w:color w:val="auto"/>
          <w:spacing w:val="0"/>
          <w:szCs w:val="32"/>
          <w:lang w:val="en-US" w:eastAsia="zh-CN"/>
        </w:rPr>
        <w:t>”</w:t>
      </w:r>
      <w:r>
        <w:rPr>
          <w:rFonts w:hint="default" w:ascii="Times New Roman" w:hAnsi="Times New Roman" w:eastAsia="仿宋_GB2312" w:cs="Times New Roman"/>
          <w:color w:val="auto"/>
          <w:spacing w:val="0"/>
          <w:szCs w:val="32"/>
          <w:lang w:val="en-US" w:eastAsia="zh-CN"/>
        </w:rPr>
        <w:t>理念，坚持自然资源保护与开发并重，</w:t>
      </w:r>
      <w:r>
        <w:rPr>
          <w:rFonts w:hint="default" w:ascii="Times New Roman" w:hAnsi="Times New Roman" w:eastAsia="仿宋_GB2312" w:cs="Times New Roman"/>
          <w:color w:val="auto"/>
          <w:spacing w:val="0"/>
          <w:szCs w:val="32"/>
        </w:rPr>
        <w:t>深挖哀牢山、磨盘山</w:t>
      </w:r>
      <w:r>
        <w:rPr>
          <w:rFonts w:hint="default" w:ascii="Times New Roman" w:hAnsi="Times New Roman" w:eastAsia="仿宋_GB2312" w:cs="Times New Roman"/>
          <w:color w:val="auto"/>
          <w:spacing w:val="0"/>
          <w:szCs w:val="32"/>
          <w:lang w:eastAsia="zh-CN"/>
        </w:rPr>
        <w:t>文化旅游资源</w:t>
      </w:r>
      <w:r>
        <w:rPr>
          <w:rFonts w:hint="default" w:ascii="Times New Roman" w:hAnsi="Times New Roman" w:eastAsia="仿宋_GB2312" w:cs="Times New Roman"/>
          <w:color w:val="auto"/>
          <w:spacing w:val="0"/>
          <w:szCs w:val="32"/>
        </w:rPr>
        <w:t>，探索生态价值转换路径，</w:t>
      </w:r>
      <w:r>
        <w:rPr>
          <w:rFonts w:hint="default" w:ascii="Times New Roman" w:hAnsi="Times New Roman" w:eastAsia="仿宋_GB2312" w:cs="Times New Roman"/>
          <w:color w:val="auto"/>
          <w:spacing w:val="0"/>
          <w:szCs w:val="32"/>
          <w:lang w:val="en-US" w:eastAsia="zh-CN"/>
        </w:rPr>
        <w:t>大力发展以生态旅游为主的绿色经济，依托</w:t>
      </w:r>
      <w:r>
        <w:rPr>
          <w:rFonts w:hint="default" w:ascii="Times New Roman" w:hAnsi="Times New Roman" w:eastAsia="仿宋_GB2312" w:cs="Times New Roman"/>
          <w:color w:val="auto"/>
          <w:spacing w:val="0"/>
          <w:szCs w:val="32"/>
        </w:rPr>
        <w:t>扬武、平甸、新化、者竜、水塘、戛洒、漠沙、建兴、平掌，</w:t>
      </w:r>
      <w:r>
        <w:rPr>
          <w:rFonts w:hint="default" w:ascii="Times New Roman" w:hAnsi="Times New Roman" w:eastAsia="仿宋_GB2312" w:cs="Times New Roman"/>
          <w:color w:val="auto"/>
          <w:spacing w:val="0"/>
          <w:szCs w:val="32"/>
          <w:lang w:eastAsia="zh-CN"/>
        </w:rPr>
        <w:t>夯实</w:t>
      </w:r>
      <w:r>
        <w:rPr>
          <w:rFonts w:hint="default" w:ascii="Times New Roman" w:hAnsi="Times New Roman" w:eastAsia="仿宋_GB2312" w:cs="Times New Roman"/>
          <w:color w:val="auto"/>
          <w:spacing w:val="0"/>
          <w:szCs w:val="32"/>
        </w:rPr>
        <w:t>旅游基础设施，开发</w:t>
      </w:r>
      <w:r>
        <w:rPr>
          <w:rFonts w:hint="default" w:ascii="Times New Roman" w:hAnsi="Times New Roman" w:eastAsia="仿宋_GB2312" w:cs="Times New Roman"/>
          <w:color w:val="auto"/>
          <w:spacing w:val="0"/>
          <w:szCs w:val="32"/>
          <w:lang w:eastAsia="zh-CN"/>
        </w:rPr>
        <w:t>民族文化、</w:t>
      </w:r>
      <w:r>
        <w:rPr>
          <w:rFonts w:hint="default" w:ascii="Times New Roman" w:hAnsi="Times New Roman" w:eastAsia="仿宋_GB2312" w:cs="Times New Roman"/>
          <w:color w:val="auto"/>
          <w:spacing w:val="0"/>
          <w:szCs w:val="32"/>
        </w:rPr>
        <w:t>科考探险、登山越野、</w:t>
      </w:r>
      <w:r>
        <w:rPr>
          <w:rFonts w:hint="default" w:ascii="Times New Roman" w:hAnsi="Times New Roman" w:eastAsia="仿宋_GB2312" w:cs="Times New Roman"/>
          <w:color w:val="auto"/>
          <w:spacing w:val="0"/>
          <w:szCs w:val="32"/>
          <w:lang w:eastAsia="zh-CN"/>
        </w:rPr>
        <w:t>康体养生</w:t>
      </w:r>
      <w:r>
        <w:rPr>
          <w:rFonts w:hint="default" w:ascii="Times New Roman" w:hAnsi="Times New Roman" w:eastAsia="仿宋_GB2312" w:cs="Times New Roman"/>
          <w:color w:val="auto"/>
          <w:spacing w:val="0"/>
          <w:szCs w:val="32"/>
        </w:rPr>
        <w:t>等多种旅游形态，提升景区综合功能，增强景区吸引力，</w:t>
      </w:r>
      <w:r>
        <w:rPr>
          <w:rFonts w:hint="default" w:ascii="Times New Roman" w:hAnsi="Times New Roman" w:eastAsia="仿宋_GB2312" w:cs="Times New Roman"/>
          <w:color w:val="auto"/>
          <w:spacing w:val="0"/>
          <w:szCs w:val="32"/>
          <w:lang w:eastAsia="zh-CN"/>
        </w:rPr>
        <w:t>打造</w:t>
      </w:r>
      <w:r>
        <w:rPr>
          <w:rFonts w:hint="default" w:ascii="Times New Roman" w:hAnsi="Times New Roman" w:eastAsia="仿宋_GB2312" w:cs="Times New Roman"/>
          <w:b w:val="0"/>
          <w:bCs w:val="0"/>
          <w:color w:val="auto"/>
          <w:spacing w:val="0"/>
          <w:szCs w:val="32"/>
          <w:u w:val="none"/>
          <w:lang w:eastAsia="zh-CN"/>
        </w:rPr>
        <w:t>哀牢山</w:t>
      </w:r>
      <w:r>
        <w:rPr>
          <w:rFonts w:hint="default" w:ascii="Times New Roman" w:hAnsi="Times New Roman" w:eastAsia="仿宋_GB2312" w:cs="Times New Roman"/>
          <w:b w:val="0"/>
          <w:bCs w:val="0"/>
          <w:color w:val="auto"/>
          <w:spacing w:val="0"/>
          <w:szCs w:val="32"/>
          <w:u w:val="none"/>
        </w:rPr>
        <w:t>—</w:t>
      </w:r>
      <w:r>
        <w:rPr>
          <w:rFonts w:hint="default" w:ascii="Times New Roman" w:hAnsi="Times New Roman" w:eastAsia="仿宋_GB2312" w:cs="Times New Roman"/>
          <w:b w:val="0"/>
          <w:bCs w:val="0"/>
          <w:color w:val="auto"/>
          <w:spacing w:val="0"/>
          <w:szCs w:val="32"/>
          <w:u w:val="none"/>
          <w:lang w:eastAsia="zh-CN"/>
        </w:rPr>
        <w:t>磨盘山绿色经济带，实现文旅深度融合发展，</w:t>
      </w:r>
      <w:r>
        <w:rPr>
          <w:rFonts w:hint="default" w:ascii="Times New Roman" w:hAnsi="Times New Roman" w:eastAsia="仿宋_GB2312" w:cs="Times New Roman"/>
          <w:color w:val="auto"/>
          <w:spacing w:val="0"/>
          <w:szCs w:val="32"/>
          <w:lang w:val="en-US" w:eastAsia="zh-CN"/>
        </w:rPr>
        <w:t>构建</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处处有风景，全域皆可游</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的新平生态旅游大格局。</w:t>
      </w:r>
    </w:p>
    <w:p w14:paraId="3651701A">
      <w:pPr>
        <w:pStyle w:val="2"/>
        <w:pageBreakBefore w:val="0"/>
        <w:widowControl w:val="0"/>
        <w:kinsoku/>
        <w:wordWrap/>
        <w:overflowPunct/>
        <w:topLinePunct w:val="0"/>
        <w:autoSpaceDN/>
        <w:bidi w:val="0"/>
        <w:spacing w:line="360" w:lineRule="auto"/>
        <w:ind w:left="0" w:leftChars="0" w:firstLine="0" w:firstLineChars="0"/>
        <w:rPr>
          <w:color w:val="auto"/>
          <w:spacing w:val="0"/>
        </w:rPr>
      </w:pPr>
      <w:r>
        <w:rPr>
          <w:color w:val="auto"/>
          <w:spacing w:val="0"/>
        </w:rPr>
        <w:drawing>
          <wp:inline distT="0" distB="0" distL="114300" distR="114300">
            <wp:extent cx="5539105" cy="4371340"/>
            <wp:effectExtent l="0" t="0" r="4445" b="1016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1"/>
                    <a:stretch>
                      <a:fillRect/>
                    </a:stretch>
                  </pic:blipFill>
                  <pic:spPr>
                    <a:xfrm>
                      <a:off x="0" y="0"/>
                      <a:ext cx="5539105" cy="4371340"/>
                    </a:xfrm>
                    <a:prstGeom prst="rect">
                      <a:avLst/>
                    </a:prstGeom>
                    <a:noFill/>
                    <a:ln>
                      <a:noFill/>
                    </a:ln>
                  </pic:spPr>
                </pic:pic>
              </a:graphicData>
            </a:graphic>
          </wp:inline>
        </w:drawing>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D80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11EA357A">
            <w:pPr>
              <w:pageBreakBefore w:val="0"/>
              <w:widowControl w:val="0"/>
              <w:kinsoku/>
              <w:wordWrap/>
              <w:overflowPunct/>
              <w:topLinePunct w:val="0"/>
              <w:autoSpaceDN/>
              <w:bidi w:val="0"/>
              <w:spacing w:line="500" w:lineRule="exact"/>
              <w:ind w:firstLine="606"/>
              <w:jc w:val="center"/>
              <w:rPr>
                <w:rFonts w:ascii="宋体" w:hAnsi="宋体" w:eastAsia="宋体" w:cs="宋体"/>
                <w:color w:val="auto"/>
                <w:spacing w:val="0"/>
                <w:sz w:val="28"/>
                <w:szCs w:val="28"/>
              </w:rPr>
            </w:pPr>
            <w:r>
              <w:rPr>
                <w:rFonts w:hint="default" w:ascii="Times New Roman" w:hAnsi="Times New Roman" w:eastAsia="仿宋_GB2312" w:cs="Times New Roman"/>
                <w:b/>
                <w:bCs/>
                <w:color w:val="auto"/>
                <w:spacing w:val="0"/>
                <w:sz w:val="28"/>
                <w:szCs w:val="28"/>
              </w:rPr>
              <w:t>专栏</w:t>
            </w:r>
            <w:r>
              <w:rPr>
                <w:rFonts w:hint="default" w:ascii="Times New Roman" w:hAnsi="Times New Roman" w:eastAsia="仿宋_GB2312" w:cs="Times New Roman"/>
                <w:b/>
                <w:bCs/>
                <w:color w:val="auto"/>
                <w:spacing w:val="0"/>
                <w:sz w:val="28"/>
                <w:szCs w:val="28"/>
                <w:lang w:val="en-US" w:eastAsia="zh-CN"/>
              </w:rPr>
              <w:t>3</w:t>
            </w:r>
            <w:r>
              <w:rPr>
                <w:rFonts w:hint="default" w:ascii="Times New Roman" w:hAnsi="Times New Roman" w:eastAsia="仿宋_GB2312" w:cs="Times New Roman"/>
                <w:b/>
                <w:bCs/>
                <w:color w:val="auto"/>
                <w:spacing w:val="0"/>
                <w:sz w:val="28"/>
                <w:szCs w:val="28"/>
              </w:rPr>
              <w:t xml:space="preserve">  新平各乡（镇、街道）功能定位</w:t>
            </w:r>
          </w:p>
        </w:tc>
      </w:tr>
      <w:tr w14:paraId="1E77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630CAA84">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Times New Roman" w:hAnsi="Times New Roman" w:eastAsia="仿宋_GB2312" w:cs="Times New Roman"/>
                <w:color w:val="auto"/>
                <w:spacing w:val="0"/>
                <w:sz w:val="28"/>
                <w:szCs w:val="28"/>
                <w:lang w:eastAsia="zh-CN"/>
              </w:rPr>
            </w:pPr>
            <w:r>
              <w:rPr>
                <w:rFonts w:hint="default" w:ascii="Times New Roman" w:hAnsi="Times New Roman" w:eastAsia="仿宋_GB2312" w:cs="Times New Roman"/>
                <w:b/>
                <w:bCs/>
                <w:color w:val="auto"/>
                <w:spacing w:val="0"/>
                <w:sz w:val="28"/>
                <w:szCs w:val="28"/>
              </w:rPr>
              <w:t>桂山街道</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lang w:eastAsia="zh-CN"/>
              </w:rPr>
              <w:t>哀牢明珠、五桂八景。</w:t>
            </w:r>
          </w:p>
          <w:p w14:paraId="44F33255">
            <w:pPr>
              <w:pStyle w:val="18"/>
              <w:keepNext w:val="0"/>
              <w:keepLines w:val="0"/>
              <w:pageBreakBefore w:val="0"/>
              <w:widowControl w:val="0"/>
              <w:kinsoku/>
              <w:wordWrap/>
              <w:overflowPunct/>
              <w:topLinePunct w:val="0"/>
              <w:autoSpaceDE/>
              <w:autoSpaceDN/>
              <w:bidi w:val="0"/>
              <w:adjustRightInd/>
              <w:snapToGrid/>
              <w:spacing w:after="0" w:line="480" w:lineRule="exact"/>
              <w:ind w:firstLine="562" w:firstLineChars="200"/>
              <w:textAlignment w:val="auto"/>
              <w:rPr>
                <w:rFonts w:hint="default" w:ascii="Times New Roman" w:hAnsi="Times New Roman" w:eastAsia="仿宋_GB2312" w:cs="Times New Roman"/>
                <w:color w:val="auto"/>
                <w:spacing w:val="0"/>
                <w:sz w:val="28"/>
                <w:szCs w:val="28"/>
                <w:lang w:eastAsia="zh-CN"/>
              </w:rPr>
            </w:pPr>
            <w:r>
              <w:rPr>
                <w:rFonts w:hint="default" w:ascii="Times New Roman" w:hAnsi="Times New Roman" w:eastAsia="仿宋_GB2312" w:cs="Times New Roman"/>
                <w:b/>
                <w:bCs/>
                <w:color w:val="auto"/>
                <w:spacing w:val="0"/>
                <w:sz w:val="28"/>
                <w:szCs w:val="28"/>
              </w:rPr>
              <w:t>古城街道</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rPr>
              <w:t>古韵新城</w:t>
            </w:r>
            <w:r>
              <w:rPr>
                <w:rFonts w:hint="default" w:ascii="Times New Roman" w:hAnsi="Times New Roman" w:eastAsia="仿宋_GB2312" w:cs="Times New Roman"/>
                <w:color w:val="auto"/>
                <w:spacing w:val="0"/>
                <w:sz w:val="28"/>
                <w:szCs w:val="28"/>
                <w:lang w:eastAsia="zh-CN"/>
              </w:rPr>
              <w:t>、宜居福地。</w:t>
            </w:r>
          </w:p>
          <w:p w14:paraId="7FC67A06">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Times New Roman" w:hAnsi="Times New Roman" w:eastAsia="仿宋_GB2312" w:cs="Times New Roman"/>
                <w:color w:val="auto"/>
                <w:spacing w:val="0"/>
                <w:sz w:val="28"/>
                <w:szCs w:val="28"/>
                <w:lang w:eastAsia="zh-CN"/>
              </w:rPr>
            </w:pPr>
            <w:r>
              <w:rPr>
                <w:rFonts w:hint="default" w:ascii="Times New Roman" w:hAnsi="Times New Roman" w:eastAsia="仿宋_GB2312" w:cs="Times New Roman"/>
                <w:b/>
                <w:bCs/>
                <w:color w:val="auto"/>
                <w:spacing w:val="0"/>
                <w:sz w:val="28"/>
                <w:szCs w:val="28"/>
              </w:rPr>
              <w:t>平甸乡</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lang w:eastAsia="zh-CN"/>
              </w:rPr>
              <w:t>磨盘神韵、生态彝乡。</w:t>
            </w:r>
          </w:p>
          <w:p w14:paraId="0F328293">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Times New Roman" w:hAnsi="Times New Roman" w:eastAsia="仿宋_GB2312" w:cs="Times New Roman"/>
                <w:color w:val="auto"/>
                <w:spacing w:val="0"/>
                <w:sz w:val="28"/>
                <w:szCs w:val="28"/>
                <w:lang w:eastAsia="zh-CN"/>
              </w:rPr>
            </w:pPr>
            <w:r>
              <w:rPr>
                <w:rFonts w:hint="default" w:ascii="Times New Roman" w:hAnsi="Times New Roman" w:eastAsia="仿宋_GB2312" w:cs="Times New Roman"/>
                <w:b/>
                <w:bCs/>
                <w:color w:val="auto"/>
                <w:spacing w:val="0"/>
                <w:sz w:val="28"/>
                <w:szCs w:val="28"/>
              </w:rPr>
              <w:t>新化乡</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lang w:eastAsia="zh-CN"/>
              </w:rPr>
              <w:t>古州驿镇、诚信彝乡。</w:t>
            </w:r>
          </w:p>
          <w:p w14:paraId="29FFAA87">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Times New Roman" w:hAnsi="Times New Roman" w:eastAsia="仿宋_GB2312" w:cs="Times New Roman"/>
                <w:b/>
                <w:bCs/>
                <w:color w:val="auto"/>
                <w:spacing w:val="0"/>
                <w:sz w:val="28"/>
                <w:szCs w:val="28"/>
                <w:lang w:eastAsia="zh-CN"/>
              </w:rPr>
            </w:pPr>
            <w:r>
              <w:rPr>
                <w:rFonts w:hint="default" w:ascii="Times New Roman" w:hAnsi="Times New Roman" w:eastAsia="仿宋_GB2312" w:cs="Times New Roman"/>
                <w:b/>
                <w:bCs/>
                <w:color w:val="auto"/>
                <w:spacing w:val="0"/>
                <w:sz w:val="28"/>
                <w:szCs w:val="28"/>
              </w:rPr>
              <w:t>扬武镇</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lang w:eastAsia="zh-CN"/>
              </w:rPr>
              <w:t>绿色钢城、昆曼驿站、商旅之窗。</w:t>
            </w:r>
          </w:p>
          <w:p w14:paraId="0F587E5E">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Times New Roman" w:hAnsi="Times New Roman" w:eastAsia="仿宋_GB2312" w:cs="Times New Roman"/>
                <w:bCs/>
                <w:color w:val="auto"/>
                <w:spacing w:val="0"/>
                <w:sz w:val="28"/>
                <w:szCs w:val="28"/>
                <w:lang w:eastAsia="zh-CN"/>
              </w:rPr>
            </w:pPr>
            <w:r>
              <w:rPr>
                <w:rFonts w:hint="default" w:ascii="Times New Roman" w:hAnsi="Times New Roman" w:eastAsia="仿宋_GB2312" w:cs="Times New Roman"/>
                <w:b/>
                <w:bCs/>
                <w:color w:val="auto"/>
                <w:spacing w:val="0"/>
                <w:sz w:val="28"/>
                <w:szCs w:val="28"/>
              </w:rPr>
              <w:t>老厂乡</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lang w:eastAsia="zh-CN"/>
              </w:rPr>
              <w:t>竹海彝乡、瓜果飘乡。</w:t>
            </w:r>
          </w:p>
          <w:p w14:paraId="24D5A179">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Times New Roman" w:hAnsi="Times New Roman" w:eastAsia="仿宋_GB2312" w:cs="Times New Roman"/>
                <w:bCs/>
                <w:color w:val="auto"/>
                <w:spacing w:val="0"/>
                <w:sz w:val="28"/>
                <w:szCs w:val="28"/>
                <w:lang w:eastAsia="zh-CN"/>
              </w:rPr>
            </w:pPr>
            <w:r>
              <w:rPr>
                <w:rFonts w:hint="default" w:ascii="Times New Roman" w:hAnsi="Times New Roman" w:eastAsia="仿宋_GB2312" w:cs="Times New Roman"/>
                <w:b/>
                <w:bCs/>
                <w:color w:val="auto"/>
                <w:spacing w:val="0"/>
                <w:sz w:val="28"/>
                <w:szCs w:val="28"/>
              </w:rPr>
              <w:t>水塘镇</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bCs/>
                <w:color w:val="auto"/>
                <w:spacing w:val="0"/>
                <w:sz w:val="28"/>
                <w:szCs w:val="28"/>
              </w:rPr>
              <w:t>橙韵水塘</w:t>
            </w:r>
            <w:r>
              <w:rPr>
                <w:rFonts w:hint="default" w:ascii="Times New Roman" w:hAnsi="Times New Roman" w:eastAsia="仿宋_GB2312" w:cs="Times New Roman"/>
                <w:bCs/>
                <w:color w:val="auto"/>
                <w:spacing w:val="0"/>
                <w:sz w:val="28"/>
                <w:szCs w:val="28"/>
                <w:lang w:eastAsia="zh-CN"/>
              </w:rPr>
              <w:t>、</w:t>
            </w:r>
            <w:r>
              <w:rPr>
                <w:rFonts w:hint="default" w:ascii="Times New Roman" w:hAnsi="Times New Roman" w:eastAsia="仿宋_GB2312" w:cs="Times New Roman"/>
                <w:bCs/>
                <w:color w:val="auto"/>
                <w:spacing w:val="0"/>
                <w:sz w:val="28"/>
                <w:szCs w:val="28"/>
              </w:rPr>
              <w:t>商旅小镇。</w:t>
            </w:r>
          </w:p>
          <w:p w14:paraId="5C8D4148">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Times New Roman" w:hAnsi="Times New Roman" w:eastAsia="仿宋_GB2312" w:cs="Times New Roman"/>
                <w:bCs/>
                <w:color w:val="auto"/>
                <w:spacing w:val="0"/>
                <w:sz w:val="28"/>
                <w:szCs w:val="28"/>
                <w:lang w:eastAsia="zh-CN"/>
              </w:rPr>
            </w:pPr>
            <w:r>
              <w:rPr>
                <w:rFonts w:hint="default" w:ascii="Times New Roman" w:hAnsi="Times New Roman" w:eastAsia="仿宋_GB2312" w:cs="Times New Roman"/>
                <w:b/>
                <w:bCs/>
                <w:color w:val="auto"/>
                <w:spacing w:val="0"/>
                <w:sz w:val="28"/>
                <w:szCs w:val="28"/>
              </w:rPr>
              <w:t>者竜乡</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bCs/>
                <w:color w:val="auto"/>
                <w:spacing w:val="0"/>
                <w:sz w:val="28"/>
                <w:szCs w:val="28"/>
                <w:lang w:eastAsia="zh-CN"/>
              </w:rPr>
              <w:t>云上茶海、康养者竜。</w:t>
            </w:r>
          </w:p>
          <w:p w14:paraId="43ED4F46">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Times New Roman" w:hAnsi="Times New Roman" w:eastAsia="仿宋_GB2312" w:cs="Times New Roman"/>
                <w:color w:val="auto"/>
                <w:spacing w:val="0"/>
                <w:sz w:val="28"/>
                <w:szCs w:val="28"/>
                <w:lang w:eastAsia="zh-CN"/>
              </w:rPr>
            </w:pPr>
            <w:r>
              <w:rPr>
                <w:rFonts w:hint="default" w:ascii="Times New Roman" w:hAnsi="Times New Roman" w:eastAsia="仿宋_GB2312" w:cs="Times New Roman"/>
                <w:b/>
                <w:bCs/>
                <w:color w:val="auto"/>
                <w:spacing w:val="0"/>
                <w:sz w:val="28"/>
                <w:szCs w:val="28"/>
                <w:lang w:eastAsia="zh-CN"/>
              </w:rPr>
              <w:t>戛洒</w:t>
            </w:r>
            <w:r>
              <w:rPr>
                <w:rFonts w:hint="default" w:ascii="Times New Roman" w:hAnsi="Times New Roman" w:eastAsia="仿宋_GB2312" w:cs="Times New Roman"/>
                <w:b/>
                <w:bCs/>
                <w:color w:val="auto"/>
                <w:spacing w:val="0"/>
                <w:sz w:val="28"/>
                <w:szCs w:val="28"/>
              </w:rPr>
              <w:t>镇</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lang w:eastAsia="zh-CN"/>
              </w:rPr>
              <w:t>神秘哀牢山、风情花</w:t>
            </w:r>
            <w:r>
              <w:rPr>
                <w:rFonts w:hint="default" w:ascii="Times New Roman" w:hAnsi="Times New Roman" w:eastAsia="仿宋_GB2312" w:cs="Times New Roman"/>
                <w:color w:val="auto"/>
                <w:spacing w:val="0"/>
                <w:sz w:val="28"/>
                <w:szCs w:val="28"/>
                <w:highlight w:val="none"/>
                <w:lang w:eastAsia="zh-CN"/>
              </w:rPr>
              <w:t>腰傣</w:t>
            </w:r>
            <w:r>
              <w:rPr>
                <w:rFonts w:hint="default" w:ascii="Times New Roman" w:hAnsi="Times New Roman" w:eastAsia="仿宋_GB2312" w:cs="Times New Roman"/>
                <w:color w:val="auto"/>
                <w:spacing w:val="0"/>
                <w:sz w:val="28"/>
                <w:szCs w:val="28"/>
                <w:lang w:eastAsia="zh-CN"/>
              </w:rPr>
              <w:t>、励志褚橙园。</w:t>
            </w:r>
          </w:p>
          <w:p w14:paraId="4B822F8F">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Times New Roman" w:hAnsi="Times New Roman" w:eastAsia="仿宋_GB2312" w:cs="Times New Roman"/>
                <w:color w:val="auto"/>
                <w:spacing w:val="0"/>
                <w:sz w:val="28"/>
                <w:szCs w:val="28"/>
                <w:lang w:eastAsia="zh-CN"/>
              </w:rPr>
            </w:pPr>
            <w:r>
              <w:rPr>
                <w:rFonts w:hint="default" w:ascii="Times New Roman" w:hAnsi="Times New Roman" w:eastAsia="仿宋_GB2312" w:cs="Times New Roman"/>
                <w:b/>
                <w:bCs/>
                <w:color w:val="auto"/>
                <w:spacing w:val="0"/>
                <w:sz w:val="28"/>
                <w:szCs w:val="28"/>
              </w:rPr>
              <w:t>漠沙镇</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lang w:eastAsia="zh-CN"/>
              </w:rPr>
              <w:t>鱼米之乡、田园小镇。</w:t>
            </w:r>
          </w:p>
          <w:p w14:paraId="7D586501">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Times New Roman" w:hAnsi="Times New Roman" w:eastAsia="仿宋_GB2312" w:cs="Times New Roman"/>
                <w:b/>
                <w:bCs/>
                <w:color w:val="auto"/>
                <w:spacing w:val="0"/>
                <w:sz w:val="28"/>
                <w:szCs w:val="28"/>
                <w:lang w:eastAsia="zh-CN"/>
              </w:rPr>
            </w:pPr>
            <w:r>
              <w:rPr>
                <w:rFonts w:hint="default" w:ascii="Times New Roman" w:hAnsi="Times New Roman" w:eastAsia="仿宋_GB2312" w:cs="Times New Roman"/>
                <w:b/>
                <w:bCs/>
                <w:color w:val="auto"/>
                <w:spacing w:val="0"/>
                <w:sz w:val="28"/>
                <w:szCs w:val="28"/>
              </w:rPr>
              <w:t>建兴乡</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lang w:eastAsia="zh-CN"/>
              </w:rPr>
              <w:t>革命老区、避暑胜地。</w:t>
            </w:r>
          </w:p>
          <w:p w14:paraId="3B435295">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宋体" w:hAnsi="宋体" w:eastAsia="宋体" w:cs="宋体"/>
                <w:color w:val="auto"/>
                <w:spacing w:val="0"/>
                <w:sz w:val="28"/>
                <w:szCs w:val="28"/>
                <w:lang w:eastAsia="zh-CN"/>
              </w:rPr>
            </w:pPr>
            <w:r>
              <w:rPr>
                <w:rFonts w:hint="default" w:ascii="Times New Roman" w:hAnsi="Times New Roman" w:eastAsia="仿宋_GB2312" w:cs="Times New Roman"/>
                <w:b/>
                <w:bCs/>
                <w:color w:val="auto"/>
                <w:spacing w:val="0"/>
                <w:sz w:val="28"/>
                <w:szCs w:val="28"/>
              </w:rPr>
              <w:t>平掌乡</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bCs/>
                <w:color w:val="auto"/>
                <w:spacing w:val="0"/>
                <w:sz w:val="28"/>
                <w:szCs w:val="28"/>
                <w:lang w:eastAsia="zh-CN"/>
              </w:rPr>
              <w:t>哀牢山畔、玉碗茶乡。</w:t>
            </w:r>
          </w:p>
        </w:tc>
      </w:tr>
    </w:tbl>
    <w:p w14:paraId="27AEB618">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46" w:name="_Toc27600"/>
      <w:bookmarkStart w:id="47" w:name="_Toc2633"/>
      <w:r>
        <w:rPr>
          <w:rFonts w:hint="eastAsia" w:ascii="黑体" w:hAnsi="黑体" w:eastAsia="黑体" w:cs="黑体"/>
          <w:b/>
          <w:bCs w:val="0"/>
          <w:color w:val="auto"/>
          <w:spacing w:val="0"/>
          <w:szCs w:val="32"/>
          <w:lang w:val="en-US" w:eastAsia="zh-CN"/>
        </w:rPr>
        <w:t>第三节  构建区域协调发展格局</w:t>
      </w:r>
      <w:bookmarkEnd w:id="46"/>
      <w:bookmarkEnd w:id="47"/>
    </w:p>
    <w:p w14:paraId="42D70EEF">
      <w:pPr>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lang w:val="en-US" w:eastAsia="zh-CN"/>
        </w:rPr>
        <w:t>主动服务和融入国家</w:t>
      </w:r>
      <w:r>
        <w:rPr>
          <w:rFonts w:hint="eastAsia" w:eastAsia="仿宋_GB2312"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zh-CN"/>
        </w:rPr>
        <w:t>一带一路</w:t>
      </w:r>
      <w:r>
        <w:rPr>
          <w:rFonts w:hint="eastAsia" w:eastAsia="仿宋_GB2312"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zh-CN"/>
        </w:rPr>
        <w:t>建设、云南面向南亚东南亚辐射中心建设等重大战略，依托</w:t>
      </w:r>
      <w:r>
        <w:rPr>
          <w:rFonts w:hint="default" w:ascii="Times New Roman" w:hAnsi="Times New Roman" w:eastAsia="仿宋_GB2312" w:cs="Times New Roman"/>
          <w:b w:val="0"/>
          <w:bCs/>
          <w:color w:val="auto"/>
          <w:spacing w:val="0"/>
          <w:kern w:val="0"/>
          <w:sz w:val="32"/>
          <w:szCs w:val="32"/>
          <w:lang w:val="en-US" w:eastAsia="zh-CN" w:bidi="ar"/>
        </w:rPr>
        <w:t>全市资源型经济转型发展带、热区产业发展带建设，</w:t>
      </w:r>
      <w:r>
        <w:rPr>
          <w:rFonts w:hint="default" w:ascii="Times New Roman" w:hAnsi="Times New Roman" w:eastAsia="仿宋_GB2312" w:cs="Times New Roman"/>
          <w:color w:val="auto"/>
          <w:spacing w:val="0"/>
          <w:sz w:val="32"/>
          <w:szCs w:val="32"/>
          <w:lang w:val="en-US" w:eastAsia="zh-CN"/>
        </w:rPr>
        <w:t>强化与易门、峨山、元江的热区农业、绿色工业等产业协调发展，促进少数民族文化交流交融，共筑合作发展新格局。积极融入滇中城市群发展、大滇西旅游环线建设、昆玉红旅游文化带建设等，以产业为突破，探索建立融入昆明市、楚雄州、红河州、普洱市等的合作机制，推动新平融入更高水平、更宽领域的发展大局。统筹县域发展，发挥比较优势，强化内部协调，突出区域特点，促进因地制宜，开创全县协调发展新格局。</w:t>
      </w:r>
    </w:p>
    <w:p w14:paraId="3D20CC01">
      <w:pPr>
        <w:pageBreakBefore w:val="0"/>
        <w:widowControl w:val="0"/>
        <w:kinsoku/>
        <w:wordWrap/>
        <w:overflowPunct/>
        <w:topLinePunct w:val="0"/>
        <w:autoSpaceDN/>
        <w:bidi w:val="0"/>
        <w:ind w:left="0" w:leftChars="0" w:firstLine="0" w:firstLineChars="0"/>
        <w:rPr>
          <w:rFonts w:hint="default"/>
          <w:color w:val="auto"/>
          <w:spacing w:val="0"/>
          <w:lang w:val="en-US" w:eastAsia="zh-CN"/>
        </w:rPr>
      </w:pPr>
      <w:r>
        <w:rPr>
          <w:rFonts w:hint="default"/>
          <w:color w:val="auto"/>
          <w:spacing w:val="0"/>
          <w:lang w:val="en-US" w:eastAsia="zh-CN"/>
        </w:rPr>
        <w:br w:type="page"/>
      </w:r>
    </w:p>
    <w:p w14:paraId="6230924B">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bCs w:val="0"/>
          <w:color w:val="auto"/>
          <w:spacing w:val="0"/>
          <w:kern w:val="2"/>
          <w:sz w:val="36"/>
          <w:szCs w:val="36"/>
          <w:lang w:val="en-US" w:eastAsia="zh-CN"/>
        </w:rPr>
      </w:pPr>
      <w:bookmarkStart w:id="48" w:name="_Toc3310"/>
      <w:bookmarkStart w:id="49" w:name="_Toc14283"/>
      <w:r>
        <w:rPr>
          <w:rFonts w:hint="eastAsia" w:ascii="方正小标宋_GBK" w:hAnsi="方正小标宋_GBK" w:eastAsia="方正小标宋_GBK" w:cs="方正小标宋_GBK"/>
          <w:bCs w:val="0"/>
          <w:color w:val="auto"/>
          <w:spacing w:val="0"/>
          <w:kern w:val="2"/>
          <w:sz w:val="36"/>
          <w:szCs w:val="36"/>
          <w:lang w:val="en-US" w:eastAsia="zh-CN"/>
        </w:rPr>
        <w:t>第四章  坚持融合发展，培育高质量发展新动能</w:t>
      </w:r>
      <w:bookmarkEnd w:id="48"/>
      <w:bookmarkEnd w:id="49"/>
    </w:p>
    <w:p w14:paraId="56ED36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坚持</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两型三化</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方向，</w:t>
      </w:r>
      <w:r>
        <w:rPr>
          <w:rFonts w:hint="default" w:ascii="Times New Roman" w:hAnsi="Times New Roman" w:eastAsia="仿宋_GB2312" w:cs="Times New Roman"/>
          <w:color w:val="auto"/>
          <w:spacing w:val="0"/>
          <w:sz w:val="32"/>
          <w:szCs w:val="32"/>
          <w:highlight w:val="none"/>
          <w:lang w:val="en-US" w:eastAsia="zh-CN"/>
        </w:rPr>
        <w:t>抓住云南全力打造世界一流</w:t>
      </w:r>
      <w:r>
        <w:rPr>
          <w:rFonts w:hint="eastAsia" w:eastAsia="仿宋_GB2312" w:cs="Times New Roman"/>
          <w:color w:val="auto"/>
          <w:spacing w:val="0"/>
          <w:sz w:val="32"/>
          <w:szCs w:val="32"/>
          <w:highlight w:val="none"/>
          <w:lang w:val="en-US" w:eastAsia="zh-CN"/>
        </w:rPr>
        <w:t>“</w:t>
      </w:r>
      <w:r>
        <w:rPr>
          <w:rFonts w:hint="default" w:ascii="Times New Roman" w:hAnsi="Times New Roman" w:eastAsia="仿宋_GB2312" w:cs="Times New Roman"/>
          <w:color w:val="auto"/>
          <w:spacing w:val="0"/>
          <w:sz w:val="32"/>
          <w:szCs w:val="32"/>
          <w:highlight w:val="none"/>
          <w:lang w:val="en-US" w:eastAsia="zh-CN"/>
        </w:rPr>
        <w:t>三张牌</w:t>
      </w:r>
      <w:r>
        <w:rPr>
          <w:rFonts w:hint="eastAsia" w:eastAsia="仿宋_GB2312" w:cs="Times New Roman"/>
          <w:color w:val="auto"/>
          <w:spacing w:val="0"/>
          <w:sz w:val="32"/>
          <w:szCs w:val="32"/>
          <w:highlight w:val="none"/>
          <w:lang w:val="en-US" w:eastAsia="zh-CN"/>
        </w:rPr>
        <w:t>”</w:t>
      </w:r>
      <w:r>
        <w:rPr>
          <w:rFonts w:hint="default" w:ascii="Times New Roman" w:hAnsi="Times New Roman" w:eastAsia="仿宋_GB2312" w:cs="Times New Roman"/>
          <w:color w:val="auto"/>
          <w:spacing w:val="0"/>
          <w:sz w:val="32"/>
          <w:szCs w:val="32"/>
          <w:highlight w:val="none"/>
          <w:lang w:val="en-US" w:eastAsia="zh-CN"/>
        </w:rPr>
        <w:t>契机，</w:t>
      </w:r>
      <w:r>
        <w:rPr>
          <w:rFonts w:hint="default" w:ascii="Times New Roman" w:hAnsi="Times New Roman" w:eastAsia="仿宋_GB2312" w:cs="Times New Roman"/>
          <w:color w:val="auto"/>
          <w:spacing w:val="0"/>
          <w:sz w:val="32"/>
          <w:szCs w:val="32"/>
          <w:highlight w:val="none"/>
        </w:rPr>
        <w:t>加快推进工业集群化、农业现代化、服务</w:t>
      </w:r>
      <w:r>
        <w:rPr>
          <w:rFonts w:hint="default" w:ascii="Times New Roman" w:hAnsi="Times New Roman" w:eastAsia="仿宋_GB2312" w:cs="Times New Roman"/>
          <w:color w:val="auto"/>
          <w:spacing w:val="0"/>
          <w:sz w:val="32"/>
          <w:szCs w:val="32"/>
          <w:highlight w:val="none"/>
          <w:lang w:val="en-US" w:eastAsia="zh-CN"/>
        </w:rPr>
        <w:t>业</w:t>
      </w:r>
      <w:r>
        <w:rPr>
          <w:rFonts w:hint="default" w:ascii="Times New Roman" w:hAnsi="Times New Roman" w:eastAsia="仿宋_GB2312" w:cs="Times New Roman"/>
          <w:color w:val="auto"/>
          <w:spacing w:val="0"/>
          <w:sz w:val="32"/>
          <w:szCs w:val="32"/>
          <w:highlight w:val="none"/>
        </w:rPr>
        <w:t>专业化步伐，培育发展新动能，加快一二三产业融合发展，促进经济结构优化升级，推进经济高质量跨越式发展。</w:t>
      </w:r>
    </w:p>
    <w:p w14:paraId="2B992DDC">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50" w:name="_Toc17592"/>
      <w:bookmarkStart w:id="51" w:name="_Toc21735"/>
      <w:r>
        <w:rPr>
          <w:rFonts w:hint="eastAsia" w:ascii="黑体" w:hAnsi="黑体" w:eastAsia="黑体" w:cs="黑体"/>
          <w:b/>
          <w:bCs w:val="0"/>
          <w:color w:val="auto"/>
          <w:spacing w:val="0"/>
          <w:szCs w:val="32"/>
          <w:lang w:val="en-US" w:eastAsia="zh-CN"/>
        </w:rPr>
        <w:t>第一节  打造云南绿色</w:t>
      </w:r>
      <w:r>
        <w:rPr>
          <w:rFonts w:hint="eastAsia" w:ascii="黑体" w:hAnsi="黑体" w:eastAsia="黑体" w:cs="黑体"/>
          <w:b/>
          <w:bCs w:val="0"/>
          <w:color w:val="auto"/>
          <w:spacing w:val="0"/>
          <w:szCs w:val="32"/>
          <w:highlight w:val="none"/>
          <w:lang w:val="en-US" w:eastAsia="zh-CN"/>
        </w:rPr>
        <w:t>矿冶</w:t>
      </w:r>
      <w:r>
        <w:rPr>
          <w:rFonts w:hint="eastAsia" w:ascii="黑体" w:hAnsi="黑体" w:eastAsia="黑体" w:cs="黑体"/>
          <w:b/>
          <w:bCs w:val="0"/>
          <w:color w:val="auto"/>
          <w:spacing w:val="0"/>
          <w:szCs w:val="32"/>
          <w:lang w:val="en-US" w:eastAsia="zh-CN"/>
        </w:rPr>
        <w:t>集聚区</w:t>
      </w:r>
      <w:bookmarkEnd w:id="50"/>
      <w:bookmarkEnd w:id="51"/>
    </w:p>
    <w:p w14:paraId="5FECB328">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color w:val="auto"/>
          <w:spacing w:val="0"/>
          <w:sz w:val="32"/>
          <w:szCs w:val="32"/>
          <w:highlight w:val="none"/>
        </w:rPr>
      </w:pPr>
      <w:r>
        <w:rPr>
          <w:rFonts w:hint="default" w:ascii="方正仿宋_GBK" w:hAnsi="方正仿宋_GBK" w:eastAsia="方正仿宋_GBK" w:cs="方正仿宋_GBK"/>
          <w:color w:val="auto"/>
          <w:spacing w:val="0"/>
          <w:sz w:val="32"/>
          <w:szCs w:val="32"/>
          <w:highlight w:val="none"/>
        </w:rPr>
        <w:t>加快矿冶、加工制造等工业产业的转型发展，加强信息化与工业化深度融合，到</w:t>
      </w:r>
      <w:r>
        <w:rPr>
          <w:rFonts w:hint="default" w:ascii="Times New Roman" w:hAnsi="Times New Roman" w:cs="Times New Roman"/>
          <w:color w:val="auto"/>
          <w:spacing w:val="0"/>
          <w:szCs w:val="22"/>
          <w:highlight w:val="none"/>
        </w:rPr>
        <w:t>2025</w:t>
      </w:r>
      <w:r>
        <w:rPr>
          <w:rFonts w:hint="default" w:ascii="方正仿宋_GBK" w:hAnsi="方正仿宋_GBK" w:eastAsia="方正仿宋_GBK" w:cs="方正仿宋_GBK"/>
          <w:color w:val="auto"/>
          <w:spacing w:val="0"/>
          <w:sz w:val="32"/>
          <w:szCs w:val="32"/>
          <w:highlight w:val="none"/>
        </w:rPr>
        <w:t>年，力争</w:t>
      </w:r>
      <w:r>
        <w:rPr>
          <w:rFonts w:hint="default" w:ascii="方正仿宋_GBK" w:hAnsi="方正仿宋_GBK" w:eastAsia="方正仿宋_GBK" w:cs="方正仿宋_GBK"/>
          <w:color w:val="auto"/>
          <w:spacing w:val="0"/>
          <w:sz w:val="32"/>
          <w:szCs w:val="32"/>
          <w:highlight w:val="none"/>
          <w:lang w:eastAsia="zh-CN"/>
        </w:rPr>
        <w:t>县域工业总产值</w:t>
      </w:r>
      <w:r>
        <w:rPr>
          <w:rFonts w:hint="default" w:ascii="方正仿宋_GBK" w:hAnsi="方正仿宋_GBK" w:eastAsia="方正仿宋_GBK" w:cs="方正仿宋_GBK"/>
          <w:color w:val="auto"/>
          <w:spacing w:val="0"/>
          <w:sz w:val="32"/>
          <w:szCs w:val="32"/>
          <w:highlight w:val="none"/>
        </w:rPr>
        <w:t>实现</w:t>
      </w:r>
      <w:r>
        <w:rPr>
          <w:rFonts w:hint="default" w:ascii="Times New Roman" w:hAnsi="Times New Roman" w:cs="Times New Roman"/>
          <w:color w:val="auto"/>
          <w:spacing w:val="0"/>
          <w:szCs w:val="22"/>
          <w:highlight w:val="none"/>
        </w:rPr>
        <w:t>500</w:t>
      </w:r>
      <w:r>
        <w:rPr>
          <w:rFonts w:hint="default" w:ascii="方正仿宋_GBK" w:hAnsi="方正仿宋_GBK" w:eastAsia="方正仿宋_GBK" w:cs="方正仿宋_GBK"/>
          <w:color w:val="auto"/>
          <w:spacing w:val="0"/>
          <w:sz w:val="32"/>
          <w:szCs w:val="32"/>
          <w:highlight w:val="none"/>
        </w:rPr>
        <w:t>亿元</w:t>
      </w:r>
      <w:r>
        <w:rPr>
          <w:rFonts w:hint="default" w:ascii="方正仿宋_GBK" w:hAnsi="方正仿宋_GBK" w:eastAsia="方正仿宋_GBK" w:cs="方正仿宋_GBK"/>
          <w:color w:val="auto"/>
          <w:spacing w:val="0"/>
          <w:sz w:val="32"/>
          <w:szCs w:val="32"/>
          <w:highlight w:val="none"/>
          <w:lang w:eastAsia="zh-CN"/>
        </w:rPr>
        <w:t>，</w:t>
      </w:r>
      <w:r>
        <w:rPr>
          <w:rFonts w:hint="default" w:ascii="方正仿宋_GBK" w:hAnsi="方正仿宋_GBK" w:eastAsia="方正仿宋_GBK" w:cs="方正仿宋_GBK"/>
          <w:color w:val="auto"/>
          <w:spacing w:val="0"/>
          <w:sz w:val="32"/>
          <w:szCs w:val="32"/>
          <w:highlight w:val="none"/>
        </w:rPr>
        <w:t>全县工业增加值达到</w:t>
      </w:r>
      <w:r>
        <w:rPr>
          <w:rFonts w:hint="default" w:ascii="Times New Roman" w:hAnsi="Times New Roman" w:cs="Times New Roman"/>
          <w:color w:val="auto"/>
          <w:spacing w:val="0"/>
          <w:szCs w:val="22"/>
          <w:highlight w:val="none"/>
        </w:rPr>
        <w:t>125</w:t>
      </w:r>
      <w:r>
        <w:rPr>
          <w:rFonts w:hint="default" w:ascii="方正仿宋_GBK" w:hAnsi="方正仿宋_GBK" w:eastAsia="方正仿宋_GBK" w:cs="方正仿宋_GBK"/>
          <w:color w:val="auto"/>
          <w:spacing w:val="0"/>
          <w:sz w:val="32"/>
          <w:szCs w:val="32"/>
          <w:highlight w:val="none"/>
        </w:rPr>
        <w:t>亿元以上。</w:t>
      </w:r>
    </w:p>
    <w:p w14:paraId="0DB63A1F">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rPr>
        <w:t>一、</w:t>
      </w:r>
      <w:r>
        <w:rPr>
          <w:rFonts w:hint="eastAsia" w:ascii="黑体" w:hAnsi="黑体" w:eastAsia="黑体" w:cs="黑体"/>
          <w:b w:val="0"/>
          <w:bCs/>
          <w:color w:val="auto"/>
          <w:spacing w:val="0"/>
          <w:szCs w:val="22"/>
          <w:lang w:val="en-US" w:eastAsia="zh-CN"/>
        </w:rPr>
        <w:t>做大做强矿冶产业</w:t>
      </w:r>
    </w:p>
    <w:p w14:paraId="663F7D96">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以打造</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云南绿色钢城</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为平台，以矿产绿色开发为抓手，加强产业链供应链价值链协同发展，提升矿冶产业科技化水平，支持企业转型升级，培育矿冶</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钢铁</w:t>
      </w:r>
      <w:r>
        <w:rPr>
          <w:rFonts w:hint="default" w:ascii="Times New Roman" w:hAnsi="Times New Roman" w:eastAsia="仿宋_GB2312" w:cs="Times New Roman"/>
          <w:color w:val="auto"/>
          <w:spacing w:val="0"/>
          <w:sz w:val="32"/>
          <w:szCs w:val="32"/>
          <w:highlight w:val="none"/>
        </w:rPr>
        <w:t>下游产业，推进</w:t>
      </w:r>
      <w:r>
        <w:rPr>
          <w:rFonts w:hint="default" w:ascii="Times New Roman" w:hAnsi="Times New Roman" w:eastAsia="仿宋_GB2312" w:cs="Times New Roman"/>
          <w:color w:val="auto"/>
          <w:spacing w:val="0"/>
          <w:sz w:val="32"/>
          <w:szCs w:val="32"/>
          <w:highlight w:val="none"/>
          <w:lang w:val="en-US" w:eastAsia="zh-CN"/>
        </w:rPr>
        <w:t>从矿山—冶炼—铸造全链条</w:t>
      </w:r>
      <w:r>
        <w:rPr>
          <w:rFonts w:hint="default" w:ascii="Times New Roman" w:hAnsi="Times New Roman" w:eastAsia="仿宋_GB2312" w:cs="Times New Roman"/>
          <w:color w:val="auto"/>
          <w:spacing w:val="0"/>
          <w:sz w:val="32"/>
          <w:szCs w:val="32"/>
          <w:highlight w:val="none"/>
        </w:rPr>
        <w:t>发展，打造全</w:t>
      </w:r>
      <w:r>
        <w:rPr>
          <w:rFonts w:hint="default" w:ascii="Times New Roman" w:hAnsi="Times New Roman" w:eastAsia="仿宋_GB2312" w:cs="Times New Roman"/>
          <w:color w:val="auto"/>
          <w:spacing w:val="0"/>
          <w:sz w:val="32"/>
          <w:szCs w:val="32"/>
          <w:highlight w:val="none"/>
          <w:lang w:val="en-US" w:eastAsia="zh-CN"/>
        </w:rPr>
        <w:t>省</w:t>
      </w:r>
      <w:r>
        <w:rPr>
          <w:rFonts w:hint="default" w:ascii="Times New Roman" w:hAnsi="Times New Roman" w:eastAsia="仿宋_GB2312" w:cs="Times New Roman"/>
          <w:color w:val="auto"/>
          <w:spacing w:val="0"/>
          <w:sz w:val="32"/>
          <w:szCs w:val="32"/>
          <w:highlight w:val="none"/>
        </w:rPr>
        <w:t>重要的绿色矿冶集聚区。加快先进适用技术和先进装备运用，调整产品结构，引进复合板材、管材、不锈钢及高性能合金钢等配套项目，开发高洁净度、高强度、高塑性变形、高抗腐蚀性和耐磨的优质钢材产品，改变当前以线材、棒材、盘螺等普通建筑用钢为主的单一局面</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推动从矿冶向中下游产业链延伸。积极整合大红山片区和鲁奎山片区</w:t>
      </w:r>
      <w:r>
        <w:rPr>
          <w:rFonts w:hint="default" w:ascii="Times New Roman" w:hAnsi="Times New Roman" w:eastAsia="仿宋_GB2312" w:cs="Times New Roman"/>
          <w:color w:val="auto"/>
          <w:spacing w:val="0"/>
          <w:sz w:val="32"/>
          <w:szCs w:val="32"/>
          <w:highlight w:val="none"/>
          <w:lang w:val="en-US" w:eastAsia="zh-CN"/>
        </w:rPr>
        <w:t>的</w:t>
      </w:r>
      <w:r>
        <w:rPr>
          <w:rFonts w:hint="default" w:ascii="Times New Roman" w:hAnsi="Times New Roman" w:eastAsia="仿宋_GB2312" w:cs="Times New Roman"/>
          <w:color w:val="auto"/>
          <w:spacing w:val="0"/>
          <w:sz w:val="32"/>
          <w:szCs w:val="32"/>
          <w:highlight w:val="none"/>
        </w:rPr>
        <w:t>低品位、难采选零星矿点，加快矿产采选技术尤其是低品位矿石选矿技术的研发和运用，加快先进采矿选矿设施设备更新，切实提高资源利用率。完善大开门片区工业配套设施，推动矿冶工业向大开门</w:t>
      </w:r>
      <w:r>
        <w:rPr>
          <w:rFonts w:hint="eastAsia" w:eastAsia="仿宋_GB2312" w:cs="Times New Roman"/>
          <w:color w:val="auto"/>
          <w:spacing w:val="0"/>
          <w:sz w:val="32"/>
          <w:szCs w:val="32"/>
          <w:highlight w:val="none"/>
          <w:lang w:val="en-US" w:eastAsia="zh-CN"/>
        </w:rPr>
        <w:t>片区</w:t>
      </w:r>
      <w:r>
        <w:rPr>
          <w:rFonts w:hint="default" w:ascii="Times New Roman" w:hAnsi="Times New Roman" w:eastAsia="仿宋_GB2312" w:cs="Times New Roman"/>
          <w:color w:val="auto"/>
          <w:spacing w:val="0"/>
          <w:sz w:val="32"/>
          <w:szCs w:val="32"/>
          <w:highlight w:val="none"/>
        </w:rPr>
        <w:t>集聚，促进矿冶产业扩大规模、提质增效、置换产能。</w:t>
      </w:r>
    </w:p>
    <w:p w14:paraId="5DA7250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val="0"/>
          <w:color w:val="auto"/>
          <w:spacing w:val="0"/>
          <w:kern w:val="2"/>
          <w:sz w:val="32"/>
          <w:szCs w:val="32"/>
          <w:lang w:val="en-US" w:eastAsia="zh-CN" w:bidi="ar-SA"/>
        </w:rPr>
      </w:pPr>
      <w:r>
        <w:rPr>
          <w:rFonts w:hint="eastAsia" w:ascii="黑体" w:hAnsi="黑体" w:eastAsia="黑体" w:cs="黑体"/>
          <w:b w:val="0"/>
          <w:bCs w:val="0"/>
          <w:color w:val="auto"/>
          <w:spacing w:val="0"/>
          <w:kern w:val="2"/>
          <w:sz w:val="32"/>
          <w:szCs w:val="32"/>
          <w:lang w:val="en-US" w:eastAsia="zh-CN" w:bidi="ar-SA"/>
        </w:rPr>
        <w:t>二、推进产业园区倍增跨越发展</w:t>
      </w:r>
    </w:p>
    <w:p w14:paraId="40B759BD">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rPr>
        <w:t>以</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园区＋基地</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模式，实施</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三年倍增、五年跨越</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行动计划，强化土地集约节约利用，推进新平产业园区</w:t>
      </w:r>
      <w:r>
        <w:rPr>
          <w:rFonts w:hint="default" w:ascii="Times New Roman" w:hAnsi="Times New Roman" w:eastAsia="仿宋_GB2312" w:cs="Times New Roman"/>
          <w:color w:val="auto"/>
          <w:spacing w:val="0"/>
          <w:sz w:val="32"/>
          <w:szCs w:val="32"/>
          <w:highlight w:val="none"/>
          <w:lang w:val="en-US" w:eastAsia="zh-CN"/>
        </w:rPr>
        <w:t>高质量</w:t>
      </w:r>
      <w:r>
        <w:rPr>
          <w:rFonts w:hint="default" w:ascii="Times New Roman" w:hAnsi="Times New Roman" w:eastAsia="仿宋_GB2312" w:cs="Times New Roman"/>
          <w:color w:val="auto"/>
          <w:spacing w:val="0"/>
          <w:sz w:val="32"/>
          <w:szCs w:val="32"/>
          <w:highlight w:val="none"/>
        </w:rPr>
        <w:t>发展，把园区打造成为经济建设主力区、绿色矿冶集聚区。实施百亿元基础设施提升工程。围绕用地集中、开发集约、产业集聚和高质量发展要求，利用新型城镇化建设契机，加快推进大化区块、桂山区块产城融合基础设施建设项目，着力完善园区基础设施及配套，提升园区产业聚集功能。实施特色产业集群发展工程，培育以仙福集团和玉昆钢铁为重点的八百亿级矿冶集群，以两矿为重点的百亿级矿产采选集群，以斗戛轻工产业园为重点的五十亿级轻工制造集群，以南恩公司为重点的三十亿级生物资源加工集群。实施园区提档升格工程，用好云南省开发区优化提升政策，抢抓大化产业园区整合开发机遇，主动承接云南绿色钢城建设，明确园区产业定位，加快整合力度，突出产业特色，增强产业集聚发展能力，构建优势突出、布局合理、集约高效的产业体系，推进产业基础高级化、产业链条现代化。把新平产业园区打造成为国内知名、省内领先的一流园区</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到</w:t>
      </w:r>
      <w:r>
        <w:rPr>
          <w:rFonts w:hint="default" w:ascii="Times New Roman" w:hAnsi="Times New Roman" w:eastAsia="仿宋_GB2312" w:cs="Times New Roman"/>
          <w:color w:val="auto"/>
          <w:spacing w:val="0"/>
          <w:szCs w:val="22"/>
          <w:highlight w:val="none"/>
          <w:lang w:val="en-US" w:eastAsia="zh-CN"/>
        </w:rPr>
        <w:t>2025</w:t>
      </w:r>
      <w:r>
        <w:rPr>
          <w:rFonts w:hint="default" w:ascii="Times New Roman" w:hAnsi="Times New Roman" w:eastAsia="仿宋_GB2312" w:cs="Times New Roman"/>
          <w:color w:val="auto"/>
          <w:spacing w:val="0"/>
          <w:sz w:val="32"/>
          <w:szCs w:val="32"/>
          <w:highlight w:val="none"/>
          <w:lang w:val="en-US" w:eastAsia="zh-CN"/>
        </w:rPr>
        <w:t>年，园区基础设施投入累计达到</w:t>
      </w:r>
      <w:r>
        <w:rPr>
          <w:rFonts w:hint="default" w:ascii="Times New Roman" w:hAnsi="Times New Roman" w:eastAsia="仿宋_GB2312" w:cs="Times New Roman"/>
          <w:color w:val="auto"/>
          <w:spacing w:val="0"/>
          <w:szCs w:val="22"/>
          <w:highlight w:val="none"/>
          <w:lang w:val="en-US" w:eastAsia="zh-CN"/>
        </w:rPr>
        <w:t>100</w:t>
      </w:r>
      <w:r>
        <w:rPr>
          <w:rFonts w:hint="default" w:ascii="Times New Roman" w:hAnsi="Times New Roman" w:eastAsia="仿宋_GB2312" w:cs="Times New Roman"/>
          <w:color w:val="auto"/>
          <w:spacing w:val="0"/>
          <w:sz w:val="32"/>
          <w:szCs w:val="32"/>
          <w:highlight w:val="none"/>
          <w:lang w:val="en-US" w:eastAsia="zh-CN"/>
        </w:rPr>
        <w:t>亿元以上，</w:t>
      </w:r>
      <w:r>
        <w:rPr>
          <w:rFonts w:hint="default" w:ascii="Times New Roman" w:hAnsi="Times New Roman" w:eastAsia="仿宋_GB2312" w:cs="Times New Roman"/>
          <w:color w:val="auto"/>
          <w:spacing w:val="0"/>
          <w:sz w:val="32"/>
          <w:szCs w:val="32"/>
          <w:highlight w:val="none"/>
        </w:rPr>
        <w:t>园区固定资产投资累计达到</w:t>
      </w:r>
      <w:r>
        <w:rPr>
          <w:rFonts w:hint="default" w:ascii="Times New Roman" w:hAnsi="Times New Roman" w:eastAsia="仿宋_GB2312" w:cs="Times New Roman"/>
          <w:color w:val="auto"/>
          <w:spacing w:val="0"/>
          <w:szCs w:val="22"/>
          <w:highlight w:val="none"/>
          <w:lang w:val="en-US" w:eastAsia="zh-CN"/>
        </w:rPr>
        <w:t>400</w:t>
      </w:r>
      <w:r>
        <w:rPr>
          <w:rFonts w:hint="default" w:ascii="Times New Roman" w:hAnsi="Times New Roman" w:eastAsia="仿宋_GB2312" w:cs="Times New Roman"/>
          <w:color w:val="auto"/>
          <w:spacing w:val="0"/>
          <w:sz w:val="32"/>
          <w:szCs w:val="32"/>
          <w:highlight w:val="none"/>
        </w:rPr>
        <w:t>亿元以上，园区规模以上工业企业突破</w:t>
      </w:r>
      <w:r>
        <w:rPr>
          <w:rFonts w:hint="default" w:ascii="Times New Roman" w:hAnsi="Times New Roman" w:eastAsia="仿宋_GB2312" w:cs="Times New Roman"/>
          <w:color w:val="auto"/>
          <w:spacing w:val="0"/>
          <w:szCs w:val="22"/>
          <w:highlight w:val="none"/>
          <w:lang w:val="en-US" w:eastAsia="zh-CN"/>
        </w:rPr>
        <w:t>30</w:t>
      </w:r>
      <w:r>
        <w:rPr>
          <w:rFonts w:hint="default" w:ascii="Times New Roman" w:hAnsi="Times New Roman" w:eastAsia="仿宋_GB2312" w:cs="Times New Roman"/>
          <w:color w:val="auto"/>
          <w:spacing w:val="0"/>
          <w:sz w:val="32"/>
          <w:szCs w:val="32"/>
          <w:highlight w:val="none"/>
        </w:rPr>
        <w:t>户</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工业总产值突破</w:t>
      </w:r>
      <w:r>
        <w:rPr>
          <w:rFonts w:hint="default" w:ascii="Times New Roman" w:hAnsi="Times New Roman" w:eastAsia="仿宋_GB2312" w:cs="Times New Roman"/>
          <w:color w:val="auto"/>
          <w:spacing w:val="0"/>
          <w:szCs w:val="22"/>
          <w:highlight w:val="none"/>
          <w:lang w:val="en-US" w:eastAsia="zh-CN"/>
        </w:rPr>
        <w:t>1000</w:t>
      </w:r>
      <w:r>
        <w:rPr>
          <w:rFonts w:hint="default" w:ascii="Times New Roman" w:hAnsi="Times New Roman" w:eastAsia="仿宋_GB2312" w:cs="Times New Roman"/>
          <w:color w:val="auto"/>
          <w:spacing w:val="0"/>
          <w:sz w:val="32"/>
          <w:szCs w:val="32"/>
          <w:highlight w:val="none"/>
        </w:rPr>
        <w:t>亿元。</w:t>
      </w:r>
    </w:p>
    <w:p w14:paraId="2BDAC51A">
      <w:pPr>
        <w:pStyle w:val="5"/>
        <w:pageBreakBefore w:val="0"/>
        <w:widowControl w:val="0"/>
        <w:kinsoku/>
        <w:wordWrap/>
        <w:overflowPunct/>
        <w:topLinePunct w:val="0"/>
        <w:autoSpaceDE/>
        <w:autoSpaceDN/>
        <w:bidi w:val="0"/>
        <w:spacing w:before="0" w:after="0" w:line="360" w:lineRule="auto"/>
        <w:ind w:firstLine="687"/>
        <w:textAlignment w:val="auto"/>
        <w:rPr>
          <w:rFonts w:hint="eastAsia" w:ascii="黑体" w:hAnsi="黑体" w:eastAsia="黑体" w:cs="黑体"/>
          <w:b w:val="0"/>
          <w:bCs w:val="0"/>
          <w:color w:val="auto"/>
          <w:spacing w:val="0"/>
        </w:rPr>
      </w:pPr>
      <w:r>
        <w:rPr>
          <w:rFonts w:hint="eastAsia" w:ascii="黑体" w:hAnsi="黑体" w:eastAsia="黑体" w:cs="黑体"/>
          <w:b w:val="0"/>
          <w:bCs w:val="0"/>
          <w:color w:val="auto"/>
          <w:spacing w:val="0"/>
          <w:lang w:val="en-US" w:eastAsia="zh-CN"/>
        </w:rPr>
        <w:t>三</w:t>
      </w:r>
      <w:r>
        <w:rPr>
          <w:rFonts w:hint="eastAsia" w:ascii="黑体" w:hAnsi="黑体" w:eastAsia="黑体" w:cs="黑体"/>
          <w:b w:val="0"/>
          <w:bCs w:val="0"/>
          <w:color w:val="auto"/>
          <w:spacing w:val="0"/>
        </w:rPr>
        <w:t>、稳步提升加工制造业</w:t>
      </w:r>
    </w:p>
    <w:p w14:paraId="008961DA">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优化工业结构，发展装备制造、轻工、建材等行业，</w:t>
      </w:r>
      <w:r>
        <w:rPr>
          <w:rFonts w:hint="eastAsia" w:eastAsia="仿宋_GB2312" w:cs="Times New Roman"/>
          <w:color w:val="auto"/>
          <w:spacing w:val="0"/>
          <w:sz w:val="32"/>
          <w:szCs w:val="32"/>
          <w:highlight w:val="none"/>
          <w:lang w:val="en-US" w:eastAsia="zh-CN"/>
        </w:rPr>
        <w:t>积极开展制造业“补短板”、“拉长板”行动，推动制造业产品“增品种、提品质、创品牌”，</w:t>
      </w:r>
      <w:r>
        <w:rPr>
          <w:rFonts w:hint="default" w:ascii="Times New Roman" w:hAnsi="Times New Roman" w:eastAsia="仿宋_GB2312" w:cs="Times New Roman"/>
          <w:color w:val="auto"/>
          <w:spacing w:val="0"/>
          <w:sz w:val="32"/>
          <w:szCs w:val="32"/>
          <w:highlight w:val="none"/>
        </w:rPr>
        <w:t>提升产业层次和核心竞争力。引进和培育先进装备制造业，加快建设重要的区域性制造业基地。加快发展轻工产业，推进力高公司转型升级，发展医护人员防护用品、特种劳动防护用</w:t>
      </w:r>
      <w:r>
        <w:rPr>
          <w:rFonts w:hint="default" w:ascii="Times New Roman" w:hAnsi="Times New Roman" w:eastAsia="仿宋_GB2312" w:cs="Times New Roman"/>
          <w:color w:val="auto"/>
          <w:spacing w:val="0"/>
          <w:sz w:val="32"/>
          <w:szCs w:val="32"/>
          <w:highlight w:val="none"/>
          <w:lang w:val="en-US" w:eastAsia="zh-CN"/>
        </w:rPr>
        <w:t>品</w:t>
      </w:r>
      <w:r>
        <w:rPr>
          <w:rFonts w:hint="default" w:ascii="Times New Roman" w:hAnsi="Times New Roman" w:eastAsia="仿宋_GB2312" w:cs="Times New Roman"/>
          <w:color w:val="auto"/>
          <w:spacing w:val="0"/>
          <w:sz w:val="32"/>
          <w:szCs w:val="32"/>
          <w:highlight w:val="none"/>
        </w:rPr>
        <w:t>等纺织制品；支持发展旅游产品、民族工艺品、竹木制品、木制家具等加工业。依托传统铸造业，延伸矿冶业产业链，大力发展铸件产品的半精加工和精深加工，以及特色五金、钢结构件、农机等金属制品业。鼓励发展新型建材产业，提高矿山采选废渣、建筑废物、煤矸石</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粉煤灰等资源综合利用率</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鼓励发展非粘土烧结多孔砖、混凝土多孔砖、烧结页岩多孔砖、蒸压加气混凝土砌块、石膏砌块等新型墙体材料以及其他轻质建材加工业。加快</w:t>
      </w:r>
      <w:r>
        <w:rPr>
          <w:rFonts w:hint="default" w:ascii="Times New Roman" w:hAnsi="Times New Roman" w:eastAsia="仿宋_GB2312" w:cs="Times New Roman"/>
          <w:color w:val="auto"/>
          <w:spacing w:val="0"/>
          <w:sz w:val="32"/>
          <w:szCs w:val="32"/>
          <w:highlight w:val="none"/>
          <w:lang w:val="en-US" w:eastAsia="zh-CN"/>
        </w:rPr>
        <w:t>发展</w:t>
      </w:r>
      <w:r>
        <w:rPr>
          <w:rFonts w:hint="default" w:ascii="Times New Roman" w:hAnsi="Times New Roman" w:eastAsia="仿宋_GB2312" w:cs="Times New Roman"/>
          <w:color w:val="auto"/>
          <w:spacing w:val="0"/>
          <w:sz w:val="32"/>
          <w:szCs w:val="32"/>
          <w:highlight w:val="none"/>
        </w:rPr>
        <w:t>高新技术产业，围绕壮大新动能、培育新引擎，扩大招商引资、招才引智，加快聚集一批高端化、智能化项目，以物联网、生物医药等战略性新兴产业培育为重点，大力发展高新技术产业，提升企业自主创新能力，提高核心竞争力。到</w:t>
      </w:r>
      <w:r>
        <w:rPr>
          <w:rFonts w:hint="default" w:ascii="Times New Roman" w:hAnsi="Times New Roman" w:eastAsia="仿宋_GB2312" w:cs="Times New Roman"/>
          <w:color w:val="auto"/>
          <w:spacing w:val="0"/>
          <w:szCs w:val="22"/>
          <w:highlight w:val="none"/>
          <w:lang w:val="en-US" w:eastAsia="zh-CN"/>
        </w:rPr>
        <w:t>2025</w:t>
      </w:r>
      <w:r>
        <w:rPr>
          <w:rFonts w:hint="default" w:ascii="Times New Roman" w:hAnsi="Times New Roman" w:eastAsia="仿宋_GB2312" w:cs="Times New Roman"/>
          <w:color w:val="auto"/>
          <w:spacing w:val="0"/>
          <w:sz w:val="32"/>
          <w:szCs w:val="32"/>
          <w:highlight w:val="none"/>
        </w:rPr>
        <w:t>年，力争轻工制造业、装备制造业产值</w:t>
      </w:r>
      <w:r>
        <w:rPr>
          <w:rFonts w:hint="default" w:ascii="Times New Roman" w:hAnsi="Times New Roman" w:eastAsia="仿宋_GB2312" w:cs="Times New Roman"/>
          <w:color w:val="auto"/>
          <w:spacing w:val="0"/>
          <w:sz w:val="32"/>
          <w:szCs w:val="32"/>
          <w:highlight w:val="none"/>
          <w:lang w:val="en-US" w:eastAsia="zh-CN"/>
        </w:rPr>
        <w:t>均</w:t>
      </w:r>
      <w:r>
        <w:rPr>
          <w:rFonts w:hint="default" w:ascii="Times New Roman" w:hAnsi="Times New Roman" w:eastAsia="仿宋_GB2312" w:cs="Times New Roman"/>
          <w:color w:val="auto"/>
          <w:spacing w:val="0"/>
          <w:sz w:val="32"/>
          <w:szCs w:val="32"/>
          <w:highlight w:val="none"/>
        </w:rPr>
        <w:t>达</w:t>
      </w:r>
      <w:r>
        <w:rPr>
          <w:rFonts w:hint="default" w:ascii="Times New Roman" w:hAnsi="Times New Roman" w:eastAsia="仿宋_GB2312" w:cs="Times New Roman"/>
          <w:color w:val="auto"/>
          <w:spacing w:val="0"/>
          <w:szCs w:val="22"/>
          <w:highlight w:val="none"/>
          <w:lang w:val="en-US" w:eastAsia="zh-CN"/>
        </w:rPr>
        <w:t>10</w:t>
      </w:r>
      <w:r>
        <w:rPr>
          <w:rFonts w:hint="default" w:ascii="Times New Roman" w:hAnsi="Times New Roman" w:eastAsia="仿宋_GB2312" w:cs="Times New Roman"/>
          <w:color w:val="auto"/>
          <w:spacing w:val="0"/>
          <w:sz w:val="32"/>
          <w:szCs w:val="32"/>
          <w:highlight w:val="none"/>
        </w:rPr>
        <w:t>亿元以上。</w:t>
      </w:r>
    </w:p>
    <w:p w14:paraId="0AC53F48">
      <w:pPr>
        <w:pStyle w:val="5"/>
        <w:pageBreakBefore w:val="0"/>
        <w:widowControl w:val="0"/>
        <w:kinsoku/>
        <w:wordWrap/>
        <w:overflowPunct/>
        <w:topLinePunct w:val="0"/>
        <w:autoSpaceDE/>
        <w:autoSpaceDN/>
        <w:bidi w:val="0"/>
        <w:spacing w:before="0" w:after="0" w:line="360" w:lineRule="auto"/>
        <w:ind w:firstLine="687"/>
        <w:textAlignment w:val="auto"/>
        <w:rPr>
          <w:rFonts w:hint="eastAsia" w:ascii="黑体" w:hAnsi="黑体" w:eastAsia="黑体" w:cs="黑体"/>
          <w:b w:val="0"/>
          <w:bCs w:val="0"/>
          <w:color w:val="auto"/>
          <w:spacing w:val="0"/>
          <w:highlight w:val="none"/>
          <w:lang w:eastAsia="zh-CN"/>
        </w:rPr>
      </w:pPr>
      <w:r>
        <w:rPr>
          <w:rFonts w:hint="eastAsia" w:ascii="黑体" w:hAnsi="黑体" w:eastAsia="黑体" w:cs="黑体"/>
          <w:b w:val="0"/>
          <w:bCs w:val="0"/>
          <w:color w:val="auto"/>
          <w:spacing w:val="0"/>
          <w:highlight w:val="none"/>
          <w:lang w:val="en-US" w:eastAsia="zh-CN"/>
        </w:rPr>
        <w:t>四</w:t>
      </w:r>
      <w:r>
        <w:rPr>
          <w:rFonts w:hint="eastAsia" w:ascii="黑体" w:hAnsi="黑体" w:eastAsia="黑体" w:cs="黑体"/>
          <w:b w:val="0"/>
          <w:bCs w:val="0"/>
          <w:color w:val="auto"/>
          <w:spacing w:val="0"/>
          <w:highlight w:val="none"/>
        </w:rPr>
        <w:t>、</w:t>
      </w:r>
      <w:r>
        <w:rPr>
          <w:rFonts w:hint="eastAsia" w:ascii="黑体" w:hAnsi="黑体" w:eastAsia="黑体" w:cs="黑体"/>
          <w:b w:val="0"/>
          <w:bCs w:val="0"/>
          <w:color w:val="auto"/>
          <w:spacing w:val="0"/>
          <w:highlight w:val="none"/>
          <w:lang w:val="en-US" w:eastAsia="zh-CN"/>
        </w:rPr>
        <w:t>大力发展生物资源</w:t>
      </w:r>
      <w:r>
        <w:rPr>
          <w:rFonts w:hint="eastAsia" w:ascii="黑体" w:hAnsi="黑体" w:eastAsia="黑体" w:cs="黑体"/>
          <w:b w:val="0"/>
          <w:bCs w:val="0"/>
          <w:color w:val="auto"/>
          <w:spacing w:val="0"/>
          <w:highlight w:val="none"/>
        </w:rPr>
        <w:t>加工</w:t>
      </w:r>
      <w:r>
        <w:rPr>
          <w:rFonts w:hint="eastAsia" w:ascii="黑体" w:hAnsi="黑体" w:eastAsia="黑体" w:cs="黑体"/>
          <w:b w:val="0"/>
          <w:bCs w:val="0"/>
          <w:color w:val="auto"/>
          <w:spacing w:val="0"/>
          <w:highlight w:val="none"/>
          <w:lang w:val="en-US" w:eastAsia="zh-CN"/>
        </w:rPr>
        <w:t>业</w:t>
      </w:r>
    </w:p>
    <w:p w14:paraId="00F808DA">
      <w:pPr>
        <w:keepNext w:val="0"/>
        <w:keepLines w:val="0"/>
        <w:pageBreakBefore w:val="0"/>
        <w:widowControl w:val="0"/>
        <w:kinsoku/>
        <w:wordWrap/>
        <w:overflowPunct/>
        <w:topLinePunct w:val="0"/>
        <w:autoSpaceDE/>
        <w:autoSpaceDN/>
        <w:bidi w:val="0"/>
        <w:adjustRightInd/>
        <w:snapToGrid/>
        <w:ind w:firstLine="640"/>
        <w:textAlignment w:val="auto"/>
        <w:rPr>
          <w:rFonts w:hint="default" w:ascii="Times New Roman" w:hAnsi="Times New Roman" w:eastAsia="仿宋_GB2312" w:cs="Times New Roman"/>
          <w:color w:val="auto"/>
          <w:spacing w:val="0"/>
          <w:lang w:val="en-US" w:eastAsia="zh-CN"/>
        </w:rPr>
      </w:pPr>
      <w:r>
        <w:rPr>
          <w:rFonts w:hint="default" w:ascii="Times New Roman" w:hAnsi="Times New Roman" w:eastAsia="仿宋_GB2312" w:cs="Times New Roman"/>
          <w:color w:val="auto"/>
          <w:spacing w:val="0"/>
          <w:szCs w:val="32"/>
        </w:rPr>
        <w:t>提高传统食品工业技术装备水平，培育壮大茶叶、核桃、甜橙、蔬菜、肉制品等新平特色食品加工业。加快传统特色食品工业发展，充分用好用活</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新平腌菜</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地理标志，</w:t>
      </w:r>
      <w:r>
        <w:rPr>
          <w:rFonts w:hint="default" w:ascii="Times New Roman" w:hAnsi="Times New Roman" w:eastAsia="仿宋_GB2312" w:cs="Times New Roman"/>
          <w:color w:val="auto"/>
          <w:spacing w:val="0"/>
          <w:szCs w:val="32"/>
          <w:lang w:val="en-US" w:eastAsia="zh-CN"/>
        </w:rPr>
        <w:t>整合酱菜加工企业，</w:t>
      </w:r>
      <w:r>
        <w:rPr>
          <w:rFonts w:hint="default" w:ascii="Times New Roman" w:hAnsi="Times New Roman" w:eastAsia="仿宋_GB2312" w:cs="Times New Roman"/>
          <w:color w:val="auto"/>
          <w:spacing w:val="0"/>
          <w:szCs w:val="32"/>
        </w:rPr>
        <w:t>提升品牌效益和产品附加值，做大做强具有地方和民族特色的酱菜产业。强化果蔬产品冷链周转、分选包装</w:t>
      </w:r>
      <w:r>
        <w:rPr>
          <w:rFonts w:hint="default" w:ascii="Times New Roman" w:hAnsi="Times New Roman" w:eastAsia="仿宋_GB2312" w:cs="Times New Roman"/>
          <w:color w:val="auto"/>
          <w:spacing w:val="0"/>
          <w:szCs w:val="32"/>
          <w:lang w:val="en-US" w:eastAsia="zh-CN"/>
        </w:rPr>
        <w:t>和</w:t>
      </w:r>
      <w:r>
        <w:rPr>
          <w:rFonts w:hint="default" w:ascii="Times New Roman" w:hAnsi="Times New Roman" w:eastAsia="仿宋_GB2312" w:cs="Times New Roman"/>
          <w:color w:val="auto"/>
          <w:spacing w:val="0"/>
          <w:szCs w:val="32"/>
        </w:rPr>
        <w:t>畜禽产品屠宰、冷链，</w:t>
      </w:r>
      <w:r>
        <w:rPr>
          <w:rFonts w:hint="default" w:ascii="Times New Roman" w:hAnsi="Times New Roman" w:eastAsia="仿宋_GB2312" w:cs="Times New Roman"/>
          <w:color w:val="auto"/>
          <w:spacing w:val="0"/>
          <w:szCs w:val="32"/>
          <w:lang w:val="en-US" w:eastAsia="zh-CN"/>
        </w:rPr>
        <w:t>推进</w:t>
      </w:r>
      <w:r>
        <w:rPr>
          <w:rFonts w:hint="default" w:ascii="Times New Roman" w:hAnsi="Times New Roman" w:eastAsia="仿宋_GB2312" w:cs="Times New Roman"/>
          <w:color w:val="auto"/>
          <w:spacing w:val="0"/>
          <w:szCs w:val="32"/>
        </w:rPr>
        <w:t>茶叶</w:t>
      </w:r>
      <w:r>
        <w:rPr>
          <w:rFonts w:hint="default" w:ascii="Times New Roman" w:hAnsi="Times New Roman"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中药饮片等农产品初加工</w:t>
      </w:r>
      <w:r>
        <w:rPr>
          <w:rFonts w:hint="default" w:ascii="Times New Roman" w:hAnsi="Times New Roman"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发展涵盖种植和养殖基地、加工销售、研发为一体的高原特色农产品加工业。深度开发以植物提取为主的天然生物医药、保健品、保健酒、天然香料、天然化妆品等生物新产品，发展黄精、石斛、滇重楼、三七等中药材精深加工，扩大露水草、玫瑰花种植及精深加工（蜕皮激素、玫瑰精油、玫瑰纯露）生产规模，支持工业大麻加工项目建设</w:t>
      </w:r>
      <w:r>
        <w:rPr>
          <w:rFonts w:hint="default" w:ascii="Times New Roman" w:hAnsi="Times New Roman" w:eastAsia="仿宋_GB2312" w:cs="Times New Roman"/>
          <w:color w:val="auto"/>
          <w:spacing w:val="0"/>
          <w:szCs w:val="32"/>
          <w:lang w:eastAsia="zh-CN"/>
        </w:rPr>
        <w:t>，</w:t>
      </w:r>
      <w:r>
        <w:rPr>
          <w:rFonts w:hint="default" w:ascii="Times New Roman" w:hAnsi="Times New Roman" w:eastAsia="仿宋_GB2312" w:cs="Times New Roman"/>
          <w:color w:val="auto"/>
          <w:spacing w:val="0"/>
          <w:sz w:val="32"/>
          <w:szCs w:val="32"/>
          <w:highlight w:val="none"/>
        </w:rPr>
        <w:t>加快推进大麻二酚项目</w:t>
      </w:r>
      <w:r>
        <w:rPr>
          <w:rFonts w:hint="default" w:ascii="Times New Roman" w:hAnsi="Times New Roman" w:eastAsia="仿宋_GB2312" w:cs="Times New Roman"/>
          <w:color w:val="auto"/>
          <w:spacing w:val="0"/>
          <w:szCs w:val="32"/>
        </w:rPr>
        <w:t>。</w:t>
      </w:r>
      <w:r>
        <w:rPr>
          <w:rFonts w:hint="default" w:ascii="Times New Roman" w:hAnsi="Times New Roman" w:eastAsia="仿宋_GB2312" w:cs="Times New Roman"/>
          <w:color w:val="auto"/>
          <w:spacing w:val="0"/>
          <w:sz w:val="32"/>
          <w:szCs w:val="32"/>
        </w:rPr>
        <w:t>大力发展以绿色食品加工为主的生物加工业，加快蔗糖加工产业转型发展，</w:t>
      </w:r>
      <w:r>
        <w:rPr>
          <w:rFonts w:hint="default" w:ascii="Times New Roman" w:hAnsi="Times New Roman" w:eastAsia="仿宋_GB2312" w:cs="Times New Roman"/>
          <w:color w:val="auto"/>
          <w:spacing w:val="0"/>
          <w:szCs w:val="32"/>
        </w:rPr>
        <w:t>推进南恩糖纸搬迁改造转型升级项目建设，推动糖纸产业良性发展</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到</w:t>
      </w:r>
      <w:r>
        <w:rPr>
          <w:rFonts w:hint="default" w:ascii="Times New Roman" w:hAnsi="Times New Roman" w:eastAsia="仿宋_GB2312" w:cs="Times New Roman"/>
          <w:color w:val="auto"/>
          <w:spacing w:val="0"/>
          <w:szCs w:val="22"/>
          <w:highlight w:val="none"/>
          <w:lang w:val="en-US" w:eastAsia="zh-CN"/>
        </w:rPr>
        <w:t>2025</w:t>
      </w:r>
      <w:r>
        <w:rPr>
          <w:rFonts w:hint="default" w:ascii="Times New Roman" w:hAnsi="Times New Roman" w:eastAsia="仿宋_GB2312" w:cs="Times New Roman"/>
          <w:color w:val="auto"/>
          <w:spacing w:val="0"/>
          <w:sz w:val="32"/>
          <w:szCs w:val="32"/>
          <w:highlight w:val="none"/>
        </w:rPr>
        <w:t>年，力争生物资源加工业产值达</w:t>
      </w:r>
      <w:r>
        <w:rPr>
          <w:rFonts w:hint="default" w:ascii="Times New Roman" w:hAnsi="Times New Roman" w:eastAsia="仿宋_GB2312" w:cs="Times New Roman"/>
          <w:color w:val="auto"/>
          <w:spacing w:val="0"/>
          <w:szCs w:val="22"/>
          <w:highlight w:val="none"/>
          <w:lang w:val="en-US" w:eastAsia="zh-CN"/>
        </w:rPr>
        <w:t>10</w:t>
      </w:r>
      <w:r>
        <w:rPr>
          <w:rFonts w:hint="default" w:ascii="Times New Roman" w:hAnsi="Times New Roman" w:eastAsia="仿宋_GB2312" w:cs="Times New Roman"/>
          <w:color w:val="auto"/>
          <w:spacing w:val="0"/>
          <w:sz w:val="32"/>
          <w:szCs w:val="32"/>
          <w:highlight w:val="none"/>
        </w:rPr>
        <w:t>亿元以上。</w:t>
      </w:r>
    </w:p>
    <w:tbl>
      <w:tblPr>
        <w:tblStyle w:val="3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FAF3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240672F4">
            <w:pPr>
              <w:pageBreakBefore w:val="0"/>
              <w:widowControl w:val="0"/>
              <w:kinsoku/>
              <w:wordWrap/>
              <w:overflowPunct/>
              <w:topLinePunct w:val="0"/>
              <w:autoSpaceDN/>
              <w:bidi w:val="0"/>
              <w:spacing w:line="500" w:lineRule="exact"/>
              <w:ind w:firstLine="606"/>
              <w:jc w:val="center"/>
              <w:rPr>
                <w:rFonts w:ascii="宋体" w:hAnsi="宋体" w:eastAsia="宋体" w:cs="宋体"/>
                <w:color w:val="auto"/>
                <w:spacing w:val="0"/>
                <w:kern w:val="0"/>
                <w:sz w:val="28"/>
                <w:szCs w:val="28"/>
                <w:lang w:bidi="zh-CN"/>
              </w:rPr>
            </w:pPr>
            <w:r>
              <w:rPr>
                <w:rFonts w:hint="default" w:ascii="Times New Roman" w:hAnsi="Times New Roman" w:eastAsia="仿宋_GB2312" w:cs="Times New Roman"/>
                <w:b/>
                <w:bCs/>
                <w:color w:val="auto"/>
                <w:spacing w:val="0"/>
                <w:kern w:val="0"/>
                <w:sz w:val="28"/>
                <w:szCs w:val="28"/>
                <w:lang w:val="zh-CN"/>
              </w:rPr>
              <w:t>专栏</w:t>
            </w:r>
            <w:r>
              <w:rPr>
                <w:rFonts w:hint="default" w:ascii="Times New Roman" w:hAnsi="Times New Roman" w:eastAsia="仿宋_GB2312" w:cs="Times New Roman"/>
                <w:b/>
                <w:bCs/>
                <w:color w:val="auto"/>
                <w:spacing w:val="0"/>
                <w:kern w:val="0"/>
                <w:sz w:val="28"/>
                <w:szCs w:val="28"/>
                <w:lang w:val="en-US" w:eastAsia="zh-CN"/>
              </w:rPr>
              <w:t>4</w:t>
            </w:r>
            <w:r>
              <w:rPr>
                <w:rFonts w:hint="default" w:ascii="Times New Roman" w:hAnsi="Times New Roman" w:eastAsia="仿宋_GB2312" w:cs="Times New Roman"/>
                <w:b/>
                <w:bCs/>
                <w:color w:val="auto"/>
                <w:spacing w:val="0"/>
                <w:kern w:val="0"/>
                <w:sz w:val="28"/>
                <w:szCs w:val="28"/>
                <w:lang w:bidi="zh-CN"/>
              </w:rPr>
              <w:t xml:space="preserve"> </w:t>
            </w:r>
            <w:r>
              <w:rPr>
                <w:rFonts w:hint="default" w:ascii="Times New Roman" w:hAnsi="Times New Roman" w:eastAsia="仿宋_GB2312" w:cs="Times New Roman"/>
                <w:b/>
                <w:bCs/>
                <w:color w:val="auto"/>
                <w:spacing w:val="0"/>
                <w:kern w:val="0"/>
                <w:sz w:val="28"/>
                <w:szCs w:val="28"/>
              </w:rPr>
              <w:t>工业集群化发展重点工程</w:t>
            </w:r>
          </w:p>
        </w:tc>
      </w:tr>
      <w:tr w14:paraId="30C0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0C2338BA">
            <w:pPr>
              <w:pStyle w:val="18"/>
              <w:pageBreakBefore w:val="0"/>
              <w:widowControl w:val="0"/>
              <w:kinsoku/>
              <w:wordWrap/>
              <w:overflowPunct/>
              <w:topLinePunct w:val="0"/>
              <w:autoSpaceDN/>
              <w:bidi w:val="0"/>
              <w:spacing w:after="0" w:line="500" w:lineRule="exact"/>
              <w:ind w:firstLine="562" w:firstLineChars="200"/>
              <w:rPr>
                <w:rFonts w:hint="eastAsia" w:ascii="Times New Roman" w:hAnsi="Times New Roman" w:eastAsia="仿宋_GB2312" w:cs="Times New Roman"/>
                <w:color w:val="auto"/>
                <w:spacing w:val="0"/>
                <w:kern w:val="2"/>
                <w:sz w:val="28"/>
                <w:szCs w:val="28"/>
                <w:highlight w:val="none"/>
                <w:lang w:val="en-US" w:eastAsia="zh-CN" w:bidi="ar-SA"/>
              </w:rPr>
            </w:pPr>
            <w:r>
              <w:rPr>
                <w:rFonts w:hint="eastAsia" w:ascii="Times New Roman" w:hAnsi="Times New Roman" w:eastAsia="仿宋_GB2312" w:cs="Times New Roman"/>
                <w:b/>
                <w:bCs/>
                <w:color w:val="auto"/>
                <w:spacing w:val="0"/>
                <w:kern w:val="2"/>
                <w:sz w:val="28"/>
                <w:szCs w:val="28"/>
                <w:highlight w:val="none"/>
                <w:lang w:val="en-US" w:eastAsia="zh-CN" w:bidi="ar-SA"/>
              </w:rPr>
              <w:t>矿产开采效率提升工程。</w:t>
            </w:r>
            <w:r>
              <w:rPr>
                <w:rFonts w:hint="eastAsia" w:ascii="Times New Roman" w:hAnsi="Times New Roman" w:eastAsia="仿宋_GB2312" w:cs="Times New Roman"/>
                <w:color w:val="auto"/>
                <w:spacing w:val="0"/>
                <w:kern w:val="2"/>
                <w:sz w:val="28"/>
                <w:szCs w:val="28"/>
                <w:highlight w:val="none"/>
                <w:lang w:val="en-US" w:eastAsia="zh-CN" w:bidi="ar-SA"/>
              </w:rPr>
              <w:t>实施大红山铁矿二道河矿段100万t/a采矿工程、智能化矿山建设、I号铜矿带深部150万t/a生产持续采矿工程（二期）、玉溪矿业有限公司东部矿段185中段建设、鲁电自走铁矿80万t/a地下采矿改扩建等项目建设。</w:t>
            </w:r>
          </w:p>
          <w:p w14:paraId="0837FBE0">
            <w:pPr>
              <w:pageBreakBefore w:val="0"/>
              <w:widowControl w:val="0"/>
              <w:kinsoku/>
              <w:wordWrap/>
              <w:overflowPunct/>
              <w:topLinePunct w:val="0"/>
              <w:autoSpaceDN/>
              <w:bidi w:val="0"/>
              <w:spacing w:line="500" w:lineRule="exact"/>
              <w:ind w:firstLine="606"/>
              <w:rPr>
                <w:rFonts w:hint="eastAsia" w:ascii="Times New Roman" w:hAnsi="Times New Roman" w:eastAsia="仿宋_GB2312" w:cs="Times New Roman"/>
                <w:color w:val="auto"/>
                <w:spacing w:val="0"/>
                <w:kern w:val="2"/>
                <w:sz w:val="28"/>
                <w:szCs w:val="28"/>
                <w:highlight w:val="none"/>
                <w:lang w:val="en-US" w:eastAsia="zh-CN" w:bidi="ar-SA"/>
              </w:rPr>
            </w:pPr>
            <w:r>
              <w:rPr>
                <w:rFonts w:hint="eastAsia" w:ascii="Times New Roman" w:hAnsi="Times New Roman" w:eastAsia="仿宋_GB2312" w:cs="Times New Roman"/>
                <w:b/>
                <w:bCs/>
                <w:color w:val="auto"/>
                <w:spacing w:val="0"/>
                <w:kern w:val="2"/>
                <w:sz w:val="28"/>
                <w:szCs w:val="28"/>
                <w:highlight w:val="none"/>
                <w:lang w:val="en-US" w:eastAsia="zh-CN" w:bidi="ar-SA"/>
              </w:rPr>
              <w:t>矿冶产业做大做强工程。</w:t>
            </w:r>
            <w:r>
              <w:rPr>
                <w:rFonts w:hint="eastAsia" w:ascii="Times New Roman" w:hAnsi="Times New Roman" w:eastAsia="仿宋_GB2312" w:cs="Times New Roman"/>
                <w:color w:val="auto"/>
                <w:spacing w:val="0"/>
                <w:kern w:val="2"/>
                <w:sz w:val="28"/>
                <w:szCs w:val="28"/>
                <w:highlight w:val="none"/>
                <w:lang w:val="en-US" w:eastAsia="zh-CN" w:bidi="ar-SA"/>
              </w:rPr>
              <w:t>加快推进仙福集团产能置换升级改造及配套项目，建设1350立方米炼铁高炉、100吨炼钢转炉、120万吨球团生产线和60万吨活性石灰生产线、120万吨煤焦化，规划建设成发公司105万吨煤焦化项目，加快仙福集团100万吨型钢生产线、100万吨带钢项目建设。全县的钢铁、水泥行业产能总量与市场需求、环境承载能力、资源保障基本适应。</w:t>
            </w:r>
          </w:p>
          <w:p w14:paraId="7D5BCBED">
            <w:pPr>
              <w:pageBreakBefore w:val="0"/>
              <w:widowControl w:val="0"/>
              <w:kinsoku/>
              <w:wordWrap/>
              <w:overflowPunct/>
              <w:topLinePunct w:val="0"/>
              <w:autoSpaceDN/>
              <w:bidi w:val="0"/>
              <w:spacing w:line="500" w:lineRule="exact"/>
              <w:ind w:firstLine="606"/>
              <w:rPr>
                <w:rFonts w:hint="eastAsia" w:ascii="Times New Roman" w:hAnsi="Times New Roman" w:eastAsia="仿宋_GB2312" w:cs="Times New Roman"/>
                <w:color w:val="auto"/>
                <w:spacing w:val="0"/>
                <w:kern w:val="2"/>
                <w:sz w:val="28"/>
                <w:szCs w:val="28"/>
                <w:highlight w:val="none"/>
                <w:lang w:val="en-US" w:eastAsia="zh-CN" w:bidi="ar-SA"/>
              </w:rPr>
            </w:pPr>
            <w:r>
              <w:rPr>
                <w:rFonts w:hint="eastAsia" w:ascii="Times New Roman" w:hAnsi="Times New Roman" w:eastAsia="仿宋_GB2312" w:cs="Times New Roman"/>
                <w:b/>
                <w:bCs/>
                <w:color w:val="auto"/>
                <w:spacing w:val="0"/>
                <w:kern w:val="2"/>
                <w:sz w:val="28"/>
                <w:szCs w:val="28"/>
                <w:highlight w:val="none"/>
                <w:lang w:val="en-US" w:eastAsia="zh-CN" w:bidi="ar-SA"/>
              </w:rPr>
              <w:t>加工制造业提升工程。</w:t>
            </w:r>
            <w:r>
              <w:rPr>
                <w:rFonts w:hint="eastAsia" w:ascii="Times New Roman" w:hAnsi="Times New Roman" w:eastAsia="仿宋_GB2312" w:cs="Times New Roman"/>
                <w:color w:val="auto"/>
                <w:spacing w:val="0"/>
                <w:kern w:val="2"/>
                <w:sz w:val="28"/>
                <w:szCs w:val="28"/>
                <w:highlight w:val="none"/>
                <w:lang w:val="en-US" w:eastAsia="zh-CN" w:bidi="ar-SA"/>
              </w:rPr>
              <w:t>推进瀛洲水泥技改、恒泰透水砖二期建设、恒泰粉煤灰等项目建设，蒸汽加压砖、多孔砖、路面透水砖等新型建材广泛应用；大力发展机床部件、轻工机械配件等铸件产品的半精加工和精深加工。</w:t>
            </w:r>
          </w:p>
          <w:p w14:paraId="1A19E347">
            <w:pPr>
              <w:pageBreakBefore w:val="0"/>
              <w:widowControl w:val="0"/>
              <w:kinsoku/>
              <w:wordWrap/>
              <w:overflowPunct/>
              <w:topLinePunct w:val="0"/>
              <w:autoSpaceDN/>
              <w:bidi w:val="0"/>
              <w:spacing w:line="500" w:lineRule="exact"/>
              <w:ind w:firstLine="606"/>
              <w:rPr>
                <w:rFonts w:hint="eastAsia" w:ascii="Times New Roman" w:hAnsi="Times New Roman" w:eastAsia="仿宋_GB2312" w:cs="Times New Roman"/>
                <w:color w:val="auto"/>
                <w:spacing w:val="0"/>
                <w:kern w:val="2"/>
                <w:sz w:val="28"/>
                <w:szCs w:val="28"/>
                <w:highlight w:val="none"/>
                <w:lang w:val="en-US" w:eastAsia="zh-CN" w:bidi="ar-SA"/>
              </w:rPr>
            </w:pPr>
            <w:r>
              <w:rPr>
                <w:rFonts w:hint="eastAsia" w:ascii="Times New Roman" w:hAnsi="Times New Roman" w:eastAsia="仿宋_GB2312" w:cs="Times New Roman"/>
                <w:b/>
                <w:bCs/>
                <w:color w:val="auto"/>
                <w:spacing w:val="0"/>
                <w:kern w:val="2"/>
                <w:sz w:val="28"/>
                <w:szCs w:val="28"/>
                <w:highlight w:val="none"/>
                <w:lang w:val="en-US" w:eastAsia="zh-CN" w:bidi="ar-SA"/>
              </w:rPr>
              <w:t>生物资源加工业做优工程。</w:t>
            </w:r>
            <w:r>
              <w:rPr>
                <w:rFonts w:hint="eastAsia" w:ascii="Times New Roman" w:hAnsi="Times New Roman" w:eastAsia="仿宋_GB2312" w:cs="Times New Roman"/>
                <w:color w:val="auto"/>
                <w:spacing w:val="0"/>
                <w:kern w:val="2"/>
                <w:sz w:val="28"/>
                <w:szCs w:val="28"/>
                <w:highlight w:val="none"/>
                <w:lang w:val="en-US" w:eastAsia="zh-CN" w:bidi="ar-SA"/>
              </w:rPr>
              <w:t>做大做强具有地方和民族特色的酱菜产业，力争到</w:t>
            </w:r>
            <w:r>
              <w:rPr>
                <w:rFonts w:hint="eastAsia" w:eastAsia="仿宋_GB2312" w:cs="Times New Roman"/>
                <w:color w:val="auto"/>
                <w:spacing w:val="0"/>
                <w:kern w:val="2"/>
                <w:sz w:val="28"/>
                <w:szCs w:val="28"/>
                <w:highlight w:val="none"/>
                <w:lang w:val="en-US" w:eastAsia="zh-CN" w:bidi="ar-SA"/>
              </w:rPr>
              <w:t>“</w:t>
            </w:r>
            <w:r>
              <w:rPr>
                <w:rFonts w:hint="eastAsia" w:ascii="Times New Roman" w:hAnsi="Times New Roman" w:eastAsia="仿宋_GB2312" w:cs="Times New Roman"/>
                <w:color w:val="auto"/>
                <w:spacing w:val="0"/>
                <w:kern w:val="2"/>
                <w:sz w:val="28"/>
                <w:szCs w:val="28"/>
                <w:highlight w:val="none"/>
                <w:lang w:val="en-US" w:eastAsia="zh-CN" w:bidi="ar-SA"/>
              </w:rPr>
              <w:t>十四五</w:t>
            </w:r>
            <w:r>
              <w:rPr>
                <w:rFonts w:hint="eastAsia" w:eastAsia="仿宋_GB2312" w:cs="Times New Roman"/>
                <w:color w:val="auto"/>
                <w:spacing w:val="0"/>
                <w:kern w:val="2"/>
                <w:sz w:val="28"/>
                <w:szCs w:val="28"/>
                <w:highlight w:val="none"/>
                <w:lang w:val="en-US" w:eastAsia="zh-CN" w:bidi="ar-SA"/>
              </w:rPr>
              <w:t>”</w:t>
            </w:r>
            <w:r>
              <w:rPr>
                <w:rFonts w:hint="eastAsia" w:ascii="Times New Roman" w:hAnsi="Times New Roman" w:eastAsia="仿宋_GB2312" w:cs="Times New Roman"/>
                <w:color w:val="auto"/>
                <w:spacing w:val="0"/>
                <w:kern w:val="2"/>
                <w:sz w:val="28"/>
                <w:szCs w:val="28"/>
                <w:highlight w:val="none"/>
                <w:lang w:val="en-US" w:eastAsia="zh-CN" w:bidi="ar-SA"/>
              </w:rPr>
              <w:t>末，酱菜产业产值达2亿元以上，销售收入达1亿元以上，实现两个破亿的发展目标。鼓励恒源、恒诚公司技改升级，全力推进南恩公司搬迁技改扩建项目建设、100万头生猪屠宰场建设项目。</w:t>
            </w:r>
          </w:p>
          <w:p w14:paraId="4B871610">
            <w:pPr>
              <w:pageBreakBefore w:val="0"/>
              <w:widowControl w:val="0"/>
              <w:kinsoku/>
              <w:wordWrap/>
              <w:overflowPunct/>
              <w:topLinePunct w:val="0"/>
              <w:autoSpaceDN/>
              <w:bidi w:val="0"/>
              <w:spacing w:line="500" w:lineRule="exact"/>
              <w:ind w:firstLine="606"/>
              <w:rPr>
                <w:rFonts w:ascii="宋体" w:hAnsi="宋体" w:eastAsia="宋体" w:cs="宋体"/>
                <w:color w:val="auto"/>
                <w:spacing w:val="0"/>
                <w:kern w:val="0"/>
                <w:sz w:val="28"/>
                <w:szCs w:val="28"/>
              </w:rPr>
            </w:pPr>
            <w:r>
              <w:rPr>
                <w:rFonts w:hint="eastAsia" w:ascii="Times New Roman" w:hAnsi="Times New Roman" w:eastAsia="仿宋_GB2312" w:cs="Times New Roman"/>
                <w:b/>
                <w:bCs/>
                <w:color w:val="auto"/>
                <w:spacing w:val="0"/>
                <w:kern w:val="2"/>
                <w:sz w:val="28"/>
                <w:szCs w:val="28"/>
                <w:highlight w:val="none"/>
                <w:lang w:val="en-US" w:eastAsia="zh-CN" w:bidi="ar-SA"/>
              </w:rPr>
              <w:t>清洁能源产业开发工程。</w:t>
            </w:r>
            <w:r>
              <w:rPr>
                <w:rFonts w:hint="eastAsia" w:ascii="Times New Roman" w:hAnsi="Times New Roman" w:eastAsia="仿宋_GB2312" w:cs="Times New Roman"/>
                <w:color w:val="auto"/>
                <w:spacing w:val="0"/>
                <w:kern w:val="2"/>
                <w:sz w:val="28"/>
                <w:szCs w:val="28"/>
                <w:highlight w:val="none"/>
                <w:lang w:val="en-US" w:eastAsia="zh-CN" w:bidi="ar-SA"/>
              </w:rPr>
              <w:t>大力发展天然气、风电、光伏太阳能发电、生物质能等新能源，全力协调推进新平产业园区增量配电网、新平县大开门至县城28公里天然气管道等项目建设。到2025年，力争清洁能源产值达10亿元以上。</w:t>
            </w:r>
          </w:p>
        </w:tc>
      </w:tr>
    </w:tbl>
    <w:p w14:paraId="27B5A8D2">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52" w:name="_Toc966"/>
      <w:bookmarkStart w:id="53" w:name="_Toc11825"/>
      <w:r>
        <w:rPr>
          <w:rFonts w:hint="eastAsia" w:ascii="黑体" w:hAnsi="黑体" w:eastAsia="黑体" w:cs="黑体"/>
          <w:b/>
          <w:bCs w:val="0"/>
          <w:color w:val="auto"/>
          <w:spacing w:val="0"/>
          <w:szCs w:val="32"/>
          <w:lang w:val="en-US" w:eastAsia="zh-CN"/>
        </w:rPr>
        <w:t>第二节  打造云南高原特色现代农业示范区</w:t>
      </w:r>
      <w:bookmarkEnd w:id="52"/>
      <w:bookmarkEnd w:id="53"/>
    </w:p>
    <w:p w14:paraId="139820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color w:val="auto"/>
          <w:spacing w:val="0"/>
          <w:sz w:val="32"/>
          <w:szCs w:val="32"/>
          <w:u w:val="none"/>
        </w:rPr>
        <w:t>以</w:t>
      </w:r>
      <w:r>
        <w:rPr>
          <w:rFonts w:hint="eastAsia" w:eastAsia="仿宋_GB2312" w:cs="Times New Roman"/>
          <w:color w:val="auto"/>
          <w:spacing w:val="0"/>
          <w:sz w:val="32"/>
          <w:szCs w:val="32"/>
          <w:u w:val="none"/>
          <w:lang w:eastAsia="zh-CN"/>
        </w:rPr>
        <w:t>“</w:t>
      </w:r>
      <w:r>
        <w:rPr>
          <w:rFonts w:hint="default" w:ascii="Times New Roman" w:hAnsi="Times New Roman" w:eastAsia="仿宋_GB2312" w:cs="Times New Roman"/>
          <w:color w:val="auto"/>
          <w:spacing w:val="0"/>
          <w:sz w:val="32"/>
          <w:szCs w:val="32"/>
          <w:u w:val="none"/>
        </w:rPr>
        <w:t>绿色食品牌</w:t>
      </w:r>
      <w:r>
        <w:rPr>
          <w:rFonts w:hint="eastAsia" w:eastAsia="仿宋_GB2312" w:cs="Times New Roman"/>
          <w:color w:val="auto"/>
          <w:spacing w:val="0"/>
          <w:sz w:val="32"/>
          <w:szCs w:val="32"/>
          <w:u w:val="none"/>
          <w:lang w:eastAsia="zh-CN"/>
        </w:rPr>
        <w:t>”</w:t>
      </w:r>
      <w:r>
        <w:rPr>
          <w:rFonts w:hint="default" w:ascii="Times New Roman" w:hAnsi="Times New Roman" w:eastAsia="仿宋_GB2312" w:cs="Times New Roman"/>
          <w:color w:val="auto"/>
          <w:spacing w:val="0"/>
          <w:sz w:val="32"/>
          <w:szCs w:val="32"/>
          <w:u w:val="none"/>
        </w:rPr>
        <w:t>为抓手，</w:t>
      </w:r>
      <w:r>
        <w:rPr>
          <w:rFonts w:hint="default" w:ascii="Times New Roman" w:hAnsi="Times New Roman" w:eastAsia="仿宋_GB2312" w:cs="Times New Roman"/>
          <w:color w:val="auto"/>
          <w:spacing w:val="0"/>
          <w:sz w:val="32"/>
          <w:szCs w:val="32"/>
        </w:rPr>
        <w:t>着力在品种优化、品质提升、品牌引领上下功夫，</w:t>
      </w:r>
      <w:r>
        <w:rPr>
          <w:rFonts w:hint="default" w:ascii="Times New Roman" w:hAnsi="Times New Roman" w:eastAsia="仿宋_GB2312" w:cs="Times New Roman"/>
          <w:color w:val="auto"/>
          <w:spacing w:val="0"/>
          <w:szCs w:val="32"/>
        </w:rPr>
        <w:t>筑牢粮食保供基础，</w:t>
      </w:r>
      <w:r>
        <w:rPr>
          <w:rFonts w:hint="default" w:ascii="Times New Roman" w:hAnsi="Times New Roman" w:eastAsia="仿宋_GB2312" w:cs="Times New Roman"/>
          <w:color w:val="auto"/>
          <w:spacing w:val="0"/>
          <w:sz w:val="32"/>
          <w:szCs w:val="32"/>
          <w:u w:val="none"/>
          <w:lang w:val="en-US" w:eastAsia="zh-CN"/>
        </w:rPr>
        <w:t>大力发展观光农业、休闲农业、体验农业</w:t>
      </w:r>
      <w:r>
        <w:rPr>
          <w:rFonts w:hint="default" w:ascii="Times New Roman" w:hAnsi="Times New Roman" w:eastAsia="仿宋_GB2312" w:cs="Times New Roman"/>
          <w:color w:val="auto"/>
          <w:spacing w:val="0"/>
          <w:szCs w:val="32"/>
        </w:rPr>
        <w:t>，</w:t>
      </w:r>
      <w:r>
        <w:rPr>
          <w:rFonts w:hint="default" w:ascii="Times New Roman" w:hAnsi="Times New Roman" w:eastAsia="仿宋_GB2312" w:cs="Times New Roman"/>
          <w:color w:val="auto"/>
          <w:spacing w:val="0"/>
          <w:sz w:val="32"/>
          <w:szCs w:val="32"/>
          <w:u w:val="none"/>
          <w:lang w:val="en-US" w:eastAsia="zh-CN"/>
        </w:rPr>
        <w:t>推进产业深度融合，</w:t>
      </w:r>
      <w:r>
        <w:rPr>
          <w:rFonts w:hint="default" w:ascii="Times New Roman" w:hAnsi="Times New Roman" w:eastAsia="仿宋_GB2312" w:cs="Times New Roman"/>
          <w:color w:val="auto"/>
          <w:spacing w:val="0"/>
          <w:szCs w:val="32"/>
        </w:rPr>
        <w:t>不断提升农业</w:t>
      </w:r>
      <w:r>
        <w:rPr>
          <w:rFonts w:hint="default" w:ascii="Times New Roman" w:hAnsi="Times New Roman" w:eastAsia="仿宋_GB2312" w:cs="Times New Roman"/>
          <w:color w:val="auto"/>
          <w:spacing w:val="0"/>
          <w:szCs w:val="32"/>
          <w:lang w:val="en-US" w:eastAsia="zh-CN"/>
        </w:rPr>
        <w:t>质量和效益</w:t>
      </w:r>
      <w:r>
        <w:rPr>
          <w:rFonts w:hint="default" w:ascii="Times New Roman" w:hAnsi="Times New Roman" w:eastAsia="仿宋_GB2312" w:cs="Times New Roman"/>
          <w:color w:val="auto"/>
          <w:spacing w:val="0"/>
          <w:szCs w:val="32"/>
        </w:rPr>
        <w:t>，</w:t>
      </w:r>
      <w:r>
        <w:rPr>
          <w:rFonts w:hint="default" w:ascii="Times New Roman" w:hAnsi="Times New Roman" w:eastAsia="仿宋_GB2312" w:cs="Times New Roman"/>
          <w:color w:val="auto"/>
          <w:spacing w:val="0"/>
          <w:sz w:val="32"/>
          <w:szCs w:val="32"/>
          <w:u w:val="none"/>
          <w:lang w:val="en-US" w:eastAsia="zh-CN"/>
        </w:rPr>
        <w:t>打造云南高原特色现代农业示范区。到</w:t>
      </w:r>
      <w:r>
        <w:rPr>
          <w:rFonts w:hint="default" w:ascii="Times New Roman" w:hAnsi="Times New Roman" w:eastAsia="仿宋_GB2312" w:cs="Times New Roman"/>
          <w:color w:val="auto"/>
          <w:spacing w:val="0"/>
          <w:szCs w:val="22"/>
          <w:highlight w:val="none"/>
          <w:lang w:val="en-US" w:eastAsia="zh-CN"/>
        </w:rPr>
        <w:t>2025</w:t>
      </w:r>
      <w:r>
        <w:rPr>
          <w:rFonts w:hint="default" w:ascii="Times New Roman" w:hAnsi="Times New Roman" w:eastAsia="仿宋_GB2312" w:cs="Times New Roman"/>
          <w:color w:val="auto"/>
          <w:spacing w:val="0"/>
          <w:sz w:val="32"/>
          <w:szCs w:val="32"/>
          <w:highlight w:val="none"/>
        </w:rPr>
        <w:t>年，农业总产值达</w:t>
      </w:r>
      <w:r>
        <w:rPr>
          <w:rFonts w:hint="default" w:ascii="Times New Roman" w:hAnsi="Times New Roman" w:eastAsia="仿宋_GB2312" w:cs="Times New Roman"/>
          <w:color w:val="auto"/>
          <w:spacing w:val="0"/>
          <w:szCs w:val="22"/>
          <w:highlight w:val="none"/>
          <w:lang w:val="en-US" w:eastAsia="zh-CN"/>
        </w:rPr>
        <w:t>100</w:t>
      </w:r>
      <w:r>
        <w:rPr>
          <w:rFonts w:hint="default" w:ascii="Times New Roman" w:hAnsi="Times New Roman" w:eastAsia="仿宋_GB2312" w:cs="Times New Roman"/>
          <w:color w:val="auto"/>
          <w:spacing w:val="0"/>
          <w:sz w:val="32"/>
          <w:szCs w:val="32"/>
          <w:highlight w:val="none"/>
        </w:rPr>
        <w:t>亿元以上</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农业增加值达到</w:t>
      </w:r>
      <w:r>
        <w:rPr>
          <w:rFonts w:hint="default" w:ascii="Times New Roman" w:hAnsi="Times New Roman" w:eastAsia="仿宋_GB2312" w:cs="Times New Roman"/>
          <w:color w:val="auto"/>
          <w:spacing w:val="0"/>
          <w:szCs w:val="22"/>
          <w:highlight w:val="none"/>
          <w:lang w:val="en-US" w:eastAsia="zh-CN"/>
        </w:rPr>
        <w:t>40</w:t>
      </w:r>
      <w:r>
        <w:rPr>
          <w:rFonts w:hint="default" w:ascii="Times New Roman" w:hAnsi="Times New Roman" w:eastAsia="仿宋_GB2312" w:cs="Times New Roman"/>
          <w:color w:val="auto"/>
          <w:spacing w:val="0"/>
          <w:sz w:val="32"/>
          <w:szCs w:val="32"/>
          <w:highlight w:val="none"/>
        </w:rPr>
        <w:t>亿元以上</w:t>
      </w:r>
      <w:r>
        <w:rPr>
          <w:rFonts w:hint="default" w:ascii="Times New Roman" w:hAnsi="Times New Roman" w:eastAsia="仿宋_GB2312" w:cs="Times New Roman"/>
          <w:color w:val="auto"/>
          <w:spacing w:val="0"/>
          <w:sz w:val="32"/>
          <w:szCs w:val="32"/>
          <w:highlight w:val="none"/>
          <w:lang w:eastAsia="zh-CN"/>
        </w:rPr>
        <w:t>。</w:t>
      </w:r>
    </w:p>
    <w:p w14:paraId="770DE5D1">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一、保障</w:t>
      </w:r>
      <w:r>
        <w:rPr>
          <w:rFonts w:hint="eastAsia" w:ascii="黑体" w:hAnsi="黑体" w:eastAsia="黑体" w:cs="黑体"/>
          <w:b w:val="0"/>
          <w:bCs/>
          <w:color w:val="auto"/>
          <w:spacing w:val="0"/>
          <w:szCs w:val="22"/>
          <w:lang w:val="en-US" w:eastAsia="zh-CN"/>
        </w:rPr>
        <w:t>和稳定</w:t>
      </w:r>
      <w:r>
        <w:rPr>
          <w:rFonts w:hint="eastAsia" w:ascii="黑体" w:hAnsi="黑体" w:eastAsia="黑体" w:cs="黑体"/>
          <w:b w:val="0"/>
          <w:bCs/>
          <w:color w:val="auto"/>
          <w:spacing w:val="0"/>
          <w:szCs w:val="22"/>
        </w:rPr>
        <w:t>粮</w:t>
      </w:r>
      <w:r>
        <w:rPr>
          <w:rFonts w:hint="eastAsia" w:ascii="黑体" w:hAnsi="黑体" w:eastAsia="黑体" w:cs="黑体"/>
          <w:b w:val="0"/>
          <w:bCs/>
          <w:color w:val="auto"/>
          <w:spacing w:val="0"/>
          <w:szCs w:val="22"/>
          <w:lang w:val="en-US" w:eastAsia="zh-CN"/>
        </w:rPr>
        <w:t>烟</w:t>
      </w:r>
      <w:r>
        <w:rPr>
          <w:rFonts w:hint="eastAsia" w:ascii="黑体" w:hAnsi="黑体" w:eastAsia="黑体" w:cs="黑体"/>
          <w:b w:val="0"/>
          <w:bCs/>
          <w:color w:val="auto"/>
          <w:spacing w:val="0"/>
          <w:szCs w:val="22"/>
        </w:rPr>
        <w:t>生产</w:t>
      </w:r>
    </w:p>
    <w:p w14:paraId="3DC6C80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pacing w:val="0"/>
          <w:szCs w:val="22"/>
          <w:highlight w:val="none"/>
          <w:lang w:val="en-US" w:eastAsia="zh-CN"/>
        </w:rPr>
      </w:pPr>
      <w:r>
        <w:rPr>
          <w:rFonts w:hint="default" w:ascii="Times New Roman" w:hAnsi="Times New Roman" w:eastAsia="仿宋_GB2312" w:cs="Times New Roman"/>
          <w:b/>
          <w:bCs/>
          <w:color w:val="auto"/>
          <w:spacing w:val="0"/>
          <w:sz w:val="32"/>
          <w:szCs w:val="32"/>
          <w:u w:val="none"/>
          <w:lang w:val="en-US" w:eastAsia="zh-CN"/>
        </w:rPr>
        <w:t>粮食。</w:t>
      </w:r>
      <w:r>
        <w:rPr>
          <w:rFonts w:hint="default" w:ascii="Times New Roman" w:hAnsi="Times New Roman" w:eastAsia="仿宋_GB2312" w:cs="Times New Roman"/>
          <w:color w:val="auto"/>
          <w:spacing w:val="0"/>
          <w:szCs w:val="22"/>
          <w:highlight w:val="none"/>
          <w:lang w:val="en-US" w:eastAsia="zh-CN"/>
        </w:rPr>
        <w:t>推动</w:t>
      </w:r>
      <w:r>
        <w:rPr>
          <w:rFonts w:hint="eastAsia" w:eastAsia="仿宋_GB2312" w:cs="Times New Roman"/>
          <w:color w:val="auto"/>
          <w:spacing w:val="0"/>
          <w:szCs w:val="22"/>
          <w:highlight w:val="none"/>
          <w:lang w:val="en-US" w:eastAsia="zh-CN"/>
        </w:rPr>
        <w:t>“</w:t>
      </w:r>
      <w:r>
        <w:rPr>
          <w:rFonts w:hint="default" w:ascii="Times New Roman" w:hAnsi="Times New Roman" w:eastAsia="仿宋_GB2312" w:cs="Times New Roman"/>
          <w:color w:val="auto"/>
          <w:spacing w:val="0"/>
          <w:szCs w:val="22"/>
          <w:highlight w:val="none"/>
          <w:lang w:val="en-US" w:eastAsia="zh-CN"/>
        </w:rPr>
        <w:t>藏粮于地、藏粮于技</w:t>
      </w:r>
      <w:r>
        <w:rPr>
          <w:rFonts w:hint="eastAsia" w:eastAsia="仿宋_GB2312" w:cs="Times New Roman"/>
          <w:color w:val="auto"/>
          <w:spacing w:val="0"/>
          <w:szCs w:val="22"/>
          <w:highlight w:val="none"/>
          <w:lang w:val="en-US" w:eastAsia="zh-CN"/>
        </w:rPr>
        <w:t>”</w:t>
      </w:r>
      <w:r>
        <w:rPr>
          <w:rFonts w:hint="default" w:ascii="Times New Roman" w:hAnsi="Times New Roman" w:eastAsia="仿宋_GB2312" w:cs="Times New Roman"/>
          <w:color w:val="auto"/>
          <w:spacing w:val="0"/>
          <w:szCs w:val="22"/>
          <w:highlight w:val="none"/>
          <w:lang w:val="en-US" w:eastAsia="zh-CN"/>
        </w:rPr>
        <w:t>落实落地，严守耕地保护</w:t>
      </w:r>
      <w:r>
        <w:rPr>
          <w:rFonts w:hint="eastAsia" w:eastAsia="仿宋_GB2312" w:cs="Times New Roman"/>
          <w:color w:val="auto"/>
          <w:spacing w:val="0"/>
          <w:szCs w:val="22"/>
          <w:highlight w:val="none"/>
          <w:lang w:val="en-US" w:eastAsia="zh-CN"/>
        </w:rPr>
        <w:t>“</w:t>
      </w:r>
      <w:r>
        <w:rPr>
          <w:rFonts w:hint="default" w:ascii="Times New Roman" w:hAnsi="Times New Roman" w:eastAsia="仿宋_GB2312" w:cs="Times New Roman"/>
          <w:color w:val="auto"/>
          <w:spacing w:val="0"/>
          <w:szCs w:val="22"/>
          <w:highlight w:val="none"/>
          <w:lang w:val="en-US" w:eastAsia="zh-CN"/>
        </w:rPr>
        <w:t>红线</w:t>
      </w:r>
      <w:r>
        <w:rPr>
          <w:rFonts w:hint="eastAsia" w:eastAsia="仿宋_GB2312" w:cs="Times New Roman"/>
          <w:color w:val="auto"/>
          <w:spacing w:val="0"/>
          <w:szCs w:val="22"/>
          <w:highlight w:val="none"/>
          <w:lang w:val="en-US" w:eastAsia="zh-CN"/>
        </w:rPr>
        <w:t>”</w:t>
      </w:r>
      <w:r>
        <w:rPr>
          <w:rFonts w:hint="default" w:ascii="Times New Roman" w:hAnsi="Times New Roman" w:eastAsia="仿宋_GB2312" w:cs="Times New Roman"/>
          <w:color w:val="auto"/>
          <w:spacing w:val="0"/>
          <w:szCs w:val="22"/>
          <w:highlight w:val="none"/>
          <w:lang w:val="en-US" w:eastAsia="zh-CN"/>
        </w:rPr>
        <w:t>和粮食播种面积底线，坚决制止各类耕地</w:t>
      </w:r>
      <w:r>
        <w:rPr>
          <w:rFonts w:hint="eastAsia" w:eastAsia="仿宋_GB2312" w:cs="Times New Roman"/>
          <w:color w:val="auto"/>
          <w:spacing w:val="0"/>
          <w:szCs w:val="22"/>
          <w:highlight w:val="none"/>
          <w:lang w:val="en-US" w:eastAsia="zh-CN"/>
        </w:rPr>
        <w:t>“</w:t>
      </w:r>
      <w:r>
        <w:rPr>
          <w:rFonts w:hint="default" w:ascii="Times New Roman" w:hAnsi="Times New Roman" w:eastAsia="仿宋_GB2312" w:cs="Times New Roman"/>
          <w:color w:val="auto"/>
          <w:spacing w:val="0"/>
          <w:szCs w:val="22"/>
          <w:highlight w:val="none"/>
          <w:lang w:val="en-US" w:eastAsia="zh-CN"/>
        </w:rPr>
        <w:t>非农化</w:t>
      </w:r>
      <w:r>
        <w:rPr>
          <w:rFonts w:hint="eastAsia" w:eastAsia="仿宋_GB2312" w:cs="Times New Roman"/>
          <w:color w:val="auto"/>
          <w:spacing w:val="0"/>
          <w:szCs w:val="22"/>
          <w:highlight w:val="none"/>
          <w:lang w:val="en-US" w:eastAsia="zh-CN"/>
        </w:rPr>
        <w:t>”</w:t>
      </w:r>
      <w:r>
        <w:rPr>
          <w:rFonts w:hint="default" w:ascii="Times New Roman" w:hAnsi="Times New Roman" w:eastAsia="仿宋_GB2312" w:cs="Times New Roman"/>
          <w:color w:val="auto"/>
          <w:spacing w:val="0"/>
          <w:szCs w:val="22"/>
          <w:highlight w:val="none"/>
          <w:lang w:val="en-US" w:eastAsia="zh-CN"/>
        </w:rPr>
        <w:t>行为，确保全县粮食播种面积稳定在50万亩以上，粮食综合生产能力在2亿公斤以上。完善粮食市场体系，健全粮食应急保障体系，多渠道引入社会资本参与城乡粮食应急供应网点建设，提升粮食应急保障能力。推进粮饲、粮菜融合，优化粮食种植结构和利用方式，落实粮食扶持政策，保障农民种粮基本收益。</w:t>
      </w:r>
    </w:p>
    <w:p w14:paraId="0C3C1B61">
      <w:pPr>
        <w:pStyle w:val="3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ind w:firstLine="643" w:firstLineChars="200"/>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b/>
          <w:color w:val="auto"/>
          <w:spacing w:val="0"/>
          <w:kern w:val="2"/>
          <w:sz w:val="32"/>
          <w:szCs w:val="32"/>
          <w:lang w:val="en-US" w:eastAsia="zh-CN" w:bidi="ar-SA"/>
        </w:rPr>
        <w:t>烤烟产业。</w:t>
      </w:r>
      <w:r>
        <w:rPr>
          <w:rFonts w:hint="default" w:ascii="Times New Roman" w:hAnsi="Times New Roman" w:eastAsia="仿宋_GB2312" w:cs="Times New Roman"/>
          <w:color w:val="auto"/>
          <w:spacing w:val="0"/>
          <w:kern w:val="2"/>
          <w:sz w:val="32"/>
          <w:szCs w:val="32"/>
          <w:lang w:val="en-US" w:eastAsia="zh-CN" w:bidi="ar-SA"/>
        </w:rPr>
        <w:t>坚持烤烟产业支柱地位不动摇，以稳量增效为主线，强化核心烟区稳定发展，着力稳定烟农队伍，促进烤烟产业持续健康发展。推广生物质、电能等烘烤方式，发展绿色生态烟叶。创新烤烟生产管理模式，鼓励合作社、种烟大户土地流转种烟，推进育苗、烘烤等环节走向社会化服务运作。以促进烟农增收为目标，做精做细烟叶生产技术培训和指导，不断提高单产水平。到</w:t>
      </w:r>
      <w:r>
        <w:rPr>
          <w:rFonts w:hint="default" w:ascii="Times New Roman" w:hAnsi="Times New Roman" w:eastAsia="仿宋_GB2312" w:cs="Times New Roman"/>
          <w:color w:val="auto"/>
          <w:spacing w:val="0"/>
          <w:kern w:val="2"/>
          <w:sz w:val="32"/>
          <w:szCs w:val="22"/>
          <w:highlight w:val="none"/>
          <w:lang w:val="en-US" w:eastAsia="zh-CN" w:bidi="ar-SA"/>
        </w:rPr>
        <w:t>2025年</w:t>
      </w:r>
      <w:r>
        <w:rPr>
          <w:rFonts w:hint="default" w:ascii="Times New Roman" w:hAnsi="Times New Roman" w:eastAsia="仿宋_GB2312" w:cs="Times New Roman"/>
          <w:color w:val="auto"/>
          <w:spacing w:val="0"/>
          <w:kern w:val="2"/>
          <w:sz w:val="32"/>
          <w:szCs w:val="32"/>
          <w:lang w:val="en-US" w:eastAsia="zh-CN" w:bidi="ar-SA"/>
        </w:rPr>
        <w:t>，烤烟种植面积</w:t>
      </w:r>
      <w:r>
        <w:rPr>
          <w:rFonts w:hint="default" w:ascii="Times New Roman" w:hAnsi="Times New Roman" w:eastAsia="仿宋_GB2312" w:cs="Times New Roman"/>
          <w:color w:val="auto"/>
          <w:spacing w:val="0"/>
          <w:kern w:val="2"/>
          <w:sz w:val="32"/>
          <w:szCs w:val="22"/>
          <w:highlight w:val="none"/>
          <w:lang w:val="en-US" w:eastAsia="zh-CN" w:bidi="ar-SA"/>
        </w:rPr>
        <w:t>达8万</w:t>
      </w:r>
      <w:r>
        <w:rPr>
          <w:rFonts w:hint="default" w:ascii="Times New Roman" w:hAnsi="Times New Roman" w:eastAsia="仿宋_GB2312" w:cs="Times New Roman"/>
          <w:color w:val="auto"/>
          <w:spacing w:val="0"/>
          <w:kern w:val="2"/>
          <w:sz w:val="32"/>
          <w:szCs w:val="32"/>
          <w:lang w:val="en-US" w:eastAsia="zh-CN" w:bidi="ar-SA"/>
        </w:rPr>
        <w:t>亩以上，产值</w:t>
      </w:r>
      <w:r>
        <w:rPr>
          <w:rFonts w:hint="default" w:ascii="Times New Roman" w:hAnsi="Times New Roman" w:eastAsia="仿宋_GB2312" w:cs="Times New Roman"/>
          <w:color w:val="auto"/>
          <w:spacing w:val="0"/>
          <w:kern w:val="2"/>
          <w:sz w:val="32"/>
          <w:szCs w:val="22"/>
          <w:highlight w:val="none"/>
          <w:lang w:val="en-US" w:eastAsia="zh-CN" w:bidi="ar-SA"/>
        </w:rPr>
        <w:t>达3</w:t>
      </w:r>
      <w:r>
        <w:rPr>
          <w:rFonts w:hint="default" w:ascii="Times New Roman" w:hAnsi="Times New Roman" w:eastAsia="仿宋_GB2312" w:cs="Times New Roman"/>
          <w:color w:val="auto"/>
          <w:spacing w:val="0"/>
          <w:kern w:val="2"/>
          <w:sz w:val="32"/>
          <w:szCs w:val="32"/>
          <w:lang w:val="en-US" w:eastAsia="zh-CN" w:bidi="ar-SA"/>
        </w:rPr>
        <w:t>亿元以上，烟叶税收</w:t>
      </w:r>
      <w:r>
        <w:rPr>
          <w:rFonts w:hint="default" w:ascii="Times New Roman" w:hAnsi="Times New Roman" w:eastAsia="仿宋_GB2312" w:cs="Times New Roman"/>
          <w:color w:val="auto"/>
          <w:spacing w:val="0"/>
          <w:kern w:val="2"/>
          <w:sz w:val="32"/>
          <w:szCs w:val="22"/>
          <w:highlight w:val="none"/>
          <w:lang w:val="en-US" w:eastAsia="zh-CN" w:bidi="ar-SA"/>
        </w:rPr>
        <w:t>7000万</w:t>
      </w:r>
      <w:r>
        <w:rPr>
          <w:rFonts w:hint="default" w:ascii="Times New Roman" w:hAnsi="Times New Roman" w:eastAsia="仿宋_GB2312" w:cs="Times New Roman"/>
          <w:color w:val="auto"/>
          <w:spacing w:val="0"/>
          <w:kern w:val="2"/>
          <w:sz w:val="32"/>
          <w:szCs w:val="32"/>
          <w:lang w:val="en-US" w:eastAsia="zh-CN" w:bidi="ar-SA"/>
        </w:rPr>
        <w:t>元以上。</w:t>
      </w:r>
    </w:p>
    <w:p w14:paraId="57C00F8F">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二、发展特色优势产业</w:t>
      </w:r>
    </w:p>
    <w:p w14:paraId="0BD10D90">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lang w:val="en-US" w:eastAsia="zh-CN"/>
        </w:rPr>
      </w:pPr>
      <w:r>
        <w:rPr>
          <w:rFonts w:hint="default" w:ascii="Times New Roman" w:hAnsi="Times New Roman" w:eastAsia="仿宋_GB2312" w:cs="Times New Roman"/>
          <w:b/>
          <w:color w:val="auto"/>
          <w:spacing w:val="0"/>
          <w:szCs w:val="32"/>
        </w:rPr>
        <w:t>水果产业。</w:t>
      </w:r>
      <w:r>
        <w:rPr>
          <w:rFonts w:hint="default" w:ascii="Times New Roman" w:hAnsi="Times New Roman" w:eastAsia="仿宋_GB2312" w:cs="Times New Roman"/>
          <w:color w:val="auto"/>
          <w:spacing w:val="0"/>
          <w:sz w:val="32"/>
          <w:szCs w:val="32"/>
          <w:highlight w:val="none"/>
          <w:lang w:val="en-US" w:eastAsia="zh-CN"/>
        </w:rPr>
        <w:t>创建</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一县一业（水果）</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示范县，</w:t>
      </w:r>
      <w:r>
        <w:rPr>
          <w:rFonts w:hint="default" w:ascii="Times New Roman" w:hAnsi="Times New Roman" w:eastAsia="仿宋_GB2312" w:cs="Times New Roman"/>
          <w:color w:val="auto"/>
          <w:spacing w:val="0"/>
          <w:szCs w:val="32"/>
        </w:rPr>
        <w:t>坚持标准化、生态化、品牌化发展，发挥</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褚橙</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引领示范作用，建设绿色有机农产品产地认证柑橘示范园区，将红河谷－绿汁江半山一线建设成以柑橘为主的绿色生态经济走廊。围绕香蕉、芒果、荔枝等热区水果建立优质种苗繁育基地和生产基地，推进有机果园基地建设。到</w:t>
      </w:r>
      <w:r>
        <w:rPr>
          <w:rFonts w:hint="default" w:ascii="Times New Roman" w:hAnsi="Times New Roman" w:eastAsia="仿宋_GB2312" w:cs="Times New Roman"/>
          <w:color w:val="auto"/>
          <w:spacing w:val="0"/>
          <w:kern w:val="2"/>
          <w:sz w:val="32"/>
          <w:szCs w:val="22"/>
          <w:highlight w:val="none"/>
          <w:lang w:val="en-US" w:eastAsia="zh-CN" w:bidi="ar-SA"/>
        </w:rPr>
        <w:t>2025</w:t>
      </w:r>
      <w:r>
        <w:rPr>
          <w:rFonts w:hint="default" w:ascii="Times New Roman" w:hAnsi="Times New Roman" w:eastAsia="仿宋_GB2312" w:cs="Times New Roman"/>
          <w:color w:val="auto"/>
          <w:spacing w:val="0"/>
          <w:szCs w:val="32"/>
        </w:rPr>
        <w:t>年，水果种植面积达</w:t>
      </w:r>
      <w:r>
        <w:rPr>
          <w:rFonts w:hint="default" w:ascii="Times New Roman" w:hAnsi="Times New Roman" w:eastAsia="仿宋_GB2312" w:cs="Times New Roman"/>
          <w:color w:val="auto"/>
          <w:spacing w:val="0"/>
          <w:kern w:val="2"/>
          <w:sz w:val="32"/>
          <w:szCs w:val="22"/>
          <w:highlight w:val="none"/>
          <w:lang w:val="en-US" w:eastAsia="zh-CN" w:bidi="ar-SA"/>
        </w:rPr>
        <w:t>30</w:t>
      </w:r>
      <w:r>
        <w:rPr>
          <w:rFonts w:hint="default" w:ascii="Times New Roman" w:hAnsi="Times New Roman" w:eastAsia="仿宋_GB2312" w:cs="Times New Roman"/>
          <w:color w:val="auto"/>
          <w:spacing w:val="0"/>
          <w:szCs w:val="32"/>
        </w:rPr>
        <w:t>万亩</w:t>
      </w:r>
      <w:r>
        <w:rPr>
          <w:rFonts w:hint="default" w:ascii="Times New Roman" w:hAnsi="Times New Roman"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lang w:val="en-US" w:eastAsia="zh-CN"/>
        </w:rPr>
        <w:t>产值达</w:t>
      </w:r>
      <w:r>
        <w:rPr>
          <w:rFonts w:hint="default" w:ascii="Times New Roman" w:hAnsi="Times New Roman" w:eastAsia="仿宋_GB2312" w:cs="Times New Roman"/>
          <w:color w:val="auto"/>
          <w:spacing w:val="0"/>
          <w:kern w:val="2"/>
          <w:sz w:val="32"/>
          <w:szCs w:val="22"/>
          <w:highlight w:val="none"/>
          <w:lang w:val="en-US" w:eastAsia="zh-CN" w:bidi="ar-SA"/>
        </w:rPr>
        <w:t>20</w:t>
      </w:r>
      <w:r>
        <w:rPr>
          <w:rFonts w:hint="default" w:ascii="Times New Roman" w:hAnsi="Times New Roman" w:eastAsia="仿宋_GB2312" w:cs="Times New Roman"/>
          <w:color w:val="auto"/>
          <w:spacing w:val="0"/>
          <w:szCs w:val="32"/>
          <w:lang w:val="en-US" w:eastAsia="zh-CN"/>
        </w:rPr>
        <w:t>亿元以上，其中：</w:t>
      </w:r>
      <w:r>
        <w:rPr>
          <w:rFonts w:hint="default" w:ascii="Times New Roman" w:hAnsi="Times New Roman" w:eastAsia="仿宋_GB2312" w:cs="Times New Roman"/>
          <w:color w:val="auto"/>
          <w:spacing w:val="0"/>
          <w:szCs w:val="32"/>
          <w:lang w:eastAsia="zh-CN"/>
        </w:rPr>
        <w:t>柑橘种植面积达</w:t>
      </w:r>
      <w:r>
        <w:rPr>
          <w:rFonts w:hint="default" w:ascii="Times New Roman" w:hAnsi="Times New Roman" w:eastAsia="仿宋_GB2312" w:cs="Times New Roman"/>
          <w:color w:val="auto"/>
          <w:spacing w:val="0"/>
          <w:kern w:val="2"/>
          <w:sz w:val="32"/>
          <w:szCs w:val="22"/>
          <w:highlight w:val="none"/>
          <w:lang w:val="en-US" w:eastAsia="zh-CN" w:bidi="ar-SA"/>
        </w:rPr>
        <w:t>15</w:t>
      </w:r>
      <w:r>
        <w:rPr>
          <w:rFonts w:hint="default" w:ascii="Times New Roman" w:hAnsi="Times New Roman" w:eastAsia="仿宋_GB2312" w:cs="Times New Roman"/>
          <w:color w:val="auto"/>
          <w:spacing w:val="0"/>
          <w:szCs w:val="32"/>
          <w:lang w:val="en-US" w:eastAsia="zh-CN"/>
        </w:rPr>
        <w:t>万亩，</w:t>
      </w:r>
      <w:r>
        <w:rPr>
          <w:rFonts w:hint="default" w:ascii="Times New Roman" w:hAnsi="Times New Roman" w:eastAsia="仿宋_GB2312" w:cs="Times New Roman"/>
          <w:color w:val="auto"/>
          <w:spacing w:val="0"/>
          <w:szCs w:val="32"/>
          <w:lang w:eastAsia="zh-CN"/>
        </w:rPr>
        <w:t>产值达</w:t>
      </w:r>
      <w:r>
        <w:rPr>
          <w:rFonts w:hint="default" w:ascii="Times New Roman" w:hAnsi="Times New Roman" w:eastAsia="仿宋_GB2312" w:cs="Times New Roman"/>
          <w:color w:val="auto"/>
          <w:spacing w:val="0"/>
          <w:kern w:val="2"/>
          <w:sz w:val="32"/>
          <w:szCs w:val="22"/>
          <w:highlight w:val="none"/>
          <w:lang w:val="en-US" w:eastAsia="zh-CN" w:bidi="ar-SA"/>
        </w:rPr>
        <w:t>16</w:t>
      </w:r>
      <w:r>
        <w:rPr>
          <w:rFonts w:hint="default" w:ascii="Times New Roman" w:hAnsi="Times New Roman" w:eastAsia="仿宋_GB2312" w:cs="Times New Roman"/>
          <w:color w:val="auto"/>
          <w:spacing w:val="0"/>
          <w:szCs w:val="32"/>
          <w:lang w:val="en-US" w:eastAsia="zh-CN"/>
        </w:rPr>
        <w:t>亿元以上。</w:t>
      </w:r>
    </w:p>
    <w:p w14:paraId="46E75B2D">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lang w:val="en-US" w:eastAsia="zh-CN"/>
        </w:rPr>
      </w:pPr>
      <w:r>
        <w:rPr>
          <w:rFonts w:hint="default" w:ascii="Times New Roman" w:hAnsi="Times New Roman" w:eastAsia="仿宋_GB2312" w:cs="Times New Roman"/>
          <w:b/>
          <w:color w:val="auto"/>
          <w:spacing w:val="0"/>
          <w:szCs w:val="32"/>
        </w:rPr>
        <w:t>畜</w:t>
      </w:r>
      <w:r>
        <w:rPr>
          <w:rFonts w:hint="default" w:ascii="Times New Roman" w:hAnsi="Times New Roman" w:eastAsia="仿宋_GB2312" w:cs="Times New Roman"/>
          <w:b/>
          <w:color w:val="auto"/>
          <w:spacing w:val="0"/>
          <w:szCs w:val="32"/>
          <w:lang w:eastAsia="zh-CN"/>
        </w:rPr>
        <w:t>禽</w:t>
      </w:r>
      <w:r>
        <w:rPr>
          <w:rFonts w:hint="default" w:ascii="Times New Roman" w:hAnsi="Times New Roman" w:eastAsia="仿宋_GB2312" w:cs="Times New Roman"/>
          <w:b/>
          <w:color w:val="auto"/>
          <w:spacing w:val="0"/>
          <w:szCs w:val="32"/>
        </w:rPr>
        <w:t>产业。</w:t>
      </w:r>
      <w:r>
        <w:rPr>
          <w:rFonts w:hint="default" w:ascii="Times New Roman" w:hAnsi="Times New Roman" w:eastAsia="仿宋_GB2312" w:cs="Times New Roman"/>
          <w:color w:val="auto"/>
          <w:spacing w:val="0"/>
          <w:szCs w:val="22"/>
        </w:rPr>
        <w:t>以生猪为重点，推广养殖业新型经营模式，大力发展种养结合和生态循环的适度规模养殖，提升畜牧业组织化程度和综合生产能力，实现百万头生猪调出大县目标</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支持加工企业向畜禽养殖、饲料生产、屠宰加工、冷鲜领域拓展，提升生猪就近屠宰加工能力，构建</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生猪屠宰+冷链运输+冷鲜上市</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的生猪产业链模式。到2025年，</w:t>
      </w:r>
      <w:r>
        <w:rPr>
          <w:rFonts w:hint="default" w:ascii="Times New Roman" w:hAnsi="Times New Roman" w:eastAsia="仿宋_GB2312" w:cs="Times New Roman"/>
          <w:color w:val="auto"/>
          <w:spacing w:val="0"/>
          <w:szCs w:val="22"/>
          <w:lang w:eastAsia="zh-CN"/>
        </w:rPr>
        <w:t>肉蛋奶总产达</w:t>
      </w:r>
      <w:r>
        <w:rPr>
          <w:rFonts w:hint="default" w:ascii="Times New Roman" w:hAnsi="Times New Roman" w:eastAsia="仿宋_GB2312" w:cs="Times New Roman"/>
          <w:color w:val="auto"/>
          <w:spacing w:val="0"/>
          <w:szCs w:val="22"/>
          <w:lang w:val="en-US" w:eastAsia="zh-CN"/>
        </w:rPr>
        <w:t>9.88万吨，畜禽产值达60亿元。</w:t>
      </w:r>
    </w:p>
    <w:p w14:paraId="01A8B628">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b/>
          <w:color w:val="auto"/>
          <w:spacing w:val="0"/>
          <w:szCs w:val="32"/>
        </w:rPr>
        <w:t>蔬菜产业。</w:t>
      </w:r>
      <w:r>
        <w:rPr>
          <w:rFonts w:hint="default" w:ascii="Times New Roman" w:hAnsi="Times New Roman" w:eastAsia="仿宋_GB2312" w:cs="Times New Roman"/>
          <w:color w:val="auto"/>
          <w:spacing w:val="0"/>
          <w:szCs w:val="22"/>
        </w:rPr>
        <w:t>积极发展热区冬早蔬菜和温凉地区夏季蔬菜，建设老厂、水塘、戛洒、漠沙冬早蔬菜基地和平掌、建兴、新化、者竜等高山</w:t>
      </w:r>
      <w:r>
        <w:rPr>
          <w:rFonts w:hint="default" w:ascii="Times New Roman" w:hAnsi="Times New Roman" w:eastAsia="仿宋_GB2312" w:cs="Times New Roman"/>
          <w:color w:val="auto"/>
          <w:spacing w:val="0"/>
          <w:szCs w:val="22"/>
          <w:lang w:eastAsia="zh-CN"/>
        </w:rPr>
        <w:t>露地</w:t>
      </w:r>
      <w:r>
        <w:rPr>
          <w:rFonts w:hint="default" w:ascii="Times New Roman" w:hAnsi="Times New Roman" w:eastAsia="仿宋_GB2312" w:cs="Times New Roman"/>
          <w:color w:val="auto"/>
          <w:spacing w:val="0"/>
          <w:szCs w:val="22"/>
        </w:rPr>
        <w:t>蔬菜基地。打好</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品种差</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时间差</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w:t>
      </w:r>
      <w:r>
        <w:rPr>
          <w:rFonts w:hint="default" w:ascii="Times New Roman" w:hAnsi="Times New Roman" w:eastAsia="仿宋_GB2312" w:cs="Times New Roman"/>
          <w:color w:val="auto"/>
          <w:spacing w:val="0"/>
          <w:szCs w:val="22"/>
          <w:highlight w:val="none"/>
        </w:rPr>
        <w:t>开拓</w:t>
      </w:r>
      <w:r>
        <w:rPr>
          <w:rFonts w:hint="default" w:ascii="Times New Roman" w:hAnsi="Times New Roman" w:eastAsia="仿宋_GB2312" w:cs="Times New Roman"/>
          <w:color w:val="auto"/>
          <w:spacing w:val="0"/>
          <w:szCs w:val="22"/>
        </w:rPr>
        <w:t>外销型蔬菜种植新区。加快新品种引进，建设蔬菜良种繁育基地。加强自动化分级包装流水线、田头预冷、冷链运输、冷藏保鲜等设备设施建设，提升蔬菜产业的现代化水平。到2025年，蔬菜种植面积达20万亩</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lang w:val="en-US" w:eastAsia="zh-CN"/>
        </w:rPr>
        <w:t>蔬菜产值达10亿元以上</w:t>
      </w:r>
      <w:r>
        <w:rPr>
          <w:rFonts w:hint="default" w:ascii="Times New Roman" w:hAnsi="Times New Roman" w:eastAsia="仿宋_GB2312" w:cs="Times New Roman"/>
          <w:color w:val="auto"/>
          <w:spacing w:val="0"/>
          <w:szCs w:val="22"/>
        </w:rPr>
        <w:t>。</w:t>
      </w:r>
    </w:p>
    <w:p w14:paraId="7DF93462">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highlight w:val="none"/>
        </w:rPr>
      </w:pPr>
      <w:r>
        <w:rPr>
          <w:rFonts w:hint="default" w:ascii="Times New Roman" w:hAnsi="Times New Roman" w:eastAsia="仿宋_GB2312" w:cs="Times New Roman"/>
          <w:b/>
          <w:color w:val="auto"/>
          <w:spacing w:val="0"/>
          <w:szCs w:val="32"/>
        </w:rPr>
        <w:t>中药材产业。</w:t>
      </w:r>
      <w:r>
        <w:rPr>
          <w:rFonts w:hint="default" w:ascii="Times New Roman" w:hAnsi="Times New Roman" w:eastAsia="仿宋_GB2312" w:cs="Times New Roman"/>
          <w:color w:val="auto"/>
          <w:spacing w:val="0"/>
          <w:szCs w:val="22"/>
        </w:rPr>
        <w:t>优化产业布局，着力建设道地药材和特色药材基地，在哀牢山中高海拔地区重点种植露水草、龙胆草、重楼、黄精等喜</w:t>
      </w:r>
      <w:r>
        <w:rPr>
          <w:rFonts w:hint="default" w:ascii="Times New Roman" w:hAnsi="Times New Roman" w:eastAsia="仿宋_GB2312" w:cs="Times New Roman"/>
          <w:color w:val="auto"/>
          <w:spacing w:val="0"/>
          <w:szCs w:val="22"/>
          <w:highlight w:val="none"/>
        </w:rPr>
        <w:t>阴凉的中药材</w:t>
      </w:r>
      <w:r>
        <w:rPr>
          <w:rFonts w:hint="default" w:ascii="Times New Roman" w:hAnsi="Times New Roman" w:eastAsia="仿宋_GB2312" w:cs="Times New Roman"/>
          <w:color w:val="auto"/>
          <w:spacing w:val="0"/>
          <w:szCs w:val="22"/>
        </w:rPr>
        <w:t>，红河谷沿线热区种植辣木等喜光温中药材，合理利用林下土地资源布局中药材。加强传统工艺传承和现代加工技术研发，开发符合现代生活方式的道地品种新型饮片（民族药），提升中药材加工率。到2025年，</w:t>
      </w:r>
      <w:r>
        <w:rPr>
          <w:rFonts w:hint="default" w:ascii="Times New Roman" w:hAnsi="Times New Roman" w:eastAsia="仿宋_GB2312" w:cs="Times New Roman"/>
          <w:color w:val="auto"/>
          <w:spacing w:val="0"/>
          <w:szCs w:val="22"/>
          <w:lang w:eastAsia="zh-CN"/>
        </w:rPr>
        <w:t>中草药</w:t>
      </w:r>
      <w:r>
        <w:rPr>
          <w:rFonts w:hint="default" w:ascii="Times New Roman" w:hAnsi="Times New Roman" w:eastAsia="仿宋_GB2312" w:cs="Times New Roman"/>
          <w:color w:val="auto"/>
          <w:spacing w:val="0"/>
          <w:szCs w:val="22"/>
        </w:rPr>
        <w:t>种植面积达2</w:t>
      </w:r>
      <w:r>
        <w:rPr>
          <w:rFonts w:hint="default" w:ascii="Times New Roman" w:hAnsi="Times New Roman" w:eastAsia="仿宋_GB2312" w:cs="Times New Roman"/>
          <w:color w:val="auto"/>
          <w:spacing w:val="0"/>
          <w:szCs w:val="22"/>
          <w:lang w:val="en-US" w:eastAsia="zh-CN"/>
        </w:rPr>
        <w:t>.5</w:t>
      </w:r>
      <w:r>
        <w:rPr>
          <w:rFonts w:hint="default" w:ascii="Times New Roman" w:hAnsi="Times New Roman" w:eastAsia="仿宋_GB2312" w:cs="Times New Roman"/>
          <w:color w:val="auto"/>
          <w:spacing w:val="0"/>
          <w:szCs w:val="22"/>
        </w:rPr>
        <w:t>万亩</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lang w:val="en-US" w:eastAsia="zh-CN"/>
        </w:rPr>
        <w:t>产值达1亿元以上</w:t>
      </w:r>
      <w:r>
        <w:rPr>
          <w:rFonts w:hint="default" w:ascii="Times New Roman" w:hAnsi="Times New Roman" w:eastAsia="仿宋_GB2312" w:cs="Times New Roman"/>
          <w:color w:val="auto"/>
          <w:spacing w:val="0"/>
          <w:szCs w:val="22"/>
        </w:rPr>
        <w:t>。</w:t>
      </w:r>
    </w:p>
    <w:p w14:paraId="52A9ADA2">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b/>
          <w:color w:val="auto"/>
          <w:spacing w:val="0"/>
          <w:szCs w:val="32"/>
        </w:rPr>
        <w:t>茶叶产业。</w:t>
      </w:r>
      <w:r>
        <w:rPr>
          <w:rFonts w:hint="default" w:ascii="Times New Roman" w:hAnsi="Times New Roman" w:eastAsia="仿宋_GB2312" w:cs="Times New Roman"/>
          <w:color w:val="auto"/>
          <w:spacing w:val="0"/>
          <w:szCs w:val="22"/>
        </w:rPr>
        <w:t>以平掌乡、</w:t>
      </w:r>
      <w:r>
        <w:rPr>
          <w:rFonts w:hint="default" w:ascii="Times New Roman" w:hAnsi="Times New Roman" w:eastAsia="仿宋_GB2312" w:cs="Times New Roman"/>
          <w:color w:val="auto"/>
          <w:spacing w:val="0"/>
          <w:szCs w:val="22"/>
          <w:lang w:eastAsia="zh-CN"/>
        </w:rPr>
        <w:t>水塘镇、</w:t>
      </w:r>
      <w:r>
        <w:rPr>
          <w:rFonts w:hint="default" w:ascii="Times New Roman" w:hAnsi="Times New Roman" w:eastAsia="仿宋_GB2312" w:cs="Times New Roman"/>
          <w:color w:val="auto"/>
          <w:spacing w:val="0"/>
          <w:szCs w:val="22"/>
        </w:rPr>
        <w:t>者竜乡为重点，建设优质普洱茶、高端绿茶、名优红茶生产基地。改造低产低质茶园，加快有机茶园建设，促进台地茶园向优质、高效转换。积极打造茶产品特色品牌，提升茶叶知名度和影响力。规范发展茶叶初制所，确保产品质量。到2025年，茶叶种植面积达</w:t>
      </w:r>
      <w:r>
        <w:rPr>
          <w:rFonts w:hint="default" w:ascii="Times New Roman" w:hAnsi="Times New Roman" w:eastAsia="仿宋_GB2312" w:cs="Times New Roman"/>
          <w:color w:val="auto"/>
          <w:spacing w:val="0"/>
          <w:szCs w:val="22"/>
          <w:lang w:val="en-US" w:eastAsia="zh-CN"/>
        </w:rPr>
        <w:t>4.62</w:t>
      </w:r>
      <w:r>
        <w:rPr>
          <w:rFonts w:hint="default" w:ascii="Times New Roman" w:hAnsi="Times New Roman" w:eastAsia="仿宋_GB2312" w:cs="Times New Roman"/>
          <w:color w:val="auto"/>
          <w:spacing w:val="0"/>
          <w:szCs w:val="22"/>
        </w:rPr>
        <w:t>万亩</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lang w:val="en-US" w:eastAsia="zh-CN"/>
        </w:rPr>
        <w:t>产值达0.7亿元以上</w:t>
      </w:r>
      <w:r>
        <w:rPr>
          <w:rFonts w:hint="default" w:ascii="Times New Roman" w:hAnsi="Times New Roman" w:eastAsia="仿宋_GB2312" w:cs="Times New Roman"/>
          <w:color w:val="auto"/>
          <w:spacing w:val="0"/>
          <w:szCs w:val="22"/>
        </w:rPr>
        <w:t>。</w:t>
      </w:r>
    </w:p>
    <w:p w14:paraId="39903A5E">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b/>
          <w:color w:val="auto"/>
          <w:spacing w:val="0"/>
          <w:szCs w:val="32"/>
        </w:rPr>
        <w:t>竹产业。</w:t>
      </w:r>
      <w:r>
        <w:rPr>
          <w:rFonts w:hint="default" w:ascii="Times New Roman" w:hAnsi="Times New Roman" w:eastAsia="仿宋_GB2312" w:cs="Times New Roman"/>
          <w:color w:val="auto"/>
          <w:spacing w:val="0"/>
          <w:szCs w:val="22"/>
        </w:rPr>
        <w:t>建设高标准竹林基地，开展低效竹林改造。以采摘季节卖鲜笋、过季时卖干笋的方式，延长特色食用笋的销售季节。开发具有民族特色的甜笋煮土鸡、酸笋煮鱼、竹虫等与竹有关食品。保护性发展传统手工草纸工艺，积极发展竹手工艺。</w:t>
      </w:r>
      <w:r>
        <w:rPr>
          <w:rFonts w:hint="default" w:ascii="Times New Roman" w:hAnsi="Times New Roman" w:eastAsia="仿宋_GB2312" w:cs="Times New Roman"/>
          <w:color w:val="auto"/>
          <w:spacing w:val="0"/>
          <w:szCs w:val="22"/>
          <w:lang w:eastAsia="zh-CN"/>
        </w:rPr>
        <w:t>以打造区域性竹浆原料基地为目标，巩固提升种竹效益。</w:t>
      </w:r>
      <w:r>
        <w:rPr>
          <w:rFonts w:hint="default" w:ascii="Times New Roman" w:hAnsi="Times New Roman" w:eastAsia="仿宋_GB2312" w:cs="Times New Roman"/>
          <w:color w:val="auto"/>
          <w:spacing w:val="0"/>
          <w:szCs w:val="22"/>
        </w:rPr>
        <w:t>到2025年，竹子种植面积达36万亩</w:t>
      </w:r>
      <w:r>
        <w:rPr>
          <w:rFonts w:hint="default" w:ascii="Times New Roman" w:hAnsi="Times New Roman" w:eastAsia="仿宋_GB2312" w:cs="Times New Roman"/>
          <w:color w:val="auto"/>
          <w:spacing w:val="0"/>
          <w:szCs w:val="22"/>
          <w:lang w:eastAsia="zh-CN"/>
        </w:rPr>
        <w:t>以上，</w:t>
      </w:r>
      <w:r>
        <w:rPr>
          <w:rFonts w:hint="default" w:ascii="Times New Roman" w:hAnsi="Times New Roman" w:eastAsia="仿宋_GB2312" w:cs="Times New Roman"/>
          <w:color w:val="auto"/>
          <w:spacing w:val="0"/>
          <w:szCs w:val="22"/>
          <w:lang w:val="en-US" w:eastAsia="zh-CN"/>
        </w:rPr>
        <w:t>产值达2亿元以上</w:t>
      </w:r>
      <w:r>
        <w:rPr>
          <w:rFonts w:hint="default" w:ascii="Times New Roman" w:hAnsi="Times New Roman" w:eastAsia="仿宋_GB2312" w:cs="Times New Roman"/>
          <w:color w:val="auto"/>
          <w:spacing w:val="0"/>
          <w:szCs w:val="22"/>
        </w:rPr>
        <w:t>。</w:t>
      </w:r>
    </w:p>
    <w:p w14:paraId="18F73A96">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b/>
          <w:color w:val="auto"/>
          <w:spacing w:val="0"/>
          <w:szCs w:val="32"/>
        </w:rPr>
        <w:t>核桃产业。</w:t>
      </w:r>
      <w:r>
        <w:rPr>
          <w:rFonts w:hint="default" w:ascii="Times New Roman" w:hAnsi="Times New Roman" w:eastAsia="仿宋_GB2312" w:cs="Times New Roman"/>
          <w:color w:val="auto"/>
          <w:spacing w:val="0"/>
          <w:szCs w:val="22"/>
        </w:rPr>
        <w:t>以提质增效为核心，建设优质高效核桃综合示范基地，积极融入</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云南古树核桃</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高端坚果品牌创建，促进核桃产业由数量增长向质量效益增长转型。加快核桃产业化进程，以高品质核桃油、核桃粉、核桃露和核桃仁为重点，发展加工企业。到2025年，核桃种植面积稳定在50万亩</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lang w:val="en-US" w:eastAsia="zh-CN"/>
        </w:rPr>
        <w:t>产值达6亿元以上</w:t>
      </w:r>
      <w:r>
        <w:rPr>
          <w:rFonts w:hint="default" w:ascii="Times New Roman" w:hAnsi="Times New Roman" w:eastAsia="仿宋_GB2312" w:cs="Times New Roman"/>
          <w:color w:val="auto"/>
          <w:spacing w:val="0"/>
          <w:szCs w:val="22"/>
        </w:rPr>
        <w:t>。</w:t>
      </w:r>
    </w:p>
    <w:p w14:paraId="214E724C">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highlight w:val="none"/>
        </w:rPr>
      </w:pPr>
      <w:r>
        <w:rPr>
          <w:rFonts w:hint="default" w:ascii="Times New Roman" w:hAnsi="Times New Roman" w:eastAsia="仿宋_GB2312" w:cs="Times New Roman"/>
          <w:b/>
          <w:color w:val="auto"/>
          <w:spacing w:val="0"/>
          <w:szCs w:val="32"/>
        </w:rPr>
        <w:t>甘蔗产业。</w:t>
      </w:r>
      <w:r>
        <w:rPr>
          <w:rFonts w:hint="default" w:ascii="Times New Roman" w:hAnsi="Times New Roman" w:eastAsia="仿宋_GB2312" w:cs="Times New Roman"/>
          <w:color w:val="auto"/>
          <w:spacing w:val="0"/>
          <w:szCs w:val="22"/>
        </w:rPr>
        <w:t>优化种植区域</w:t>
      </w:r>
      <w:r>
        <w:rPr>
          <w:rFonts w:hint="default" w:ascii="Times New Roman" w:hAnsi="Times New Roman" w:eastAsia="仿宋_GB2312" w:cs="Times New Roman"/>
          <w:color w:val="auto"/>
          <w:spacing w:val="0"/>
          <w:szCs w:val="22"/>
          <w:lang w:val="en-US" w:eastAsia="zh-CN"/>
        </w:rPr>
        <w:t>布局</w:t>
      </w:r>
      <w:r>
        <w:rPr>
          <w:rFonts w:hint="default" w:ascii="Times New Roman" w:hAnsi="Times New Roman" w:eastAsia="仿宋_GB2312" w:cs="Times New Roman"/>
          <w:color w:val="auto"/>
          <w:spacing w:val="0"/>
          <w:szCs w:val="22"/>
        </w:rPr>
        <w:t>，改善蔗</w:t>
      </w:r>
      <w:r>
        <w:rPr>
          <w:rFonts w:hint="default" w:ascii="Times New Roman" w:hAnsi="Times New Roman" w:eastAsia="仿宋_GB2312" w:cs="Times New Roman"/>
          <w:color w:val="auto"/>
          <w:spacing w:val="0"/>
          <w:szCs w:val="22"/>
          <w:lang w:eastAsia="zh-CN"/>
        </w:rPr>
        <w:t>区</w:t>
      </w:r>
      <w:r>
        <w:rPr>
          <w:rFonts w:hint="default" w:ascii="Times New Roman" w:hAnsi="Times New Roman" w:eastAsia="仿宋_GB2312" w:cs="Times New Roman"/>
          <w:color w:val="auto"/>
          <w:spacing w:val="0"/>
          <w:szCs w:val="22"/>
        </w:rPr>
        <w:t>基础设施条件，建设高标准、规范化生态种植基地。引进高糖耐旱良种，推广全膜覆盖种植技术，引导蔗农科学施肥，推广机械化栽种收割，降低蔗农生产成本。到2025年，甘蔗种植面积稳定在8</w:t>
      </w:r>
      <w:r>
        <w:rPr>
          <w:rFonts w:hint="default" w:ascii="Times New Roman" w:hAnsi="Times New Roman" w:eastAsia="仿宋_GB2312" w:cs="Times New Roman"/>
          <w:color w:val="auto"/>
          <w:spacing w:val="0"/>
          <w:szCs w:val="22"/>
          <w:lang w:val="en-US" w:eastAsia="zh-CN"/>
        </w:rPr>
        <w:t>.5</w:t>
      </w:r>
      <w:r>
        <w:rPr>
          <w:rFonts w:hint="default" w:ascii="Times New Roman" w:hAnsi="Times New Roman" w:eastAsia="仿宋_GB2312" w:cs="Times New Roman"/>
          <w:color w:val="auto"/>
          <w:spacing w:val="0"/>
          <w:szCs w:val="22"/>
        </w:rPr>
        <w:t>万亩</w:t>
      </w:r>
      <w:r>
        <w:rPr>
          <w:rFonts w:hint="default" w:ascii="Times New Roman" w:hAnsi="Times New Roman" w:eastAsia="仿宋_GB2312" w:cs="Times New Roman"/>
          <w:color w:val="auto"/>
          <w:spacing w:val="0"/>
          <w:szCs w:val="22"/>
          <w:lang w:eastAsia="zh-CN"/>
        </w:rPr>
        <w:t>左右，</w:t>
      </w:r>
      <w:r>
        <w:rPr>
          <w:rFonts w:hint="default" w:ascii="Times New Roman" w:hAnsi="Times New Roman" w:eastAsia="仿宋_GB2312" w:cs="Times New Roman"/>
          <w:color w:val="auto"/>
          <w:spacing w:val="0"/>
          <w:szCs w:val="22"/>
          <w:lang w:val="en-US" w:eastAsia="zh-CN"/>
        </w:rPr>
        <w:t>产值达2亿元以上</w:t>
      </w:r>
      <w:r>
        <w:rPr>
          <w:rFonts w:hint="default" w:ascii="Times New Roman" w:hAnsi="Times New Roman" w:eastAsia="仿宋_GB2312" w:cs="Times New Roman"/>
          <w:color w:val="auto"/>
          <w:spacing w:val="0"/>
          <w:szCs w:val="32"/>
          <w:highlight w:val="none"/>
        </w:rPr>
        <w:t>。</w:t>
      </w:r>
    </w:p>
    <w:p w14:paraId="0B4A4D97">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lang w:val="en-US" w:eastAsia="zh-CN"/>
        </w:rPr>
        <w:t>三</w:t>
      </w:r>
      <w:r>
        <w:rPr>
          <w:rFonts w:hint="eastAsia" w:ascii="黑体" w:hAnsi="黑体" w:eastAsia="黑体" w:cs="黑体"/>
          <w:b w:val="0"/>
          <w:bCs/>
          <w:color w:val="auto"/>
          <w:spacing w:val="0"/>
          <w:szCs w:val="22"/>
        </w:rPr>
        <w:t>、构建农业生产体系</w:t>
      </w:r>
    </w:p>
    <w:p w14:paraId="77BEFDD9">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color w:val="auto"/>
          <w:spacing w:val="0"/>
          <w:szCs w:val="22"/>
        </w:rPr>
        <w:t>补齐农业基础设施短板，加快</w:t>
      </w:r>
      <w:r>
        <w:rPr>
          <w:rFonts w:hint="default" w:ascii="Times New Roman" w:hAnsi="Times New Roman" w:eastAsia="仿宋_GB2312" w:cs="Times New Roman"/>
          <w:color w:val="auto"/>
          <w:spacing w:val="0"/>
          <w:szCs w:val="22"/>
          <w:lang w:val="en-US" w:eastAsia="zh-CN"/>
        </w:rPr>
        <w:t>土地整治和</w:t>
      </w:r>
      <w:r>
        <w:rPr>
          <w:rFonts w:hint="default" w:ascii="Times New Roman" w:hAnsi="Times New Roman" w:eastAsia="仿宋_GB2312" w:cs="Times New Roman"/>
          <w:color w:val="auto"/>
          <w:spacing w:val="0"/>
          <w:szCs w:val="22"/>
        </w:rPr>
        <w:t>高标准农田建设，加大山区宜耕区坡改梯力度，重点推进土地平整、灾毁复垦和搬迁地复垦，配套灌排沟渠、机耕道路、</w:t>
      </w:r>
      <w:r>
        <w:rPr>
          <w:rFonts w:hint="default" w:ascii="Times New Roman" w:hAnsi="Times New Roman" w:eastAsia="仿宋_GB2312" w:cs="Times New Roman"/>
          <w:color w:val="auto"/>
          <w:spacing w:val="0"/>
          <w:szCs w:val="22"/>
          <w:lang w:eastAsia="zh-CN"/>
        </w:rPr>
        <w:t>农</w:t>
      </w:r>
      <w:r>
        <w:rPr>
          <w:rFonts w:hint="default" w:ascii="Times New Roman" w:hAnsi="Times New Roman" w:eastAsia="仿宋_GB2312" w:cs="Times New Roman"/>
          <w:color w:val="auto"/>
          <w:spacing w:val="0"/>
          <w:szCs w:val="22"/>
        </w:rPr>
        <w:t>田</w:t>
      </w:r>
      <w:r>
        <w:rPr>
          <w:rFonts w:hint="default" w:ascii="Times New Roman" w:hAnsi="Times New Roman" w:eastAsia="仿宋_GB2312" w:cs="Times New Roman"/>
          <w:color w:val="auto"/>
          <w:spacing w:val="0"/>
          <w:szCs w:val="22"/>
          <w:lang w:eastAsia="zh-CN"/>
        </w:rPr>
        <w:t>水</w:t>
      </w:r>
      <w:r>
        <w:rPr>
          <w:rFonts w:hint="default" w:ascii="Times New Roman" w:hAnsi="Times New Roman" w:eastAsia="仿宋_GB2312" w:cs="Times New Roman"/>
          <w:color w:val="auto"/>
          <w:spacing w:val="0"/>
          <w:szCs w:val="22"/>
        </w:rPr>
        <w:t>网等建设，推进漠沙等农业产业重点区域机耕路等建设。加快柑橘、蔬菜等农产品质量标准体系建设，推动内外销产品</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同线同标同质</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。完善质量安全追溯体系建设，全面推广应用国家农产品质量安全追溯管理信息平台，加强农产品品牌评定、</w:t>
      </w:r>
      <w:r>
        <w:rPr>
          <w:rFonts w:hint="default" w:ascii="Times New Roman" w:hAnsi="Times New Roman" w:eastAsia="仿宋_GB2312" w:cs="Times New Roman"/>
          <w:color w:val="auto"/>
          <w:spacing w:val="0"/>
          <w:szCs w:val="22"/>
          <w:lang w:val="en-US" w:eastAsia="zh-CN"/>
        </w:rPr>
        <w:t>打造</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lang w:val="en-US" w:eastAsia="zh-CN"/>
        </w:rPr>
        <w:t>新</w:t>
      </w:r>
      <w:r>
        <w:rPr>
          <w:rFonts w:hint="default" w:ascii="Times New Roman" w:hAnsi="Times New Roman" w:eastAsia="仿宋_GB2312" w:cs="Times New Roman"/>
          <w:color w:val="auto"/>
          <w:spacing w:val="0"/>
          <w:szCs w:val="22"/>
        </w:rPr>
        <w:t>三品一标</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，全面提升农产品品质</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lang w:val="en-US" w:eastAsia="zh-CN"/>
        </w:rPr>
        <w:t>到2025年，新增</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三品一标</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产品认证50个</w:t>
      </w:r>
      <w:r>
        <w:rPr>
          <w:rFonts w:hint="default" w:ascii="Times New Roman" w:hAnsi="Times New Roman" w:eastAsia="仿宋_GB2312" w:cs="Times New Roman"/>
          <w:color w:val="auto"/>
          <w:spacing w:val="0"/>
          <w:szCs w:val="22"/>
        </w:rPr>
        <w:t>。鼓励企业参加绿色、有机产品认证、云南</w:t>
      </w:r>
      <w:r>
        <w:rPr>
          <w:rFonts w:hint="eastAsia" w:eastAsia="仿宋_GB2312" w:cs="Times New Roman"/>
          <w:color w:val="auto"/>
          <w:spacing w:val="0"/>
          <w:szCs w:val="22"/>
          <w:lang w:val="en-US" w:eastAsia="zh-CN"/>
        </w:rPr>
        <w:t>省“10大</w:t>
      </w:r>
      <w:r>
        <w:rPr>
          <w:rFonts w:hint="default" w:ascii="Times New Roman" w:hAnsi="Times New Roman" w:eastAsia="仿宋_GB2312" w:cs="Times New Roman"/>
          <w:color w:val="auto"/>
          <w:spacing w:val="0"/>
          <w:szCs w:val="22"/>
        </w:rPr>
        <w:t>名品</w:t>
      </w:r>
      <w:r>
        <w:rPr>
          <w:rFonts w:hint="eastAsia" w:eastAsia="仿宋_GB2312" w:cs="Times New Roman"/>
          <w:color w:val="auto"/>
          <w:spacing w:val="0"/>
          <w:szCs w:val="22"/>
          <w:lang w:val="en-US" w:eastAsia="zh-CN"/>
        </w:rPr>
        <w:t>”</w:t>
      </w:r>
      <w:r>
        <w:rPr>
          <w:rFonts w:hint="eastAsia" w:eastAsia="仿宋_GB2312" w:cs="Times New Roman"/>
          <w:color w:val="auto"/>
          <w:spacing w:val="0"/>
          <w:szCs w:val="22"/>
          <w:lang w:eastAsia="zh-CN"/>
        </w:rPr>
        <w:t>“</w:t>
      </w:r>
      <w:r>
        <w:rPr>
          <w:rFonts w:hint="eastAsia" w:eastAsia="仿宋_GB2312" w:cs="Times New Roman"/>
          <w:color w:val="auto"/>
          <w:spacing w:val="0"/>
          <w:szCs w:val="22"/>
          <w:lang w:val="en-US" w:eastAsia="zh-CN"/>
        </w:rPr>
        <w:t>10强企业</w:t>
      </w:r>
      <w:r>
        <w:rPr>
          <w:rFonts w:hint="eastAsia" w:eastAsia="仿宋_GB2312" w:cs="Times New Roman"/>
          <w:color w:val="auto"/>
          <w:spacing w:val="0"/>
          <w:szCs w:val="22"/>
          <w:lang w:eastAsia="zh-CN"/>
        </w:rPr>
        <w:t>”</w:t>
      </w:r>
      <w:r>
        <w:rPr>
          <w:rFonts w:hint="eastAsia" w:eastAsia="仿宋_GB2312" w:cs="Times New Roman"/>
          <w:color w:val="auto"/>
          <w:spacing w:val="0"/>
          <w:szCs w:val="22"/>
          <w:lang w:val="en-US" w:eastAsia="zh-CN"/>
        </w:rPr>
        <w:t>“20佳创新企业”</w:t>
      </w:r>
      <w:r>
        <w:rPr>
          <w:rFonts w:hint="default" w:ascii="Times New Roman" w:hAnsi="Times New Roman" w:eastAsia="仿宋_GB2312" w:cs="Times New Roman"/>
          <w:color w:val="auto"/>
          <w:spacing w:val="0"/>
          <w:szCs w:val="22"/>
        </w:rPr>
        <w:t>等品牌评选活动，发挥</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褚橙</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等品牌引领示范作用，</w:t>
      </w:r>
      <w:r>
        <w:rPr>
          <w:rFonts w:hint="default" w:ascii="Times New Roman" w:hAnsi="Times New Roman" w:eastAsia="仿宋_GB2312" w:cs="Times New Roman"/>
          <w:color w:val="auto"/>
          <w:spacing w:val="0"/>
          <w:szCs w:val="22"/>
          <w:lang w:val="en-US" w:eastAsia="zh-CN"/>
        </w:rPr>
        <w:t>培育</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新平柑橘</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新平芒果</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新平荔枝</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等</w:t>
      </w:r>
      <w:r>
        <w:rPr>
          <w:rFonts w:hint="default" w:ascii="Times New Roman" w:hAnsi="Times New Roman" w:eastAsia="仿宋_GB2312" w:cs="Times New Roman"/>
          <w:color w:val="auto"/>
          <w:spacing w:val="0"/>
          <w:szCs w:val="22"/>
          <w:lang w:val="en-US" w:eastAsia="zh-CN"/>
        </w:rPr>
        <w:t>区域性品牌</w:t>
      </w:r>
      <w:r>
        <w:rPr>
          <w:rFonts w:hint="default" w:ascii="Times New Roman" w:hAnsi="Times New Roman" w:eastAsia="仿宋_GB2312" w:cs="Times New Roman"/>
          <w:color w:val="auto"/>
          <w:spacing w:val="0"/>
          <w:szCs w:val="22"/>
        </w:rPr>
        <w:t>。</w:t>
      </w:r>
    </w:p>
    <w:p w14:paraId="32633DE3">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四、壮大新型农业经营主体</w:t>
      </w:r>
    </w:p>
    <w:p w14:paraId="30BD73B7">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lang w:eastAsia="zh-CN"/>
        </w:rPr>
      </w:pPr>
      <w:r>
        <w:rPr>
          <w:rFonts w:hint="default" w:ascii="Times New Roman" w:hAnsi="Times New Roman" w:eastAsia="仿宋_GB2312" w:cs="Times New Roman"/>
          <w:color w:val="auto"/>
          <w:spacing w:val="0"/>
          <w:szCs w:val="22"/>
        </w:rPr>
        <w:t>加大农业龙头企业引进力度，支持龙头企业整合资源，采取兼并、重组、参股、收购等方式集聚发展</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lang w:val="en-US" w:eastAsia="zh-CN"/>
        </w:rPr>
        <w:t>支持</w:t>
      </w:r>
      <w:r>
        <w:rPr>
          <w:rFonts w:hint="default" w:ascii="Times New Roman" w:hAnsi="Times New Roman" w:eastAsia="仿宋_GB2312" w:cs="Times New Roman"/>
          <w:color w:val="auto"/>
          <w:spacing w:val="0"/>
          <w:szCs w:val="22"/>
        </w:rPr>
        <w:t>龙头企业</w:t>
      </w:r>
      <w:r>
        <w:rPr>
          <w:rFonts w:hint="default" w:ascii="Times New Roman" w:hAnsi="Times New Roman" w:eastAsia="仿宋_GB2312" w:cs="Times New Roman"/>
          <w:color w:val="auto"/>
          <w:spacing w:val="0"/>
          <w:szCs w:val="22"/>
          <w:lang w:val="en-US" w:eastAsia="zh-CN"/>
        </w:rPr>
        <w:t>进入资本市场加快发展</w:t>
      </w:r>
      <w:r>
        <w:rPr>
          <w:rFonts w:hint="default" w:ascii="Times New Roman" w:hAnsi="Times New Roman" w:eastAsia="仿宋_GB2312" w:cs="Times New Roman"/>
          <w:color w:val="auto"/>
          <w:spacing w:val="0"/>
          <w:szCs w:val="22"/>
        </w:rPr>
        <w:t>。围绕柑橘、生猪、蔬菜、中药材等特色产业，规范发展农民合作社，鼓励发展农民合作社联合社。加快发展家庭农场，创建产业稳定、规模适度、特色明显的示范场。引导农户参加各类新型经营主体的生产、加工、营销等项目，打造利益共享、风险共担的利益共同体。实施农业社会化服务综合平台创建工程，发展农业社会化服务组织，拓展农资、科技、信息等服务领域。到2025年，新认定家庭农场</w:t>
      </w:r>
      <w:r>
        <w:rPr>
          <w:rFonts w:hint="default" w:ascii="Times New Roman" w:hAnsi="Times New Roman" w:eastAsia="仿宋_GB2312" w:cs="Times New Roman"/>
          <w:color w:val="auto"/>
          <w:spacing w:val="0"/>
          <w:szCs w:val="22"/>
          <w:lang w:val="en-US" w:eastAsia="zh-CN"/>
        </w:rPr>
        <w:t>400</w:t>
      </w:r>
      <w:r>
        <w:rPr>
          <w:rFonts w:hint="default" w:ascii="Times New Roman" w:hAnsi="Times New Roman" w:eastAsia="仿宋_GB2312" w:cs="Times New Roman"/>
          <w:color w:val="auto"/>
          <w:spacing w:val="0"/>
          <w:szCs w:val="22"/>
        </w:rPr>
        <w:t>家，新培育农民专业合作社30个</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累计流转农村土地承包经营权面积25万亩以上</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力争实现新型农业经营主体经营土地面积达到70%以上</w:t>
      </w:r>
      <w:r>
        <w:rPr>
          <w:rFonts w:hint="default" w:ascii="Times New Roman" w:hAnsi="Times New Roman" w:eastAsia="仿宋_GB2312" w:cs="Times New Roman"/>
          <w:color w:val="auto"/>
          <w:spacing w:val="0"/>
          <w:szCs w:val="22"/>
          <w:lang w:eastAsia="zh-CN"/>
        </w:rPr>
        <w:t>。</w:t>
      </w:r>
    </w:p>
    <w:tbl>
      <w:tblPr>
        <w:tblStyle w:val="30"/>
        <w:tblW w:w="9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1"/>
      </w:tblGrid>
      <w:tr w14:paraId="410C2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1" w:type="dxa"/>
            <w:tcBorders>
              <w:top w:val="single" w:color="4F81BD" w:sz="8" w:space="0"/>
              <w:left w:val="single" w:color="4F81BD" w:sz="8" w:space="0"/>
              <w:bottom w:val="single" w:color="4F81BD" w:sz="8" w:space="0"/>
              <w:right w:val="single" w:color="4F81BD" w:sz="8" w:space="0"/>
            </w:tcBorders>
            <w:shd w:val="clear" w:color="auto" w:fill="4F81BD"/>
          </w:tcPr>
          <w:p w14:paraId="02280D90">
            <w:pPr>
              <w:pageBreakBefore w:val="0"/>
              <w:widowControl w:val="0"/>
              <w:kinsoku/>
              <w:wordWrap/>
              <w:overflowPunct/>
              <w:topLinePunct w:val="0"/>
              <w:autoSpaceDN/>
              <w:bidi w:val="0"/>
              <w:adjustRightInd w:val="0"/>
              <w:spacing w:line="500" w:lineRule="exact"/>
              <w:ind w:firstLine="606"/>
              <w:jc w:val="center"/>
              <w:rPr>
                <w:rFonts w:hint="default" w:ascii="宋体" w:hAnsi="宋体" w:eastAsia="宋体" w:cs="宋体"/>
                <w:color w:val="auto"/>
                <w:spacing w:val="0"/>
                <w:kern w:val="0"/>
                <w:sz w:val="28"/>
                <w:szCs w:val="28"/>
                <w:lang w:eastAsia="zh-CN"/>
              </w:rPr>
            </w:pPr>
            <w:r>
              <w:rPr>
                <w:rFonts w:hint="eastAsia" w:ascii="仿宋_GB2312" w:hAnsi="仿宋_GB2312" w:eastAsia="仿宋_GB2312" w:cs="仿宋_GB2312"/>
                <w:b/>
                <w:bCs/>
                <w:color w:val="auto"/>
                <w:spacing w:val="0"/>
                <w:kern w:val="0"/>
                <w:sz w:val="28"/>
                <w:szCs w:val="28"/>
              </w:rPr>
              <w:t>专栏</w:t>
            </w:r>
            <w:r>
              <w:rPr>
                <w:rFonts w:hint="eastAsia" w:ascii="仿宋_GB2312" w:hAnsi="仿宋_GB2312" w:eastAsia="仿宋_GB2312" w:cs="仿宋_GB2312"/>
                <w:b/>
                <w:bCs/>
                <w:color w:val="auto"/>
                <w:spacing w:val="0"/>
                <w:kern w:val="0"/>
                <w:sz w:val="28"/>
                <w:szCs w:val="28"/>
                <w:lang w:val="en-US" w:eastAsia="zh-CN"/>
              </w:rPr>
              <w:t>5</w:t>
            </w:r>
            <w:r>
              <w:rPr>
                <w:rFonts w:hint="eastAsia" w:ascii="仿宋_GB2312" w:hAnsi="仿宋_GB2312" w:eastAsia="仿宋_GB2312" w:cs="仿宋_GB2312"/>
                <w:b/>
                <w:bCs/>
                <w:color w:val="auto"/>
                <w:spacing w:val="0"/>
                <w:kern w:val="0"/>
                <w:sz w:val="28"/>
                <w:szCs w:val="28"/>
              </w:rPr>
              <w:t xml:space="preserve">  农业现代化发展重点工程</w:t>
            </w:r>
          </w:p>
        </w:tc>
      </w:tr>
    </w:tbl>
    <w:tbl>
      <w:tblPr>
        <w:tblStyle w:val="21"/>
        <w:tblW w:w="9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2"/>
      </w:tblGrid>
      <w:tr w14:paraId="5CA17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2" w:type="dxa"/>
          </w:tcPr>
          <w:p w14:paraId="382690C6">
            <w:pPr>
              <w:keepNext w:val="0"/>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kern w:val="0"/>
                <w:sz w:val="28"/>
                <w:szCs w:val="28"/>
              </w:rPr>
            </w:pPr>
            <w:r>
              <w:rPr>
                <w:rFonts w:hint="eastAsia" w:eastAsia="仿宋_GB2312" w:cs="Times New Roman"/>
                <w:b/>
                <w:bCs/>
                <w:color w:val="auto"/>
                <w:spacing w:val="0"/>
                <w:kern w:val="0"/>
                <w:sz w:val="28"/>
                <w:szCs w:val="28"/>
                <w:lang w:eastAsia="zh-CN"/>
              </w:rPr>
              <w:t>“</w:t>
            </w:r>
            <w:r>
              <w:rPr>
                <w:rFonts w:hint="default" w:ascii="Times New Roman" w:hAnsi="Times New Roman" w:eastAsia="仿宋_GB2312" w:cs="Times New Roman"/>
                <w:b/>
                <w:bCs/>
                <w:color w:val="auto"/>
                <w:spacing w:val="0"/>
                <w:kern w:val="0"/>
                <w:sz w:val="28"/>
                <w:szCs w:val="28"/>
              </w:rPr>
              <w:t>两区</w:t>
            </w:r>
            <w:r>
              <w:rPr>
                <w:rFonts w:hint="eastAsia" w:eastAsia="仿宋_GB2312" w:cs="Times New Roman"/>
                <w:b/>
                <w:bCs/>
                <w:color w:val="auto"/>
                <w:spacing w:val="0"/>
                <w:kern w:val="0"/>
                <w:sz w:val="28"/>
                <w:szCs w:val="28"/>
                <w:lang w:eastAsia="zh-CN"/>
              </w:rPr>
              <w:t>”</w:t>
            </w:r>
            <w:r>
              <w:rPr>
                <w:rFonts w:hint="default" w:ascii="Times New Roman" w:hAnsi="Times New Roman" w:eastAsia="仿宋_GB2312" w:cs="Times New Roman"/>
                <w:b/>
                <w:bCs/>
                <w:color w:val="auto"/>
                <w:spacing w:val="0"/>
                <w:kern w:val="0"/>
                <w:sz w:val="28"/>
                <w:szCs w:val="28"/>
              </w:rPr>
              <w:t>建管工程</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lang w:eastAsia="zh-CN"/>
              </w:rPr>
              <w:t>以增产增效为目标，以</w:t>
            </w:r>
            <w:r>
              <w:rPr>
                <w:rFonts w:hint="default" w:ascii="Times New Roman" w:hAnsi="Times New Roman" w:eastAsia="仿宋_GB2312" w:cs="Times New Roman"/>
                <w:color w:val="auto"/>
                <w:spacing w:val="0"/>
                <w:kern w:val="0"/>
                <w:sz w:val="28"/>
                <w:szCs w:val="28"/>
                <w:lang w:val="en-US" w:eastAsia="zh-CN"/>
              </w:rPr>
              <w:t>39.5</w:t>
            </w:r>
            <w:r>
              <w:rPr>
                <w:rFonts w:hint="default" w:ascii="Times New Roman" w:hAnsi="Times New Roman" w:eastAsia="仿宋_GB2312" w:cs="Times New Roman"/>
                <w:color w:val="auto"/>
                <w:spacing w:val="0"/>
                <w:kern w:val="0"/>
                <w:sz w:val="28"/>
                <w:szCs w:val="28"/>
                <w:lang w:eastAsia="zh-CN"/>
              </w:rPr>
              <w:t>万亩粮食生产功能区，9万亩重要农产品生产保护区建设为抓手</w:t>
            </w:r>
            <w:r>
              <w:rPr>
                <w:rFonts w:hint="default" w:ascii="Times New Roman" w:hAnsi="Times New Roman" w:eastAsia="仿宋_GB2312" w:cs="Times New Roman"/>
                <w:color w:val="auto"/>
                <w:spacing w:val="0"/>
                <w:kern w:val="0"/>
                <w:sz w:val="28"/>
                <w:szCs w:val="28"/>
              </w:rPr>
              <w:t>，推进以水稻、玉米</w:t>
            </w:r>
            <w:r>
              <w:rPr>
                <w:rFonts w:hint="default" w:ascii="Times New Roman" w:hAnsi="Times New Roman" w:eastAsia="仿宋_GB2312" w:cs="Times New Roman"/>
                <w:color w:val="auto"/>
                <w:spacing w:val="0"/>
                <w:kern w:val="0"/>
                <w:sz w:val="28"/>
                <w:szCs w:val="28"/>
                <w:lang w:eastAsia="zh-CN"/>
              </w:rPr>
              <w:t>、薯类</w:t>
            </w:r>
            <w:r>
              <w:rPr>
                <w:rFonts w:hint="default" w:ascii="Times New Roman" w:hAnsi="Times New Roman" w:eastAsia="仿宋_GB2312" w:cs="Times New Roman"/>
                <w:color w:val="auto"/>
                <w:spacing w:val="0"/>
                <w:kern w:val="0"/>
                <w:sz w:val="28"/>
                <w:szCs w:val="28"/>
              </w:rPr>
              <w:t>为重点的生产基地建设，保持粮食总量自给有余。</w:t>
            </w:r>
          </w:p>
          <w:p w14:paraId="01FBC655">
            <w:pPr>
              <w:keepNext w:val="0"/>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高标准农田建设工程</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推进覆盖全县的高标准农田建设工程，加速形成集中连片、设施配套、高产稳产、生态良好、抗灾能力强、与现代农业生产和经营方式相适应的农田。到2025年，</w:t>
            </w:r>
            <w:r>
              <w:rPr>
                <w:rFonts w:hint="default" w:ascii="Times New Roman" w:hAnsi="Times New Roman" w:eastAsia="仿宋_GB2312" w:cs="Times New Roman"/>
                <w:color w:val="auto"/>
                <w:spacing w:val="0"/>
                <w:kern w:val="0"/>
                <w:sz w:val="28"/>
                <w:szCs w:val="28"/>
                <w:lang w:eastAsia="zh-CN"/>
              </w:rPr>
              <w:t>累计</w:t>
            </w:r>
            <w:r>
              <w:rPr>
                <w:rFonts w:hint="default" w:ascii="Times New Roman" w:hAnsi="Times New Roman" w:eastAsia="仿宋_GB2312" w:cs="Times New Roman"/>
                <w:color w:val="auto"/>
                <w:spacing w:val="0"/>
                <w:kern w:val="0"/>
                <w:sz w:val="28"/>
                <w:szCs w:val="28"/>
              </w:rPr>
              <w:t>高标准农田达30万亩。</w:t>
            </w:r>
          </w:p>
          <w:p w14:paraId="48157959">
            <w:pPr>
              <w:pStyle w:val="2"/>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kern w:val="0"/>
                <w:sz w:val="28"/>
                <w:szCs w:val="28"/>
                <w:lang w:val="en-US" w:eastAsia="zh-CN"/>
              </w:rPr>
              <w:t>农业</w:t>
            </w:r>
            <w:r>
              <w:rPr>
                <w:rFonts w:hint="eastAsia" w:eastAsia="仿宋_GB2312" w:cs="Times New Roman"/>
                <w:b/>
                <w:bCs/>
                <w:color w:val="auto"/>
                <w:spacing w:val="0"/>
                <w:kern w:val="0"/>
                <w:sz w:val="28"/>
                <w:szCs w:val="28"/>
                <w:lang w:eastAsia="zh-CN"/>
              </w:rPr>
              <w:t>“</w:t>
            </w:r>
            <w:r>
              <w:rPr>
                <w:rFonts w:hint="default" w:ascii="Times New Roman" w:hAnsi="Times New Roman" w:eastAsia="仿宋_GB2312" w:cs="Times New Roman"/>
                <w:b/>
                <w:bCs/>
                <w:color w:val="auto"/>
                <w:spacing w:val="0"/>
                <w:kern w:val="0"/>
                <w:sz w:val="28"/>
                <w:szCs w:val="28"/>
                <w:lang w:eastAsia="zh-CN"/>
              </w:rPr>
              <w:t>一二三</w:t>
            </w:r>
            <w:r>
              <w:rPr>
                <w:rFonts w:hint="eastAsia" w:eastAsia="仿宋_GB2312" w:cs="Times New Roman"/>
                <w:b/>
                <w:bCs/>
                <w:color w:val="auto"/>
                <w:spacing w:val="0"/>
                <w:kern w:val="0"/>
                <w:sz w:val="28"/>
                <w:szCs w:val="28"/>
                <w:lang w:eastAsia="zh-CN"/>
              </w:rPr>
              <w:t>”</w:t>
            </w:r>
            <w:r>
              <w:rPr>
                <w:rFonts w:hint="default" w:ascii="Times New Roman" w:hAnsi="Times New Roman" w:eastAsia="仿宋_GB2312" w:cs="Times New Roman"/>
                <w:b/>
                <w:bCs/>
                <w:color w:val="auto"/>
                <w:spacing w:val="0"/>
                <w:kern w:val="0"/>
                <w:sz w:val="28"/>
                <w:szCs w:val="28"/>
                <w:lang w:eastAsia="zh-CN"/>
              </w:rPr>
              <w:t>行动。</w:t>
            </w:r>
            <w:r>
              <w:rPr>
                <w:rFonts w:hint="default" w:ascii="Times New Roman" w:hAnsi="Times New Roman" w:eastAsia="仿宋_GB2312" w:cs="Times New Roman"/>
                <w:b w:val="0"/>
                <w:bCs w:val="0"/>
                <w:color w:val="auto"/>
                <w:spacing w:val="0"/>
                <w:kern w:val="0"/>
                <w:sz w:val="28"/>
                <w:szCs w:val="28"/>
                <w:lang w:eastAsia="zh-CN"/>
              </w:rPr>
              <w:t>大力发展</w:t>
            </w:r>
            <w:r>
              <w:rPr>
                <w:rFonts w:hint="eastAsia" w:eastAsia="仿宋_GB2312" w:cs="Times New Roman"/>
                <w:b w:val="0"/>
                <w:bCs w:val="0"/>
                <w:color w:val="auto"/>
                <w:spacing w:val="0"/>
                <w:kern w:val="0"/>
                <w:sz w:val="28"/>
                <w:szCs w:val="28"/>
                <w:lang w:eastAsia="zh-CN"/>
              </w:rPr>
              <w:t>“</w:t>
            </w:r>
            <w:r>
              <w:rPr>
                <w:rFonts w:hint="default" w:ascii="Times New Roman" w:hAnsi="Times New Roman" w:eastAsia="仿宋_GB2312" w:cs="Times New Roman"/>
                <w:b w:val="0"/>
                <w:bCs w:val="0"/>
                <w:color w:val="auto"/>
                <w:spacing w:val="0"/>
                <w:kern w:val="0"/>
                <w:sz w:val="28"/>
                <w:szCs w:val="28"/>
              </w:rPr>
              <w:t>一县一业（水果）</w:t>
            </w:r>
            <w:r>
              <w:rPr>
                <w:rFonts w:hint="eastAsia" w:eastAsia="仿宋_GB2312" w:cs="Times New Roman"/>
                <w:b w:val="0"/>
                <w:bCs w:val="0"/>
                <w:color w:val="auto"/>
                <w:spacing w:val="0"/>
                <w:kern w:val="0"/>
                <w:sz w:val="28"/>
                <w:szCs w:val="28"/>
                <w:lang w:eastAsia="zh-CN"/>
              </w:rPr>
              <w:t>”</w:t>
            </w:r>
            <w:r>
              <w:rPr>
                <w:rFonts w:hint="default" w:ascii="Times New Roman" w:hAnsi="Times New Roman" w:eastAsia="仿宋_GB2312" w:cs="Times New Roman"/>
                <w:b w:val="0"/>
                <w:bCs w:val="0"/>
                <w:color w:val="auto"/>
                <w:spacing w:val="0"/>
                <w:kern w:val="0"/>
                <w:sz w:val="28"/>
                <w:szCs w:val="28"/>
                <w:lang w:eastAsia="zh-CN"/>
              </w:rPr>
              <w:t>；聚焦种子端、电商端；坚持设施化、有机化、数字化发展方向。</w:t>
            </w:r>
          </w:p>
          <w:p w14:paraId="18C71F99">
            <w:pPr>
              <w:pStyle w:val="2"/>
              <w:keepNext w:val="0"/>
              <w:keepLines w:val="0"/>
              <w:pageBreakBefore w:val="0"/>
              <w:widowControl w:val="0"/>
              <w:kinsoku/>
              <w:wordWrap/>
              <w:overflowPunct/>
              <w:topLinePunct w:val="0"/>
              <w:autoSpaceDE/>
              <w:autoSpaceDN/>
              <w:bidi w:val="0"/>
              <w:adjustRightInd/>
              <w:snapToGrid/>
              <w:spacing w:after="0" w:line="500" w:lineRule="exact"/>
              <w:ind w:firstLine="606"/>
              <w:textAlignment w:val="auto"/>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color w:val="auto"/>
                <w:spacing w:val="0"/>
                <w:kern w:val="0"/>
                <w:sz w:val="28"/>
                <w:szCs w:val="28"/>
              </w:rPr>
              <w:t>柑橘产业</w:t>
            </w:r>
            <w:r>
              <w:rPr>
                <w:rFonts w:hint="default" w:ascii="Times New Roman" w:hAnsi="Times New Roman" w:eastAsia="仿宋_GB2312" w:cs="Times New Roman"/>
                <w:b/>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发挥</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褚橙</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引领示范作用，推广智慧农业和种养一体生态循环发展，建设一批柑橘为主、</w:t>
            </w:r>
            <w:r>
              <w:rPr>
                <w:rFonts w:hint="eastAsia" w:eastAsia="仿宋_GB2312" w:cs="Times New Roman"/>
                <w:color w:val="auto"/>
                <w:spacing w:val="0"/>
                <w:kern w:val="0"/>
                <w:sz w:val="28"/>
                <w:szCs w:val="28"/>
                <w:lang w:eastAsia="zh-CN"/>
              </w:rPr>
              <w:t>一二三产业融合</w:t>
            </w:r>
            <w:r>
              <w:rPr>
                <w:rFonts w:hint="default" w:ascii="Times New Roman" w:hAnsi="Times New Roman" w:eastAsia="仿宋_GB2312" w:cs="Times New Roman"/>
                <w:color w:val="auto"/>
                <w:spacing w:val="0"/>
                <w:kern w:val="0"/>
                <w:sz w:val="28"/>
                <w:szCs w:val="28"/>
              </w:rPr>
              <w:t>发展的现代农业示范园区。提高错峰销售能力建设，积极借助电商渠道拓展销售市场，引进柑橘等加工企业进行果品加工</w:t>
            </w:r>
            <w:r>
              <w:rPr>
                <w:rFonts w:hint="default" w:ascii="Times New Roman" w:hAnsi="Times New Roman"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发展休闲观光果园项目，把赏花、采摘与民族文化融合，建设农旅融合示范区。</w:t>
            </w:r>
          </w:p>
          <w:p w14:paraId="45717067">
            <w:pPr>
              <w:pStyle w:val="2"/>
              <w:keepNext w:val="0"/>
              <w:keepLines w:val="0"/>
              <w:pageBreakBefore w:val="0"/>
              <w:widowControl w:val="0"/>
              <w:kinsoku/>
              <w:wordWrap/>
              <w:overflowPunct/>
              <w:topLinePunct w:val="0"/>
              <w:autoSpaceDE/>
              <w:autoSpaceDN/>
              <w:bidi w:val="0"/>
              <w:adjustRightInd/>
              <w:snapToGrid/>
              <w:spacing w:after="0" w:line="500" w:lineRule="exact"/>
              <w:ind w:firstLine="606"/>
              <w:textAlignment w:val="auto"/>
              <w:rPr>
                <w:rFonts w:hint="default" w:ascii="Times New Roman" w:hAnsi="Times New Roman" w:eastAsia="仿宋_GB2312" w:cs="Times New Roman"/>
                <w:color w:val="auto"/>
                <w:spacing w:val="0"/>
                <w:kern w:val="0"/>
                <w:sz w:val="28"/>
                <w:szCs w:val="28"/>
                <w:highlight w:val="yellow"/>
              </w:rPr>
            </w:pPr>
            <w:r>
              <w:rPr>
                <w:rFonts w:hint="default" w:ascii="Times New Roman" w:hAnsi="Times New Roman" w:eastAsia="仿宋_GB2312" w:cs="Times New Roman"/>
                <w:b/>
                <w:color w:val="auto"/>
                <w:spacing w:val="0"/>
                <w:kern w:val="0"/>
                <w:sz w:val="28"/>
                <w:szCs w:val="28"/>
              </w:rPr>
              <w:t>生猪产业</w:t>
            </w:r>
            <w:r>
              <w:rPr>
                <w:rFonts w:hint="default" w:ascii="Times New Roman" w:hAnsi="Times New Roman" w:eastAsia="仿宋_GB2312" w:cs="Times New Roman"/>
                <w:b/>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以实施德康70万头生猪养殖项目为重点，</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十四五</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期间，建设年出栏肉猪1000头以上的家庭农场400个单元，建设</w:t>
            </w:r>
            <w:r>
              <w:rPr>
                <w:rFonts w:hint="default" w:ascii="Times New Roman" w:hAnsi="Times New Roman" w:eastAsia="仿宋_GB2312" w:cs="Times New Roman"/>
                <w:color w:val="auto"/>
                <w:spacing w:val="0"/>
                <w:kern w:val="0"/>
                <w:sz w:val="28"/>
                <w:szCs w:val="28"/>
                <w:lang w:val="en-US" w:eastAsia="zh-CN"/>
              </w:rPr>
              <w:t>1.5万</w:t>
            </w:r>
            <w:r>
              <w:rPr>
                <w:rFonts w:hint="default" w:ascii="Times New Roman" w:hAnsi="Times New Roman" w:eastAsia="仿宋_GB2312" w:cs="Times New Roman"/>
                <w:color w:val="auto"/>
                <w:spacing w:val="0"/>
                <w:kern w:val="0"/>
                <w:sz w:val="28"/>
                <w:szCs w:val="28"/>
              </w:rPr>
              <w:t>头父母代种猪场1个，建设年出栏肉猪</w:t>
            </w:r>
            <w:r>
              <w:rPr>
                <w:rFonts w:hint="default" w:ascii="Times New Roman" w:hAnsi="Times New Roman" w:eastAsia="仿宋_GB2312" w:cs="Times New Roman"/>
                <w:color w:val="auto"/>
                <w:spacing w:val="0"/>
                <w:kern w:val="0"/>
                <w:sz w:val="28"/>
                <w:szCs w:val="28"/>
                <w:lang w:val="en-US" w:eastAsia="zh-CN"/>
              </w:rPr>
              <w:t>2万</w:t>
            </w:r>
            <w:r>
              <w:rPr>
                <w:rFonts w:hint="default" w:ascii="Times New Roman" w:hAnsi="Times New Roman" w:eastAsia="仿宋_GB2312" w:cs="Times New Roman"/>
                <w:color w:val="auto"/>
                <w:spacing w:val="0"/>
                <w:kern w:val="0"/>
                <w:sz w:val="28"/>
                <w:szCs w:val="28"/>
              </w:rPr>
              <w:t>头以上的规模化育肥场5个，建设为德康生猪养殖家庭农场、父母代种猪场提供人工授精精液的种公猪站1个。</w:t>
            </w:r>
          </w:p>
          <w:p w14:paraId="65FD37DC">
            <w:pPr>
              <w:keepNext w:val="0"/>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优良品种种植（养殖）基地建设</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新建设芒果、牛油果、软籽石榴等特色水果基地，对柑橘种植基地为主的老基地进行水肥一体化、机械化、智慧化提升改造；建设一批肉牛、山羊、禽类特色养殖基地。</w:t>
            </w:r>
          </w:p>
          <w:p w14:paraId="7A72AD0A">
            <w:pPr>
              <w:keepNext w:val="0"/>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农产品品质提升工程</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开展有机果园示范区建设，申请认证至少5家有机农产品企业，建成不少于20个有机果蔬示范区，努力建成国家级有机产品认证示范区。支持新型经营主体开展ISO系列、HACCP、GAP等国际通用标准认证，推动以龙头企业为主导的全产业链标准化生产管理，引导新型农业经营主体开展统一种苗、统一设施标准、统一生产技术规程、统一投入品供应、统一病虫害防治的</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五统一</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标准化生产。</w:t>
            </w:r>
          </w:p>
          <w:p w14:paraId="1F3DC5E8">
            <w:pPr>
              <w:keepNext w:val="0"/>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农产品品牌打造工程</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建</w:t>
            </w:r>
            <w:r>
              <w:rPr>
                <w:rFonts w:hint="default" w:ascii="Times New Roman" w:hAnsi="Times New Roman" w:eastAsia="仿宋_GB2312" w:cs="Times New Roman"/>
                <w:color w:val="auto"/>
                <w:spacing w:val="0"/>
                <w:kern w:val="0"/>
                <w:sz w:val="28"/>
                <w:szCs w:val="28"/>
                <w:lang w:val="en-US" w:eastAsia="zh-CN"/>
              </w:rPr>
              <w:t>设</w:t>
            </w:r>
            <w:r>
              <w:rPr>
                <w:rFonts w:hint="default" w:ascii="Times New Roman" w:hAnsi="Times New Roman" w:eastAsia="仿宋_GB2312" w:cs="Times New Roman"/>
                <w:color w:val="auto"/>
                <w:spacing w:val="0"/>
                <w:kern w:val="0"/>
                <w:sz w:val="28"/>
                <w:szCs w:val="28"/>
              </w:rPr>
              <w:t>以</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三品一标</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农产品为基础、企业品牌为主体、区域公用品牌为龙头的农产品品牌体系。加大</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新平柑橘</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新平芒果</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新平荔枝</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新平腌菜</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等地理标志农产品挖掘、培育、登记和知识产权保护力度。</w:t>
            </w:r>
          </w:p>
          <w:p w14:paraId="00C9AFB9">
            <w:pPr>
              <w:pageBreakBefore w:val="0"/>
              <w:widowControl w:val="0"/>
              <w:kinsoku/>
              <w:wordWrap/>
              <w:overflowPunct/>
              <w:topLinePunct w:val="0"/>
              <w:autoSpaceDN/>
              <w:bidi w:val="0"/>
              <w:spacing w:before="0" w:line="500" w:lineRule="exact"/>
              <w:ind w:left="0" w:right="0" w:firstLine="606"/>
              <w:jc w:val="left"/>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开放农业水平提升工程</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b w:val="0"/>
                <w:bCs w:val="0"/>
                <w:color w:val="auto"/>
                <w:spacing w:val="0"/>
                <w:kern w:val="0"/>
                <w:sz w:val="28"/>
                <w:szCs w:val="28"/>
                <w:lang w:val="en-US" w:eastAsia="zh-CN"/>
              </w:rPr>
              <w:t>积极</w:t>
            </w:r>
            <w:r>
              <w:rPr>
                <w:rFonts w:hint="default" w:ascii="Times New Roman" w:hAnsi="Times New Roman" w:eastAsia="仿宋_GB2312" w:cs="Times New Roman"/>
                <w:color w:val="auto"/>
                <w:spacing w:val="0"/>
                <w:kern w:val="0"/>
                <w:sz w:val="28"/>
                <w:szCs w:val="28"/>
              </w:rPr>
              <w:t>培育一批外向型农业</w:t>
            </w:r>
            <w:r>
              <w:rPr>
                <w:rFonts w:hint="default" w:ascii="Times New Roman" w:hAnsi="Times New Roman" w:eastAsia="仿宋_GB2312" w:cs="Times New Roman"/>
                <w:color w:val="auto"/>
                <w:spacing w:val="0"/>
                <w:kern w:val="0"/>
                <w:sz w:val="28"/>
                <w:szCs w:val="28"/>
                <w:lang w:val="en-US" w:eastAsia="zh-CN"/>
              </w:rPr>
              <w:t>龙头</w:t>
            </w:r>
            <w:r>
              <w:rPr>
                <w:rFonts w:hint="default" w:ascii="Times New Roman" w:hAnsi="Times New Roman" w:eastAsia="仿宋_GB2312" w:cs="Times New Roman"/>
                <w:color w:val="auto"/>
                <w:spacing w:val="0"/>
                <w:kern w:val="0"/>
                <w:sz w:val="28"/>
                <w:szCs w:val="28"/>
              </w:rPr>
              <w:t>企业，强化农产品出口备案基地建设，支持提升国外营销网络建设，提高南亚东南亚市场占有率，拓展欧美、中东、日本、新加坡等高端消费市场。</w:t>
            </w:r>
          </w:p>
          <w:p w14:paraId="3D82C14D">
            <w:pPr>
              <w:keepNext w:val="0"/>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宋体" w:hAnsi="宋体" w:eastAsia="宋体" w:cs="宋体"/>
                <w:color w:val="auto"/>
                <w:spacing w:val="0"/>
                <w:kern w:val="0"/>
                <w:sz w:val="28"/>
                <w:szCs w:val="28"/>
                <w:lang w:eastAsia="zh-CN"/>
              </w:rPr>
            </w:pPr>
            <w:r>
              <w:rPr>
                <w:rFonts w:hint="default" w:ascii="Times New Roman" w:hAnsi="Times New Roman" w:eastAsia="仿宋_GB2312" w:cs="Times New Roman"/>
                <w:b/>
                <w:bCs/>
                <w:color w:val="auto"/>
                <w:spacing w:val="0"/>
                <w:kern w:val="0"/>
                <w:sz w:val="28"/>
                <w:szCs w:val="28"/>
              </w:rPr>
              <w:t>农产品溯源体系建设</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加快国家农产品质量安全追溯管理信息平台推广应用，无公害农产品、绿色食品、有机食品和地理标志农产品获证企业及其产品要全部纳入追溯管理，</w:t>
            </w:r>
            <w:r>
              <w:rPr>
                <w:rFonts w:hint="default" w:ascii="Times New Roman" w:hAnsi="Times New Roman" w:eastAsia="仿宋_GB2312" w:cs="Times New Roman"/>
                <w:color w:val="auto"/>
                <w:spacing w:val="0"/>
                <w:kern w:val="0"/>
                <w:sz w:val="28"/>
                <w:szCs w:val="28"/>
                <w:lang w:eastAsia="zh-CN"/>
              </w:rPr>
              <w:t>以</w:t>
            </w:r>
            <w:r>
              <w:rPr>
                <w:rFonts w:hint="default" w:ascii="Times New Roman" w:hAnsi="Times New Roman" w:eastAsia="仿宋_GB2312" w:cs="Times New Roman"/>
                <w:color w:val="auto"/>
                <w:spacing w:val="0"/>
                <w:kern w:val="0"/>
                <w:sz w:val="28"/>
                <w:szCs w:val="28"/>
              </w:rPr>
              <w:t>解决伪劣产品问题为切入口，突出产地溯源关键环节，开展质量源头追溯</w:t>
            </w:r>
            <w:r>
              <w:rPr>
                <w:rFonts w:hint="default" w:ascii="Times New Roman" w:hAnsi="Times New Roman" w:eastAsia="仿宋_GB2312" w:cs="Times New Roman"/>
                <w:color w:val="auto"/>
                <w:spacing w:val="0"/>
                <w:kern w:val="0"/>
                <w:sz w:val="28"/>
                <w:szCs w:val="28"/>
                <w:lang w:eastAsia="zh-CN"/>
              </w:rPr>
              <w:t>。</w:t>
            </w:r>
          </w:p>
        </w:tc>
      </w:tr>
    </w:tbl>
    <w:p w14:paraId="7679020F">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54" w:name="_Toc13600"/>
      <w:bookmarkStart w:id="55" w:name="_Toc25230"/>
      <w:r>
        <w:rPr>
          <w:rFonts w:hint="eastAsia" w:ascii="黑体" w:hAnsi="黑体" w:eastAsia="黑体" w:cs="黑体"/>
          <w:b/>
          <w:bCs w:val="0"/>
          <w:color w:val="auto"/>
          <w:spacing w:val="0"/>
          <w:szCs w:val="32"/>
          <w:lang w:val="en-US" w:eastAsia="zh-CN"/>
        </w:rPr>
        <w:t>第三节  打造中国花腰傣文化旅游目的地</w:t>
      </w:r>
      <w:bookmarkEnd w:id="54"/>
      <w:bookmarkEnd w:id="55"/>
    </w:p>
    <w:p w14:paraId="4D84CB96">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color w:val="auto"/>
          <w:spacing w:val="0"/>
          <w:szCs w:val="22"/>
        </w:rPr>
        <w:t>以打好</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健康生活目的地牌</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为抓手，积极服务和融入大滇西旅游环线</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lang w:val="en-US" w:eastAsia="zh-CN"/>
        </w:rPr>
        <w:t>昆玉红旅游文化带</w:t>
      </w:r>
      <w:r>
        <w:rPr>
          <w:rFonts w:hint="default" w:ascii="Times New Roman" w:hAnsi="Times New Roman" w:eastAsia="仿宋_GB2312" w:cs="Times New Roman"/>
          <w:color w:val="auto"/>
          <w:spacing w:val="0"/>
          <w:szCs w:val="22"/>
        </w:rPr>
        <w:t>建设，提高旅游服务能力，擦亮</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花腰傣之乡</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褚橙之乡</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中国天然氧吧</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等名片，打造中国花腰傣</w:t>
      </w:r>
      <w:r>
        <w:rPr>
          <w:rFonts w:hint="default" w:ascii="Times New Roman" w:hAnsi="Times New Roman" w:eastAsia="仿宋_GB2312" w:cs="Times New Roman"/>
          <w:color w:val="auto"/>
          <w:spacing w:val="0"/>
          <w:szCs w:val="22"/>
          <w:lang w:eastAsia="zh-CN"/>
        </w:rPr>
        <w:t>文化</w:t>
      </w:r>
      <w:r>
        <w:rPr>
          <w:rFonts w:hint="default" w:ascii="Times New Roman" w:hAnsi="Times New Roman" w:eastAsia="仿宋_GB2312" w:cs="Times New Roman"/>
          <w:color w:val="auto"/>
          <w:spacing w:val="0"/>
          <w:szCs w:val="22"/>
        </w:rPr>
        <w:t>旅游目的地</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到2025年，文化旅游</w:t>
      </w:r>
      <w:r>
        <w:rPr>
          <w:rFonts w:hint="default" w:ascii="Times New Roman" w:hAnsi="Times New Roman" w:eastAsia="仿宋_GB2312" w:cs="Times New Roman"/>
          <w:color w:val="auto"/>
          <w:spacing w:val="0"/>
          <w:szCs w:val="22"/>
          <w:lang w:val="en-US" w:eastAsia="zh-CN"/>
        </w:rPr>
        <w:t>现代服务业收入</w:t>
      </w:r>
      <w:r>
        <w:rPr>
          <w:rFonts w:hint="default" w:ascii="Times New Roman" w:hAnsi="Times New Roman" w:eastAsia="仿宋_GB2312" w:cs="Times New Roman"/>
          <w:color w:val="auto"/>
          <w:spacing w:val="0"/>
          <w:szCs w:val="22"/>
        </w:rPr>
        <w:t>达100亿元</w:t>
      </w:r>
      <w:r>
        <w:rPr>
          <w:rFonts w:hint="default" w:ascii="Times New Roman" w:hAnsi="Times New Roman" w:eastAsia="仿宋_GB2312" w:cs="Times New Roman"/>
          <w:color w:val="auto"/>
          <w:spacing w:val="0"/>
          <w:szCs w:val="22"/>
          <w:lang w:val="en-US" w:eastAsia="zh-CN"/>
        </w:rPr>
        <w:t>以上</w:t>
      </w:r>
      <w:r>
        <w:rPr>
          <w:rFonts w:hint="default" w:ascii="Times New Roman" w:hAnsi="Times New Roman" w:eastAsia="仿宋_GB2312" w:cs="Times New Roman"/>
          <w:color w:val="auto"/>
          <w:spacing w:val="0"/>
          <w:szCs w:val="22"/>
        </w:rPr>
        <w:t>。</w:t>
      </w:r>
    </w:p>
    <w:p w14:paraId="4BF246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84" w:leftChars="0"/>
        <w:textAlignment w:val="auto"/>
        <w:rPr>
          <w:rFonts w:hint="eastAsia" w:ascii="黑体" w:hAnsi="黑体" w:eastAsia="黑体" w:cs="黑体"/>
          <w:b w:val="0"/>
          <w:bCs w:val="0"/>
          <w:color w:val="auto"/>
          <w:spacing w:val="0"/>
          <w:kern w:val="2"/>
          <w:sz w:val="32"/>
          <w:szCs w:val="32"/>
          <w:lang w:val="en-US" w:eastAsia="zh-CN" w:bidi="ar-SA"/>
        </w:rPr>
      </w:pPr>
      <w:r>
        <w:rPr>
          <w:rFonts w:hint="eastAsia" w:ascii="黑体" w:hAnsi="黑体" w:eastAsia="黑体" w:cs="黑体"/>
          <w:b w:val="0"/>
          <w:bCs w:val="0"/>
          <w:color w:val="auto"/>
          <w:spacing w:val="0"/>
          <w:kern w:val="2"/>
          <w:sz w:val="32"/>
          <w:szCs w:val="32"/>
          <w:lang w:val="en-US" w:eastAsia="zh-CN" w:bidi="ar-SA"/>
        </w:rPr>
        <w:t>一、优化全域旅游布局</w:t>
      </w:r>
    </w:p>
    <w:p w14:paraId="116C77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pacing w:val="0"/>
          <w:kern w:val="2"/>
          <w:sz w:val="32"/>
          <w:szCs w:val="22"/>
          <w:lang w:val="en-US" w:eastAsia="zh-CN" w:bidi="ar-SA"/>
        </w:rPr>
      </w:pPr>
      <w:r>
        <w:rPr>
          <w:rFonts w:hint="default" w:ascii="Times New Roman" w:hAnsi="Times New Roman" w:eastAsia="仿宋_GB2312" w:cs="Times New Roman"/>
          <w:color w:val="auto"/>
          <w:spacing w:val="0"/>
          <w:szCs w:val="24"/>
          <w:lang w:val="en-US" w:eastAsia="zh-CN"/>
        </w:rPr>
        <w:t>围绕</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风情花腰傣·神秘哀牢山</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形象定位，大力发展文化旅游产业，着力打造中国花腰傣文化旅游目的地。按照全地域覆盖、全资源整合、全要素配置、全产业融合的原则，统筹旅游资源、交通区位等优势，进一步优化</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一地、两极、三区、四环、五带、六重点</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的旅游总体发展格局。</w:t>
      </w:r>
    </w:p>
    <w:p w14:paraId="60E4F4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b/>
          <w:color w:val="auto"/>
          <w:spacing w:val="0"/>
        </w:rPr>
        <w:t>一地</w:t>
      </w:r>
      <w:r>
        <w:rPr>
          <w:rFonts w:hint="default" w:ascii="Times New Roman" w:hAnsi="Times New Roman" w:eastAsia="仿宋_GB2312" w:cs="Times New Roman"/>
          <w:b/>
          <w:color w:val="auto"/>
          <w:spacing w:val="0"/>
          <w:lang w:eastAsia="zh-CN"/>
        </w:rPr>
        <w:t>：</w:t>
      </w:r>
      <w:r>
        <w:rPr>
          <w:rFonts w:hint="default" w:ascii="Times New Roman" w:hAnsi="Times New Roman" w:eastAsia="仿宋_GB2312" w:cs="Times New Roman"/>
          <w:color w:val="auto"/>
          <w:spacing w:val="0"/>
        </w:rPr>
        <w:t>中国花腰傣文化旅游目的地；</w:t>
      </w:r>
      <w:r>
        <w:rPr>
          <w:rFonts w:hint="default" w:ascii="Times New Roman" w:hAnsi="Times New Roman" w:eastAsia="仿宋_GB2312" w:cs="Times New Roman"/>
          <w:b/>
          <w:color w:val="auto"/>
          <w:spacing w:val="0"/>
        </w:rPr>
        <w:t>两极</w:t>
      </w:r>
      <w:r>
        <w:rPr>
          <w:rFonts w:hint="default" w:ascii="Times New Roman" w:hAnsi="Times New Roman" w:eastAsia="仿宋_GB2312" w:cs="Times New Roman"/>
          <w:b/>
          <w:color w:val="auto"/>
          <w:spacing w:val="0"/>
          <w:lang w:eastAsia="zh-CN"/>
        </w:rPr>
        <w:t>：</w:t>
      </w:r>
      <w:r>
        <w:rPr>
          <w:rFonts w:hint="default" w:ascii="Times New Roman" w:hAnsi="Times New Roman" w:eastAsia="仿宋_GB2312" w:cs="Times New Roman"/>
          <w:color w:val="auto"/>
          <w:spacing w:val="0"/>
        </w:rPr>
        <w:t>县城旅游集散极、戛洒旅游中心极；</w:t>
      </w:r>
      <w:r>
        <w:rPr>
          <w:rFonts w:hint="default" w:ascii="Times New Roman" w:hAnsi="Times New Roman" w:eastAsia="仿宋_GB2312" w:cs="Times New Roman"/>
          <w:b/>
          <w:color w:val="auto"/>
          <w:spacing w:val="0"/>
        </w:rPr>
        <w:t>三区</w:t>
      </w:r>
      <w:r>
        <w:rPr>
          <w:rFonts w:hint="default" w:ascii="Times New Roman" w:hAnsi="Times New Roman" w:eastAsia="仿宋_GB2312" w:cs="Times New Roman"/>
          <w:b/>
          <w:color w:val="auto"/>
          <w:spacing w:val="0"/>
          <w:lang w:eastAsia="zh-CN"/>
        </w:rPr>
        <w:t>：</w:t>
      </w:r>
      <w:r>
        <w:rPr>
          <w:rFonts w:hint="default" w:ascii="Times New Roman" w:hAnsi="Times New Roman" w:eastAsia="仿宋_GB2312" w:cs="Times New Roman"/>
          <w:color w:val="auto"/>
          <w:spacing w:val="0"/>
        </w:rPr>
        <w:t>哀牢山生态文化旅游区、红河谷—绿汁江特色农业花腰傣风情体验旅游区、磨盘山户外运动健康旅游区；</w:t>
      </w:r>
      <w:r>
        <w:rPr>
          <w:rFonts w:hint="default" w:ascii="Times New Roman" w:hAnsi="Times New Roman" w:eastAsia="仿宋_GB2312" w:cs="Times New Roman"/>
          <w:b/>
          <w:color w:val="auto"/>
          <w:spacing w:val="0"/>
        </w:rPr>
        <w:t>四环</w:t>
      </w:r>
      <w:r>
        <w:rPr>
          <w:rFonts w:hint="default" w:ascii="Times New Roman" w:hAnsi="Times New Roman" w:eastAsia="仿宋_GB2312" w:cs="Times New Roman"/>
          <w:b/>
          <w:color w:val="auto"/>
          <w:spacing w:val="0"/>
          <w:lang w:eastAsia="zh-CN"/>
        </w:rPr>
        <w:t>：</w:t>
      </w:r>
      <w:r>
        <w:rPr>
          <w:rFonts w:hint="default" w:ascii="Times New Roman" w:hAnsi="Times New Roman" w:eastAsia="仿宋_GB2312" w:cs="Times New Roman"/>
          <w:color w:val="auto"/>
          <w:spacing w:val="0"/>
        </w:rPr>
        <w:t>县城特色旅游环线、哀牢山旅游环线、红河谷—绿汁江旅游环线、磨盘山旅游环线；</w:t>
      </w:r>
      <w:r>
        <w:rPr>
          <w:rFonts w:hint="default" w:ascii="Times New Roman" w:hAnsi="Times New Roman" w:eastAsia="仿宋_GB2312" w:cs="Times New Roman"/>
          <w:b/>
          <w:color w:val="auto"/>
          <w:spacing w:val="0"/>
        </w:rPr>
        <w:t>五带</w:t>
      </w:r>
      <w:r>
        <w:rPr>
          <w:rFonts w:hint="default" w:ascii="Times New Roman" w:hAnsi="Times New Roman" w:eastAsia="仿宋_GB2312" w:cs="Times New Roman"/>
          <w:b/>
          <w:color w:val="auto"/>
          <w:spacing w:val="0"/>
          <w:lang w:eastAsia="zh-CN"/>
        </w:rPr>
        <w:t>：</w:t>
      </w:r>
      <w:r>
        <w:rPr>
          <w:rFonts w:hint="default" w:ascii="Times New Roman" w:hAnsi="Times New Roman" w:eastAsia="仿宋_GB2312" w:cs="Times New Roman"/>
          <w:color w:val="auto"/>
          <w:spacing w:val="0"/>
        </w:rPr>
        <w:t>哀牢山生态观光休闲康养户外运动旅游带、古州野林</w:t>
      </w:r>
      <w:r>
        <w:rPr>
          <w:rFonts w:hint="default" w:ascii="Times New Roman" w:hAnsi="Times New Roman" w:eastAsia="仿宋_GB2312" w:cs="Times New Roman"/>
          <w:color w:val="auto"/>
          <w:spacing w:val="0"/>
          <w:lang w:eastAsia="zh-CN"/>
        </w:rPr>
        <w:t>—</w:t>
      </w:r>
      <w:r>
        <w:rPr>
          <w:rFonts w:hint="default" w:ascii="Times New Roman" w:hAnsi="Times New Roman" w:eastAsia="仿宋_GB2312" w:cs="Times New Roman"/>
          <w:color w:val="auto"/>
          <w:spacing w:val="0"/>
        </w:rPr>
        <w:t>哈科底生态观光休闲旅游带、磨盘山乡村休闲户外运动旅游带、红河谷—绿汁江花腰傣民族风情和亚热带风光旅游带、县城周边乡村休闲旅游带；</w:t>
      </w:r>
      <w:r>
        <w:rPr>
          <w:rFonts w:hint="default" w:ascii="Times New Roman" w:hAnsi="Times New Roman" w:eastAsia="仿宋_GB2312" w:cs="Times New Roman"/>
          <w:b/>
          <w:bCs/>
          <w:color w:val="auto"/>
          <w:spacing w:val="0"/>
          <w:szCs w:val="22"/>
        </w:rPr>
        <w:t>六重点</w:t>
      </w:r>
      <w:r>
        <w:rPr>
          <w:rFonts w:hint="default" w:ascii="Times New Roman" w:hAnsi="Times New Roman" w:eastAsia="仿宋_GB2312" w:cs="Times New Roman"/>
          <w:b/>
          <w:bCs/>
          <w:color w:val="auto"/>
          <w:spacing w:val="0"/>
          <w:szCs w:val="22"/>
          <w:lang w:eastAsia="zh-CN"/>
        </w:rPr>
        <w:t>：</w:t>
      </w:r>
      <w:r>
        <w:rPr>
          <w:rFonts w:hint="default" w:ascii="Times New Roman" w:hAnsi="Times New Roman" w:eastAsia="仿宋_GB2312" w:cs="Times New Roman"/>
          <w:color w:val="auto"/>
          <w:spacing w:val="0"/>
          <w:szCs w:val="22"/>
        </w:rPr>
        <w:t>戛洒国家</w:t>
      </w:r>
      <w:r>
        <w:rPr>
          <w:rFonts w:hint="default" w:ascii="Times New Roman" w:hAnsi="Times New Roman" w:eastAsia="仿宋_GB2312" w:cs="Times New Roman"/>
          <w:color w:val="auto"/>
          <w:spacing w:val="0"/>
          <w:szCs w:val="22"/>
          <w:lang w:eastAsia="zh-CN"/>
        </w:rPr>
        <w:t>级</w:t>
      </w:r>
      <w:r>
        <w:rPr>
          <w:rFonts w:hint="default" w:ascii="Times New Roman" w:hAnsi="Times New Roman" w:eastAsia="仿宋_GB2312" w:cs="Times New Roman"/>
          <w:color w:val="auto"/>
          <w:spacing w:val="0"/>
          <w:szCs w:val="22"/>
        </w:rPr>
        <w:t>特色旅游小镇、哀牢山乡村旅游示范区、磨盘山康体养生户外</w:t>
      </w:r>
      <w:r>
        <w:rPr>
          <w:rFonts w:hint="default" w:ascii="Times New Roman" w:hAnsi="Times New Roman" w:eastAsia="仿宋_GB2312" w:cs="Times New Roman"/>
          <w:color w:val="auto"/>
          <w:spacing w:val="0"/>
        </w:rPr>
        <w:t>运动区、扬武驿站经济小镇、漠沙田园综合体、建兴生态休闲旅游区。</w:t>
      </w:r>
    </w:p>
    <w:p w14:paraId="62BBA05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b w:val="0"/>
          <w:bCs w:val="0"/>
          <w:color w:val="auto"/>
          <w:spacing w:val="0"/>
          <w:lang w:eastAsia="zh-CN"/>
        </w:rPr>
      </w:pPr>
      <w:r>
        <w:rPr>
          <w:rFonts w:hint="eastAsia" w:ascii="黑体" w:hAnsi="黑体" w:eastAsia="黑体" w:cs="黑体"/>
          <w:b w:val="0"/>
          <w:bCs w:val="0"/>
          <w:color w:val="auto"/>
          <w:spacing w:val="0"/>
          <w:lang w:val="en-US" w:eastAsia="zh-CN"/>
        </w:rPr>
        <w:t>二、</w:t>
      </w:r>
      <w:r>
        <w:rPr>
          <w:rFonts w:hint="eastAsia" w:ascii="黑体" w:hAnsi="黑体" w:eastAsia="黑体" w:cs="黑体"/>
          <w:b w:val="0"/>
          <w:bCs w:val="0"/>
          <w:color w:val="auto"/>
          <w:spacing w:val="0"/>
        </w:rPr>
        <w:t>打造特色旅游景区</w:t>
      </w:r>
    </w:p>
    <w:p w14:paraId="199970B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b w:val="0"/>
          <w:bCs w:val="0"/>
          <w:color w:val="auto"/>
          <w:spacing w:val="0"/>
          <w:kern w:val="2"/>
          <w:sz w:val="32"/>
          <w:szCs w:val="22"/>
          <w:lang w:val="en-US" w:eastAsia="zh-CN" w:bidi="ar-SA"/>
        </w:rPr>
      </w:pPr>
      <w:r>
        <w:rPr>
          <w:rFonts w:hint="default" w:ascii="Times New Roman" w:hAnsi="Times New Roman" w:eastAsia="仿宋_GB2312" w:cs="Times New Roman"/>
          <w:color w:val="auto"/>
          <w:spacing w:val="0"/>
          <w:szCs w:val="22"/>
          <w:lang w:val="en-US" w:eastAsia="zh-CN"/>
        </w:rPr>
        <w:t>发挥民族文化和自然生态两个资源优势，提升红河谷花腰傣文化体验、哀牢山生态康养度假、磨盘山户外运动休闲三个旅游区，建设一批半山酒店，打造一批旅游特色村寨和精品庄园，发展文化体验游、乡村休闲游、生态观光游，加强旅游商品开发，打造特色餐饮和节庆活动品牌，力争创建国家级全域旅游示范县。深入挖掘花腰傣文化，积极申报</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国家非遗</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项目，擦亮新平</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花腰傣之乡</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旅游名片。加快推进哀牢山生态文化精品旅游区、磨盘山户外运动健康精品旅游区和红河谷—绿汁江特色农业体验精品旅游区三个片区的高端名牌打造。加快在平甸、漠沙、戛洒等打造一批</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乡村环境优、民族文化浓、市场前景好、致富带动强、乡风文明美</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的宜居、宜业、宜游的旅游特色村和美丽乡村。发挥</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褚橙庄园</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桔荔庄园</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等庄园示范作用，大力发展乡村精品旅游业。到2025年，新建旅游A级景区5个，总数达到10个，其中：AAAAA级景区1个、AAAA级景区1个；</w:t>
      </w:r>
      <w:r>
        <w:rPr>
          <w:rFonts w:hint="default" w:ascii="Times New Roman" w:hAnsi="Times New Roman" w:eastAsia="仿宋_GB2312" w:cs="Times New Roman"/>
          <w:color w:val="auto"/>
          <w:spacing w:val="0"/>
          <w:szCs w:val="22"/>
        </w:rPr>
        <w:t>接待游客700万人次以上，实现旅游总收入70亿元以上。</w:t>
      </w:r>
    </w:p>
    <w:p w14:paraId="2429B93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b w:val="0"/>
          <w:bCs w:val="0"/>
          <w:color w:val="auto"/>
          <w:spacing w:val="0"/>
          <w:lang w:eastAsia="zh-CN"/>
        </w:rPr>
      </w:pPr>
      <w:r>
        <w:rPr>
          <w:rFonts w:hint="eastAsia" w:ascii="黑体" w:hAnsi="黑体" w:eastAsia="黑体" w:cs="黑体"/>
          <w:b w:val="0"/>
          <w:bCs w:val="0"/>
          <w:color w:val="auto"/>
          <w:spacing w:val="0"/>
          <w:lang w:val="en-US" w:eastAsia="zh-CN"/>
        </w:rPr>
        <w:t>三、</w:t>
      </w:r>
      <w:r>
        <w:rPr>
          <w:rFonts w:hint="eastAsia" w:ascii="黑体" w:hAnsi="黑体" w:eastAsia="黑体" w:cs="黑体"/>
          <w:b w:val="0"/>
          <w:bCs w:val="0"/>
          <w:color w:val="auto"/>
          <w:spacing w:val="0"/>
        </w:rPr>
        <w:t>完善旅游基础配套</w:t>
      </w:r>
      <w:r>
        <w:rPr>
          <w:rFonts w:hint="eastAsia" w:ascii="黑体" w:hAnsi="黑体" w:eastAsia="黑体" w:cs="黑体"/>
          <w:b w:val="0"/>
          <w:bCs w:val="0"/>
          <w:color w:val="auto"/>
          <w:spacing w:val="0"/>
          <w:lang w:eastAsia="zh-CN"/>
        </w:rPr>
        <w:t>设施</w:t>
      </w:r>
    </w:p>
    <w:p w14:paraId="3A01A45B">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lang w:val="en-US" w:eastAsia="zh-CN"/>
        </w:rPr>
        <w:t>围绕</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吃、住、行、游、购、娱</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等基本旅游要素，进一步完善旅游硬件和软件设施，提升旅游服务质量和水平。顺应大众化旅游趋势，以方便和满足自助自驾游客消费需求，加强游客服务中心、休息站点、自驾露营地、旅游厕所、停车场及交通、旅游标识系统建设。以推进综合交通体系建设为依托，加大旅游区、城镇、乡村连接道路、骑行道路、景区游路及旅游环线路建设，打造</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快进漫游</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交通条件，推动发展周末经济、</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后备箱经济</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。加快智慧旅游发展，依托</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一部手机游云南</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平台，建立全域旅游信息化体系，打造集智慧管理、服务、营销于一体的智慧旅游一体化平台，加速AAAA级景区数字化提升。</w:t>
      </w:r>
      <w:r>
        <w:rPr>
          <w:rFonts w:hint="default" w:ascii="Times New Roman" w:hAnsi="Times New Roman" w:eastAsia="仿宋_GB2312" w:cs="Times New Roman"/>
          <w:color w:val="auto"/>
          <w:spacing w:val="0"/>
          <w:szCs w:val="24"/>
        </w:rPr>
        <w:t>推进多业联动，树立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大会展</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理念，着力打造区域性旅游会展中心</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围绕戛洒特色小镇建设，以全国党员教育培训基地、戛洒外滩温泉康养小镇、戛洒欢乐水世界、半山酒店、哀牢山AAAA级景区开发等项目为抓手，打造旅游、会议培训、商业购物、公共交通、夜间经济等具有会展功能的旅游中心，促进全县旅游产业多业态互动、多元化消费，形成会展与旅游、商贸、文化、体育、科技等产业融合发展。</w:t>
      </w:r>
    </w:p>
    <w:p w14:paraId="1CE6272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b w:val="0"/>
          <w:bCs w:val="0"/>
          <w:color w:val="auto"/>
          <w:spacing w:val="0"/>
          <w:lang w:eastAsia="zh-CN"/>
        </w:rPr>
      </w:pPr>
      <w:r>
        <w:rPr>
          <w:rFonts w:hint="eastAsia" w:ascii="黑体" w:hAnsi="黑体" w:eastAsia="黑体" w:cs="黑体"/>
          <w:b w:val="0"/>
          <w:bCs w:val="0"/>
          <w:color w:val="auto"/>
          <w:spacing w:val="0"/>
          <w:lang w:val="en-US" w:eastAsia="zh-CN"/>
        </w:rPr>
        <w:t>四、</w:t>
      </w:r>
      <w:r>
        <w:rPr>
          <w:rFonts w:hint="eastAsia" w:ascii="黑体" w:hAnsi="黑体" w:eastAsia="黑体" w:cs="黑体"/>
          <w:b w:val="0"/>
          <w:bCs w:val="0"/>
          <w:color w:val="auto"/>
          <w:spacing w:val="0"/>
        </w:rPr>
        <w:t>融合发展旅游康养产业</w:t>
      </w:r>
    </w:p>
    <w:p w14:paraId="00481BF1">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依托</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两山一谷</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抓住磨盘山森林体验国家重点建设基地建设契机，打造一批集养生养老、旅游度假、特色民居体验、温泉康养、民族文化体验等功能为一体的康体养生度假村。以县城各医疗卫生机构为依托，建设集医疗、康复、养老等为一体的康复护理体系。以开发康养旅游、度假休闲、自然观光、生态旅游为重点，强化哀牢山、磨盘山原始森林保护与开发，充分发挥</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灵山、秀水、好空气</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优势，加快哀牢山景区整体开发项目，巩固提升磨盘山、大沐浴、南薅花腰傣民俗风情景区，打造磨盘山森林康养小镇，打通生态旅游通道。大力发展河谷养生、森林康养、中药疗养、田园体验等生态养生新业态。</w:t>
      </w:r>
      <w:r>
        <w:rPr>
          <w:rFonts w:hint="eastAsia" w:eastAsia="仿宋_GB2312" w:cs="Times New Roman"/>
          <w:color w:val="auto"/>
          <w:spacing w:val="0"/>
          <w:szCs w:val="24"/>
          <w:lang w:val="en-US" w:eastAsia="zh-CN"/>
        </w:rPr>
        <w:t>大力发展“健身游”，</w:t>
      </w:r>
      <w:r>
        <w:rPr>
          <w:rFonts w:hint="default" w:ascii="Times New Roman" w:hAnsi="Times New Roman" w:eastAsia="仿宋_GB2312" w:cs="Times New Roman"/>
          <w:color w:val="auto"/>
          <w:spacing w:val="0"/>
          <w:szCs w:val="24"/>
          <w:lang w:val="en-US" w:eastAsia="zh-CN"/>
        </w:rPr>
        <w:t>以运动养生基地为载体</w:t>
      </w:r>
      <w:r>
        <w:rPr>
          <w:rFonts w:hint="eastAsia" w:eastAsia="仿宋_GB2312" w:cs="Times New Roman"/>
          <w:color w:val="auto"/>
          <w:spacing w:val="0"/>
          <w:szCs w:val="24"/>
          <w:lang w:val="en-US" w:eastAsia="zh-CN"/>
        </w:rPr>
        <w:t>开展</w:t>
      </w:r>
      <w:r>
        <w:rPr>
          <w:rFonts w:hint="default" w:ascii="Times New Roman" w:hAnsi="Times New Roman" w:eastAsia="仿宋_GB2312" w:cs="Times New Roman"/>
          <w:color w:val="auto"/>
          <w:spacing w:val="0"/>
          <w:szCs w:val="24"/>
          <w:lang w:val="en-US" w:eastAsia="zh-CN"/>
        </w:rPr>
        <w:t>强身健体和愉悦身心的体育活动，并提供心理理疗、健身定制等服务体验。</w:t>
      </w:r>
    </w:p>
    <w:tbl>
      <w:tblPr>
        <w:tblStyle w:val="3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008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446D30C4">
            <w:pPr>
              <w:keepNext/>
              <w:keepLines w:val="0"/>
              <w:pageBreakBefore w:val="0"/>
              <w:widowControl w:val="0"/>
              <w:kinsoku/>
              <w:wordWrap/>
              <w:overflowPunct/>
              <w:topLinePunct w:val="0"/>
              <w:autoSpaceDE/>
              <w:autoSpaceDN/>
              <w:bidi w:val="0"/>
              <w:adjustRightInd/>
              <w:snapToGrid/>
              <w:spacing w:line="500" w:lineRule="exact"/>
              <w:ind w:firstLine="606"/>
              <w:jc w:val="center"/>
              <w:textAlignment w:val="auto"/>
              <w:rPr>
                <w:rFonts w:hint="default" w:ascii="宋体" w:hAnsi="宋体" w:eastAsia="宋体" w:cs="宋体"/>
                <w:color w:val="auto"/>
                <w:spacing w:val="0"/>
                <w:kern w:val="0"/>
                <w:sz w:val="28"/>
                <w:szCs w:val="28"/>
                <w:lang w:eastAsia="zh-CN" w:bidi="zh-CN"/>
              </w:rPr>
            </w:pPr>
            <w:r>
              <w:rPr>
                <w:rFonts w:hint="default" w:ascii="Times New Roman" w:hAnsi="Times New Roman" w:eastAsia="仿宋_GB2312" w:cs="Times New Roman"/>
                <w:b/>
                <w:bCs/>
                <w:color w:val="auto"/>
                <w:spacing w:val="0"/>
                <w:kern w:val="0"/>
                <w:sz w:val="28"/>
                <w:szCs w:val="28"/>
                <w:lang w:val="zh-CN"/>
              </w:rPr>
              <w:t>专栏</w:t>
            </w:r>
            <w:r>
              <w:rPr>
                <w:rFonts w:hint="default" w:ascii="Times New Roman" w:hAnsi="Times New Roman" w:eastAsia="仿宋_GB2312" w:cs="Times New Roman"/>
                <w:b/>
                <w:bCs/>
                <w:color w:val="auto"/>
                <w:spacing w:val="0"/>
                <w:kern w:val="0"/>
                <w:sz w:val="28"/>
                <w:szCs w:val="28"/>
                <w:lang w:val="en-US" w:eastAsia="zh-CN"/>
              </w:rPr>
              <w:t>6</w:t>
            </w:r>
            <w:r>
              <w:rPr>
                <w:rFonts w:hint="default" w:ascii="Times New Roman" w:hAnsi="Times New Roman" w:eastAsia="仿宋_GB2312" w:cs="Times New Roman"/>
                <w:b/>
                <w:bCs/>
                <w:color w:val="auto"/>
                <w:spacing w:val="0"/>
                <w:kern w:val="0"/>
                <w:sz w:val="28"/>
                <w:szCs w:val="28"/>
              </w:rPr>
              <w:t xml:space="preserve"> 文化旅游发展重点工程</w:t>
            </w:r>
          </w:p>
        </w:tc>
      </w:tr>
      <w:tr w14:paraId="4F10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0" w:hRule="atLeast"/>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04D04602">
            <w:pPr>
              <w:keepNext/>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全域旅游示范区创建行动。</w:t>
            </w:r>
            <w:r>
              <w:rPr>
                <w:rFonts w:hint="default" w:ascii="Times New Roman" w:hAnsi="Times New Roman" w:eastAsia="仿宋_GB2312" w:cs="Times New Roman"/>
                <w:color w:val="auto"/>
                <w:spacing w:val="0"/>
                <w:kern w:val="0"/>
                <w:sz w:val="28"/>
                <w:szCs w:val="28"/>
              </w:rPr>
              <w:t>系统整合区域资源要素，从整体上优化环境、美化景观、优化文化和旅游服务，推动景点景区内外协调发展，实现从景点旅游到全域旅游的转变。</w:t>
            </w:r>
          </w:p>
          <w:p w14:paraId="68638675">
            <w:pPr>
              <w:keepNext/>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kern w:val="0"/>
                <w:sz w:val="28"/>
                <w:szCs w:val="28"/>
              </w:rPr>
              <w:t>精品景区建设行动。</w:t>
            </w:r>
            <w:r>
              <w:rPr>
                <w:rFonts w:hint="default" w:ascii="Times New Roman" w:hAnsi="Times New Roman" w:eastAsia="仿宋_GB2312" w:cs="Times New Roman"/>
                <w:color w:val="auto"/>
                <w:spacing w:val="0"/>
                <w:kern w:val="0"/>
                <w:sz w:val="28"/>
                <w:szCs w:val="28"/>
              </w:rPr>
              <w:t>争创磨盘山AAAAA级景区、哀牢山AAAA级景区、桔荔庄园AAA级景区、禇橙庄园AAA级景区、琴淮庄园AAA级景区、陇西世族庄园AAA级景区、白马瀑布—大帽耳山AA级景区等，扩大A级景区规模与数量。</w:t>
            </w:r>
            <w:r>
              <w:rPr>
                <w:rFonts w:hint="default" w:ascii="Times New Roman" w:hAnsi="Times New Roman" w:eastAsia="仿宋_GB2312" w:cs="Times New Roman"/>
                <w:color w:val="auto"/>
                <w:spacing w:val="0"/>
                <w:kern w:val="0"/>
                <w:sz w:val="28"/>
                <w:szCs w:val="28"/>
                <w:lang w:eastAsia="zh-CN"/>
              </w:rPr>
              <w:t>加快推进</w:t>
            </w:r>
            <w:r>
              <w:rPr>
                <w:rFonts w:hint="default" w:ascii="Times New Roman" w:hAnsi="Times New Roman" w:eastAsia="仿宋_GB2312" w:cs="Times New Roman"/>
                <w:color w:val="auto"/>
                <w:spacing w:val="0"/>
                <w:kern w:val="0"/>
                <w:sz w:val="28"/>
                <w:szCs w:val="28"/>
              </w:rPr>
              <w:t>戛洒欢乐水世界、外滩温泉康养小镇</w:t>
            </w:r>
            <w:r>
              <w:rPr>
                <w:rFonts w:hint="default" w:ascii="Times New Roman" w:hAnsi="Times New Roman" w:eastAsia="仿宋_GB2312" w:cs="Times New Roman"/>
                <w:color w:val="auto"/>
                <w:spacing w:val="0"/>
                <w:kern w:val="0"/>
                <w:sz w:val="28"/>
                <w:szCs w:val="28"/>
                <w:lang w:eastAsia="zh-CN"/>
              </w:rPr>
              <w:t>等重点项目，</w:t>
            </w:r>
            <w:r>
              <w:rPr>
                <w:rFonts w:hint="default" w:ascii="Times New Roman" w:hAnsi="Times New Roman" w:eastAsia="仿宋_GB2312" w:cs="Times New Roman"/>
                <w:color w:val="auto"/>
                <w:spacing w:val="0"/>
                <w:kern w:val="0"/>
                <w:sz w:val="28"/>
                <w:szCs w:val="28"/>
              </w:rPr>
              <w:t>打造古城啊波左，平甸磨皮村、宁河村，戛洒耀南村、平寨村，漠沙大</w:t>
            </w:r>
            <w:r>
              <w:rPr>
                <w:rFonts w:hint="default" w:ascii="Times New Roman" w:hAnsi="Times New Roman" w:eastAsia="仿宋_GB2312" w:cs="Times New Roman"/>
                <w:color w:val="auto"/>
                <w:spacing w:val="0"/>
                <w:kern w:val="0"/>
                <w:sz w:val="28"/>
                <w:szCs w:val="28"/>
                <w:lang w:eastAsia="zh-CN"/>
              </w:rPr>
              <w:t>沐</w:t>
            </w:r>
            <w:r>
              <w:rPr>
                <w:rFonts w:hint="default" w:ascii="Times New Roman" w:hAnsi="Times New Roman" w:eastAsia="仿宋_GB2312" w:cs="Times New Roman"/>
                <w:color w:val="auto"/>
                <w:spacing w:val="0"/>
                <w:kern w:val="0"/>
                <w:sz w:val="28"/>
                <w:szCs w:val="28"/>
              </w:rPr>
              <w:t>浴村、南碱村、南薅村等旅游示范村，构建新平特色乡村旅游发展新模式。</w:t>
            </w:r>
          </w:p>
          <w:p w14:paraId="30589E99">
            <w:pPr>
              <w:keepNext/>
              <w:pageBreakBefore w:val="0"/>
              <w:widowControl w:val="0"/>
              <w:kinsoku/>
              <w:wordWrap/>
              <w:overflowPunct/>
              <w:topLinePunct w:val="0"/>
              <w:autoSpaceDN/>
              <w:bidi w:val="0"/>
              <w:spacing w:line="500" w:lineRule="exact"/>
              <w:ind w:left="0" w:leftChars="0" w:firstLine="606" w:firstLineChars="0"/>
              <w:rPr>
                <w:rFonts w:hint="default" w:ascii="Times New Roman" w:hAnsi="Times New Roman" w:eastAsia="仿宋_GB2312" w:cs="Times New Roman"/>
                <w:color w:val="auto"/>
                <w:spacing w:val="0"/>
                <w:sz w:val="28"/>
                <w:szCs w:val="28"/>
                <w:lang w:eastAsia="zh-CN"/>
              </w:rPr>
            </w:pPr>
            <w:r>
              <w:rPr>
                <w:rFonts w:hint="default" w:ascii="Times New Roman" w:hAnsi="Times New Roman" w:eastAsia="仿宋_GB2312" w:cs="Times New Roman"/>
                <w:b/>
                <w:bCs/>
                <w:color w:val="auto"/>
                <w:spacing w:val="0"/>
                <w:kern w:val="0"/>
                <w:sz w:val="28"/>
                <w:szCs w:val="28"/>
              </w:rPr>
              <w:t>旅游服务质量提升行动。</w:t>
            </w:r>
            <w:r>
              <w:rPr>
                <w:rFonts w:hint="default" w:ascii="Times New Roman" w:hAnsi="Times New Roman" w:eastAsia="仿宋_GB2312" w:cs="Times New Roman"/>
                <w:color w:val="auto"/>
                <w:spacing w:val="0"/>
                <w:kern w:val="0"/>
                <w:sz w:val="28"/>
                <w:szCs w:val="28"/>
              </w:rPr>
              <w:t>依据标准完善提升星级饭店厕所；在景区景点、重点旅游村镇新建旅游厕所20座，改建10座；指导非星级饭店依据标准完善</w:t>
            </w:r>
            <w:r>
              <w:rPr>
                <w:rFonts w:hint="default" w:ascii="Times New Roman" w:hAnsi="Times New Roman" w:eastAsia="仿宋_GB2312" w:cs="Times New Roman"/>
                <w:b w:val="0"/>
                <w:bCs w:val="0"/>
                <w:color w:val="auto"/>
                <w:spacing w:val="0"/>
                <w:kern w:val="0"/>
                <w:sz w:val="28"/>
                <w:szCs w:val="28"/>
              </w:rPr>
              <w:t>提升</w:t>
            </w:r>
            <w:r>
              <w:rPr>
                <w:rFonts w:hint="default" w:ascii="Times New Roman" w:hAnsi="Times New Roman" w:eastAsia="仿宋_GB2312" w:cs="Times New Roman"/>
                <w:color w:val="auto"/>
                <w:spacing w:val="0"/>
                <w:kern w:val="0"/>
                <w:sz w:val="28"/>
                <w:szCs w:val="28"/>
              </w:rPr>
              <w:t>厕所建设。推进五星级酒店</w:t>
            </w:r>
            <w:r>
              <w:rPr>
                <w:rFonts w:hint="default" w:ascii="Times New Roman" w:hAnsi="Times New Roman" w:eastAsia="仿宋_GB2312" w:cs="Times New Roman"/>
                <w:color w:val="auto"/>
                <w:spacing w:val="0"/>
                <w:kern w:val="0"/>
                <w:sz w:val="28"/>
                <w:szCs w:val="28"/>
                <w:lang w:eastAsia="zh-CN"/>
              </w:rPr>
              <w:t>和花腰田间、云上峰景等半山酒店项目建设，</w:t>
            </w:r>
            <w:r>
              <w:rPr>
                <w:rFonts w:hint="default" w:ascii="Times New Roman" w:hAnsi="Times New Roman" w:eastAsia="仿宋_GB2312" w:cs="Times New Roman"/>
                <w:color w:val="auto"/>
                <w:spacing w:val="0"/>
                <w:kern w:val="0"/>
                <w:sz w:val="28"/>
                <w:szCs w:val="28"/>
              </w:rPr>
              <w:t>新创建2个以上</w:t>
            </w:r>
            <w:r>
              <w:rPr>
                <w:rFonts w:hint="default" w:ascii="Times New Roman" w:hAnsi="Times New Roman" w:eastAsia="仿宋_GB2312" w:cs="Times New Roman"/>
                <w:color w:val="auto"/>
                <w:spacing w:val="0"/>
                <w:kern w:val="0"/>
                <w:sz w:val="28"/>
                <w:szCs w:val="28"/>
                <w:lang w:eastAsia="zh-CN"/>
              </w:rPr>
              <w:t>酒店</w:t>
            </w:r>
            <w:r>
              <w:rPr>
                <w:rFonts w:hint="default" w:ascii="Times New Roman" w:hAnsi="Times New Roman" w:eastAsia="仿宋_GB2312" w:cs="Times New Roman"/>
                <w:color w:val="auto"/>
                <w:spacing w:val="0"/>
                <w:kern w:val="0"/>
                <w:sz w:val="28"/>
                <w:szCs w:val="28"/>
              </w:rPr>
              <w:t>和民俗客栈。推进智慧文化和旅游系统建设</w:t>
            </w:r>
            <w:r>
              <w:rPr>
                <w:rFonts w:hint="eastAsia" w:eastAsia="仿宋_GB2312" w:cs="Times New Roman"/>
                <w:color w:val="auto"/>
                <w:spacing w:val="0"/>
                <w:kern w:val="0"/>
                <w:sz w:val="28"/>
                <w:szCs w:val="28"/>
                <w:lang w:eastAsia="zh-CN"/>
              </w:rPr>
              <w:t>。</w:t>
            </w:r>
            <w:r>
              <w:rPr>
                <w:rFonts w:hint="eastAsia" w:eastAsia="仿宋_GB2312" w:cs="Times New Roman"/>
                <w:color w:val="auto"/>
                <w:spacing w:val="0"/>
                <w:kern w:val="0"/>
                <w:sz w:val="28"/>
                <w:szCs w:val="28"/>
                <w:lang w:val="en-US" w:eastAsia="zh-CN"/>
              </w:rPr>
              <w:t>到</w:t>
            </w:r>
            <w:r>
              <w:rPr>
                <w:rFonts w:hint="default" w:ascii="Times New Roman" w:hAnsi="Times New Roman" w:eastAsia="仿宋_GB2312" w:cs="Times New Roman"/>
                <w:color w:val="auto"/>
                <w:spacing w:val="0"/>
                <w:kern w:val="0"/>
                <w:sz w:val="28"/>
                <w:szCs w:val="28"/>
              </w:rPr>
              <w:t>2025年，全县旅游星级饭店、精品酒店、精品民</w:t>
            </w:r>
            <w:r>
              <w:rPr>
                <w:rFonts w:hint="default" w:ascii="Times New Roman" w:hAnsi="Times New Roman" w:eastAsia="仿宋_GB2312" w:cs="Times New Roman"/>
                <w:color w:val="auto"/>
                <w:spacing w:val="0"/>
                <w:kern w:val="0"/>
                <w:sz w:val="28"/>
                <w:szCs w:val="28"/>
                <w:lang w:val="en-US" w:eastAsia="zh-CN"/>
              </w:rPr>
              <w:t>宿</w:t>
            </w:r>
            <w:r>
              <w:rPr>
                <w:rFonts w:hint="default" w:ascii="Times New Roman" w:hAnsi="Times New Roman" w:eastAsia="仿宋_GB2312" w:cs="Times New Roman"/>
                <w:color w:val="auto"/>
                <w:spacing w:val="0"/>
                <w:kern w:val="0"/>
                <w:sz w:val="28"/>
                <w:szCs w:val="28"/>
              </w:rPr>
              <w:t>实现免费无线WIFI全覆盖。</w:t>
            </w:r>
          </w:p>
          <w:p w14:paraId="45AEFBE4">
            <w:pPr>
              <w:keepNext/>
              <w:keepLines w:val="0"/>
              <w:pageBreakBefore w:val="0"/>
              <w:widowControl w:val="0"/>
              <w:kinsoku/>
              <w:wordWrap/>
              <w:overflowPunct/>
              <w:topLinePunct w:val="0"/>
              <w:autoSpaceDE/>
              <w:autoSpaceDN/>
              <w:bidi w:val="0"/>
              <w:adjustRightInd/>
              <w:snapToGrid/>
              <w:spacing w:line="500" w:lineRule="exact"/>
              <w:ind w:firstLine="562"/>
              <w:textAlignment w:val="auto"/>
              <w:rPr>
                <w:rFonts w:hint="default" w:ascii="宋体" w:hAnsi="宋体" w:eastAsia="宋体" w:cs="宋体"/>
                <w:color w:val="auto"/>
                <w:spacing w:val="0"/>
                <w:kern w:val="0"/>
                <w:sz w:val="28"/>
                <w:szCs w:val="28"/>
                <w:lang w:eastAsia="zh-CN"/>
              </w:rPr>
            </w:pPr>
            <w:r>
              <w:rPr>
                <w:rFonts w:hint="default" w:ascii="Times New Roman" w:hAnsi="Times New Roman" w:eastAsia="仿宋_GB2312" w:cs="Times New Roman"/>
                <w:b/>
                <w:bCs/>
                <w:color w:val="auto"/>
                <w:spacing w:val="0"/>
                <w:kern w:val="0"/>
                <w:sz w:val="28"/>
                <w:szCs w:val="28"/>
              </w:rPr>
              <w:t>健康养生基地建设</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推进运动、健康、养生、旅游相互融合的养生旅游资源开发，建设一批养生康复示范项目，打造一批特色鲜明、配套完善的健康养生基地</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到2025年</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建成磨盘山、古</w:t>
            </w:r>
            <w:r>
              <w:rPr>
                <w:rFonts w:hint="default" w:ascii="Times New Roman" w:hAnsi="Times New Roman" w:eastAsia="仿宋_GB2312" w:cs="Times New Roman"/>
                <w:color w:val="auto"/>
                <w:spacing w:val="0"/>
                <w:kern w:val="0"/>
                <w:sz w:val="28"/>
                <w:szCs w:val="28"/>
                <w:lang w:eastAsia="zh-CN"/>
              </w:rPr>
              <w:t>州</w:t>
            </w:r>
            <w:r>
              <w:rPr>
                <w:rFonts w:hint="default" w:ascii="Times New Roman" w:hAnsi="Times New Roman" w:eastAsia="仿宋_GB2312" w:cs="Times New Roman"/>
                <w:color w:val="auto"/>
                <w:spacing w:val="0"/>
                <w:kern w:val="0"/>
                <w:sz w:val="28"/>
                <w:szCs w:val="28"/>
              </w:rPr>
              <w:t>野林、戛洒、哀牢山4个健康医养旅游区。</w:t>
            </w:r>
          </w:p>
        </w:tc>
      </w:tr>
    </w:tbl>
    <w:p w14:paraId="0BC787F0">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56" w:name="_Toc18960"/>
      <w:bookmarkStart w:id="57" w:name="_Toc13473"/>
      <w:r>
        <w:rPr>
          <w:rFonts w:hint="eastAsia" w:ascii="黑体" w:hAnsi="黑体" w:eastAsia="黑体" w:cs="黑体"/>
          <w:b/>
          <w:bCs w:val="0"/>
          <w:color w:val="auto"/>
          <w:spacing w:val="0"/>
          <w:szCs w:val="32"/>
          <w:lang w:val="en-US" w:eastAsia="zh-CN"/>
        </w:rPr>
        <w:t>第四节  加快发展现代服务业</w:t>
      </w:r>
      <w:bookmarkEnd w:id="56"/>
      <w:bookmarkEnd w:id="57"/>
    </w:p>
    <w:p w14:paraId="27C8209A">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rPr>
        <w:t>加快推动现代物流、电子商务发展，积极谋划布局数字经济产业，着力培育新业态，构建现代服务业</w:t>
      </w:r>
      <w:r>
        <w:rPr>
          <w:rFonts w:hint="default" w:ascii="Times New Roman" w:hAnsi="Times New Roman" w:eastAsia="仿宋_GB2312" w:cs="Times New Roman"/>
          <w:color w:val="auto"/>
          <w:spacing w:val="0"/>
          <w:szCs w:val="24"/>
          <w:lang w:eastAsia="zh-CN"/>
        </w:rPr>
        <w:t>专业化</w:t>
      </w:r>
      <w:r>
        <w:rPr>
          <w:rFonts w:hint="default" w:ascii="Times New Roman" w:hAnsi="Times New Roman" w:eastAsia="仿宋_GB2312" w:cs="Times New Roman"/>
          <w:color w:val="auto"/>
          <w:spacing w:val="0"/>
          <w:szCs w:val="24"/>
        </w:rPr>
        <w:t>发展新格局。</w:t>
      </w:r>
      <w:r>
        <w:rPr>
          <w:rFonts w:hint="eastAsia" w:eastAsia="仿宋_GB2312" w:cs="Times New Roman"/>
          <w:color w:val="auto"/>
          <w:spacing w:val="0"/>
          <w:szCs w:val="24"/>
          <w:lang w:val="en-US" w:eastAsia="zh-CN"/>
        </w:rPr>
        <w:t>到</w:t>
      </w:r>
      <w:r>
        <w:rPr>
          <w:rFonts w:hint="default" w:ascii="Times New Roman" w:hAnsi="Times New Roman" w:eastAsia="仿宋_GB2312" w:cs="Times New Roman"/>
          <w:color w:val="auto"/>
          <w:spacing w:val="0"/>
          <w:szCs w:val="24"/>
        </w:rPr>
        <w:t>2025年，全县服务业增加值达到140亿元以上</w:t>
      </w:r>
      <w:r>
        <w:rPr>
          <w:rFonts w:hint="default" w:ascii="Times New Roman" w:hAnsi="Times New Roman" w:eastAsia="仿宋_GB2312" w:cs="Times New Roman"/>
          <w:color w:val="auto"/>
          <w:spacing w:val="0"/>
          <w:szCs w:val="24"/>
          <w:lang w:eastAsia="zh-CN"/>
        </w:rPr>
        <w:t>。</w:t>
      </w:r>
    </w:p>
    <w:p w14:paraId="09C0ED97">
      <w:pPr>
        <w:keepNext/>
        <w:keepLines/>
        <w:pageBreakBefore w:val="0"/>
        <w:widowControl w:val="0"/>
        <w:tabs>
          <w:tab w:val="center" w:pos="4156"/>
        </w:tabs>
        <w:kinsoku/>
        <w:wordWrap/>
        <w:overflowPunct/>
        <w:topLinePunct w:val="0"/>
        <w:autoSpaceDN/>
        <w:bidi w:val="0"/>
        <w:spacing w:before="60" w:after="60"/>
        <w:ind w:firstLine="687"/>
        <w:outlineLvl w:val="2"/>
        <w:rPr>
          <w:rFonts w:hint="default" w:ascii="Times New Roman" w:hAnsi="Times New Roman" w:eastAsia="方正楷体_GBK" w:cs="Times New Roman"/>
          <w:b/>
          <w:color w:val="auto"/>
          <w:spacing w:val="0"/>
          <w:szCs w:val="22"/>
          <w:lang w:val="en-US" w:eastAsia="zh-CN"/>
        </w:rPr>
      </w:pPr>
      <w:r>
        <w:rPr>
          <w:rFonts w:hint="eastAsia" w:ascii="黑体" w:hAnsi="黑体" w:eastAsia="黑体" w:cs="黑体"/>
          <w:b w:val="0"/>
          <w:bCs/>
          <w:color w:val="auto"/>
          <w:spacing w:val="0"/>
          <w:szCs w:val="22"/>
          <w:lang w:val="en-US" w:eastAsia="zh-CN"/>
        </w:rPr>
        <w:t>一、推动现代物流发展</w:t>
      </w:r>
    </w:p>
    <w:p w14:paraId="5739F6EC">
      <w:pPr>
        <w:pageBreakBefore w:val="0"/>
        <w:widowControl w:val="0"/>
        <w:kinsoku/>
        <w:wordWrap/>
        <w:overflowPunct/>
        <w:topLinePunct w:val="0"/>
        <w:autoSpaceDN/>
        <w:bidi w:val="0"/>
        <w:rPr>
          <w:rFonts w:hint="default" w:ascii="Times New Roman" w:hAnsi="Times New Roman" w:eastAsia="仿宋_GB2312" w:cs="Times New Roman"/>
          <w:color w:val="auto"/>
          <w:spacing w:val="0"/>
          <w:lang w:val="en-US" w:eastAsia="zh-CN"/>
        </w:rPr>
      </w:pPr>
      <w:r>
        <w:rPr>
          <w:rFonts w:hint="default" w:ascii="Times New Roman" w:hAnsi="Times New Roman" w:eastAsia="仿宋_GB2312" w:cs="Times New Roman"/>
          <w:color w:val="auto"/>
          <w:spacing w:val="0"/>
          <w:lang w:val="en-US" w:eastAsia="zh-CN"/>
        </w:rPr>
        <w:t>抢抓昆玉</w:t>
      </w:r>
      <w:r>
        <w:rPr>
          <w:rFonts w:hint="eastAsia" w:eastAsia="仿宋_GB2312" w:cs="Times New Roman"/>
          <w:color w:val="auto"/>
          <w:spacing w:val="0"/>
          <w:lang w:val="en-US" w:eastAsia="zh-CN"/>
        </w:rPr>
        <w:t>一体化</w:t>
      </w:r>
      <w:r>
        <w:rPr>
          <w:rFonts w:hint="default" w:ascii="Times New Roman" w:hAnsi="Times New Roman" w:eastAsia="仿宋_GB2312" w:cs="Times New Roman"/>
          <w:color w:val="auto"/>
          <w:spacing w:val="0"/>
          <w:lang w:val="en-US" w:eastAsia="zh-CN"/>
        </w:rPr>
        <w:t>发展趋势及滇中经济圈发展优势，发挥交通区位优势，合力推进现代物流基地建设，提升物流集聚平台层次，重点推动新平县国际商贸物流园区、大开门大型物流仓储中心</w:t>
      </w:r>
      <w:r>
        <w:rPr>
          <w:rFonts w:hint="default" w:ascii="Times New Roman" w:hAnsi="Times New Roman" w:eastAsia="仿宋_GB2312" w:cs="Times New Roman"/>
          <w:color w:val="auto"/>
          <w:spacing w:val="0"/>
        </w:rPr>
        <w:t>、戛洒南物流中心、漠沙北物流中心建设，打造区域性商贸物流中心。</w:t>
      </w:r>
      <w:r>
        <w:rPr>
          <w:rFonts w:hint="default" w:ascii="Times New Roman" w:hAnsi="Times New Roman" w:eastAsia="仿宋_GB2312" w:cs="Times New Roman"/>
          <w:color w:val="auto"/>
          <w:spacing w:val="0"/>
          <w:lang w:val="en-US" w:eastAsia="zh-CN"/>
        </w:rPr>
        <w:t>推进云南大红山管道有限公司</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玉溪城市管道信息服务共享和全域管道数字化工程</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建设项目。加大重点物流项目跟踪协调服务力度，争取项目落地，推动现代物流建设。在运输类、站场类和综合类业务领域，通过分离发展、引进移植、整合提升等途径，建成一批具有竞争力的现代物流龙头企业，推动传统运输企业向现代物流企业转型，力争</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十四五</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期间新增3户以上现代物流企业。</w:t>
      </w:r>
      <w:r>
        <w:rPr>
          <w:rFonts w:hint="eastAsia" w:eastAsia="仿宋_GB2312" w:cs="Times New Roman"/>
          <w:color w:val="auto"/>
          <w:spacing w:val="0"/>
          <w:lang w:val="en-US" w:eastAsia="zh-CN"/>
        </w:rPr>
        <w:t>到</w:t>
      </w:r>
      <w:r>
        <w:rPr>
          <w:rFonts w:hint="default" w:ascii="Times New Roman" w:hAnsi="Times New Roman" w:eastAsia="仿宋_GB2312" w:cs="Times New Roman"/>
          <w:color w:val="auto"/>
          <w:spacing w:val="0"/>
          <w:lang w:val="en-US" w:eastAsia="zh-CN"/>
        </w:rPr>
        <w:t>2025年，实现现代商贸物流总产值200亿元以上。</w:t>
      </w:r>
    </w:p>
    <w:p w14:paraId="147DD263">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二、推动电子商务发展</w:t>
      </w:r>
    </w:p>
    <w:p w14:paraId="0DB9B57F">
      <w:pPr>
        <w:pageBreakBefore w:val="0"/>
        <w:widowControl w:val="0"/>
        <w:kinsoku/>
        <w:wordWrap/>
        <w:overflowPunct/>
        <w:topLinePunct w:val="0"/>
        <w:autoSpaceDN/>
        <w:bidi w:val="0"/>
        <w:rPr>
          <w:rFonts w:hint="default" w:ascii="Times New Roman" w:hAnsi="Times New Roman" w:eastAsia="仿宋_GB2312" w:cs="Times New Roman"/>
          <w:color w:val="auto"/>
          <w:spacing w:val="0"/>
          <w:lang w:val="en-US" w:eastAsia="zh-CN"/>
        </w:rPr>
      </w:pPr>
      <w:r>
        <w:rPr>
          <w:rFonts w:hint="default" w:ascii="Times New Roman" w:hAnsi="Times New Roman" w:eastAsia="仿宋_GB2312" w:cs="Times New Roman"/>
          <w:color w:val="auto"/>
          <w:spacing w:val="0"/>
          <w:lang w:val="en-US" w:eastAsia="zh-CN"/>
        </w:rPr>
        <w:t>加快电子商务发展，引导网络零售健康快速发展，优化供应链管理，进一步拓展网络零售服务平台。创新服务方式，提升客户消费体验，完善以县、乡、村三级市场为基础的农资、日用消费品、农副产品流通网络，推进电子商务进农村示范县建设。整合现有资源，开发建设线上电子商务公共服务平台，建设1个县级电子商务公共服务中心。通过整合升级、新建等方式，建设10个乡镇电子商务服务站，实现乡镇（街道）级电子商务服务站全覆盖，建设村级电子商务服务点97个，打通农村电商应用</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最后一公里</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和</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最初一公里</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。加大电子商务平台企业培育力度，到2025年，力争培育销售额2000万以上供应链企业2个以上，销售额1000万元的电商企业2个以上，销售额100万以上农村合作社3个以上；电子商务交易总额达到50亿元以上。</w:t>
      </w:r>
    </w:p>
    <w:p w14:paraId="4037AAD2">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三、加快发展数字经济</w:t>
      </w:r>
    </w:p>
    <w:p w14:paraId="35AB2BE8">
      <w:pPr>
        <w:pageBreakBefore w:val="0"/>
        <w:widowControl w:val="0"/>
        <w:kinsoku/>
        <w:wordWrap/>
        <w:overflowPunct/>
        <w:topLinePunct w:val="0"/>
        <w:autoSpaceDN/>
        <w:bidi w:val="0"/>
        <w:rPr>
          <w:rFonts w:hint="default" w:ascii="Times New Roman" w:hAnsi="Times New Roman" w:eastAsia="仿宋_GB2312" w:cs="Times New Roman"/>
          <w:color w:val="auto"/>
          <w:spacing w:val="0"/>
          <w:lang w:val="en-US" w:eastAsia="zh-CN"/>
        </w:rPr>
      </w:pPr>
      <w:r>
        <w:rPr>
          <w:rFonts w:hint="eastAsia" w:eastAsia="仿宋_GB2312" w:cs="Times New Roman"/>
          <w:color w:val="auto"/>
          <w:spacing w:val="0"/>
          <w:lang w:val="en-US" w:eastAsia="zh-CN"/>
        </w:rPr>
        <w:t>坚持走“以资源引企业、以市场换产业、以应用促发展”的路子，以融合应用为牵引，</w:t>
      </w:r>
      <w:r>
        <w:rPr>
          <w:rFonts w:hint="default" w:ascii="Times New Roman" w:hAnsi="Times New Roman" w:eastAsia="仿宋_GB2312" w:cs="Times New Roman"/>
          <w:color w:val="auto"/>
          <w:spacing w:val="0"/>
          <w:lang w:val="en-US" w:eastAsia="zh-CN"/>
        </w:rPr>
        <w:t>以5G抢先布局，区块链技术深度应用为主，加强新一代数字经济基础设施建设。推进</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产业数字化</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，大力发展智慧农业，推进农业</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产购储加销</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各环节数字化应用，推广使用云南省区块链</w:t>
      </w:r>
      <w:r>
        <w:rPr>
          <w:rFonts w:hint="eastAsia" w:eastAsia="仿宋_GB2312" w:cs="Times New Roman"/>
          <w:color w:val="auto"/>
          <w:spacing w:val="0"/>
          <w:lang w:val="en-US" w:eastAsia="zh-CN"/>
        </w:rPr>
        <w:t>溯源</w:t>
      </w:r>
      <w:r>
        <w:rPr>
          <w:rFonts w:hint="default" w:ascii="Times New Roman" w:hAnsi="Times New Roman" w:eastAsia="仿宋_GB2312" w:cs="Times New Roman"/>
          <w:color w:val="auto"/>
          <w:spacing w:val="0"/>
          <w:lang w:val="en-US" w:eastAsia="zh-CN"/>
        </w:rPr>
        <w:t>商品码</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孔雀码</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；依托工业互联网、智能制造工厂，推动企业</w:t>
      </w:r>
      <w:r>
        <w:rPr>
          <w:rFonts w:hint="eastAsia" w:eastAsia="仿宋_GB2312" w:cs="Times New Roman"/>
          <w:color w:val="auto"/>
          <w:spacing w:val="0"/>
          <w:lang w:val="en-US" w:eastAsia="zh-CN"/>
        </w:rPr>
        <w:t>“上云用数赋智”</w:t>
      </w:r>
      <w:r>
        <w:rPr>
          <w:rFonts w:hint="default" w:ascii="Times New Roman" w:hAnsi="Times New Roman" w:eastAsia="仿宋_GB2312" w:cs="Times New Roman"/>
          <w:color w:val="auto"/>
          <w:spacing w:val="0"/>
          <w:lang w:val="en-US" w:eastAsia="zh-CN"/>
        </w:rPr>
        <w:t>，加快粮食、水果、蔬菜、旅游、医疗等产业数字化生产线建设。深化</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一部手机</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刷脸就行</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亮码扫码</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和区块链等数字技术应用，聚焦旅游、健康、养老、教育、餐饮、娱乐等领域，促进数字经济和文商旅一体化融合，提升治理数字化水平。</w:t>
      </w:r>
    </w:p>
    <w:p w14:paraId="5A52D858">
      <w:pPr>
        <w:pageBreakBefore w:val="0"/>
        <w:widowControl w:val="0"/>
        <w:kinsoku/>
        <w:wordWrap/>
        <w:overflowPunct/>
        <w:topLinePunct w:val="0"/>
        <w:autoSpaceDN/>
        <w:bidi w:val="0"/>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四、着力培育新业态</w:t>
      </w:r>
    </w:p>
    <w:p w14:paraId="5E9DE334">
      <w:pPr>
        <w:pageBreakBefore w:val="0"/>
        <w:widowControl w:val="0"/>
        <w:kinsoku/>
        <w:wordWrap/>
        <w:overflowPunct/>
        <w:topLinePunct w:val="0"/>
        <w:autoSpaceDN/>
        <w:bidi w:val="0"/>
        <w:rPr>
          <w:rFonts w:hint="default" w:ascii="Times New Roman" w:hAnsi="Times New Roman" w:eastAsia="仿宋_GB2312" w:cs="Times New Roman"/>
          <w:color w:val="auto"/>
          <w:spacing w:val="0"/>
          <w:lang w:val="en-US" w:eastAsia="zh-CN"/>
        </w:rPr>
      </w:pPr>
      <w:r>
        <w:rPr>
          <w:rFonts w:hint="default" w:ascii="Times New Roman" w:hAnsi="Times New Roman" w:eastAsia="仿宋_GB2312" w:cs="Times New Roman"/>
          <w:color w:val="auto"/>
          <w:spacing w:val="0"/>
          <w:szCs w:val="24"/>
          <w:lang w:val="en-US" w:eastAsia="zh-CN"/>
        </w:rPr>
        <w:t>积极发展餐饮、住宿、科技、金融、信息、批发零售等服务业，重视培育后疫情时代服务业新业态新模式。充分依托花腰傣民族品牌，壮大发展戛洒秧箩</w:t>
      </w:r>
      <w:r>
        <w:rPr>
          <w:rFonts w:hint="default" w:ascii="Times New Roman" w:hAnsi="Times New Roman" w:eastAsia="仿宋_GB2312" w:cs="Times New Roman"/>
          <w:color w:val="auto"/>
          <w:spacing w:val="0"/>
          <w:szCs w:val="24"/>
          <w:highlight w:val="none"/>
          <w:lang w:val="en-US" w:eastAsia="zh-CN"/>
        </w:rPr>
        <w:t>庭苑</w:t>
      </w:r>
      <w:r>
        <w:rPr>
          <w:rFonts w:hint="default" w:ascii="Times New Roman" w:hAnsi="Times New Roman" w:eastAsia="仿宋_GB2312" w:cs="Times New Roman"/>
          <w:color w:val="auto"/>
          <w:spacing w:val="0"/>
          <w:szCs w:val="24"/>
          <w:lang w:val="en-US" w:eastAsia="zh-CN"/>
        </w:rPr>
        <w:t>及傣苑辖区的</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风情花腰傣夜市步行街</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丰富产品和服务多样性，搞活搞好夜间商业市场。加大对传统产业、传统企业的智能化改造，稳步发展房地产、金融服务等服务业，促进餐饮业、酒店业、娱乐业、文化旅游业以及教育、医疗、养老等机构发展在线服务，提升服务效能，壮大在线经济。深入挖掘农村消费市场，支持电商、快递进农村，不断激发农村消费活力。</w:t>
      </w:r>
    </w:p>
    <w:tbl>
      <w:tblPr>
        <w:tblStyle w:val="3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81DB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6D3EE90D">
            <w:pPr>
              <w:keepNext/>
              <w:keepLines w:val="0"/>
              <w:pageBreakBefore w:val="0"/>
              <w:widowControl w:val="0"/>
              <w:kinsoku/>
              <w:wordWrap/>
              <w:overflowPunct/>
              <w:topLinePunct w:val="0"/>
              <w:autoSpaceDE/>
              <w:autoSpaceDN/>
              <w:bidi w:val="0"/>
              <w:adjustRightInd/>
              <w:snapToGrid/>
              <w:spacing w:line="500" w:lineRule="exact"/>
              <w:ind w:firstLine="606"/>
              <w:jc w:val="center"/>
              <w:textAlignment w:val="auto"/>
              <w:rPr>
                <w:rFonts w:hint="default" w:ascii="宋体" w:hAnsi="宋体" w:eastAsia="宋体" w:cs="宋体"/>
                <w:color w:val="auto"/>
                <w:spacing w:val="0"/>
                <w:kern w:val="0"/>
                <w:sz w:val="28"/>
                <w:szCs w:val="28"/>
                <w:lang w:eastAsia="zh-CN" w:bidi="zh-CN"/>
              </w:rPr>
            </w:pPr>
            <w:r>
              <w:rPr>
                <w:rFonts w:hint="default" w:ascii="Times New Roman" w:hAnsi="Times New Roman" w:eastAsia="仿宋_GB2312" w:cs="Times New Roman"/>
                <w:b/>
                <w:bCs/>
                <w:color w:val="auto"/>
                <w:spacing w:val="0"/>
                <w:kern w:val="0"/>
                <w:sz w:val="28"/>
                <w:szCs w:val="28"/>
                <w:lang w:val="zh-CN"/>
              </w:rPr>
              <w:t>专栏</w:t>
            </w:r>
            <w:r>
              <w:rPr>
                <w:rFonts w:hint="default" w:ascii="Times New Roman" w:hAnsi="Times New Roman" w:eastAsia="仿宋_GB2312" w:cs="Times New Roman"/>
                <w:b/>
                <w:bCs/>
                <w:color w:val="auto"/>
                <w:spacing w:val="0"/>
                <w:kern w:val="0"/>
                <w:sz w:val="28"/>
                <w:szCs w:val="28"/>
                <w:lang w:val="en-US" w:eastAsia="zh-CN"/>
              </w:rPr>
              <w:t>7</w:t>
            </w:r>
            <w:r>
              <w:rPr>
                <w:rFonts w:hint="default" w:ascii="Times New Roman" w:hAnsi="Times New Roman" w:eastAsia="仿宋_GB2312" w:cs="Times New Roman"/>
                <w:b/>
                <w:bCs/>
                <w:color w:val="auto"/>
                <w:spacing w:val="0"/>
                <w:kern w:val="0"/>
                <w:sz w:val="28"/>
                <w:szCs w:val="28"/>
              </w:rPr>
              <w:t>产业高质量发展重点工程</w:t>
            </w:r>
          </w:p>
        </w:tc>
      </w:tr>
      <w:tr w14:paraId="2763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456F0B44">
            <w:pPr>
              <w:keepNext/>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lang w:val="en-US" w:eastAsia="zh-CN"/>
              </w:rPr>
              <w:t>现代物流体系建设</w:t>
            </w:r>
            <w:r>
              <w:rPr>
                <w:rFonts w:hint="default" w:ascii="Times New Roman" w:hAnsi="Times New Roman" w:eastAsia="仿宋_GB2312" w:cs="Times New Roman"/>
                <w:b/>
                <w:bCs/>
                <w:color w:val="auto"/>
                <w:spacing w:val="0"/>
                <w:kern w:val="0"/>
                <w:sz w:val="28"/>
                <w:szCs w:val="28"/>
              </w:rPr>
              <w:t>。</w:t>
            </w:r>
            <w:r>
              <w:rPr>
                <w:rFonts w:hint="default" w:ascii="Times New Roman" w:hAnsi="Times New Roman" w:eastAsia="仿宋_GB2312" w:cs="Times New Roman"/>
                <w:color w:val="auto"/>
                <w:spacing w:val="0"/>
                <w:kern w:val="0"/>
                <w:sz w:val="28"/>
                <w:szCs w:val="28"/>
              </w:rPr>
              <w:t>推进</w:t>
            </w:r>
            <w:r>
              <w:rPr>
                <w:rFonts w:hint="default" w:ascii="Times New Roman" w:hAnsi="Times New Roman" w:eastAsia="仿宋_GB2312" w:cs="Times New Roman"/>
                <w:color w:val="auto"/>
                <w:spacing w:val="0"/>
                <w:kern w:val="0"/>
                <w:sz w:val="28"/>
                <w:szCs w:val="28"/>
                <w:lang w:eastAsia="zh-CN"/>
              </w:rPr>
              <w:t>县城</w:t>
            </w:r>
            <w:r>
              <w:rPr>
                <w:rFonts w:hint="default" w:ascii="Times New Roman" w:hAnsi="Times New Roman" w:eastAsia="仿宋_GB2312" w:cs="Times New Roman"/>
                <w:color w:val="auto"/>
                <w:spacing w:val="0"/>
                <w:kern w:val="0"/>
                <w:sz w:val="28"/>
                <w:szCs w:val="28"/>
              </w:rPr>
              <w:t>国际商贸物流园区</w:t>
            </w:r>
            <w:r>
              <w:rPr>
                <w:rFonts w:hint="default" w:ascii="Times New Roman" w:hAnsi="Times New Roman"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戛洒、</w:t>
            </w:r>
            <w:r>
              <w:rPr>
                <w:rFonts w:hint="default" w:ascii="Times New Roman" w:hAnsi="Times New Roman" w:eastAsia="仿宋_GB2312" w:cs="Times New Roman"/>
                <w:color w:val="auto"/>
                <w:spacing w:val="0"/>
                <w:kern w:val="0"/>
                <w:sz w:val="28"/>
                <w:szCs w:val="28"/>
                <w:lang w:val="en-US" w:eastAsia="zh-CN"/>
              </w:rPr>
              <w:t>扬武、</w:t>
            </w:r>
            <w:r>
              <w:rPr>
                <w:rFonts w:hint="default" w:ascii="Times New Roman" w:hAnsi="Times New Roman" w:eastAsia="仿宋_GB2312" w:cs="Times New Roman"/>
                <w:color w:val="auto"/>
                <w:spacing w:val="0"/>
                <w:kern w:val="0"/>
                <w:sz w:val="28"/>
                <w:szCs w:val="28"/>
              </w:rPr>
              <w:t>漠沙等智慧商贸、冷链物流</w:t>
            </w:r>
            <w:r>
              <w:rPr>
                <w:rFonts w:hint="default" w:ascii="Times New Roman" w:hAnsi="Times New Roman"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着力打造区域性商贸物流中心；县</w:t>
            </w:r>
            <w:r>
              <w:rPr>
                <w:rFonts w:hint="default" w:ascii="Times New Roman" w:hAnsi="Times New Roman" w:eastAsia="仿宋_GB2312" w:cs="Times New Roman"/>
                <w:color w:val="auto"/>
                <w:spacing w:val="0"/>
                <w:kern w:val="0"/>
                <w:sz w:val="28"/>
                <w:szCs w:val="28"/>
                <w:lang w:val="en-US" w:eastAsia="zh-CN"/>
              </w:rPr>
              <w:t>城</w:t>
            </w:r>
            <w:r>
              <w:rPr>
                <w:rFonts w:hint="default" w:ascii="Times New Roman" w:hAnsi="Times New Roman" w:eastAsia="仿宋_GB2312" w:cs="Times New Roman"/>
                <w:color w:val="auto"/>
                <w:spacing w:val="0"/>
                <w:kern w:val="0"/>
                <w:sz w:val="28"/>
                <w:szCs w:val="28"/>
              </w:rPr>
              <w:t>、扬武、漠沙、戛洒城市共同配送中心等项目。加强农村和农产品电子商务应用体系建设，完善以县、乡、村三级市场为基础的农资、日用消费品、农副产品流通网络。</w:t>
            </w:r>
          </w:p>
          <w:p w14:paraId="40CCB62B">
            <w:pPr>
              <w:keepNext/>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金融服务业。</w:t>
            </w:r>
            <w:r>
              <w:rPr>
                <w:rFonts w:hint="default" w:ascii="Times New Roman" w:hAnsi="Times New Roman" w:eastAsia="仿宋_GB2312" w:cs="Times New Roman"/>
                <w:color w:val="auto"/>
                <w:spacing w:val="0"/>
                <w:kern w:val="0"/>
                <w:sz w:val="28"/>
                <w:szCs w:val="28"/>
              </w:rPr>
              <w:t>用好社会信用信息平台，支持银行业不良贷款处置化解，严厉打击非法集资、金融诈骗等违法金融活动，推进互联网金融风险专项整治，坚决守住不发生系统性风险底线。到2025年，金融服务业实现营业收入</w:t>
            </w:r>
            <w:r>
              <w:rPr>
                <w:rFonts w:hint="default" w:ascii="Times New Roman" w:hAnsi="Times New Roman" w:eastAsia="仿宋_GB2312" w:cs="Times New Roman"/>
                <w:color w:val="auto"/>
                <w:spacing w:val="0"/>
                <w:kern w:val="0"/>
                <w:sz w:val="28"/>
                <w:szCs w:val="28"/>
                <w:lang w:val="en-US" w:eastAsia="zh-CN"/>
              </w:rPr>
              <w:t>1亿</w:t>
            </w:r>
            <w:r>
              <w:rPr>
                <w:rFonts w:hint="default" w:ascii="Times New Roman" w:hAnsi="Times New Roman" w:eastAsia="仿宋_GB2312" w:cs="Times New Roman"/>
                <w:color w:val="auto"/>
                <w:spacing w:val="0"/>
                <w:kern w:val="0"/>
                <w:sz w:val="28"/>
                <w:szCs w:val="28"/>
              </w:rPr>
              <w:t>元</w:t>
            </w:r>
            <w:r>
              <w:rPr>
                <w:rFonts w:hint="default" w:ascii="Times New Roman" w:hAnsi="Times New Roman" w:eastAsia="仿宋_GB2312" w:cs="Times New Roman"/>
                <w:color w:val="auto"/>
                <w:spacing w:val="0"/>
                <w:kern w:val="0"/>
                <w:sz w:val="28"/>
                <w:szCs w:val="28"/>
                <w:lang w:eastAsia="zh-CN"/>
              </w:rPr>
              <w:t>以上</w:t>
            </w:r>
            <w:r>
              <w:rPr>
                <w:rFonts w:hint="default" w:ascii="Times New Roman" w:hAnsi="Times New Roman" w:eastAsia="仿宋_GB2312" w:cs="Times New Roman"/>
                <w:color w:val="auto"/>
                <w:spacing w:val="0"/>
                <w:kern w:val="0"/>
                <w:sz w:val="28"/>
                <w:szCs w:val="28"/>
              </w:rPr>
              <w:t>。</w:t>
            </w:r>
          </w:p>
          <w:p w14:paraId="0EBF3CAC">
            <w:pPr>
              <w:pStyle w:val="2"/>
              <w:keepNext/>
              <w:keepLines w:val="0"/>
              <w:pageBreakBefore w:val="0"/>
              <w:widowControl w:val="0"/>
              <w:kinsoku/>
              <w:wordWrap/>
              <w:overflowPunct/>
              <w:topLinePunct w:val="0"/>
              <w:autoSpaceDE/>
              <w:autoSpaceDN/>
              <w:bidi w:val="0"/>
              <w:adjustRightInd/>
              <w:snapToGrid/>
              <w:spacing w:after="0" w:line="500" w:lineRule="exact"/>
              <w:ind w:firstLine="606"/>
              <w:textAlignment w:val="auto"/>
              <w:rPr>
                <w:rFonts w:ascii="宋体" w:hAnsi="宋体" w:eastAsia="宋体" w:cs="宋体"/>
                <w:color w:val="auto"/>
                <w:spacing w:val="0"/>
                <w:kern w:val="0"/>
                <w:sz w:val="28"/>
                <w:szCs w:val="28"/>
                <w:lang w:val="zh-CN" w:bidi="zh-CN"/>
              </w:rPr>
            </w:pPr>
            <w:r>
              <w:rPr>
                <w:rFonts w:hint="default" w:ascii="Times New Roman" w:hAnsi="Times New Roman" w:eastAsia="仿宋_GB2312" w:cs="Times New Roman"/>
                <w:b/>
                <w:bCs/>
                <w:color w:val="auto"/>
                <w:spacing w:val="0"/>
                <w:kern w:val="0"/>
                <w:sz w:val="28"/>
                <w:szCs w:val="28"/>
              </w:rPr>
              <w:t>房地产业。</w:t>
            </w:r>
            <w:r>
              <w:rPr>
                <w:rFonts w:hint="default" w:ascii="Times New Roman" w:hAnsi="Times New Roman" w:eastAsia="仿宋_GB2312" w:cs="Times New Roman"/>
                <w:color w:val="auto"/>
                <w:spacing w:val="0"/>
                <w:kern w:val="0"/>
                <w:sz w:val="28"/>
                <w:szCs w:val="28"/>
              </w:rPr>
              <w:t>鼓励进城务工人员等新市民住房消费，支持居民住房刚性需求和改善性需求；有效支持房地产企业有序化解房地产库存，控制市场潜在风险。积极发展商业地产、旅游地产、文化地产、医养结合地产、工业地产等房地产新业态，到2025年，实现房地产营业收入1</w:t>
            </w:r>
            <w:r>
              <w:rPr>
                <w:rFonts w:hint="default" w:ascii="Times New Roman" w:hAnsi="Times New Roman" w:eastAsia="仿宋_GB2312" w:cs="Times New Roman"/>
                <w:color w:val="auto"/>
                <w:spacing w:val="0"/>
                <w:kern w:val="0"/>
                <w:sz w:val="28"/>
                <w:szCs w:val="28"/>
                <w:lang w:eastAsia="zh-CN"/>
              </w:rPr>
              <w:t>亿</w:t>
            </w:r>
            <w:r>
              <w:rPr>
                <w:rFonts w:hint="default" w:ascii="Times New Roman" w:hAnsi="Times New Roman" w:eastAsia="仿宋_GB2312" w:cs="Times New Roman"/>
                <w:color w:val="auto"/>
                <w:spacing w:val="0"/>
                <w:kern w:val="0"/>
                <w:sz w:val="28"/>
                <w:szCs w:val="28"/>
              </w:rPr>
              <w:t>元</w:t>
            </w:r>
            <w:r>
              <w:rPr>
                <w:rFonts w:hint="default" w:ascii="Times New Roman" w:hAnsi="Times New Roman" w:eastAsia="仿宋_GB2312" w:cs="Times New Roman"/>
                <w:color w:val="auto"/>
                <w:spacing w:val="0"/>
                <w:kern w:val="0"/>
                <w:sz w:val="28"/>
                <w:szCs w:val="28"/>
                <w:lang w:eastAsia="zh-CN"/>
              </w:rPr>
              <w:t>以上</w:t>
            </w:r>
            <w:r>
              <w:rPr>
                <w:rFonts w:hint="default" w:ascii="Times New Roman" w:hAnsi="Times New Roman" w:eastAsia="仿宋_GB2312" w:cs="Times New Roman"/>
                <w:color w:val="auto"/>
                <w:spacing w:val="0"/>
                <w:kern w:val="0"/>
                <w:sz w:val="28"/>
                <w:szCs w:val="28"/>
              </w:rPr>
              <w:t>。</w:t>
            </w:r>
          </w:p>
        </w:tc>
      </w:tr>
    </w:tbl>
    <w:p w14:paraId="5D769C12">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58" w:name="_Toc21284"/>
      <w:bookmarkStart w:id="59" w:name="_Toc16621"/>
      <w:r>
        <w:rPr>
          <w:rFonts w:hint="eastAsia" w:ascii="黑体" w:hAnsi="黑体" w:eastAsia="黑体" w:cs="黑体"/>
          <w:b/>
          <w:bCs w:val="0"/>
          <w:color w:val="auto"/>
          <w:spacing w:val="0"/>
          <w:szCs w:val="32"/>
          <w:lang w:val="en-US" w:eastAsia="zh-CN"/>
        </w:rPr>
        <w:t>第五节  强化产业发展支撑</w:t>
      </w:r>
      <w:bookmarkEnd w:id="58"/>
      <w:bookmarkEnd w:id="59"/>
    </w:p>
    <w:p w14:paraId="46B2200A">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提升园区发展能力，加强金融支持力度，加强市场主体培育，不断巩固产业发展基础。</w:t>
      </w:r>
    </w:p>
    <w:p w14:paraId="772E107D">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一、提升园区发展能力</w:t>
      </w:r>
    </w:p>
    <w:p w14:paraId="6700F08F">
      <w:pPr>
        <w:pageBreakBefore w:val="0"/>
        <w:widowControl w:val="0"/>
        <w:kinsoku/>
        <w:wordWrap/>
        <w:overflowPunct/>
        <w:topLinePunct w:val="0"/>
        <w:autoSpaceDN/>
        <w:bidi w:val="0"/>
        <w:rPr>
          <w:rFonts w:hint="default" w:ascii="Times New Roman" w:hAnsi="Times New Roman" w:cs="Times New Roman"/>
          <w:color w:val="auto"/>
          <w:spacing w:val="0"/>
          <w:szCs w:val="24"/>
        </w:rPr>
      </w:pPr>
      <w:r>
        <w:rPr>
          <w:rFonts w:hint="default" w:ascii="Times New Roman" w:hAnsi="Times New Roman" w:eastAsia="仿宋_GB2312" w:cs="Times New Roman"/>
          <w:color w:val="auto"/>
          <w:spacing w:val="0"/>
          <w:szCs w:val="24"/>
        </w:rPr>
        <w:t>围绕</w:t>
      </w:r>
      <w:r>
        <w:rPr>
          <w:rFonts w:hint="default" w:ascii="Times New Roman" w:hAnsi="Times New Roman" w:eastAsia="仿宋_GB2312" w:cs="Times New Roman"/>
          <w:color w:val="auto"/>
          <w:spacing w:val="0"/>
          <w:szCs w:val="24"/>
          <w:highlight w:val="none"/>
        </w:rPr>
        <w:t>矿冶</w:t>
      </w:r>
      <w:r>
        <w:rPr>
          <w:rFonts w:hint="default" w:ascii="Times New Roman" w:hAnsi="Times New Roman" w:eastAsia="仿宋_GB2312" w:cs="Times New Roman"/>
          <w:color w:val="auto"/>
          <w:spacing w:val="0"/>
          <w:szCs w:val="24"/>
        </w:rPr>
        <w:t>为主导，装备制造、生物资源加工和轻工制造为辅助</w:t>
      </w:r>
      <w:r>
        <w:rPr>
          <w:rFonts w:hint="default" w:ascii="Times New Roman" w:hAnsi="Times New Roman" w:eastAsia="仿宋_GB2312" w:cs="Times New Roman"/>
          <w:color w:val="auto"/>
          <w:spacing w:val="0"/>
          <w:szCs w:val="24"/>
          <w:lang w:val="en-US" w:eastAsia="zh-CN"/>
        </w:rPr>
        <w:t>的</w:t>
      </w:r>
      <w:r>
        <w:rPr>
          <w:rFonts w:hint="default" w:ascii="Times New Roman" w:hAnsi="Times New Roman" w:eastAsia="仿宋_GB2312" w:cs="Times New Roman"/>
          <w:color w:val="auto"/>
          <w:spacing w:val="0"/>
          <w:szCs w:val="24"/>
        </w:rPr>
        <w:t>产业</w:t>
      </w:r>
      <w:r>
        <w:rPr>
          <w:rFonts w:hint="default" w:ascii="Times New Roman" w:hAnsi="Times New Roman" w:eastAsia="仿宋_GB2312" w:cs="Times New Roman"/>
          <w:color w:val="auto"/>
          <w:spacing w:val="0"/>
          <w:szCs w:val="24"/>
          <w:lang w:val="en-US" w:eastAsia="zh-CN"/>
        </w:rPr>
        <w:t>定位</w:t>
      </w:r>
      <w:r>
        <w:rPr>
          <w:rFonts w:hint="default" w:ascii="Times New Roman" w:hAnsi="Times New Roman" w:eastAsia="仿宋_GB2312" w:cs="Times New Roman"/>
          <w:color w:val="auto"/>
          <w:spacing w:val="0"/>
          <w:szCs w:val="24"/>
        </w:rPr>
        <w:t>，按照</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一园三区</w:t>
      </w:r>
      <w:r>
        <w:rPr>
          <w:rFonts w:hint="default" w:ascii="Times New Roman" w:hAnsi="Times New Roman" w:eastAsia="仿宋_GB2312" w:cs="Times New Roman"/>
          <w:color w:val="auto"/>
          <w:spacing w:val="0"/>
          <w:szCs w:val="24"/>
          <w:lang w:val="en-US" w:eastAsia="zh-CN"/>
        </w:rPr>
        <w:t>块</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的空间布局，重点打造矿冶、生物加工、装备制造</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三大产业集聚区</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。加强园区水、电、路、气等基础设施建设，鼓励入园企业建设多层标准厂房，严格控制企业办公用房建设比例，合理规划建设管理和服务设施，加快推进桂山片区产城融合基础设施建设项目，积极</w:t>
      </w:r>
      <w:r>
        <w:rPr>
          <w:rFonts w:hint="default" w:ascii="Times New Roman" w:hAnsi="Times New Roman" w:eastAsia="仿宋_GB2312" w:cs="Times New Roman"/>
          <w:color w:val="auto"/>
          <w:spacing w:val="0"/>
          <w:szCs w:val="24"/>
          <w:lang w:eastAsia="zh-CN"/>
        </w:rPr>
        <w:t>推进</w:t>
      </w:r>
      <w:r>
        <w:rPr>
          <w:rFonts w:hint="default" w:ascii="Times New Roman" w:hAnsi="Times New Roman" w:eastAsia="仿宋_GB2312" w:cs="Times New Roman"/>
          <w:color w:val="auto"/>
          <w:spacing w:val="0"/>
          <w:szCs w:val="24"/>
        </w:rPr>
        <w:t>大开门综合</w:t>
      </w:r>
      <w:r>
        <w:rPr>
          <w:rFonts w:hint="default" w:ascii="Times New Roman" w:hAnsi="Times New Roman" w:eastAsia="仿宋_GB2312" w:cs="Times New Roman"/>
          <w:color w:val="auto"/>
          <w:spacing w:val="0"/>
          <w:szCs w:val="24"/>
          <w:lang w:eastAsia="zh-CN"/>
        </w:rPr>
        <w:t>开发</w:t>
      </w:r>
      <w:r>
        <w:rPr>
          <w:rFonts w:hint="default" w:ascii="Times New Roman" w:hAnsi="Times New Roman" w:eastAsia="仿宋_GB2312" w:cs="Times New Roman"/>
          <w:color w:val="auto"/>
          <w:spacing w:val="0"/>
          <w:szCs w:val="24"/>
        </w:rPr>
        <w:t>二期</w:t>
      </w:r>
      <w:r>
        <w:rPr>
          <w:rFonts w:hint="default" w:ascii="Times New Roman" w:hAnsi="Times New Roman" w:eastAsia="仿宋_GB2312" w:cs="Times New Roman"/>
          <w:color w:val="auto"/>
          <w:spacing w:val="0"/>
          <w:szCs w:val="24"/>
          <w:lang w:eastAsia="zh-CN"/>
        </w:rPr>
        <w:t>、大开门</w:t>
      </w:r>
      <w:r>
        <w:rPr>
          <w:rFonts w:hint="default" w:ascii="Times New Roman" w:hAnsi="Times New Roman" w:eastAsia="仿宋_GB2312" w:cs="Times New Roman"/>
          <w:color w:val="auto"/>
          <w:spacing w:val="0"/>
          <w:szCs w:val="24"/>
          <w:lang w:val="en-US" w:eastAsia="zh-CN"/>
        </w:rPr>
        <w:t>产城融合基础设施项目建设</w:t>
      </w:r>
      <w:r>
        <w:rPr>
          <w:rFonts w:hint="default" w:ascii="Times New Roman" w:hAnsi="Times New Roman" w:eastAsia="仿宋_GB2312" w:cs="Times New Roman"/>
          <w:color w:val="auto"/>
          <w:spacing w:val="0"/>
          <w:szCs w:val="24"/>
        </w:rPr>
        <w:t>。利用园区土地资源，加大融资力度，为入园项目定制标准化厂房，开展房屋租赁、工程代建业务。加强与企业合作，参与入园项目投资，充分发挥建筑工程施工总承包企业房建、市政、钢构资质作用，积极参加工程投标活动。</w:t>
      </w:r>
    </w:p>
    <w:p w14:paraId="7DAF9D98">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二、完善现代金融对实体经济支持</w:t>
      </w:r>
    </w:p>
    <w:p w14:paraId="29D540FB">
      <w:pPr>
        <w:pageBreakBefore w:val="0"/>
        <w:widowControl w:val="0"/>
        <w:kinsoku/>
        <w:wordWrap/>
        <w:overflowPunct/>
        <w:topLinePunct w:val="0"/>
        <w:autoSpaceDN/>
        <w:bidi w:val="0"/>
        <w:rPr>
          <w:rFonts w:hint="default" w:ascii="Times New Roman" w:hAnsi="Times New Roman" w:cs="Times New Roman"/>
          <w:color w:val="auto"/>
          <w:spacing w:val="0"/>
          <w:szCs w:val="24"/>
        </w:rPr>
      </w:pPr>
      <w:r>
        <w:rPr>
          <w:rFonts w:hint="default" w:ascii="Times New Roman" w:hAnsi="Times New Roman" w:eastAsia="仿宋_GB2312" w:cs="Times New Roman"/>
          <w:color w:val="auto"/>
          <w:spacing w:val="0"/>
          <w:szCs w:val="24"/>
        </w:rPr>
        <w:t>完善民营企业融资增信支持体系，支持企业直接融资。鼓励金融机构加大对民营企业、小微企业的支持力度，向信用优良的民营企业、小微企业提供首次贷款和无还本续贷金融支持，降低民营企业、小微企业综合融资成本。持续推进</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银税互动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，加快</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一部手机云企贷</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金融服务平台迭代升级，全面提升集金融、政务、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三农</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于一体的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线上＋线下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融资服务能力。引导高新技术产业和战略性新兴产业在创业板、科创</w:t>
      </w:r>
      <w:r>
        <w:rPr>
          <w:rFonts w:hint="default" w:ascii="Times New Roman" w:hAnsi="Times New Roman" w:eastAsia="仿宋_GB2312" w:cs="Times New Roman"/>
          <w:color w:val="auto"/>
          <w:spacing w:val="0"/>
          <w:szCs w:val="24"/>
          <w:lang w:val="en-US" w:eastAsia="zh-CN"/>
        </w:rPr>
        <w:t>板</w:t>
      </w:r>
      <w:r>
        <w:rPr>
          <w:rFonts w:hint="default" w:ascii="Times New Roman" w:hAnsi="Times New Roman" w:eastAsia="仿宋_GB2312" w:cs="Times New Roman"/>
          <w:color w:val="auto"/>
          <w:spacing w:val="0"/>
          <w:szCs w:val="24"/>
        </w:rPr>
        <w:t>上市，提升企业融资能力。</w:t>
      </w:r>
    </w:p>
    <w:p w14:paraId="3BF6A131">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三、强化市场主体培育</w:t>
      </w:r>
    </w:p>
    <w:p w14:paraId="7E040151">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支持优势企业</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通过壮大主业、并购重组、资本运作等方式，提升产业链垂直整合能力。</w:t>
      </w:r>
      <w:r>
        <w:rPr>
          <w:rFonts w:hint="default" w:ascii="Times New Roman" w:hAnsi="Times New Roman" w:eastAsia="仿宋_GB2312" w:cs="Times New Roman"/>
          <w:color w:val="auto"/>
          <w:spacing w:val="0"/>
          <w:szCs w:val="24"/>
          <w:lang w:eastAsia="zh-CN"/>
        </w:rPr>
        <w:t>加大</w:t>
      </w:r>
      <w:r>
        <w:rPr>
          <w:rFonts w:hint="default" w:ascii="Times New Roman" w:hAnsi="Times New Roman" w:eastAsia="仿宋_GB2312" w:cs="Times New Roman"/>
          <w:color w:val="auto"/>
          <w:spacing w:val="0"/>
          <w:szCs w:val="24"/>
        </w:rPr>
        <w:t>高新技术企业和技术创新示范企业培育</w:t>
      </w:r>
      <w:r>
        <w:rPr>
          <w:rFonts w:hint="default" w:ascii="Times New Roman" w:hAnsi="Times New Roman" w:eastAsia="仿宋_GB2312" w:cs="Times New Roman"/>
          <w:color w:val="auto"/>
          <w:spacing w:val="0"/>
          <w:szCs w:val="24"/>
          <w:lang w:eastAsia="zh-CN"/>
        </w:rPr>
        <w:t>力度</w:t>
      </w:r>
      <w:r>
        <w:rPr>
          <w:rFonts w:hint="default" w:ascii="Times New Roman" w:hAnsi="Times New Roman" w:eastAsia="仿宋_GB2312" w:cs="Times New Roman"/>
          <w:color w:val="auto"/>
          <w:spacing w:val="0"/>
          <w:szCs w:val="24"/>
        </w:rPr>
        <w:t>，着力培育一批科技型</w:t>
      </w:r>
      <w:r>
        <w:rPr>
          <w:rFonts w:hint="default" w:ascii="Times New Roman" w:hAnsi="Times New Roman" w:eastAsia="仿宋_GB2312" w:cs="Times New Roman"/>
          <w:color w:val="auto"/>
          <w:spacing w:val="0"/>
          <w:szCs w:val="24"/>
          <w:highlight w:val="none"/>
        </w:rPr>
        <w:t>小微企业</w:t>
      </w:r>
      <w:r>
        <w:rPr>
          <w:rFonts w:hint="default" w:ascii="Times New Roman" w:hAnsi="Times New Roman" w:eastAsia="仿宋_GB2312" w:cs="Times New Roman"/>
          <w:color w:val="auto"/>
          <w:spacing w:val="0"/>
          <w:szCs w:val="24"/>
        </w:rPr>
        <w:t>和制造业单项冠军</w:t>
      </w:r>
      <w:r>
        <w:rPr>
          <w:rFonts w:hint="default" w:ascii="Times New Roman" w:hAnsi="Times New Roman" w:eastAsia="仿宋_GB2312" w:cs="Times New Roman"/>
          <w:color w:val="auto"/>
          <w:spacing w:val="0"/>
          <w:szCs w:val="24"/>
          <w:lang w:eastAsia="zh-CN"/>
        </w:rPr>
        <w:t>企业</w:t>
      </w:r>
      <w:r>
        <w:rPr>
          <w:rFonts w:hint="default" w:ascii="Times New Roman" w:hAnsi="Times New Roman" w:eastAsia="仿宋_GB2312" w:cs="Times New Roman"/>
          <w:color w:val="auto"/>
          <w:spacing w:val="0"/>
          <w:szCs w:val="24"/>
        </w:rPr>
        <w:t>，催生一批行业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小巨人</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大力支持民营企业发展，强化民营企业产权保护和激励，全面实施市场准入负面清单制度，保障不同所有制企业在资质许可、政府采购、科技项目、标准制定等方面公平待遇。积极引导民营企业参与混合所有制改革。实施中小微企业梯度培育工程，加快小微企业上规升级步伐，力争每年培育省、市级成长型企业</w:t>
      </w:r>
      <w:r>
        <w:rPr>
          <w:rFonts w:hint="default" w:ascii="Times New Roman" w:hAnsi="Times New Roman" w:eastAsia="仿宋_GB2312" w:cs="Times New Roman"/>
          <w:color w:val="auto"/>
          <w:spacing w:val="0"/>
          <w:szCs w:val="24"/>
          <w:lang w:val="en-US" w:eastAsia="zh-CN"/>
        </w:rPr>
        <w:t>2</w:t>
      </w:r>
      <w:r>
        <w:rPr>
          <w:rFonts w:hint="default" w:ascii="Times New Roman" w:hAnsi="Times New Roman" w:eastAsia="仿宋_GB2312" w:cs="Times New Roman"/>
          <w:color w:val="auto"/>
          <w:spacing w:val="0"/>
          <w:szCs w:val="24"/>
        </w:rPr>
        <w:t>户以上。</w:t>
      </w:r>
    </w:p>
    <w:tbl>
      <w:tblPr>
        <w:tblStyle w:val="32"/>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1"/>
      </w:tblGrid>
      <w:tr w14:paraId="4355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931" w:type="dxa"/>
            <w:tcBorders>
              <w:top w:val="single" w:color="4F81BD" w:sz="8" w:space="0"/>
              <w:left w:val="single" w:color="4F81BD" w:sz="8" w:space="0"/>
              <w:bottom w:val="single" w:color="4F81BD" w:sz="8" w:space="0"/>
              <w:right w:val="single" w:color="4F81BD" w:sz="8" w:space="0"/>
            </w:tcBorders>
            <w:shd w:val="clear" w:color="auto" w:fill="4F81BD"/>
          </w:tcPr>
          <w:p w14:paraId="4CE8A3AF">
            <w:pPr>
              <w:pageBreakBefore w:val="0"/>
              <w:widowControl w:val="0"/>
              <w:kinsoku/>
              <w:wordWrap/>
              <w:overflowPunct/>
              <w:topLinePunct w:val="0"/>
              <w:autoSpaceDN/>
              <w:bidi w:val="0"/>
              <w:spacing w:line="500" w:lineRule="exact"/>
              <w:ind w:firstLine="0" w:firstLineChars="0"/>
              <w:jc w:val="center"/>
              <w:rPr>
                <w:rFonts w:ascii="宋体" w:hAnsi="宋体" w:eastAsia="宋体" w:cs="宋体"/>
                <w:color w:val="auto"/>
                <w:spacing w:val="0"/>
                <w:kern w:val="0"/>
                <w:sz w:val="28"/>
                <w:szCs w:val="28"/>
                <w:lang w:bidi="zh-CN"/>
              </w:rPr>
            </w:pPr>
            <w:r>
              <w:rPr>
                <w:rFonts w:hint="default" w:ascii="Times New Roman" w:hAnsi="Times New Roman" w:eastAsia="仿宋_GB2312" w:cs="Times New Roman"/>
                <w:b/>
                <w:bCs/>
                <w:color w:val="auto"/>
                <w:spacing w:val="0"/>
                <w:kern w:val="0"/>
                <w:sz w:val="28"/>
                <w:szCs w:val="28"/>
                <w:lang w:val="zh-CN"/>
              </w:rPr>
              <w:t>专栏</w:t>
            </w:r>
            <w:r>
              <w:rPr>
                <w:rFonts w:hint="default" w:ascii="Times New Roman" w:hAnsi="Times New Roman" w:eastAsia="仿宋_GB2312" w:cs="Times New Roman"/>
                <w:b/>
                <w:bCs/>
                <w:color w:val="auto"/>
                <w:spacing w:val="0"/>
                <w:kern w:val="0"/>
                <w:sz w:val="28"/>
                <w:szCs w:val="28"/>
                <w:lang w:val="en-US" w:eastAsia="zh-CN"/>
              </w:rPr>
              <w:t>8</w:t>
            </w:r>
            <w:r>
              <w:rPr>
                <w:rFonts w:hint="default" w:ascii="Times New Roman" w:hAnsi="Times New Roman" w:eastAsia="仿宋_GB2312" w:cs="Times New Roman"/>
                <w:b/>
                <w:bCs/>
                <w:color w:val="auto"/>
                <w:spacing w:val="0"/>
                <w:kern w:val="0"/>
                <w:sz w:val="28"/>
                <w:szCs w:val="28"/>
              </w:rPr>
              <w:t xml:space="preserve"> 产业发展支撑工程</w:t>
            </w:r>
          </w:p>
        </w:tc>
      </w:tr>
      <w:tr w14:paraId="1355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1" w:type="dxa"/>
            <w:tcBorders>
              <w:top w:val="single" w:color="4F81BD" w:sz="8" w:space="0"/>
              <w:left w:val="single" w:color="4F81BD" w:sz="8" w:space="0"/>
              <w:bottom w:val="single" w:color="4F81BD" w:sz="8" w:space="0"/>
              <w:right w:val="single" w:color="4F81BD" w:sz="8" w:space="0"/>
            </w:tcBorders>
            <w:shd w:val="clear" w:color="auto" w:fill="FFFFFF"/>
          </w:tcPr>
          <w:p w14:paraId="23C36971">
            <w:pPr>
              <w:pageBreakBefore w:val="0"/>
              <w:widowControl w:val="0"/>
              <w:kinsoku/>
              <w:wordWrap/>
              <w:overflowPunct/>
              <w:topLinePunct w:val="0"/>
              <w:autoSpaceDN/>
              <w:bidi w:val="0"/>
              <w:spacing w:line="500" w:lineRule="exact"/>
              <w:ind w:firstLine="606"/>
              <w:rPr>
                <w:color w:val="auto"/>
                <w:spacing w:val="0"/>
              </w:rPr>
            </w:pPr>
            <w:r>
              <w:rPr>
                <w:rFonts w:hint="default" w:ascii="Times New Roman" w:hAnsi="Times New Roman" w:eastAsia="仿宋_GB2312" w:cs="Times New Roman"/>
                <w:b/>
                <w:bCs/>
                <w:color w:val="auto"/>
                <w:spacing w:val="0"/>
                <w:sz w:val="28"/>
                <w:szCs w:val="28"/>
              </w:rPr>
              <w:t>园区基础设施建设工程。</w:t>
            </w:r>
            <w:r>
              <w:rPr>
                <w:rFonts w:hint="default" w:ascii="Times New Roman" w:hAnsi="Times New Roman" w:eastAsia="仿宋_GB2312" w:cs="Times New Roman"/>
                <w:color w:val="auto"/>
                <w:spacing w:val="0"/>
                <w:sz w:val="28"/>
                <w:szCs w:val="28"/>
              </w:rPr>
              <w:t>继续推进扬武片区大开门综合开发一期基础设施及配套设施建设项目，</w:t>
            </w:r>
            <w:r>
              <w:rPr>
                <w:rFonts w:hint="default" w:ascii="Times New Roman" w:hAnsi="Times New Roman" w:eastAsia="仿宋_GB2312" w:cs="Times New Roman"/>
                <w:color w:val="auto"/>
                <w:spacing w:val="0"/>
                <w:sz w:val="28"/>
                <w:szCs w:val="28"/>
                <w:lang w:eastAsia="zh-CN"/>
              </w:rPr>
              <w:t>实施</w:t>
            </w:r>
            <w:r>
              <w:rPr>
                <w:rFonts w:hint="default" w:ascii="Times New Roman" w:hAnsi="Times New Roman" w:eastAsia="仿宋_GB2312" w:cs="Times New Roman"/>
                <w:color w:val="auto"/>
                <w:spacing w:val="0"/>
                <w:sz w:val="28"/>
                <w:szCs w:val="28"/>
              </w:rPr>
              <w:t>桂山片区</w:t>
            </w:r>
            <w:r>
              <w:rPr>
                <w:rFonts w:hint="default" w:ascii="Times New Roman" w:hAnsi="Times New Roman" w:eastAsia="仿宋_GB2312" w:cs="Times New Roman"/>
                <w:color w:val="auto"/>
                <w:spacing w:val="0"/>
                <w:sz w:val="28"/>
                <w:szCs w:val="28"/>
                <w:lang w:val="en-US" w:eastAsia="zh-CN"/>
              </w:rPr>
              <w:t>产城融合基础设施项目、斗戛一期基础设施配套附属工程、斗戛组团污水处理厂、扬武片区田房三期基础设施</w:t>
            </w:r>
            <w:r>
              <w:rPr>
                <w:rFonts w:hint="default" w:ascii="Times New Roman" w:hAnsi="Times New Roman" w:eastAsia="仿宋_GB2312" w:cs="Times New Roman"/>
                <w:color w:val="auto"/>
                <w:spacing w:val="0"/>
                <w:sz w:val="28"/>
                <w:szCs w:val="28"/>
                <w:lang w:eastAsia="zh-CN"/>
              </w:rPr>
              <w:t>，推进</w:t>
            </w:r>
            <w:r>
              <w:rPr>
                <w:rFonts w:hint="default" w:ascii="Times New Roman" w:hAnsi="Times New Roman" w:eastAsia="仿宋_GB2312" w:cs="Times New Roman"/>
                <w:color w:val="auto"/>
                <w:spacing w:val="0"/>
                <w:sz w:val="28"/>
                <w:szCs w:val="28"/>
              </w:rPr>
              <w:t>大开门综合开发二期</w:t>
            </w:r>
            <w:r>
              <w:rPr>
                <w:rFonts w:hint="default" w:ascii="Times New Roman" w:hAnsi="Times New Roman"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大开门产城融合基础设施项目</w:t>
            </w:r>
            <w:r>
              <w:rPr>
                <w:rFonts w:hint="default" w:ascii="Times New Roman" w:hAnsi="Times New Roman" w:eastAsia="仿宋_GB2312" w:cs="Times New Roman"/>
                <w:color w:val="auto"/>
                <w:spacing w:val="0"/>
                <w:sz w:val="28"/>
                <w:szCs w:val="28"/>
                <w:lang w:eastAsia="zh-CN"/>
              </w:rPr>
              <w:t>建设</w:t>
            </w:r>
            <w:r>
              <w:rPr>
                <w:rFonts w:hint="default" w:ascii="Times New Roman" w:hAnsi="Times New Roman" w:eastAsia="仿宋_GB2312" w:cs="Times New Roman"/>
                <w:color w:val="auto"/>
                <w:spacing w:val="0"/>
                <w:sz w:val="28"/>
                <w:szCs w:val="28"/>
              </w:rPr>
              <w:t>。推进</w:t>
            </w:r>
            <w:r>
              <w:rPr>
                <w:rFonts w:hint="default" w:ascii="Times New Roman" w:hAnsi="Times New Roman" w:eastAsia="仿宋_GB2312" w:cs="Times New Roman"/>
                <w:color w:val="auto"/>
                <w:spacing w:val="0"/>
                <w:sz w:val="28"/>
                <w:szCs w:val="28"/>
                <w:lang w:eastAsia="zh-CN"/>
              </w:rPr>
              <w:t>产业园区</w:t>
            </w:r>
            <w:r>
              <w:rPr>
                <w:rFonts w:hint="default" w:ascii="Times New Roman" w:hAnsi="Times New Roman" w:eastAsia="仿宋_GB2312" w:cs="Times New Roman"/>
                <w:color w:val="auto"/>
                <w:spacing w:val="0"/>
                <w:sz w:val="28"/>
                <w:szCs w:val="28"/>
              </w:rPr>
              <w:t>增量配电</w:t>
            </w:r>
            <w:r>
              <w:rPr>
                <w:rFonts w:hint="default" w:ascii="Times New Roman" w:hAnsi="Times New Roman" w:eastAsia="仿宋_GB2312" w:cs="Times New Roman"/>
                <w:color w:val="auto"/>
                <w:spacing w:val="0"/>
                <w:sz w:val="28"/>
                <w:szCs w:val="28"/>
                <w:lang w:eastAsia="zh-CN"/>
              </w:rPr>
              <w:t>业务</w:t>
            </w:r>
            <w:r>
              <w:rPr>
                <w:rFonts w:hint="default" w:ascii="Times New Roman" w:hAnsi="Times New Roman" w:eastAsia="仿宋_GB2312" w:cs="Times New Roman"/>
                <w:color w:val="auto"/>
                <w:spacing w:val="0"/>
                <w:sz w:val="28"/>
                <w:szCs w:val="28"/>
              </w:rPr>
              <w:t>试点项目</w:t>
            </w:r>
            <w:r>
              <w:rPr>
                <w:rFonts w:hint="default" w:ascii="Times New Roman" w:hAnsi="Times New Roman" w:eastAsia="仿宋_GB2312" w:cs="Times New Roman"/>
                <w:color w:val="auto"/>
                <w:spacing w:val="0"/>
                <w:sz w:val="28"/>
                <w:szCs w:val="28"/>
                <w:lang w:eastAsia="zh-CN"/>
              </w:rPr>
              <w:t>建设</w:t>
            </w:r>
            <w:r>
              <w:rPr>
                <w:rFonts w:hint="default" w:ascii="Times New Roman" w:hAnsi="Times New Roman" w:eastAsia="仿宋_GB2312" w:cs="Times New Roman"/>
                <w:color w:val="auto"/>
                <w:spacing w:val="0"/>
                <w:sz w:val="28"/>
                <w:szCs w:val="28"/>
              </w:rPr>
              <w:t>。</w:t>
            </w:r>
          </w:p>
        </w:tc>
      </w:tr>
    </w:tbl>
    <w:p w14:paraId="1295F286">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60" w:name="_Toc26970"/>
      <w:bookmarkStart w:id="61" w:name="_Toc21174"/>
      <w:r>
        <w:rPr>
          <w:rFonts w:hint="eastAsia" w:ascii="黑体" w:hAnsi="黑体" w:eastAsia="黑体" w:cs="黑体"/>
          <w:b/>
          <w:bCs w:val="0"/>
          <w:color w:val="auto"/>
          <w:spacing w:val="0"/>
          <w:szCs w:val="32"/>
        </w:rPr>
        <w:t>第</w:t>
      </w:r>
      <w:r>
        <w:rPr>
          <w:rFonts w:hint="eastAsia" w:ascii="黑体" w:hAnsi="黑体" w:eastAsia="黑体" w:cs="黑体"/>
          <w:b/>
          <w:bCs w:val="0"/>
          <w:color w:val="auto"/>
          <w:spacing w:val="0"/>
          <w:szCs w:val="32"/>
          <w:lang w:val="en-US" w:eastAsia="zh-CN"/>
        </w:rPr>
        <w:t>六</w:t>
      </w:r>
      <w:r>
        <w:rPr>
          <w:rFonts w:hint="eastAsia" w:ascii="黑体" w:hAnsi="黑体" w:eastAsia="黑体" w:cs="黑体"/>
          <w:b/>
          <w:bCs w:val="0"/>
          <w:color w:val="auto"/>
          <w:spacing w:val="0"/>
          <w:szCs w:val="32"/>
        </w:rPr>
        <w:t>节  提升产业链供应链现代化水平</w:t>
      </w:r>
      <w:bookmarkEnd w:id="60"/>
      <w:bookmarkEnd w:id="61"/>
    </w:p>
    <w:p w14:paraId="0D0AA48B">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提升传统产业，把数字技术有机地融入研发设计、物流供应、生产制造、消费服务等各个环节，促进产业线上线下循环，构筑</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安全可靠有韧性、动态平衡有活力</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的产业链供应链体系。布局战略性新兴产业，推动产业链供应链数字化、网络化、智能化发展，积极发展生态化、数字化、链条化的现代农业，推动传统产业提质增效、新兴产业做大做强，支持现代服务业与信息化、新型工业化、新型城镇化和农业现代化融合互动。围绕高原特色现代农业、文化旅游、生物医药、健康服务业等重点产业链、龙头企业、重大投资项目，加强要素保障，促进上下游、产供销、大中小企业协同发展。</w:t>
      </w:r>
    </w:p>
    <w:p w14:paraId="3F431861">
      <w:pPr>
        <w:rPr>
          <w:rFonts w:hint="default"/>
        </w:rPr>
      </w:pPr>
    </w:p>
    <w:p w14:paraId="15015320">
      <w:pPr>
        <w:pStyle w:val="10"/>
        <w:pageBreakBefore w:val="0"/>
        <w:widowControl w:val="0"/>
        <w:kinsoku/>
        <w:wordWrap/>
        <w:overflowPunct/>
        <w:topLinePunct w:val="0"/>
        <w:autoSpaceDN/>
        <w:bidi w:val="0"/>
        <w:rPr>
          <w:rFonts w:hint="default"/>
          <w:color w:val="auto"/>
          <w:spacing w:val="0"/>
          <w:lang w:val="en-US" w:eastAsia="zh-CN"/>
        </w:rPr>
      </w:pPr>
    </w:p>
    <w:p w14:paraId="5E11987D">
      <w:pPr>
        <w:pageBreakBefore w:val="0"/>
        <w:widowControl w:val="0"/>
        <w:kinsoku/>
        <w:wordWrap/>
        <w:overflowPunct/>
        <w:topLinePunct w:val="0"/>
        <w:autoSpaceDN/>
        <w:bidi w:val="0"/>
        <w:rPr>
          <w:rFonts w:hint="default"/>
          <w:color w:val="auto"/>
          <w:spacing w:val="0"/>
          <w:lang w:val="en-US" w:eastAsia="zh-CN"/>
        </w:rPr>
      </w:pPr>
      <w:r>
        <w:rPr>
          <w:rFonts w:hint="default"/>
          <w:color w:val="auto"/>
          <w:spacing w:val="0"/>
          <w:lang w:val="en-US" w:eastAsia="zh-CN"/>
        </w:rPr>
        <w:br w:type="page"/>
      </w:r>
    </w:p>
    <w:p w14:paraId="39CE5F5D">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bCs w:val="0"/>
          <w:color w:val="auto"/>
          <w:spacing w:val="0"/>
          <w:kern w:val="2"/>
          <w:sz w:val="36"/>
          <w:szCs w:val="36"/>
          <w:lang w:val="en-US" w:eastAsia="zh-CN"/>
        </w:rPr>
      </w:pPr>
      <w:bookmarkStart w:id="62" w:name="_Toc27679"/>
      <w:bookmarkStart w:id="63" w:name="_Toc18803"/>
      <w:r>
        <w:rPr>
          <w:rFonts w:hint="eastAsia" w:ascii="方正小标宋_GBK" w:hAnsi="方正小标宋_GBK" w:eastAsia="方正小标宋_GBK" w:cs="方正小标宋_GBK"/>
          <w:bCs w:val="0"/>
          <w:color w:val="auto"/>
          <w:spacing w:val="0"/>
          <w:kern w:val="2"/>
          <w:sz w:val="36"/>
          <w:szCs w:val="36"/>
          <w:lang w:val="en-US" w:eastAsia="zh-CN"/>
        </w:rPr>
        <w:t>第五章  坚持特色发展，打造城乡发展新面貌</w:t>
      </w:r>
      <w:bookmarkEnd w:id="62"/>
      <w:bookmarkEnd w:id="63"/>
    </w:p>
    <w:p w14:paraId="19B537B0">
      <w:pPr>
        <w:pageBreakBefore w:val="0"/>
        <w:widowControl w:val="0"/>
        <w:kinsoku/>
        <w:wordWrap/>
        <w:overflowPunct/>
        <w:topLinePunct w:val="0"/>
        <w:autoSpaceDN/>
        <w:bidi w:val="0"/>
        <w:rPr>
          <w:rFonts w:hint="default" w:ascii="Times New Roman" w:hAnsi="Times New Roman" w:cs="Times New Roman"/>
          <w:color w:val="auto"/>
          <w:spacing w:val="0"/>
          <w:szCs w:val="24"/>
          <w:lang w:val="en-US" w:eastAsia="zh-CN"/>
        </w:rPr>
      </w:pPr>
      <w:r>
        <w:rPr>
          <w:rFonts w:hint="default" w:ascii="Times New Roman" w:hAnsi="Times New Roman" w:eastAsia="仿宋_GB2312" w:cs="Times New Roman"/>
          <w:color w:val="auto"/>
          <w:spacing w:val="0"/>
          <w:szCs w:val="24"/>
        </w:rPr>
        <w:t>坚持以人</w:t>
      </w:r>
      <w:r>
        <w:rPr>
          <w:rFonts w:hint="default" w:ascii="Times New Roman" w:hAnsi="Times New Roman" w:eastAsia="仿宋_GB2312" w:cs="Times New Roman"/>
          <w:color w:val="auto"/>
          <w:spacing w:val="0"/>
          <w:szCs w:val="24"/>
          <w:lang w:val="en-US" w:eastAsia="zh-CN"/>
        </w:rPr>
        <w:t>为核心</w:t>
      </w:r>
      <w:r>
        <w:rPr>
          <w:rFonts w:hint="default" w:ascii="Times New Roman" w:hAnsi="Times New Roman" w:eastAsia="仿宋_GB2312" w:cs="Times New Roman"/>
          <w:color w:val="auto"/>
          <w:spacing w:val="0"/>
          <w:szCs w:val="24"/>
        </w:rPr>
        <w:t>的</w:t>
      </w:r>
      <w:r>
        <w:rPr>
          <w:rFonts w:hint="default" w:ascii="Times New Roman" w:hAnsi="Times New Roman" w:eastAsia="仿宋_GB2312" w:cs="Times New Roman"/>
          <w:color w:val="auto"/>
          <w:spacing w:val="0"/>
          <w:szCs w:val="24"/>
          <w:lang w:eastAsia="zh-CN"/>
        </w:rPr>
        <w:t>新型</w:t>
      </w:r>
      <w:r>
        <w:rPr>
          <w:rFonts w:hint="default" w:ascii="Times New Roman" w:hAnsi="Times New Roman" w:eastAsia="仿宋_GB2312" w:cs="Times New Roman"/>
          <w:color w:val="auto"/>
          <w:spacing w:val="0"/>
          <w:szCs w:val="24"/>
        </w:rPr>
        <w:t>城镇化，</w:t>
      </w:r>
      <w:r>
        <w:rPr>
          <w:rFonts w:hint="default" w:ascii="Times New Roman" w:hAnsi="Times New Roman" w:eastAsia="仿宋_GB2312" w:cs="Times New Roman"/>
          <w:color w:val="auto"/>
          <w:spacing w:val="0"/>
          <w:szCs w:val="24"/>
          <w:lang w:eastAsia="zh-CN"/>
        </w:rPr>
        <w:t>遵循</w:t>
      </w:r>
      <w:r>
        <w:rPr>
          <w:rFonts w:hint="default" w:ascii="Times New Roman" w:hAnsi="Times New Roman" w:eastAsia="仿宋_GB2312" w:cs="Times New Roman"/>
          <w:color w:val="auto"/>
          <w:spacing w:val="0"/>
          <w:szCs w:val="24"/>
        </w:rPr>
        <w:t>城镇发展规律，抓好县城</w:t>
      </w:r>
      <w:r>
        <w:rPr>
          <w:rFonts w:hint="default" w:ascii="Times New Roman" w:hAnsi="Times New Roman" w:eastAsia="仿宋_GB2312" w:cs="Times New Roman"/>
          <w:color w:val="auto"/>
          <w:spacing w:val="0"/>
          <w:szCs w:val="24"/>
          <w:lang w:eastAsia="zh-CN"/>
        </w:rPr>
        <w:t>基础设施</w:t>
      </w:r>
      <w:r>
        <w:rPr>
          <w:rFonts w:hint="default" w:ascii="Times New Roman" w:hAnsi="Times New Roman" w:eastAsia="仿宋_GB2312" w:cs="Times New Roman"/>
          <w:color w:val="auto"/>
          <w:spacing w:val="0"/>
          <w:szCs w:val="24"/>
        </w:rPr>
        <w:t>补短板强弱项工作，完善城市基础设施和综合服务功能，提高农业转移人口市民化质量，推进城镇特色化发展。</w:t>
      </w:r>
    </w:p>
    <w:p w14:paraId="07A2B7E9">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64" w:name="_Toc23481"/>
      <w:bookmarkStart w:id="65" w:name="_Toc6971"/>
      <w:r>
        <w:rPr>
          <w:rFonts w:hint="eastAsia" w:ascii="黑体" w:hAnsi="黑体" w:eastAsia="黑体" w:cs="黑体"/>
          <w:b/>
          <w:bCs w:val="0"/>
          <w:color w:val="auto"/>
          <w:spacing w:val="0"/>
          <w:szCs w:val="32"/>
          <w:lang w:val="en-US" w:eastAsia="zh-CN"/>
        </w:rPr>
        <w:t xml:space="preserve">第一节 </w:t>
      </w:r>
      <w:r>
        <w:rPr>
          <w:rFonts w:hint="eastAsia" w:ascii="黑体" w:hAnsi="黑体" w:eastAsia="黑体" w:cs="黑体"/>
          <w:b/>
          <w:bCs w:val="0"/>
          <w:color w:val="auto"/>
          <w:spacing w:val="0"/>
          <w:szCs w:val="32"/>
        </w:rPr>
        <w:t xml:space="preserve"> 加快建设美丽</w:t>
      </w:r>
      <w:r>
        <w:rPr>
          <w:rFonts w:hint="eastAsia" w:ascii="黑体" w:hAnsi="黑体" w:eastAsia="黑体" w:cs="黑体"/>
          <w:b/>
          <w:bCs w:val="0"/>
          <w:color w:val="auto"/>
          <w:spacing w:val="0"/>
          <w:szCs w:val="32"/>
          <w:lang w:val="en-US" w:eastAsia="zh-CN"/>
        </w:rPr>
        <w:t>县城</w:t>
      </w:r>
      <w:bookmarkEnd w:id="64"/>
      <w:bookmarkEnd w:id="65"/>
    </w:p>
    <w:p w14:paraId="4E7A93A3">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rPr>
        <w:t>以提升城市产业竞争力和人口吸引力、推动优势要素资源集聚为导向，统筹推进城市更新</w:t>
      </w:r>
      <w:r>
        <w:rPr>
          <w:rFonts w:hint="default" w:ascii="Times New Roman" w:hAnsi="Times New Roman" w:eastAsia="仿宋_GB2312" w:cs="Times New Roman"/>
          <w:color w:val="auto"/>
          <w:spacing w:val="0"/>
          <w:szCs w:val="24"/>
          <w:lang w:eastAsia="zh-CN"/>
        </w:rPr>
        <w:t>改造</w:t>
      </w:r>
      <w:r>
        <w:rPr>
          <w:rFonts w:hint="default" w:ascii="Times New Roman" w:hAnsi="Times New Roman" w:eastAsia="仿宋_GB2312" w:cs="Times New Roman"/>
          <w:color w:val="auto"/>
          <w:spacing w:val="0"/>
          <w:szCs w:val="24"/>
        </w:rPr>
        <w:t>，进一步完善城市功能，改善人居环境，提升城市品质，传承历史文化，增强城市综合承载力和可持续发展能力</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建设特色鲜明、功能完善、生态优美、宜居宜业的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美丽县城</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w:t>
      </w:r>
    </w:p>
    <w:p w14:paraId="08DB033A">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w:t>
      </w:r>
      <w:r>
        <w:rPr>
          <w:rFonts w:hint="eastAsia" w:ascii="黑体" w:hAnsi="黑体" w:eastAsia="黑体" w:cs="黑体"/>
          <w:b w:val="0"/>
          <w:bCs/>
          <w:color w:val="auto"/>
          <w:spacing w:val="0"/>
          <w:szCs w:val="22"/>
          <w:lang w:eastAsia="zh-CN"/>
        </w:rPr>
        <w:t>推进</w:t>
      </w:r>
      <w:r>
        <w:rPr>
          <w:rFonts w:hint="eastAsia" w:ascii="黑体" w:hAnsi="黑体" w:eastAsia="黑体" w:cs="黑体"/>
          <w:b w:val="0"/>
          <w:bCs/>
          <w:color w:val="auto"/>
          <w:spacing w:val="0"/>
          <w:szCs w:val="22"/>
        </w:rPr>
        <w:t>县城提质扩容</w:t>
      </w:r>
    </w:p>
    <w:p w14:paraId="25D36D5F">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rPr>
        <w:t>围绕</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干净、宜居、特色、智慧</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四大要素，</w:t>
      </w:r>
      <w:r>
        <w:rPr>
          <w:rFonts w:hint="default" w:ascii="Times New Roman" w:hAnsi="Times New Roman" w:eastAsia="仿宋_GB2312" w:cs="Times New Roman"/>
          <w:color w:val="auto"/>
          <w:spacing w:val="0"/>
          <w:szCs w:val="24"/>
          <w:lang w:val="en-US" w:eastAsia="zh-CN"/>
        </w:rPr>
        <w:t>大力实施城市更新改造，</w:t>
      </w:r>
      <w:r>
        <w:rPr>
          <w:rFonts w:hint="default" w:ascii="Times New Roman" w:hAnsi="Times New Roman" w:eastAsia="仿宋_GB2312" w:cs="Times New Roman"/>
          <w:color w:val="auto"/>
          <w:spacing w:val="0"/>
          <w:szCs w:val="24"/>
        </w:rPr>
        <w:t>加快县城城镇化补短板强弱项</w:t>
      </w:r>
      <w:r>
        <w:rPr>
          <w:rFonts w:hint="default" w:ascii="Times New Roman" w:hAnsi="Times New Roman" w:eastAsia="仿宋_GB2312" w:cs="Times New Roman"/>
          <w:color w:val="auto"/>
          <w:spacing w:val="0"/>
          <w:szCs w:val="24"/>
          <w:lang w:eastAsia="zh-CN"/>
        </w:rPr>
        <w:t>建设</w:t>
      </w:r>
      <w:r>
        <w:rPr>
          <w:rFonts w:hint="default" w:ascii="Times New Roman" w:hAnsi="Times New Roman" w:eastAsia="仿宋_GB2312" w:cs="Times New Roman"/>
          <w:color w:val="auto"/>
          <w:spacing w:val="0"/>
          <w:szCs w:val="24"/>
        </w:rPr>
        <w:t>，聚焦功能优化完善、环境美化亮化、管理服务提升、民族文化保护等，搭建智慧化管理平台，高标准建设美丽</w:t>
      </w:r>
      <w:r>
        <w:rPr>
          <w:rFonts w:hint="default" w:ascii="Times New Roman" w:hAnsi="Times New Roman" w:eastAsia="仿宋_GB2312" w:cs="Times New Roman"/>
          <w:color w:val="auto"/>
          <w:spacing w:val="0"/>
          <w:szCs w:val="24"/>
          <w:lang w:val="en-US" w:eastAsia="zh-CN"/>
        </w:rPr>
        <w:t>县城</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抓好县城东</w:t>
      </w:r>
      <w:r>
        <w:rPr>
          <w:rFonts w:hint="default" w:ascii="Times New Roman" w:hAnsi="Times New Roman" w:eastAsia="仿宋_GB2312" w:cs="Times New Roman"/>
          <w:color w:val="auto"/>
          <w:spacing w:val="0"/>
          <w:szCs w:val="24"/>
          <w:lang w:eastAsia="zh-CN"/>
        </w:rPr>
        <w:t>片区</w:t>
      </w:r>
      <w:r>
        <w:rPr>
          <w:rFonts w:hint="default" w:ascii="Times New Roman" w:hAnsi="Times New Roman" w:eastAsia="仿宋_GB2312" w:cs="Times New Roman"/>
          <w:color w:val="auto"/>
          <w:spacing w:val="0"/>
          <w:szCs w:val="24"/>
        </w:rPr>
        <w:t>、西片区开发</w:t>
      </w:r>
      <w:r>
        <w:rPr>
          <w:rFonts w:hint="default" w:ascii="Times New Roman" w:hAnsi="Times New Roman" w:eastAsia="仿宋_GB2312" w:cs="Times New Roman"/>
          <w:color w:val="auto"/>
          <w:spacing w:val="0"/>
          <w:szCs w:val="24"/>
          <w:lang w:eastAsia="zh-CN"/>
        </w:rPr>
        <w:t>以及</w:t>
      </w:r>
      <w:r>
        <w:rPr>
          <w:rFonts w:hint="default" w:ascii="Times New Roman" w:hAnsi="Times New Roman" w:eastAsia="仿宋_GB2312" w:cs="Times New Roman"/>
          <w:color w:val="auto"/>
          <w:spacing w:val="0"/>
          <w:szCs w:val="24"/>
        </w:rPr>
        <w:t>南片区配套服务设施建设，推进</w:t>
      </w:r>
      <w:r>
        <w:rPr>
          <w:rFonts w:hint="default" w:ascii="Times New Roman" w:hAnsi="Times New Roman" w:eastAsia="仿宋_GB2312" w:cs="Times New Roman"/>
          <w:color w:val="auto"/>
          <w:spacing w:val="0"/>
          <w:szCs w:val="24"/>
          <w:lang w:eastAsia="zh-CN"/>
        </w:rPr>
        <w:t>环城北路</w:t>
      </w:r>
      <w:r>
        <w:rPr>
          <w:rFonts w:hint="default" w:ascii="Times New Roman" w:hAnsi="Times New Roman" w:eastAsia="仿宋_GB2312" w:cs="Times New Roman"/>
          <w:color w:val="auto"/>
          <w:spacing w:val="0"/>
          <w:szCs w:val="24"/>
        </w:rPr>
        <w:t>等重点项目建设</w:t>
      </w:r>
      <w:r>
        <w:rPr>
          <w:rFonts w:hint="default" w:ascii="Times New Roman" w:hAnsi="Times New Roman" w:eastAsia="仿宋_GB2312" w:cs="Times New Roman"/>
          <w:color w:val="auto"/>
          <w:spacing w:val="0"/>
          <w:szCs w:val="24"/>
          <w:lang w:eastAsia="zh-CN"/>
        </w:rPr>
        <w:t>，实现</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东拓、西扩、南延、北接</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的发展格局</w:t>
      </w:r>
      <w:r>
        <w:rPr>
          <w:rFonts w:hint="default" w:ascii="Times New Roman" w:hAnsi="Times New Roman" w:eastAsia="仿宋_GB2312" w:cs="Times New Roman"/>
          <w:color w:val="auto"/>
          <w:spacing w:val="0"/>
          <w:szCs w:val="24"/>
        </w:rPr>
        <w:t>。实施市政道路改扩建工程，打通断头路；建设新老城区连接线和新区内道路网，提高次干路和支路的密度。合理布局建设城市停车场和立体车库，推进智慧停车场建设。加强城市公园</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风情主题街区建设</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完善市政管网设施，加快地下综合管廊建设</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推进供水管网和排水设施改造与建设，实施排水系统雨污分流改造，加快推进海绵城市建设。加大垃圾分类、污水治理、非正规垃圾堆放点整治力度，持续推进公厕建设。加快新东进市场改造提升和桂山街道凤凰社区标准化农贸市场建设。统筹推进城镇老旧小区</w:t>
      </w:r>
      <w:r>
        <w:rPr>
          <w:rFonts w:hint="default" w:ascii="Times New Roman" w:hAnsi="Times New Roman" w:eastAsia="仿宋_GB2312" w:cs="Times New Roman"/>
          <w:color w:val="auto"/>
          <w:spacing w:val="0"/>
          <w:szCs w:val="24"/>
          <w:lang w:val="en-US" w:eastAsia="zh-CN"/>
        </w:rPr>
        <w:t>更新</w:t>
      </w:r>
      <w:r>
        <w:rPr>
          <w:rFonts w:hint="default" w:ascii="Times New Roman" w:hAnsi="Times New Roman" w:eastAsia="仿宋_GB2312" w:cs="Times New Roman"/>
          <w:color w:val="auto"/>
          <w:spacing w:val="0"/>
          <w:szCs w:val="24"/>
        </w:rPr>
        <w:t>改造，对有需求有条件的小区开展电梯安装，加快传统商圈提档升级及推进存量住房改造提升等。推进新平县人防机动指挥所建设，推动人防建设高质量发展。完善防灾减灾基础设施配套，加强救灾物资储备设施布局和建设，提高建筑物和基础设施抗灾害能力，合理布局和建设城乡应急避难场所，</w:t>
      </w:r>
      <w:r>
        <w:rPr>
          <w:rFonts w:hint="default" w:ascii="Times New Roman" w:hAnsi="Times New Roman" w:eastAsia="仿宋_GB2312" w:cs="Times New Roman"/>
          <w:color w:val="auto"/>
          <w:spacing w:val="0"/>
          <w:szCs w:val="24"/>
          <w:lang w:val="en-US" w:eastAsia="zh-CN"/>
        </w:rPr>
        <w:t>提升</w:t>
      </w:r>
      <w:r>
        <w:rPr>
          <w:rFonts w:hint="default" w:ascii="Times New Roman" w:hAnsi="Times New Roman" w:eastAsia="仿宋_GB2312" w:cs="Times New Roman"/>
          <w:color w:val="auto"/>
          <w:spacing w:val="0"/>
          <w:szCs w:val="24"/>
        </w:rPr>
        <w:t>城市空间韧性。</w:t>
      </w:r>
      <w:r>
        <w:rPr>
          <w:rFonts w:hint="default" w:ascii="Times New Roman" w:hAnsi="Times New Roman" w:eastAsia="仿宋_GB2312" w:cs="Times New Roman"/>
          <w:color w:val="auto"/>
          <w:spacing w:val="0"/>
          <w:szCs w:val="24"/>
          <w:lang w:eastAsia="zh-CN"/>
        </w:rPr>
        <w:t>到</w:t>
      </w:r>
      <w:r>
        <w:rPr>
          <w:rFonts w:hint="default" w:ascii="Times New Roman" w:hAnsi="Times New Roman" w:eastAsia="仿宋_GB2312" w:cs="Times New Roman"/>
          <w:color w:val="auto"/>
          <w:spacing w:val="0"/>
          <w:szCs w:val="24"/>
          <w:lang w:val="en-US" w:eastAsia="zh-CN"/>
        </w:rPr>
        <w:t>2025年，力争县城建成区面积达10平方公里，常住人口达10万人。</w:t>
      </w:r>
    </w:p>
    <w:p w14:paraId="55E26BD8">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二、着力提升城市风貌</w:t>
      </w:r>
    </w:p>
    <w:p w14:paraId="7E92C12D">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统筹协调城市形态格局、建筑风貌、街道立面、天际线、楼际线及色彩、标志系统，加强公共空间界面管控，塑造层次丰富、疏密有致、高低错落</w:t>
      </w:r>
      <w:r>
        <w:rPr>
          <w:rFonts w:hint="default" w:ascii="Times New Roman" w:hAnsi="Times New Roman" w:eastAsia="仿宋_GB2312" w:cs="Times New Roman"/>
          <w:color w:val="auto"/>
          <w:spacing w:val="0"/>
          <w:szCs w:val="24"/>
          <w:lang w:eastAsia="zh-CN"/>
        </w:rPr>
        <w:t>、鳞次栉比</w:t>
      </w:r>
      <w:r>
        <w:rPr>
          <w:rFonts w:hint="default" w:ascii="Times New Roman" w:hAnsi="Times New Roman" w:eastAsia="仿宋_GB2312" w:cs="Times New Roman"/>
          <w:color w:val="auto"/>
          <w:spacing w:val="0"/>
          <w:szCs w:val="24"/>
        </w:rPr>
        <w:t>的城市空间形态。加强城市设计</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鼓励推行城市总建筑师、驻点社区（乡镇）设计师制度。改造提升民族文化广场商业街、溪湖小镇特色街区等，完善综合配套服务设施；引进知名地方特色、老字号店铺和特色产品等，增强特色商业街的独特性和差异性，发展新型文旅商业消费集聚区。实施龙泉公园、桂山公园、花山公园提升改造工程，推进斗戛迎晖园、团结凤仪园、纳溪湿地公园等项目建设，提升城市宜居水平。加强平甸河等城市河湖监管，全面清理整治河湖管理范围内乱占、乱采、乱堆、乱建等</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四乱</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突出问题，消除城市黑臭水体。做好城区内重要历史建筑的保护和修缮工作，提升城市内涵。</w:t>
      </w:r>
    </w:p>
    <w:p w14:paraId="1275514F">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三、提升城市治理水平</w:t>
      </w:r>
    </w:p>
    <w:p w14:paraId="22CDE909">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lang w:eastAsia="zh-CN"/>
        </w:rPr>
        <w:t>增强经营城市理念，</w:t>
      </w:r>
      <w:r>
        <w:rPr>
          <w:rFonts w:hint="default" w:ascii="Times New Roman" w:hAnsi="Times New Roman" w:eastAsia="仿宋_GB2312" w:cs="Times New Roman"/>
          <w:color w:val="auto"/>
          <w:spacing w:val="0"/>
          <w:szCs w:val="24"/>
        </w:rPr>
        <w:t>强化城市精细化管理。加快建设县城智慧化管理大数据中心平台，有效整合城市管理领域信息系统和数据资源，加大城市数据共享开发力度，深化政务服务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一网通办</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、城市运行</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highlight w:val="none"/>
        </w:rPr>
        <w:t>一网统</w:t>
      </w:r>
      <w:r>
        <w:rPr>
          <w:rFonts w:hint="default" w:ascii="Times New Roman" w:hAnsi="Times New Roman" w:eastAsia="仿宋_GB2312" w:cs="Times New Roman"/>
          <w:color w:val="auto"/>
          <w:spacing w:val="0"/>
          <w:szCs w:val="24"/>
        </w:rPr>
        <w:t>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，提高城市运行效率。加强公共服务与</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一部手机</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系列应用、各行业重点服务应用的数据、业务对接，建设智慧城市。推进城管岗亭、社区工作站、便民窗口等便民服务平台建设，</w:t>
      </w:r>
      <w:r>
        <w:rPr>
          <w:rFonts w:hint="default" w:ascii="Times New Roman" w:hAnsi="Times New Roman" w:eastAsia="仿宋_GB2312" w:cs="Times New Roman"/>
          <w:color w:val="auto"/>
          <w:spacing w:val="0"/>
          <w:szCs w:val="24"/>
          <w:lang w:eastAsia="zh-CN"/>
        </w:rPr>
        <w:t>增强城市服务功能。</w:t>
      </w:r>
      <w:r>
        <w:rPr>
          <w:rFonts w:hint="default" w:ascii="Times New Roman" w:hAnsi="Times New Roman" w:eastAsia="仿宋_GB2312" w:cs="Times New Roman"/>
          <w:color w:val="auto"/>
          <w:spacing w:val="0"/>
          <w:szCs w:val="24"/>
        </w:rPr>
        <w:t>发挥城市管理服务热线、微信公众服务号功能，引导社会公众自觉维护和监督城市环境秩序。深化城市管理体制改革，形成齐抓共管的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大城管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格局。加强</w:t>
      </w:r>
      <w:r>
        <w:rPr>
          <w:rFonts w:hint="default" w:ascii="Times New Roman" w:hAnsi="Times New Roman" w:eastAsia="仿宋_GB2312" w:cs="Times New Roman"/>
          <w:color w:val="auto"/>
          <w:spacing w:val="0"/>
          <w:szCs w:val="24"/>
          <w:lang w:eastAsia="zh-CN"/>
        </w:rPr>
        <w:t>城市管理</w:t>
      </w:r>
      <w:r>
        <w:rPr>
          <w:rFonts w:hint="default" w:ascii="Times New Roman" w:hAnsi="Times New Roman" w:eastAsia="仿宋_GB2312" w:cs="Times New Roman"/>
          <w:color w:val="auto"/>
          <w:spacing w:val="0"/>
          <w:szCs w:val="24"/>
        </w:rPr>
        <w:t>专业化队伍建设，提升城市管理执法队伍专业素养。</w:t>
      </w:r>
    </w:p>
    <w:tbl>
      <w:tblPr>
        <w:tblStyle w:val="21"/>
        <w:tblW w:w="91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4"/>
      </w:tblGrid>
      <w:tr w14:paraId="7463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4" w:type="dxa"/>
            <w:tcBorders>
              <w:top w:val="single" w:color="4F81BD" w:sz="8" w:space="0"/>
              <w:left w:val="single" w:color="4F81BD" w:sz="8" w:space="0"/>
              <w:bottom w:val="single" w:color="4F81BD" w:sz="8" w:space="0"/>
              <w:right w:val="single" w:color="4F81BD" w:sz="8" w:space="0"/>
            </w:tcBorders>
            <w:shd w:val="clear" w:color="auto" w:fill="4F81BD"/>
            <w:vAlign w:val="top"/>
          </w:tcPr>
          <w:p w14:paraId="7EEFC3A7">
            <w:pPr>
              <w:pageBreakBefore w:val="0"/>
              <w:widowControl w:val="0"/>
              <w:kinsoku/>
              <w:wordWrap/>
              <w:overflowPunct/>
              <w:topLinePunct w:val="0"/>
              <w:autoSpaceDN/>
              <w:bidi w:val="0"/>
              <w:spacing w:line="500" w:lineRule="exact"/>
              <w:ind w:firstLine="0" w:firstLineChars="0"/>
              <w:jc w:val="center"/>
              <w:rPr>
                <w:rFonts w:hint="default" w:ascii="宋体" w:hAnsi="宋体" w:eastAsia="宋体" w:cs="宋体"/>
                <w:color w:val="auto"/>
                <w:spacing w:val="0"/>
                <w:sz w:val="28"/>
                <w:szCs w:val="28"/>
                <w:lang w:eastAsia="zh-CN"/>
              </w:rPr>
            </w:pPr>
            <w:r>
              <w:rPr>
                <w:rFonts w:hint="default" w:ascii="Times New Roman" w:hAnsi="Times New Roman" w:eastAsia="仿宋_GB2312" w:cs="Times New Roman"/>
                <w:b/>
                <w:bCs/>
                <w:color w:val="auto"/>
                <w:spacing w:val="0"/>
                <w:sz w:val="28"/>
                <w:szCs w:val="28"/>
              </w:rPr>
              <w:t>专栏</w:t>
            </w:r>
            <w:r>
              <w:rPr>
                <w:rFonts w:hint="default" w:ascii="Times New Roman" w:hAnsi="Times New Roman" w:eastAsia="仿宋_GB2312" w:cs="Times New Roman"/>
                <w:b/>
                <w:bCs/>
                <w:color w:val="auto"/>
                <w:spacing w:val="0"/>
                <w:sz w:val="28"/>
                <w:szCs w:val="28"/>
                <w:lang w:val="en-US" w:eastAsia="zh-CN"/>
              </w:rPr>
              <w:t>9</w:t>
            </w:r>
            <w:r>
              <w:rPr>
                <w:rFonts w:hint="default" w:ascii="Times New Roman" w:hAnsi="Times New Roman" w:eastAsia="仿宋_GB2312" w:cs="Times New Roman"/>
                <w:b/>
                <w:bCs/>
                <w:color w:val="auto"/>
                <w:spacing w:val="0"/>
                <w:sz w:val="28"/>
                <w:szCs w:val="28"/>
              </w:rPr>
              <w:t xml:space="preserve"> 县城城镇化补短板强弱项工程</w:t>
            </w:r>
          </w:p>
        </w:tc>
      </w:tr>
      <w:tr w14:paraId="606C4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4" w:type="dxa"/>
            <w:tcBorders>
              <w:top w:val="single" w:color="4F81BD" w:sz="8" w:space="0"/>
              <w:left w:val="single" w:color="4F81BD" w:sz="8" w:space="0"/>
              <w:bottom w:val="single" w:color="4F81BD" w:sz="8" w:space="0"/>
              <w:right w:val="single" w:color="4F81BD" w:sz="8" w:space="0"/>
            </w:tcBorders>
            <w:shd w:val="clear" w:color="auto" w:fill="FFFFFF"/>
            <w:vAlign w:val="top"/>
          </w:tcPr>
          <w:p w14:paraId="615B8109">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市政设施建设工程。</w:t>
            </w:r>
            <w:r>
              <w:rPr>
                <w:rFonts w:hint="default" w:ascii="Times New Roman" w:hAnsi="Times New Roman" w:eastAsia="仿宋_GB2312" w:cs="Times New Roman"/>
                <w:color w:val="auto"/>
                <w:spacing w:val="0"/>
                <w:sz w:val="28"/>
                <w:szCs w:val="28"/>
              </w:rPr>
              <w:t>加快推进</w:t>
            </w:r>
            <w:r>
              <w:rPr>
                <w:rFonts w:hint="default" w:ascii="Times New Roman" w:hAnsi="Times New Roman" w:eastAsia="仿宋_GB2312" w:cs="Times New Roman"/>
                <w:color w:val="auto"/>
                <w:spacing w:val="0"/>
                <w:sz w:val="28"/>
                <w:szCs w:val="28"/>
                <w:lang w:eastAsia="zh-CN"/>
              </w:rPr>
              <w:t>美丽县城项目建设</w:t>
            </w:r>
            <w:r>
              <w:rPr>
                <w:rFonts w:hint="default" w:ascii="Times New Roman" w:hAnsi="Times New Roman" w:eastAsia="仿宋_GB2312" w:cs="Times New Roman"/>
                <w:color w:val="auto"/>
                <w:spacing w:val="0"/>
                <w:sz w:val="28"/>
                <w:szCs w:val="28"/>
              </w:rPr>
              <w:t>，实施G323过境公路</w:t>
            </w:r>
            <w:r>
              <w:rPr>
                <w:rFonts w:hint="default" w:ascii="Times New Roman" w:hAnsi="Times New Roman"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环城北路</w:t>
            </w:r>
            <w:r>
              <w:rPr>
                <w:rFonts w:hint="default" w:ascii="Times New Roman" w:hAnsi="Times New Roman"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新平大道、花山东路等市政道路改扩建工程，新建花山东路、溪湖路延长线、规划二号路、规划一号路等13条市政道路，构建快速路、主次干路和支路级配合理的城市路网系统。加快完成县城污水处理厂改扩建、餐厨垃圾末端处理、智慧停车等项目建设，推进垃圾分类及环卫园林市场化服务。改造县城垃圾填埋场处理工艺，扩大生活垃圾处理能力，建设配套的垃圾分类处理设备，打造一体化的垃圾分类处置体系，推进县城供水设施及配套管网建设。</w:t>
            </w:r>
          </w:p>
          <w:p w14:paraId="776FEE2C">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城镇老旧小区改造工程。</w:t>
            </w:r>
            <w:r>
              <w:rPr>
                <w:rFonts w:hint="default" w:ascii="Times New Roman" w:hAnsi="Times New Roman" w:eastAsia="仿宋_GB2312" w:cs="Times New Roman"/>
                <w:color w:val="auto"/>
                <w:spacing w:val="0"/>
                <w:sz w:val="28"/>
                <w:szCs w:val="28"/>
              </w:rPr>
              <w:t>对现有</w:t>
            </w:r>
            <w:r>
              <w:rPr>
                <w:rFonts w:hint="default" w:ascii="Times New Roman" w:hAnsi="Times New Roman" w:eastAsia="仿宋_GB2312" w:cs="Times New Roman"/>
                <w:color w:val="auto"/>
                <w:spacing w:val="0"/>
                <w:sz w:val="28"/>
                <w:szCs w:val="28"/>
                <w:lang w:val="en-US" w:eastAsia="zh-CN"/>
              </w:rPr>
              <w:t>55</w:t>
            </w:r>
            <w:r>
              <w:rPr>
                <w:rFonts w:hint="default" w:ascii="Times New Roman" w:hAnsi="Times New Roman" w:eastAsia="仿宋_GB2312" w:cs="Times New Roman"/>
                <w:color w:val="auto"/>
                <w:spacing w:val="0"/>
                <w:sz w:val="28"/>
                <w:szCs w:val="28"/>
              </w:rPr>
              <w:t>个老旧小区进行基础设施配套，强化供水、排水、道路、电梯等相关设施改造及停车场建设等，推动建设安全健康、设施完善、管理有序的完整居住社区。到2025年，全面完成2000年底前建成的需改造城镇老旧小区改造任务。</w:t>
            </w:r>
          </w:p>
          <w:p w14:paraId="7BB8ACF9">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城市风貌提升工程。</w:t>
            </w:r>
            <w:r>
              <w:rPr>
                <w:rFonts w:hint="default" w:ascii="Times New Roman" w:hAnsi="Times New Roman" w:eastAsia="仿宋_GB2312" w:cs="Times New Roman"/>
                <w:color w:val="auto"/>
                <w:spacing w:val="0"/>
                <w:sz w:val="28"/>
                <w:szCs w:val="28"/>
              </w:rPr>
              <w:t>有序推进各类架空管线入廊入地，治理非法小广告，着力解决城市</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空中蜘蛛网</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牛皮癣</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等视觉污染。依法依规清理拆除</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两违</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建筑，整治乱搭乱建问题，利用城市边角地、夹角地建设社区体育文化休闲公园。推进富春街民居、鲁贤街清真寺、顺城街1号民居、富昌隆商号、中街53号民居、富春街9号民居等市</w:t>
            </w:r>
            <w:r>
              <w:rPr>
                <w:rFonts w:hint="default" w:ascii="Times New Roman" w:hAnsi="Times New Roman" w:eastAsia="仿宋_GB2312" w:cs="Times New Roman"/>
                <w:color w:val="auto"/>
                <w:spacing w:val="0"/>
                <w:sz w:val="28"/>
                <w:szCs w:val="28"/>
                <w:lang w:val="en-US" w:eastAsia="zh-CN"/>
              </w:rPr>
              <w:t>级</w:t>
            </w:r>
            <w:r>
              <w:rPr>
                <w:rFonts w:hint="default" w:ascii="Times New Roman" w:hAnsi="Times New Roman"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县</w:t>
            </w:r>
            <w:r>
              <w:rPr>
                <w:rFonts w:hint="default" w:ascii="Times New Roman" w:hAnsi="Times New Roman" w:eastAsia="仿宋_GB2312" w:cs="Times New Roman"/>
                <w:color w:val="auto"/>
                <w:spacing w:val="0"/>
                <w:sz w:val="28"/>
                <w:szCs w:val="28"/>
                <w:lang w:val="en-US" w:eastAsia="zh-CN"/>
              </w:rPr>
              <w:t>级</w:t>
            </w:r>
            <w:r>
              <w:rPr>
                <w:rFonts w:hint="default" w:ascii="Times New Roman" w:hAnsi="Times New Roman" w:eastAsia="仿宋_GB2312" w:cs="Times New Roman"/>
                <w:color w:val="auto"/>
                <w:spacing w:val="0"/>
                <w:sz w:val="28"/>
                <w:szCs w:val="28"/>
              </w:rPr>
              <w:t>文物保护单位（点）的保护和修缮工作，传承历史文脉。</w:t>
            </w:r>
          </w:p>
          <w:p w14:paraId="4756F592">
            <w:pPr>
              <w:pageBreakBefore w:val="0"/>
              <w:widowControl w:val="0"/>
              <w:kinsoku/>
              <w:wordWrap/>
              <w:overflowPunct/>
              <w:topLinePunct w:val="0"/>
              <w:autoSpaceDN/>
              <w:bidi w:val="0"/>
              <w:spacing w:line="500" w:lineRule="exact"/>
              <w:ind w:firstLine="606"/>
              <w:rPr>
                <w:rFonts w:ascii="宋体" w:hAnsi="宋体" w:eastAsia="宋体" w:cs="宋体"/>
                <w:color w:val="auto"/>
                <w:spacing w:val="0"/>
                <w:sz w:val="28"/>
                <w:szCs w:val="28"/>
              </w:rPr>
            </w:pPr>
            <w:r>
              <w:rPr>
                <w:rFonts w:hint="default" w:ascii="Times New Roman" w:hAnsi="Times New Roman" w:eastAsia="仿宋_GB2312" w:cs="Times New Roman"/>
                <w:b/>
                <w:bCs/>
                <w:color w:val="auto"/>
                <w:spacing w:val="0"/>
                <w:sz w:val="28"/>
                <w:szCs w:val="28"/>
              </w:rPr>
              <w:t>智慧城市建设管理工程。</w:t>
            </w:r>
            <w:r>
              <w:rPr>
                <w:rFonts w:hint="default" w:ascii="Times New Roman" w:hAnsi="Times New Roman" w:eastAsia="仿宋_GB2312" w:cs="Times New Roman"/>
                <w:color w:val="auto"/>
                <w:spacing w:val="0"/>
                <w:sz w:val="28"/>
                <w:szCs w:val="28"/>
              </w:rPr>
              <w:t>建立智慧路灯管理系统，实现路灯照明控制自动化、智能化、智慧化。升级数字城管中心功能，提高城市管理智慧化程度。</w:t>
            </w:r>
          </w:p>
        </w:tc>
      </w:tr>
    </w:tbl>
    <w:p w14:paraId="07E0A770">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66" w:name="_Toc4303"/>
      <w:bookmarkStart w:id="67" w:name="_Toc4389"/>
      <w:r>
        <w:rPr>
          <w:rFonts w:hint="eastAsia" w:ascii="黑体" w:hAnsi="黑体" w:eastAsia="黑体" w:cs="黑体"/>
          <w:b/>
          <w:bCs w:val="0"/>
          <w:color w:val="auto"/>
          <w:spacing w:val="0"/>
          <w:szCs w:val="32"/>
          <w:lang w:val="en-US" w:eastAsia="zh-CN"/>
        </w:rPr>
        <w:t>第二节  积极支持小城镇发展</w:t>
      </w:r>
      <w:bookmarkEnd w:id="66"/>
      <w:bookmarkEnd w:id="67"/>
    </w:p>
    <w:p w14:paraId="5DA5DB1D">
      <w:pPr>
        <w:keepNext w:val="0"/>
        <w:keepLines w:val="0"/>
        <w:pageBreakBefore w:val="0"/>
        <w:widowControl w:val="0"/>
        <w:kinsoku/>
        <w:wordWrap/>
        <w:overflowPunct/>
        <w:topLinePunct w:val="0"/>
        <w:autoSpaceDN/>
        <w:bidi w:val="0"/>
        <w:spacing w:before="0" w:after="0"/>
        <w:ind w:firstLine="0"/>
        <w:outlineLvl w:val="9"/>
        <w:rPr>
          <w:rFonts w:hint="eastAsia" w:eastAsia="仿宋_GB2312"/>
          <w:color w:val="auto"/>
          <w:spacing w:val="0"/>
          <w:szCs w:val="24"/>
          <w:lang w:val="en-US" w:eastAsia="zh-CN"/>
        </w:rPr>
      </w:pPr>
      <w:r>
        <w:rPr>
          <w:rFonts w:hint="default" w:eastAsia="仿宋_GB2312"/>
          <w:color w:val="auto"/>
          <w:spacing w:val="0"/>
          <w:szCs w:val="24"/>
        </w:rPr>
        <w:t>坚持</w:t>
      </w:r>
      <w:r>
        <w:rPr>
          <w:rFonts w:hint="eastAsia" w:eastAsia="仿宋_GB2312"/>
          <w:color w:val="auto"/>
          <w:spacing w:val="0"/>
          <w:szCs w:val="24"/>
          <w:lang w:val="en-US" w:eastAsia="zh-CN"/>
        </w:rPr>
        <w:t>以</w:t>
      </w:r>
      <w:r>
        <w:rPr>
          <w:rFonts w:hint="default" w:eastAsia="仿宋_GB2312"/>
          <w:color w:val="auto"/>
          <w:spacing w:val="0"/>
          <w:szCs w:val="24"/>
        </w:rPr>
        <w:t>城镇高质量发展为导向，</w:t>
      </w:r>
      <w:r>
        <w:rPr>
          <w:rFonts w:hint="eastAsia" w:eastAsia="仿宋_GB2312"/>
          <w:color w:val="auto"/>
          <w:spacing w:val="0"/>
          <w:szCs w:val="24"/>
          <w:lang w:val="en-US" w:eastAsia="zh-CN"/>
        </w:rPr>
        <w:t>强化对集镇、特色小镇</w:t>
      </w:r>
      <w:r>
        <w:rPr>
          <w:rFonts w:hint="default" w:eastAsia="仿宋_GB2312"/>
          <w:color w:val="auto"/>
          <w:spacing w:val="0"/>
          <w:szCs w:val="24"/>
        </w:rPr>
        <w:t>顶层设计、激励约束和规范管理</w:t>
      </w:r>
      <w:r>
        <w:rPr>
          <w:rFonts w:hint="eastAsia" w:eastAsia="仿宋_GB2312"/>
          <w:color w:val="auto"/>
          <w:spacing w:val="0"/>
          <w:szCs w:val="24"/>
          <w:lang w:eastAsia="zh-CN"/>
        </w:rPr>
        <w:t>，</w:t>
      </w:r>
      <w:r>
        <w:rPr>
          <w:rFonts w:hint="eastAsia" w:eastAsia="仿宋_GB2312"/>
          <w:color w:val="auto"/>
          <w:spacing w:val="0"/>
          <w:szCs w:val="24"/>
        </w:rPr>
        <w:t>完善城镇功能</w:t>
      </w:r>
      <w:r>
        <w:rPr>
          <w:rFonts w:hint="eastAsia" w:eastAsia="仿宋_GB2312"/>
          <w:color w:val="auto"/>
          <w:spacing w:val="0"/>
          <w:szCs w:val="24"/>
          <w:lang w:eastAsia="zh-CN"/>
        </w:rPr>
        <w:t>，</w:t>
      </w:r>
      <w:r>
        <w:rPr>
          <w:rFonts w:hint="eastAsia" w:eastAsia="仿宋_GB2312"/>
          <w:color w:val="auto"/>
          <w:spacing w:val="0"/>
          <w:szCs w:val="24"/>
        </w:rPr>
        <w:t>推进城镇化健康发展</w:t>
      </w:r>
      <w:r>
        <w:rPr>
          <w:rFonts w:hint="eastAsia" w:eastAsia="仿宋_GB2312"/>
          <w:color w:val="auto"/>
          <w:spacing w:val="0"/>
          <w:szCs w:val="24"/>
          <w:lang w:eastAsia="zh-CN"/>
        </w:rPr>
        <w:t>。</w:t>
      </w:r>
    </w:p>
    <w:p w14:paraId="556F8664">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一、提升集镇建设水平</w:t>
      </w:r>
    </w:p>
    <w:p w14:paraId="788191A4">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t>发挥集镇在</w:t>
      </w:r>
      <w:r>
        <w:rPr>
          <w:rFonts w:hint="default" w:ascii="Times New Roman" w:hAnsi="Times New Roman" w:eastAsia="仿宋_GB2312" w:cs="Times New Roman"/>
          <w:color w:val="auto"/>
          <w:spacing w:val="0"/>
          <w:szCs w:val="24"/>
          <w:highlight w:val="none"/>
          <w:lang w:eastAsia="zh-CN"/>
        </w:rPr>
        <w:t>联接</w:t>
      </w:r>
      <w:r>
        <w:rPr>
          <w:rFonts w:hint="default" w:ascii="Times New Roman" w:hAnsi="Times New Roman" w:eastAsia="仿宋_GB2312" w:cs="Times New Roman"/>
          <w:color w:val="auto"/>
          <w:spacing w:val="0"/>
          <w:szCs w:val="24"/>
          <w:lang w:eastAsia="zh-CN"/>
        </w:rPr>
        <w:t>城乡发展中的纽带作用，按集镇规模等级和区位优势，引导集镇错位发展、分类发展，推动资源丰富、产业基础好的重点镇和特色镇聚焦主导产业，突出特色服务，提升集镇综合功能。加强戛洒核心城镇、扬武和漠沙重点城镇建设，强化腰街片区在戛洒镇域内的次集镇功能，分类推进其他集镇基础设施完善和人居环境整治，加强以乡镇政府驻地为中心的居民生活圈建设，增强集镇的综合服务功能和人口聚集能力。推进戛洒镇经济发达镇行政管理体制改革，打造发展速度快、带动作用强的县域经济社会次中心，以镇域经济增长更好地激发县域经济发展活力。加强集镇道路交通、污水垃圾设施、电力电信、物流配套设施、综合防灾等基础设施建设，加快补齐集镇基础设施短板。推进环境综合整治，提升宜居水平。因地制宜布局和建设面向社区、功能复合、便民惠民</w:t>
      </w:r>
      <w:r>
        <w:rPr>
          <w:rFonts w:hint="default" w:ascii="Times New Roman" w:hAnsi="Times New Roman" w:eastAsia="仿宋_GB2312" w:cs="Times New Roman"/>
          <w:color w:val="auto"/>
          <w:spacing w:val="0"/>
          <w:szCs w:val="24"/>
          <w:lang w:val="en-US" w:eastAsia="zh-CN"/>
        </w:rPr>
        <w:t>的</w:t>
      </w:r>
      <w:r>
        <w:rPr>
          <w:rFonts w:hint="default" w:ascii="Times New Roman" w:hAnsi="Times New Roman" w:eastAsia="仿宋_GB2312" w:cs="Times New Roman"/>
          <w:color w:val="auto"/>
          <w:spacing w:val="0"/>
          <w:szCs w:val="24"/>
          <w:lang w:eastAsia="zh-CN"/>
        </w:rPr>
        <w:t>商贸中心、邻里中心，引进品牌连锁超市。加大农贸市场改造提升力度，规范集镇农贸市场管理，因地制宜发展专业市场。加强文化站、特色文化广场、体育场馆等文体场所建设。完善教育、医疗、养老等公共服务设施，引导公共服务设施向农村延伸，提升集镇综合服务水平。</w:t>
      </w:r>
    </w:p>
    <w:p w14:paraId="7264BA95">
      <w:pPr>
        <w:keepNext/>
        <w:keepLines/>
        <w:pageBreakBefore w:val="0"/>
        <w:widowControl w:val="0"/>
        <w:tabs>
          <w:tab w:val="center" w:pos="4156"/>
        </w:tabs>
        <w:kinsoku/>
        <w:wordWrap/>
        <w:overflowPunct/>
        <w:topLinePunct w:val="0"/>
        <w:autoSpaceDN/>
        <w:bidi w:val="0"/>
        <w:spacing w:before="60" w:after="60"/>
        <w:ind w:firstLine="687"/>
        <w:outlineLvl w:val="2"/>
        <w:rPr>
          <w:rFonts w:hint="default" w:ascii="Times New Roman" w:hAnsi="Times New Roman" w:eastAsia="方正楷体_GBK" w:cs="Times New Roman"/>
          <w:b/>
          <w:color w:val="auto"/>
          <w:spacing w:val="0"/>
          <w:szCs w:val="22"/>
        </w:rPr>
      </w:pPr>
      <w:r>
        <w:rPr>
          <w:rFonts w:hint="eastAsia" w:ascii="黑体" w:hAnsi="黑体" w:eastAsia="黑体" w:cs="黑体"/>
          <w:b w:val="0"/>
          <w:bCs/>
          <w:color w:val="auto"/>
          <w:spacing w:val="0"/>
          <w:szCs w:val="22"/>
        </w:rPr>
        <w:t>二、提升特色小镇创建质量</w:t>
      </w:r>
    </w:p>
    <w:p w14:paraId="6C4ED169">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t>按照</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彰显特色、打造产业、创新智慧、追求卓越</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要求，聚焦</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特色、产业、生态、易达、宜居、智慧、成网</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七大要素，巩固提升新平戛洒花</w:t>
      </w:r>
      <w:r>
        <w:rPr>
          <w:rFonts w:hint="default" w:ascii="Times New Roman" w:hAnsi="Times New Roman" w:eastAsia="仿宋_GB2312" w:cs="Times New Roman"/>
          <w:color w:val="auto"/>
          <w:spacing w:val="0"/>
          <w:szCs w:val="24"/>
          <w:highlight w:val="none"/>
          <w:lang w:eastAsia="zh-CN"/>
        </w:rPr>
        <w:t>腰傣</w:t>
      </w:r>
      <w:r>
        <w:rPr>
          <w:rFonts w:hint="default" w:ascii="Times New Roman" w:hAnsi="Times New Roman" w:eastAsia="仿宋_GB2312" w:cs="Times New Roman"/>
          <w:color w:val="auto"/>
          <w:spacing w:val="0"/>
          <w:szCs w:val="24"/>
          <w:lang w:eastAsia="zh-CN"/>
        </w:rPr>
        <w:t>风情小镇创建成果，持续推进漠沙</w:t>
      </w:r>
      <w:r>
        <w:rPr>
          <w:rFonts w:hint="default" w:ascii="Times New Roman" w:hAnsi="Times New Roman" w:eastAsia="仿宋_GB2312" w:cs="Times New Roman"/>
          <w:color w:val="auto"/>
          <w:spacing w:val="0"/>
          <w:szCs w:val="24"/>
          <w:lang w:val="en-US" w:eastAsia="zh-CN"/>
        </w:rPr>
        <w:t>农旅</w:t>
      </w:r>
      <w:r>
        <w:rPr>
          <w:rFonts w:hint="default" w:ascii="Times New Roman" w:hAnsi="Times New Roman" w:eastAsia="仿宋_GB2312" w:cs="Times New Roman"/>
          <w:color w:val="auto"/>
          <w:spacing w:val="0"/>
          <w:szCs w:val="24"/>
          <w:lang w:eastAsia="zh-CN"/>
        </w:rPr>
        <w:t>田园小镇、</w:t>
      </w:r>
      <w:r>
        <w:rPr>
          <w:rFonts w:hint="default" w:ascii="Times New Roman" w:hAnsi="Times New Roman" w:eastAsia="仿宋_GB2312" w:cs="Times New Roman"/>
          <w:color w:val="auto"/>
          <w:spacing w:val="0"/>
          <w:szCs w:val="24"/>
          <w:lang w:val="en-US" w:eastAsia="zh-CN"/>
        </w:rPr>
        <w:t>大开门产城融合示范小镇、滇中国际商旅驿站小镇、新平县橙韵商旅小镇、</w:t>
      </w:r>
      <w:r>
        <w:rPr>
          <w:rFonts w:hint="default" w:ascii="Times New Roman" w:hAnsi="Times New Roman" w:eastAsia="仿宋_GB2312" w:cs="Times New Roman"/>
          <w:color w:val="auto"/>
          <w:spacing w:val="0"/>
          <w:szCs w:val="24"/>
          <w:lang w:eastAsia="zh-CN"/>
        </w:rPr>
        <w:t>磨盘山森林康养小镇等一批产业特色鲜明、人文底蕴浓厚、服务设施完善、生态环境优美的特色小镇建设。聚焦主导产业，叠加现代社区、文化、旅游等功能，丰富特色小镇产品供给，提高特色小镇的吸引力。推进特色小镇市场化运作，探索可持续的投融资模式和盈利模式，带动中小微企业联动发展。推进特色小镇接入</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一部手机游云南</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一部手机云品荟</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一部手机办事通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平台，打造</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云上特色小镇</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E348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574F4966">
            <w:pPr>
              <w:pageBreakBefore w:val="0"/>
              <w:widowControl w:val="0"/>
              <w:kinsoku/>
              <w:wordWrap/>
              <w:overflowPunct/>
              <w:topLinePunct w:val="0"/>
              <w:autoSpaceDN/>
              <w:bidi w:val="0"/>
              <w:spacing w:line="500" w:lineRule="exact"/>
              <w:ind w:firstLine="0" w:firstLineChars="0"/>
              <w:jc w:val="center"/>
              <w:rPr>
                <w:rFonts w:ascii="宋体" w:hAnsi="宋体" w:eastAsia="宋体" w:cs="宋体"/>
                <w:color w:val="auto"/>
                <w:spacing w:val="0"/>
                <w:sz w:val="28"/>
                <w:szCs w:val="28"/>
              </w:rPr>
            </w:pPr>
            <w:r>
              <w:rPr>
                <w:rFonts w:hint="default" w:ascii="Times New Roman" w:hAnsi="Times New Roman" w:eastAsia="仿宋_GB2312" w:cs="Times New Roman"/>
                <w:b/>
                <w:bCs/>
                <w:color w:val="auto"/>
                <w:spacing w:val="0"/>
                <w:sz w:val="28"/>
                <w:szCs w:val="28"/>
              </w:rPr>
              <w:t>专栏</w:t>
            </w:r>
            <w:r>
              <w:rPr>
                <w:rFonts w:hint="default" w:ascii="Times New Roman" w:hAnsi="Times New Roman" w:eastAsia="仿宋_GB2312" w:cs="Times New Roman"/>
                <w:b/>
                <w:bCs/>
                <w:color w:val="auto"/>
                <w:spacing w:val="0"/>
                <w:sz w:val="28"/>
                <w:szCs w:val="28"/>
                <w:lang w:val="en-US" w:eastAsia="zh-CN"/>
              </w:rPr>
              <w:t>10</w:t>
            </w:r>
            <w:r>
              <w:rPr>
                <w:rFonts w:hint="default" w:ascii="Times New Roman" w:hAnsi="Times New Roman" w:eastAsia="仿宋_GB2312" w:cs="Times New Roman"/>
                <w:b/>
                <w:bCs/>
                <w:color w:val="auto"/>
                <w:spacing w:val="0"/>
                <w:sz w:val="28"/>
                <w:szCs w:val="28"/>
              </w:rPr>
              <w:t xml:space="preserve">  集镇建设工程</w:t>
            </w:r>
          </w:p>
        </w:tc>
      </w:tr>
      <w:tr w14:paraId="76E0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4297FD73">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扬武镇。</w:t>
            </w:r>
            <w:r>
              <w:rPr>
                <w:rFonts w:hint="default" w:ascii="Times New Roman" w:hAnsi="Times New Roman" w:eastAsia="仿宋_GB2312" w:cs="Times New Roman"/>
                <w:color w:val="auto"/>
                <w:spacing w:val="0"/>
                <w:sz w:val="28"/>
                <w:szCs w:val="28"/>
              </w:rPr>
              <w:t>实施集镇</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两污</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、生活垃圾热解气化处理场、污水处理厂建设项目，推进老城区改造，不断完善集镇服务功能。加强路网建设，实施扬武</w:t>
            </w:r>
            <w:r>
              <w:rPr>
                <w:rFonts w:hint="default" w:ascii="Times New Roman" w:hAnsi="Times New Roman"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赵米克</w:t>
            </w:r>
            <w:r>
              <w:rPr>
                <w:rFonts w:hint="default" w:ascii="Times New Roman" w:hAnsi="Times New Roman"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大新路等10个道路建设工程，加快推进石屏宝秀至大开门等高速公路建设前期工作。</w:t>
            </w:r>
          </w:p>
          <w:p w14:paraId="4E372B32">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lang w:eastAsia="zh-CN"/>
              </w:rPr>
              <w:t>戛洒</w:t>
            </w:r>
            <w:r>
              <w:rPr>
                <w:rFonts w:hint="default" w:ascii="Times New Roman" w:hAnsi="Times New Roman" w:eastAsia="仿宋_GB2312" w:cs="Times New Roman"/>
                <w:b/>
                <w:bCs/>
                <w:color w:val="auto"/>
                <w:spacing w:val="0"/>
                <w:sz w:val="28"/>
                <w:szCs w:val="28"/>
              </w:rPr>
              <w:t>镇。</w:t>
            </w:r>
            <w:r>
              <w:rPr>
                <w:rFonts w:hint="default" w:ascii="Times New Roman" w:hAnsi="Times New Roman" w:eastAsia="仿宋_GB2312" w:cs="Times New Roman"/>
                <w:color w:val="auto"/>
                <w:spacing w:val="0"/>
                <w:sz w:val="28"/>
                <w:szCs w:val="28"/>
              </w:rPr>
              <w:t>加快推进欢乐水世界项目、液压坝工程、戛洒镇入城景观大道、</w:t>
            </w:r>
            <w:r>
              <w:rPr>
                <w:rFonts w:hint="default" w:ascii="Times New Roman" w:hAnsi="Times New Roman" w:eastAsia="仿宋_GB2312" w:cs="Times New Roman"/>
                <w:color w:val="auto"/>
                <w:spacing w:val="0"/>
                <w:sz w:val="28"/>
                <w:szCs w:val="28"/>
                <w:lang w:eastAsia="zh-CN"/>
              </w:rPr>
              <w:t>外滩温泉康养小镇</w:t>
            </w:r>
            <w:r>
              <w:rPr>
                <w:rFonts w:hint="default" w:ascii="Times New Roman" w:hAnsi="Times New Roman" w:eastAsia="仿宋_GB2312" w:cs="Times New Roman"/>
                <w:color w:val="auto"/>
                <w:spacing w:val="0"/>
                <w:sz w:val="28"/>
                <w:szCs w:val="28"/>
              </w:rPr>
              <w:t>等重点项目建设，将戛洒建设成为全省一流旅游休闲小镇，小镇核心区达到4A级旅游景区标准。</w:t>
            </w:r>
          </w:p>
          <w:p w14:paraId="1597CB79">
            <w:pPr>
              <w:pageBreakBefore w:val="0"/>
              <w:widowControl w:val="0"/>
              <w:kinsoku/>
              <w:wordWrap/>
              <w:overflowPunct/>
              <w:topLinePunct w:val="0"/>
              <w:autoSpaceDN/>
              <w:bidi w:val="0"/>
              <w:spacing w:line="500" w:lineRule="exact"/>
              <w:ind w:firstLine="606"/>
              <w:rPr>
                <w:rFonts w:ascii="宋体" w:hAnsi="宋体" w:eastAsia="宋体" w:cs="宋体"/>
                <w:color w:val="auto"/>
                <w:spacing w:val="0"/>
                <w:sz w:val="28"/>
                <w:szCs w:val="28"/>
              </w:rPr>
            </w:pPr>
            <w:r>
              <w:rPr>
                <w:rFonts w:hint="default" w:ascii="Times New Roman" w:hAnsi="Times New Roman" w:eastAsia="仿宋_GB2312" w:cs="Times New Roman"/>
                <w:b/>
                <w:bCs/>
                <w:color w:val="auto"/>
                <w:spacing w:val="0"/>
                <w:sz w:val="28"/>
                <w:szCs w:val="28"/>
              </w:rPr>
              <w:t>水塘镇。</w:t>
            </w:r>
            <w:r>
              <w:rPr>
                <w:rFonts w:hint="default" w:ascii="Times New Roman" w:hAnsi="Times New Roman" w:eastAsia="仿宋_GB2312" w:cs="Times New Roman"/>
                <w:color w:val="auto"/>
                <w:spacing w:val="0"/>
                <w:sz w:val="28"/>
                <w:szCs w:val="28"/>
              </w:rPr>
              <w:t>实施哪得龙大道建设项目，加快产业园区开发。持续做好波村大寨、岭岗田小组地质灾害搬迁工程建设服务工作，不断扩大集镇规模，提高集镇承载能力。</w:t>
            </w:r>
          </w:p>
        </w:tc>
      </w:tr>
    </w:tbl>
    <w:p w14:paraId="34EF0700">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68" w:name="_Toc24660"/>
      <w:bookmarkStart w:id="69" w:name="_Toc2191"/>
      <w:r>
        <w:rPr>
          <w:rFonts w:hint="eastAsia" w:ascii="黑体" w:hAnsi="黑体" w:eastAsia="黑体" w:cs="黑体"/>
          <w:b/>
          <w:bCs w:val="0"/>
          <w:color w:val="auto"/>
          <w:spacing w:val="0"/>
          <w:szCs w:val="32"/>
          <w:lang w:val="en-US" w:eastAsia="zh-CN"/>
        </w:rPr>
        <w:t>第三节  有序推进农业转移人口市民化</w:t>
      </w:r>
      <w:bookmarkEnd w:id="68"/>
      <w:bookmarkEnd w:id="69"/>
    </w:p>
    <w:p w14:paraId="0FD5D489">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t>持续深化户籍制度改革，全面放开城区、城镇户口迁移政策，推动县城区和其他建制镇全面放开落户限制，简化户籍迁移手续，有效提高落户便利度。探索建立以经常居住地登记户口的政策措施，促进居住证制度和户籍制度有机融合并轨。推动实现居住证制度对未落户城镇常住人口全覆盖，提高常住人口公共服务化水平。全面落实居住证制度，推动常住人口享有与户籍人口同等的教育、就业创业、社会保险、医疗卫生、住房保障等基本公共服务。提升农业转移人口就业技能，进一步完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三挂钩一维护</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等配套政策，切实提升农业转移人口市民化质量。农业人口转移向城镇、产业聚集区、交通主干线集中。加快构建以公租房、保障性租赁住房和共有产权住房为主体的住房保障体系，有效增加保障性住房供给。强化就业创业服务，有针对性地开展职业技能培训，提升劳动者职业技能水平，提高农业转移人口全面融入城镇的能力。落实</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人地钱</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挂钩机制，完善农业转移人口市民化的转移支付分配办法，实施农业转移人口市民化财政奖励政策；全面落实城镇建设用地增加规模与吸纳农业转移人口落户数量挂钩政策；落实基建投资安排向吸纳农业转移人口落户数量较多城镇倾斜。</w:t>
      </w:r>
    </w:p>
    <w:p w14:paraId="2C775015">
      <w:pPr>
        <w:pageBreakBefore w:val="0"/>
        <w:widowControl/>
        <w:kinsoku/>
        <w:wordWrap/>
        <w:overflowPunct/>
        <w:topLinePunct w:val="0"/>
        <w:autoSpaceDN/>
        <w:bidi w:val="0"/>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br w:type="page"/>
      </w:r>
    </w:p>
    <w:p w14:paraId="2AF0AFA3">
      <w:pPr>
        <w:pStyle w:val="3"/>
        <w:pageBreakBefore w:val="0"/>
        <w:widowControl w:val="0"/>
        <w:kinsoku/>
        <w:wordWrap/>
        <w:overflowPunct/>
        <w:topLinePunct w:val="0"/>
        <w:autoSpaceDN/>
        <w:bidi w:val="0"/>
        <w:rPr>
          <w:rFonts w:hint="eastAsia"/>
          <w:spacing w:val="0"/>
          <w:lang w:val="en-US" w:eastAsia="zh-CN"/>
        </w:rPr>
      </w:pPr>
      <w:bookmarkStart w:id="70" w:name="_Toc13384"/>
      <w:bookmarkStart w:id="71" w:name="_Toc18400"/>
      <w:bookmarkStart w:id="72" w:name="_Toc32219"/>
      <w:bookmarkStart w:id="73" w:name="_Toc19637"/>
      <w:r>
        <w:rPr>
          <w:rFonts w:hint="eastAsia"/>
          <w:spacing w:val="0"/>
          <w:lang w:val="en-US" w:eastAsia="zh-CN"/>
        </w:rPr>
        <w:t>第六章  坚持振兴发展，谱写乡村振兴新篇章</w:t>
      </w:r>
      <w:bookmarkEnd w:id="70"/>
      <w:bookmarkEnd w:id="71"/>
    </w:p>
    <w:p w14:paraId="4FC18986">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实施乡村振兴战略，把解决好</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三农</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问题作为重中之重，强化以工补农、以城带乡</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协调发展、共同繁荣的新型工农城乡关系，巩固拓展脱贫攻坚成果，发展壮大乡村产业，实施乡村建设行动，加快城乡融合发展，促进农业全面升级、农村全面进步、农民全面发展</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推进农业农村现代化。</w:t>
      </w:r>
    </w:p>
    <w:p w14:paraId="6E1AC975">
      <w:pPr>
        <w:pStyle w:val="4"/>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74" w:name="_Toc26527"/>
      <w:bookmarkStart w:id="75" w:name="_Toc25309"/>
      <w:r>
        <w:rPr>
          <w:rFonts w:hint="eastAsia"/>
          <w:spacing w:val="0"/>
          <w:lang w:val="en-US" w:eastAsia="zh-CN"/>
        </w:rPr>
        <w:t>第一节  巩固拓展脱贫攻坚成果同乡村振兴有效衔接</w:t>
      </w:r>
      <w:bookmarkEnd w:id="74"/>
      <w:bookmarkEnd w:id="75"/>
    </w:p>
    <w:p w14:paraId="37AA0828">
      <w:pPr>
        <w:pStyle w:val="2"/>
        <w:pageBreakBefore w:val="0"/>
        <w:widowControl w:val="0"/>
        <w:kinsoku/>
        <w:wordWrap/>
        <w:overflowPunct/>
        <w:topLinePunct w:val="0"/>
        <w:autoSpaceDN/>
        <w:bidi w:val="0"/>
        <w:adjustRightInd w:val="0"/>
        <w:snapToGrid w:val="0"/>
        <w:spacing w:after="0" w:line="580" w:lineRule="exact"/>
        <w:ind w:firstLine="640" w:firstLineChars="0"/>
        <w:jc w:val="left"/>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color w:val="auto"/>
          <w:spacing w:val="0"/>
          <w:szCs w:val="32"/>
        </w:rPr>
        <w:t>保持现有帮扶政策、资金支持、帮扶力量总体稳定，完善帮扶措施、投入机制，接续推进脱贫地区发展。</w:t>
      </w:r>
      <w:r>
        <w:rPr>
          <w:rFonts w:hint="default" w:ascii="Times New Roman" w:hAnsi="Times New Roman" w:eastAsia="仿宋_GB2312" w:cs="Times New Roman"/>
          <w:color w:val="auto"/>
          <w:spacing w:val="0"/>
        </w:rPr>
        <w:t>抢抓全省开展巩固拓展脱贫攻坚成果</w:t>
      </w:r>
      <w:r>
        <w:rPr>
          <w:rFonts w:hint="eastAsia" w:eastAsia="仿宋_GB2312" w:cs="Times New Roman"/>
          <w:color w:val="auto"/>
          <w:spacing w:val="0"/>
          <w:lang w:eastAsia="zh-CN"/>
        </w:rPr>
        <w:t>“</w:t>
      </w:r>
      <w:r>
        <w:rPr>
          <w:rFonts w:hint="eastAsia" w:eastAsia="仿宋_GB2312" w:cs="Times New Roman"/>
          <w:color w:val="auto"/>
          <w:spacing w:val="0"/>
          <w:lang w:val="en-US" w:eastAsia="zh-CN"/>
        </w:rPr>
        <w:t>一平台、三机制</w:t>
      </w:r>
      <w:r>
        <w:rPr>
          <w:rFonts w:hint="eastAsia" w:eastAsia="仿宋_GB2312" w:cs="Times New Roman"/>
          <w:color w:val="auto"/>
          <w:spacing w:val="0"/>
          <w:lang w:eastAsia="zh-CN"/>
        </w:rPr>
        <w:t>”</w:t>
      </w:r>
      <w:r>
        <w:rPr>
          <w:rFonts w:hint="default" w:ascii="Times New Roman" w:hAnsi="Times New Roman" w:eastAsia="仿宋_GB2312" w:cs="Times New Roman"/>
          <w:color w:val="auto"/>
          <w:spacing w:val="0"/>
        </w:rPr>
        <w:t>四个专项行动</w:t>
      </w:r>
      <w:r>
        <w:rPr>
          <w:rFonts w:hint="eastAsia" w:eastAsia="仿宋_GB2312" w:cs="Times New Roman"/>
          <w:color w:val="auto"/>
          <w:spacing w:val="0"/>
          <w:lang w:eastAsia="zh-CN"/>
        </w:rPr>
        <w:t>，</w:t>
      </w:r>
      <w:r>
        <w:rPr>
          <w:rFonts w:hint="default" w:ascii="Times New Roman" w:hAnsi="Times New Roman" w:eastAsia="仿宋_GB2312" w:cs="Times New Roman"/>
          <w:color w:val="auto"/>
          <w:spacing w:val="0"/>
        </w:rPr>
        <w:t>争取更多政策和项目支持</w:t>
      </w:r>
      <w:r>
        <w:rPr>
          <w:rFonts w:hint="eastAsia" w:eastAsia="仿宋_GB2312" w:cs="Times New Roman"/>
          <w:color w:val="auto"/>
          <w:spacing w:val="0"/>
          <w:lang w:eastAsia="zh-CN"/>
        </w:rPr>
        <w:t>，</w:t>
      </w:r>
      <w:r>
        <w:rPr>
          <w:rFonts w:hint="eastAsia" w:eastAsia="仿宋_GB2312" w:cs="Times New Roman"/>
          <w:color w:val="auto"/>
          <w:spacing w:val="0"/>
          <w:lang w:val="en-US" w:eastAsia="zh-CN"/>
        </w:rPr>
        <w:t>推动实现</w:t>
      </w:r>
      <w:r>
        <w:rPr>
          <w:rFonts w:hint="eastAsia" w:eastAsia="仿宋_GB2312" w:cs="Times New Roman"/>
          <w:color w:val="auto"/>
          <w:spacing w:val="0"/>
          <w:lang w:eastAsia="zh-CN"/>
        </w:rPr>
        <w:t>农村低收入人口帮扶全覆盖、产业帮扶全覆盖、村集体经济全覆盖、培训就业全覆盖</w:t>
      </w:r>
      <w:r>
        <w:rPr>
          <w:rFonts w:hint="eastAsia" w:eastAsia="仿宋_GB2312" w:cs="Times New Roman"/>
          <w:color w:val="auto"/>
          <w:spacing w:val="0"/>
          <w:lang w:val="en-US" w:eastAsia="zh-CN"/>
        </w:rPr>
        <w:t>“四个全覆盖”</w:t>
      </w:r>
      <w:r>
        <w:rPr>
          <w:rFonts w:hint="eastAsia" w:eastAsia="仿宋_GB2312" w:cs="Times New Roman"/>
          <w:color w:val="auto"/>
          <w:spacing w:val="0"/>
          <w:lang w:eastAsia="zh-CN"/>
        </w:rPr>
        <w:t>。</w:t>
      </w:r>
      <w:r>
        <w:rPr>
          <w:rFonts w:hint="default" w:ascii="Times New Roman" w:hAnsi="Times New Roman" w:eastAsia="仿宋_GB2312" w:cs="Times New Roman"/>
          <w:color w:val="auto"/>
          <w:spacing w:val="0"/>
          <w:szCs w:val="32"/>
          <w:highlight w:val="none"/>
        </w:rPr>
        <w:t>建立农村低收入人口和欠发达地区帮扶机制，健全防止返贫动态监测</w:t>
      </w:r>
      <w:r>
        <w:rPr>
          <w:rFonts w:hint="eastAsia" w:eastAsia="仿宋_GB2312" w:cs="Times New Roman"/>
          <w:color w:val="auto"/>
          <w:spacing w:val="0"/>
          <w:szCs w:val="32"/>
          <w:highlight w:val="none"/>
          <w:lang w:val="en-US" w:eastAsia="zh-CN"/>
        </w:rPr>
        <w:t>和帮扶</w:t>
      </w:r>
      <w:r>
        <w:rPr>
          <w:rFonts w:hint="default" w:ascii="Times New Roman" w:hAnsi="Times New Roman" w:eastAsia="仿宋_GB2312" w:cs="Times New Roman"/>
          <w:color w:val="auto"/>
          <w:spacing w:val="0"/>
          <w:szCs w:val="32"/>
          <w:highlight w:val="none"/>
        </w:rPr>
        <w:t>机制，健全</w:t>
      </w:r>
      <w:r>
        <w:rPr>
          <w:rFonts w:hint="eastAsia" w:eastAsia="仿宋_GB2312" w:cs="Times New Roman"/>
          <w:color w:val="auto"/>
          <w:spacing w:val="0"/>
          <w:szCs w:val="32"/>
          <w:highlight w:val="none"/>
          <w:lang w:val="en-US" w:eastAsia="zh-CN"/>
        </w:rPr>
        <w:t>完善</w:t>
      </w:r>
      <w:r>
        <w:rPr>
          <w:rFonts w:hint="default" w:ascii="Times New Roman" w:hAnsi="Times New Roman" w:eastAsia="仿宋_GB2312" w:cs="Times New Roman"/>
          <w:color w:val="auto"/>
          <w:spacing w:val="0"/>
          <w:szCs w:val="32"/>
          <w:highlight w:val="none"/>
        </w:rPr>
        <w:t>社会力量</w:t>
      </w:r>
      <w:r>
        <w:rPr>
          <w:rFonts w:hint="eastAsia" w:eastAsia="仿宋_GB2312" w:cs="Times New Roman"/>
          <w:color w:val="auto"/>
          <w:spacing w:val="0"/>
          <w:szCs w:val="32"/>
          <w:highlight w:val="none"/>
          <w:lang w:val="en-US" w:eastAsia="zh-CN"/>
        </w:rPr>
        <w:t>参与</w:t>
      </w:r>
      <w:r>
        <w:rPr>
          <w:rFonts w:hint="default" w:ascii="Times New Roman" w:hAnsi="Times New Roman" w:eastAsia="仿宋_GB2312" w:cs="Times New Roman"/>
          <w:color w:val="auto"/>
          <w:spacing w:val="0"/>
          <w:szCs w:val="32"/>
          <w:highlight w:val="none"/>
        </w:rPr>
        <w:t>帮扶机制，完善项目资金资产管理</w:t>
      </w:r>
      <w:r>
        <w:rPr>
          <w:rFonts w:hint="eastAsia" w:eastAsia="仿宋_GB2312" w:cs="Times New Roman"/>
          <w:color w:val="auto"/>
          <w:spacing w:val="0"/>
          <w:szCs w:val="32"/>
          <w:highlight w:val="none"/>
          <w:lang w:val="en-US" w:eastAsia="zh-CN"/>
        </w:rPr>
        <w:t>监督</w:t>
      </w:r>
      <w:r>
        <w:rPr>
          <w:rFonts w:hint="default" w:ascii="Times New Roman" w:hAnsi="Times New Roman" w:eastAsia="仿宋_GB2312" w:cs="Times New Roman"/>
          <w:color w:val="auto"/>
          <w:spacing w:val="0"/>
          <w:szCs w:val="32"/>
          <w:highlight w:val="none"/>
        </w:rPr>
        <w:t>机制，完善考核</w:t>
      </w:r>
      <w:r>
        <w:rPr>
          <w:rFonts w:hint="eastAsia" w:eastAsia="仿宋_GB2312" w:cs="Times New Roman"/>
          <w:color w:val="auto"/>
          <w:spacing w:val="0"/>
          <w:szCs w:val="32"/>
          <w:highlight w:val="none"/>
          <w:lang w:val="en-US" w:eastAsia="zh-CN"/>
        </w:rPr>
        <w:t>评价</w:t>
      </w:r>
      <w:r>
        <w:rPr>
          <w:rFonts w:hint="default" w:ascii="Times New Roman" w:hAnsi="Times New Roman" w:eastAsia="仿宋_GB2312" w:cs="Times New Roman"/>
          <w:color w:val="auto"/>
          <w:spacing w:val="0"/>
          <w:szCs w:val="32"/>
          <w:highlight w:val="none"/>
        </w:rPr>
        <w:t>和</w:t>
      </w:r>
      <w:r>
        <w:rPr>
          <w:rFonts w:hint="eastAsia" w:eastAsia="仿宋_GB2312" w:cs="Times New Roman"/>
          <w:color w:val="auto"/>
          <w:spacing w:val="0"/>
          <w:szCs w:val="32"/>
          <w:highlight w:val="none"/>
          <w:lang w:val="en-US" w:eastAsia="zh-CN"/>
        </w:rPr>
        <w:t>宣传</w:t>
      </w:r>
      <w:r>
        <w:rPr>
          <w:rFonts w:hint="default" w:ascii="Times New Roman" w:hAnsi="Times New Roman" w:eastAsia="仿宋_GB2312" w:cs="Times New Roman"/>
          <w:color w:val="auto"/>
          <w:spacing w:val="0"/>
          <w:szCs w:val="32"/>
          <w:highlight w:val="none"/>
        </w:rPr>
        <w:t>机制。</w:t>
      </w:r>
      <w:r>
        <w:rPr>
          <w:rFonts w:hint="default" w:eastAsia="仿宋_GB2312"/>
          <w:color w:val="auto"/>
          <w:spacing w:val="0"/>
          <w:szCs w:val="32"/>
          <w:highlight w:val="none"/>
        </w:rPr>
        <w:t>开展美好生活重点帮扶村和集体经济先行示范村建设，</w:t>
      </w:r>
      <w:r>
        <w:rPr>
          <w:rFonts w:hint="eastAsia" w:eastAsia="仿宋_GB2312"/>
          <w:color w:val="auto"/>
          <w:spacing w:val="0"/>
          <w:szCs w:val="32"/>
          <w:highlight w:val="none"/>
        </w:rPr>
        <w:t>积极争取乡村振兴重点帮扶县资金支持、帮扶力量配置和政策措施支持</w:t>
      </w:r>
      <w:r>
        <w:rPr>
          <w:rFonts w:hint="eastAsia" w:eastAsia="仿宋_GB2312"/>
          <w:color w:val="auto"/>
          <w:spacing w:val="0"/>
          <w:szCs w:val="32"/>
          <w:highlight w:val="none"/>
          <w:lang w:eastAsia="zh-CN"/>
        </w:rPr>
        <w:t>。</w:t>
      </w:r>
      <w:r>
        <w:rPr>
          <w:rFonts w:hint="default" w:ascii="Times New Roman" w:hAnsi="Times New Roman" w:eastAsia="仿宋_GB2312" w:cs="Times New Roman"/>
          <w:color w:val="auto"/>
          <w:spacing w:val="0"/>
          <w:szCs w:val="32"/>
        </w:rPr>
        <w:t>实施乡村特色产业帮扶工程，持续发展壮大扶贫产业，加强脱贫地区产业发展基础设施建设，注重产业后续长期培育，尊重产业发展规律，提高产业帮扶效益。实施稳定就业帮扶工程，搭建用工信息平台，加大脱贫人口有组织劳务输出力度，做好脱贫人口稳岗就业，加大对脱贫人口职业技能培训力度，扩大公益性岗位安置，开发半劳力就业公益岗，确保弱劳力、半劳力等家庭就近就地</w:t>
      </w:r>
      <w:r>
        <w:rPr>
          <w:rFonts w:hint="default" w:ascii="Times New Roman" w:hAnsi="Times New Roman" w:eastAsia="仿宋_GB2312" w:cs="Times New Roman"/>
          <w:color w:val="auto"/>
          <w:spacing w:val="0"/>
          <w:szCs w:val="32"/>
          <w:lang w:val="en-US" w:eastAsia="zh-CN"/>
        </w:rPr>
        <w:t>就业</w:t>
      </w:r>
      <w:r>
        <w:rPr>
          <w:rFonts w:hint="default" w:ascii="Times New Roman" w:hAnsi="Times New Roman" w:eastAsia="仿宋_GB2312" w:cs="Times New Roman"/>
          <w:color w:val="auto"/>
          <w:spacing w:val="0"/>
          <w:szCs w:val="32"/>
        </w:rPr>
        <w:t>。实施易地扶贫搬迁后续帮扶工程，提升集中安置区公共服务和配套基础设施，提升集中安置点消防基础设施建设，因地制宜在搬迁地发展产业，确保搬迁群众稳得住、有就业、逐步能致富。实施生态经济帮扶工程，牢固树立</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绿水青山就是金山银山</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理念，坚持生态优先、绿色发展，稳步提升生态保护、生态治理、生态产业等生态扶贫工程。实施乡村基础设施建设工程，统筹城镇和村庄规划建设，完善欠发达乡村水、电、路、气、通信、广播电视等基础设施，补齐村内道路硬化、住房安全巩固、饮水安全巩固提升、生活条件改善、村组消防设施等短板。实施乡村公共服务提升工程，推动义务教育均衡发展，使农村人口受教育程度不断提升；提升农村健康教育、健康管理等基本公共卫生服务质量；巩固乡村文化扶贫成果，提高农村人口素质；围绕</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一县一业</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一村一品</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 xml:space="preserve">，发挥科技措施对群众的引导作用；健全农村社会保障和救助制度，完善村组公共服务设施建设。 </w:t>
      </w:r>
    </w:p>
    <w:tbl>
      <w:tblPr>
        <w:tblStyle w:val="21"/>
        <w:tblW w:w="9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1"/>
      </w:tblGrid>
      <w:tr w14:paraId="6AAF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1" w:type="dxa"/>
            <w:tcBorders>
              <w:top w:val="single" w:color="4F81BD" w:sz="8" w:space="0"/>
              <w:left w:val="single" w:color="4F81BD" w:sz="8" w:space="0"/>
              <w:bottom w:val="single" w:color="4F81BD" w:sz="8" w:space="0"/>
              <w:right w:val="single" w:color="4F81BD" w:sz="8" w:space="0"/>
            </w:tcBorders>
            <w:shd w:val="clear" w:color="auto" w:fill="4F81BD"/>
          </w:tcPr>
          <w:p w14:paraId="0537F5C9">
            <w:pPr>
              <w:pageBreakBefore w:val="0"/>
              <w:widowControl w:val="0"/>
              <w:kinsoku/>
              <w:wordWrap/>
              <w:overflowPunct/>
              <w:topLinePunct w:val="0"/>
              <w:autoSpaceDN/>
              <w:bidi w:val="0"/>
              <w:spacing w:line="500" w:lineRule="exact"/>
              <w:jc w:val="center"/>
              <w:rPr>
                <w:rFonts w:ascii="宋体" w:hAnsi="宋体" w:eastAsia="宋体" w:cs="宋体"/>
                <w:color w:val="auto"/>
                <w:spacing w:val="0"/>
                <w:kern w:val="0"/>
                <w:sz w:val="28"/>
                <w:szCs w:val="28"/>
              </w:rPr>
            </w:pPr>
            <w:r>
              <w:rPr>
                <w:rFonts w:hint="default" w:ascii="Times New Roman" w:hAnsi="Times New Roman" w:eastAsia="仿宋_GB2312" w:cs="Times New Roman"/>
                <w:b/>
                <w:bCs/>
                <w:color w:val="auto"/>
                <w:spacing w:val="0"/>
                <w:kern w:val="0"/>
                <w:sz w:val="28"/>
                <w:szCs w:val="28"/>
              </w:rPr>
              <w:t>专栏11 巩固拓展脱贫攻坚成果同乡村振兴有效衔接重大工程</w:t>
            </w:r>
          </w:p>
        </w:tc>
      </w:tr>
      <w:tr w14:paraId="364F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1" w:type="dxa"/>
            <w:tcBorders>
              <w:top w:val="single" w:color="4F81BD" w:sz="8" w:space="0"/>
              <w:left w:val="single" w:color="4F81BD" w:sz="8" w:space="0"/>
              <w:bottom w:val="single" w:color="4F81BD" w:sz="8" w:space="0"/>
              <w:right w:val="single" w:color="4F81BD" w:sz="8" w:space="0"/>
            </w:tcBorders>
            <w:shd w:val="clear" w:color="auto" w:fill="FFFFFF"/>
          </w:tcPr>
          <w:p w14:paraId="4BEB22EF">
            <w:pPr>
              <w:pageBreakBefore w:val="0"/>
              <w:widowControl w:val="0"/>
              <w:kinsoku/>
              <w:wordWrap/>
              <w:overflowPunct/>
              <w:topLinePunct w:val="0"/>
              <w:autoSpaceDN/>
              <w:bidi w:val="0"/>
              <w:adjustRightInd w:val="0"/>
              <w:snapToGrid w:val="0"/>
              <w:spacing w:line="480" w:lineRule="exact"/>
              <w:ind w:firstLine="562" w:firstLineChars="200"/>
              <w:rPr>
                <w:rFonts w:hint="eastAsia" w:eastAsia="仿宋_GB2312" w:cs="Times New Roman"/>
                <w:b w:val="0"/>
                <w:bCs w:val="0"/>
                <w:color w:val="auto"/>
                <w:spacing w:val="0"/>
                <w:kern w:val="0"/>
                <w:sz w:val="28"/>
                <w:szCs w:val="28"/>
                <w:lang w:val="en-US" w:eastAsia="zh-CN" w:bidi="ar-SA"/>
              </w:rPr>
            </w:pPr>
            <w:r>
              <w:rPr>
                <w:rFonts w:hint="eastAsia" w:eastAsia="仿宋_GB2312" w:cs="Times New Roman"/>
                <w:b/>
                <w:bCs/>
                <w:color w:val="auto"/>
                <w:spacing w:val="0"/>
                <w:kern w:val="0"/>
                <w:sz w:val="28"/>
                <w:szCs w:val="28"/>
                <w:lang w:val="en-US" w:eastAsia="zh-CN" w:bidi="ar-SA"/>
              </w:rPr>
              <w:t>四个专项行动。</w:t>
            </w:r>
            <w:r>
              <w:rPr>
                <w:rFonts w:hint="eastAsia" w:eastAsia="仿宋_GB2312" w:cs="Times New Roman"/>
                <w:b w:val="0"/>
                <w:bCs w:val="0"/>
                <w:color w:val="auto"/>
                <w:spacing w:val="0"/>
                <w:kern w:val="0"/>
                <w:sz w:val="28"/>
                <w:szCs w:val="28"/>
                <w:lang w:val="en-US" w:eastAsia="zh-CN" w:bidi="ar-SA"/>
              </w:rPr>
              <w:t>即建救助平台，建立稳定的利益联结机制、股份合作机制、扶志扶智长效机制“一平台三机制”。</w:t>
            </w:r>
          </w:p>
          <w:p w14:paraId="4D2B9B34">
            <w:pPr>
              <w:pageBreakBefore w:val="0"/>
              <w:widowControl w:val="0"/>
              <w:kinsoku/>
              <w:wordWrap/>
              <w:overflowPunct/>
              <w:topLinePunct w:val="0"/>
              <w:autoSpaceDN/>
              <w:bidi w:val="0"/>
              <w:adjustRightInd w:val="0"/>
              <w:snapToGrid w:val="0"/>
              <w:spacing w:line="480" w:lineRule="exact"/>
              <w:ind w:firstLine="562" w:firstLineChars="200"/>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lang w:val="en-US" w:eastAsia="zh-CN" w:bidi="ar-SA"/>
              </w:rPr>
              <w:t>乡村特色产业项目。</w:t>
            </w:r>
            <w:r>
              <w:rPr>
                <w:rFonts w:hint="default" w:ascii="Times New Roman" w:hAnsi="Times New Roman" w:eastAsia="仿宋_GB2312" w:cs="Times New Roman"/>
                <w:color w:val="auto"/>
                <w:spacing w:val="0"/>
                <w:kern w:val="0"/>
                <w:sz w:val="28"/>
                <w:szCs w:val="28"/>
              </w:rPr>
              <w:t>实施经济林果、经济作物、特色蔬菜、中药材等种植和提质增效，实施牛、羊、猪、家禽、水产等养殖，支持良种、良法推广和灌溉设施、用电、产业道路及配套设施等建设。支持农产品加工厂房、扶贫车间及用地等建设；实施乡村旅游、商饮服务等，支持革命老区利用遗址遗迹、爱国主义教育基地等发展红色旅游；对农村低收入人口、脱贫人口等使用小额信贷，发展生产、创业、就业等，给予一定期限的贴息支持；支持脱贫村农产品销售电商平台建设，支持服务村级农产品销售的冷链、物流、仓储等建设。</w:t>
            </w:r>
          </w:p>
          <w:p w14:paraId="6707DBD6">
            <w:pPr>
              <w:pStyle w:val="10"/>
              <w:pageBreakBefore w:val="0"/>
              <w:widowControl w:val="0"/>
              <w:kinsoku/>
              <w:wordWrap/>
              <w:overflowPunct/>
              <w:topLinePunct w:val="0"/>
              <w:autoSpaceDN/>
              <w:bidi w:val="0"/>
              <w:adjustRightInd w:val="0"/>
              <w:snapToGrid w:val="0"/>
              <w:spacing w:line="480" w:lineRule="exact"/>
              <w:ind w:left="0" w:leftChars="0" w:firstLine="562" w:firstLineChars="200"/>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稳定就业项目。</w:t>
            </w:r>
            <w:r>
              <w:rPr>
                <w:rFonts w:hint="default" w:ascii="Times New Roman" w:hAnsi="Times New Roman" w:eastAsia="仿宋_GB2312" w:cs="Times New Roman"/>
                <w:color w:val="auto"/>
                <w:spacing w:val="0"/>
                <w:kern w:val="0"/>
                <w:sz w:val="28"/>
                <w:szCs w:val="28"/>
              </w:rPr>
              <w:t>开发乡村公益岗，包括保洁员、护路员、护边员、治安员等，确保弱劳力、半劳力等家庭就近就地</w:t>
            </w:r>
            <w:r>
              <w:rPr>
                <w:rFonts w:hint="default" w:ascii="Times New Roman" w:hAnsi="Times New Roman" w:eastAsia="仿宋_GB2312" w:cs="Times New Roman"/>
                <w:color w:val="auto"/>
                <w:spacing w:val="0"/>
                <w:kern w:val="0"/>
                <w:sz w:val="28"/>
                <w:szCs w:val="28"/>
                <w:lang w:val="en-US" w:eastAsia="zh-CN"/>
              </w:rPr>
              <w:t>就业</w:t>
            </w:r>
            <w:r>
              <w:rPr>
                <w:rFonts w:hint="default" w:ascii="Times New Roman" w:hAnsi="Times New Roman" w:eastAsia="仿宋_GB2312" w:cs="Times New Roman"/>
                <w:color w:val="auto"/>
                <w:spacing w:val="0"/>
                <w:kern w:val="0"/>
                <w:sz w:val="28"/>
                <w:szCs w:val="28"/>
              </w:rPr>
              <w:t>；实施省外、县外省内等务工奖补；实施以自主创业和吸纳就业为目的创业培训；</w:t>
            </w:r>
            <w:r>
              <w:rPr>
                <w:rFonts w:hint="default" w:ascii="Times New Roman" w:hAnsi="Times New Roman" w:eastAsia="仿宋_GB2312" w:cs="Times New Roman"/>
                <w:color w:val="auto"/>
                <w:spacing w:val="0"/>
                <w:kern w:val="0"/>
                <w:sz w:val="28"/>
                <w:szCs w:val="28"/>
                <w:lang w:val="en-US" w:eastAsia="zh-CN"/>
              </w:rPr>
              <w:t>鼓励</w:t>
            </w:r>
            <w:r>
              <w:rPr>
                <w:rFonts w:hint="default" w:ascii="Times New Roman" w:hAnsi="Times New Roman" w:eastAsia="仿宋_GB2312" w:cs="Times New Roman"/>
                <w:color w:val="auto"/>
                <w:spacing w:val="0"/>
                <w:kern w:val="0"/>
                <w:sz w:val="28"/>
                <w:szCs w:val="28"/>
              </w:rPr>
              <w:t>农村低收入劳动力、脱贫劳动力、新增</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两后生</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等参加职业技能培训</w:t>
            </w:r>
            <w:r>
              <w:rPr>
                <w:rFonts w:hint="default" w:ascii="Times New Roman" w:hAnsi="Times New Roman"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给予一次性奖补。</w:t>
            </w:r>
          </w:p>
          <w:p w14:paraId="32B127C7">
            <w:pPr>
              <w:pStyle w:val="10"/>
              <w:pageBreakBefore w:val="0"/>
              <w:widowControl w:val="0"/>
              <w:kinsoku/>
              <w:wordWrap/>
              <w:overflowPunct/>
              <w:topLinePunct w:val="0"/>
              <w:autoSpaceDN/>
              <w:bidi w:val="0"/>
              <w:adjustRightInd w:val="0"/>
              <w:snapToGrid w:val="0"/>
              <w:spacing w:line="480" w:lineRule="exact"/>
              <w:ind w:left="0" w:leftChars="0" w:firstLine="562" w:firstLineChars="200"/>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易地扶贫搬迁后续帮扶项目</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持续组织开展组织化务工、稳岗就业专项行动，精准掌握就业变化情况；指导开展安置区周边产业园区、扶贫车间的建设运营，加大招商引资力度；指导安置区加强队伍建设，提升社区自治能力，实施居民融合工程。</w:t>
            </w:r>
          </w:p>
          <w:p w14:paraId="3704196B">
            <w:pPr>
              <w:pStyle w:val="10"/>
              <w:pageBreakBefore w:val="0"/>
              <w:widowControl w:val="0"/>
              <w:kinsoku/>
              <w:wordWrap/>
              <w:overflowPunct/>
              <w:topLinePunct w:val="0"/>
              <w:autoSpaceDN/>
              <w:bidi w:val="0"/>
              <w:adjustRightInd w:val="0"/>
              <w:snapToGrid w:val="0"/>
              <w:spacing w:line="480" w:lineRule="exact"/>
              <w:ind w:left="0" w:leftChars="0" w:firstLine="562" w:firstLineChars="200"/>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生态扶贫项目</w:t>
            </w:r>
            <w:r>
              <w:rPr>
                <w:rFonts w:hint="default" w:ascii="Times New Roman" w:hAnsi="Times New Roman"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保持生态护林员指标；积极争取将欠发达地区退耕还林需求纳入国家</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十四五</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退耕还林规划范围，新增任务指标向欠发达地区倾斜；实施木本粮油种植、木本粮油林提质增效、木本粮油良种推广等建设，提升加工机械化水平，拓宽产品营销渠道，促进产业增销增效，农民增产增收；实施林下种植、林下养殖、林下采集和森林景观利用等建设，提高优质生态产品供给能力，形成可持续的绿色产业体系。</w:t>
            </w:r>
          </w:p>
          <w:p w14:paraId="2D78CEEF">
            <w:pPr>
              <w:pStyle w:val="10"/>
              <w:pageBreakBefore w:val="0"/>
              <w:widowControl w:val="0"/>
              <w:kinsoku/>
              <w:wordWrap/>
              <w:overflowPunct/>
              <w:topLinePunct w:val="0"/>
              <w:autoSpaceDN/>
              <w:bidi w:val="0"/>
              <w:adjustRightInd w:val="0"/>
              <w:snapToGrid w:val="0"/>
              <w:spacing w:line="480" w:lineRule="exact"/>
              <w:ind w:left="0" w:leftChars="0" w:firstLine="562" w:firstLineChars="200"/>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乡村基础设施建设项目</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实施自然村（组）通硬化路项目建设，有条件地区实施农村公路提级改造工程村内道路硬化村内主干道路硬化建设，有条件的硬化到户；持续实施农户因灾损坏房屋建设和危房加固；进一步加大供水设施老化改造，供水质量、水量保障改造等；实施村庄人居环境综合整治、厨房厕所庭院改造、村组党群活动场所完善等；建立必要的消防站、微型消防站等站点，安装必要的室外消火栓、消防水池等消防设施，配置必要的消防装备器材，建设消防宣传阵地等。</w:t>
            </w:r>
          </w:p>
          <w:p w14:paraId="201824C4">
            <w:pPr>
              <w:pStyle w:val="10"/>
              <w:pageBreakBefore w:val="0"/>
              <w:widowControl w:val="0"/>
              <w:kinsoku/>
              <w:wordWrap/>
              <w:overflowPunct/>
              <w:topLinePunct w:val="0"/>
              <w:autoSpaceDN/>
              <w:bidi w:val="0"/>
              <w:adjustRightInd w:val="0"/>
              <w:snapToGrid w:val="0"/>
              <w:spacing w:line="480" w:lineRule="exact"/>
              <w:ind w:left="0" w:leftChars="0" w:firstLine="562" w:firstLineChars="200"/>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乡村公共服务项目</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实施</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雨露计划</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职业教育补助，继续推进城乡义务教育保障机制，巩固义务教育发展成果，健全完善教育资助体系，确保学生不因贫失学；完善村卫生室、乡镇卫生院基本医疗设施设备，推进实施基本公共卫生服务项目；巩固农村书屋、农耕文化存列馆、新时代农民讲堂、爱心超市等乡村社会文化精神文明建设成果，挖掘开发革命历史红色文化、特色民族文化、传统文化工艺产品等；实施科技成果转化、优势特色产业培育，开展实用技术和科技带头人培训；补齐农村丧失劳动能力人口、五保、老人等日</w:t>
            </w:r>
            <w:r>
              <w:rPr>
                <w:rFonts w:hint="eastAsia" w:eastAsia="仿宋_GB2312" w:cs="Times New Roman"/>
                <w:color w:val="auto"/>
                <w:spacing w:val="0"/>
                <w:kern w:val="0"/>
                <w:sz w:val="28"/>
                <w:szCs w:val="28"/>
                <w:lang w:eastAsia="zh-CN"/>
              </w:rPr>
              <w:t>间</w:t>
            </w:r>
            <w:r>
              <w:rPr>
                <w:rFonts w:hint="default" w:ascii="Times New Roman" w:hAnsi="Times New Roman" w:eastAsia="仿宋_GB2312" w:cs="Times New Roman"/>
                <w:color w:val="auto"/>
                <w:spacing w:val="0"/>
                <w:kern w:val="0"/>
                <w:sz w:val="28"/>
                <w:szCs w:val="28"/>
              </w:rPr>
              <w:t>照料、无人赡养的服务设施</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短板</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，健全农村社会保障机制；推动儿童之家建设，补齐儿童学前教育，妇女活动、残疾人服务等吃、住、行、学习和娱乐设施。</w:t>
            </w:r>
          </w:p>
          <w:p w14:paraId="4C8992EA">
            <w:pPr>
              <w:pStyle w:val="10"/>
              <w:pageBreakBefore w:val="0"/>
              <w:widowControl w:val="0"/>
              <w:kinsoku/>
              <w:wordWrap/>
              <w:overflowPunct/>
              <w:topLinePunct w:val="0"/>
              <w:autoSpaceDN/>
              <w:bidi w:val="0"/>
              <w:adjustRightInd w:val="0"/>
              <w:snapToGrid w:val="0"/>
              <w:spacing w:line="480" w:lineRule="exact"/>
              <w:ind w:left="0" w:leftChars="0" w:firstLine="562" w:firstLineChars="200"/>
              <w:rPr>
                <w:rFonts w:ascii="Times New Roman" w:hAnsi="Times New Roman" w:eastAsia="方正仿宋_GBK" w:cs="Times New Roman"/>
                <w:color w:val="auto"/>
                <w:spacing w:val="0"/>
                <w:kern w:val="0"/>
                <w:sz w:val="28"/>
                <w:szCs w:val="32"/>
              </w:rPr>
            </w:pPr>
            <w:r>
              <w:rPr>
                <w:rFonts w:hint="default" w:ascii="Times New Roman" w:hAnsi="Times New Roman" w:eastAsia="仿宋_GB2312" w:cs="Times New Roman"/>
                <w:b/>
                <w:bCs/>
                <w:color w:val="auto"/>
                <w:spacing w:val="0"/>
                <w:kern w:val="0"/>
                <w:sz w:val="28"/>
                <w:szCs w:val="28"/>
              </w:rPr>
              <w:t>以工代赈项目。</w:t>
            </w:r>
            <w:r>
              <w:rPr>
                <w:rFonts w:hint="default" w:ascii="Times New Roman" w:hAnsi="Times New Roman" w:eastAsia="仿宋_GB2312" w:cs="Times New Roman"/>
                <w:color w:val="auto"/>
                <w:spacing w:val="0"/>
                <w:kern w:val="0"/>
                <w:sz w:val="28"/>
                <w:szCs w:val="28"/>
              </w:rPr>
              <w:t>聚焦农村生产生活、农村交通、农村水利、乡村文化旅游、林业草原基础设施建设五大领域，积极推广以工代赈方式，扩大以工代赈规模，加快推进老厂乡2021年沟渠修复以工代赈示范工程建设项目、平掌乡2021年乡村道路硬化以工代赈示范工程项目、建兴乡2021年乡村绿化以工代赈示范工程项目等39个以工代赈项目，有效拓宽农村就业渠道、激发群众内生动力、补上</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三农</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短板。</w:t>
            </w:r>
          </w:p>
        </w:tc>
      </w:tr>
    </w:tbl>
    <w:p w14:paraId="12CD2837">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76" w:name="_Toc16847"/>
      <w:bookmarkStart w:id="77" w:name="_Toc17449"/>
      <w:r>
        <w:rPr>
          <w:rFonts w:hint="eastAsia" w:ascii="黑体" w:hAnsi="黑体" w:eastAsia="黑体" w:cs="黑体"/>
          <w:b/>
          <w:bCs w:val="0"/>
          <w:color w:val="auto"/>
          <w:spacing w:val="0"/>
          <w:szCs w:val="32"/>
        </w:rPr>
        <w:t>第二节  发展壮大乡村产业</w:t>
      </w:r>
      <w:bookmarkEnd w:id="76"/>
      <w:bookmarkEnd w:id="77"/>
    </w:p>
    <w:p w14:paraId="2BDABB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spacing w:val="0"/>
          <w:szCs w:val="24"/>
          <w:lang w:eastAsia="zh-CN"/>
        </w:rPr>
      </w:pPr>
      <w:r>
        <w:rPr>
          <w:rFonts w:hint="default" w:ascii="Times New Roman" w:hAnsi="Times New Roman" w:eastAsia="仿宋_GB2312" w:cs="Times New Roman"/>
          <w:color w:val="auto"/>
          <w:spacing w:val="0"/>
          <w:szCs w:val="24"/>
          <w:lang w:val="en-US" w:eastAsia="zh-CN"/>
        </w:rPr>
        <w:t>大力发展乡村优势特色产业，</w:t>
      </w:r>
      <w:r>
        <w:rPr>
          <w:rFonts w:hint="default" w:ascii="Times New Roman" w:hAnsi="Times New Roman" w:eastAsia="仿宋_GB2312" w:cs="Times New Roman"/>
          <w:color w:val="auto"/>
          <w:spacing w:val="0"/>
          <w:szCs w:val="24"/>
          <w:lang w:eastAsia="zh-CN"/>
        </w:rPr>
        <w:t>加快培育乡村新产业新业态，推进一二三产业融合发展，拓宽农民增收渠道。</w:t>
      </w:r>
    </w:p>
    <w:p w14:paraId="075C7C4B">
      <w:pPr>
        <w:pStyle w:val="5"/>
        <w:rPr>
          <w:rFonts w:hint="eastAsia"/>
          <w:lang w:val="en-US" w:eastAsia="zh-CN"/>
        </w:rPr>
      </w:pPr>
      <w:r>
        <w:rPr>
          <w:rFonts w:hint="eastAsia"/>
          <w:lang w:val="en-US" w:eastAsia="zh-CN"/>
        </w:rPr>
        <w:t>一、壮大优势特色产业</w:t>
      </w:r>
    </w:p>
    <w:p w14:paraId="6F369094">
      <w:pPr>
        <w:pageBreakBefore w:val="0"/>
        <w:widowControl w:val="0"/>
        <w:kinsoku/>
        <w:wordWrap/>
        <w:overflowPunct/>
        <w:topLinePunct w:val="0"/>
        <w:autoSpaceDN/>
        <w:bidi w:val="0"/>
        <w:rPr>
          <w:rFonts w:hint="default" w:ascii="Times New Roman" w:hAnsi="Times New Roman" w:cs="Times New Roman"/>
          <w:color w:val="auto"/>
          <w:spacing w:val="0"/>
          <w:szCs w:val="24"/>
        </w:rPr>
      </w:pPr>
      <w:r>
        <w:rPr>
          <w:rFonts w:hint="default" w:ascii="Times New Roman" w:hAnsi="Times New Roman" w:eastAsia="仿宋_GB2312" w:cs="Times New Roman"/>
          <w:color w:val="auto"/>
          <w:spacing w:val="0"/>
          <w:szCs w:val="24"/>
        </w:rPr>
        <w:t>做精做优绿色农业，围绕</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一县一业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一村一品</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发展</w:t>
      </w:r>
      <w:r>
        <w:rPr>
          <w:rFonts w:hint="default" w:ascii="Times New Roman" w:hAnsi="Times New Roman" w:eastAsia="仿宋_GB2312" w:cs="Times New Roman"/>
          <w:color w:val="auto"/>
          <w:spacing w:val="0"/>
          <w:szCs w:val="24"/>
          <w:lang w:eastAsia="zh-CN"/>
        </w:rPr>
        <w:t>以</w:t>
      </w:r>
      <w:r>
        <w:rPr>
          <w:rFonts w:hint="default" w:ascii="Times New Roman" w:hAnsi="Times New Roman" w:eastAsia="仿宋_GB2312" w:cs="Times New Roman"/>
          <w:color w:val="auto"/>
          <w:spacing w:val="0"/>
          <w:szCs w:val="24"/>
        </w:rPr>
        <w:t>柑橘为主的水果产业</w:t>
      </w:r>
      <w:r>
        <w:rPr>
          <w:rFonts w:hint="default" w:ascii="Times New Roman" w:hAnsi="Times New Roman" w:eastAsia="仿宋_GB2312" w:cs="Times New Roman"/>
          <w:color w:val="auto"/>
          <w:spacing w:val="0"/>
          <w:szCs w:val="24"/>
          <w:lang w:eastAsia="zh-CN"/>
        </w:rPr>
        <w:t>、以</w:t>
      </w:r>
      <w:r>
        <w:rPr>
          <w:rFonts w:hint="default" w:ascii="Times New Roman" w:hAnsi="Times New Roman" w:eastAsia="仿宋_GB2312" w:cs="Times New Roman"/>
          <w:color w:val="auto"/>
          <w:spacing w:val="0"/>
          <w:szCs w:val="24"/>
        </w:rPr>
        <w:t>生猪为重点的畜牧业</w:t>
      </w:r>
      <w:r>
        <w:rPr>
          <w:rFonts w:hint="default" w:ascii="Times New Roman" w:hAnsi="Times New Roman" w:eastAsia="仿宋_GB2312" w:cs="Times New Roman"/>
          <w:color w:val="auto"/>
          <w:spacing w:val="0"/>
          <w:szCs w:val="24"/>
          <w:lang w:eastAsia="zh-CN"/>
        </w:rPr>
        <w:t>以及</w:t>
      </w:r>
      <w:r>
        <w:rPr>
          <w:rFonts w:hint="default" w:ascii="Times New Roman" w:hAnsi="Times New Roman" w:eastAsia="仿宋_GB2312" w:cs="Times New Roman"/>
          <w:color w:val="auto"/>
          <w:spacing w:val="0"/>
          <w:szCs w:val="24"/>
        </w:rPr>
        <w:t>蔬菜、茶</w:t>
      </w:r>
      <w:r>
        <w:rPr>
          <w:rFonts w:hint="default" w:ascii="Times New Roman" w:hAnsi="Times New Roman" w:eastAsia="仿宋_GB2312" w:cs="Times New Roman"/>
          <w:color w:val="auto"/>
          <w:spacing w:val="0"/>
          <w:szCs w:val="24"/>
          <w:lang w:eastAsia="zh-CN"/>
        </w:rPr>
        <w:t>叶</w:t>
      </w:r>
      <w:r>
        <w:rPr>
          <w:rFonts w:hint="default" w:ascii="Times New Roman" w:hAnsi="Times New Roman" w:eastAsia="仿宋_GB2312" w:cs="Times New Roman"/>
          <w:color w:val="auto"/>
          <w:spacing w:val="0"/>
          <w:szCs w:val="24"/>
        </w:rPr>
        <w:t>、</w:t>
      </w:r>
      <w:r>
        <w:rPr>
          <w:rFonts w:hint="default" w:ascii="Times New Roman" w:hAnsi="Times New Roman" w:eastAsia="仿宋_GB2312" w:cs="Times New Roman"/>
          <w:color w:val="auto"/>
          <w:spacing w:val="0"/>
          <w:szCs w:val="24"/>
          <w:lang w:eastAsia="zh-CN"/>
        </w:rPr>
        <w:t>烤烟</w:t>
      </w:r>
      <w:r>
        <w:rPr>
          <w:rFonts w:hint="default" w:ascii="Times New Roman" w:hAnsi="Times New Roman" w:eastAsia="仿宋_GB2312" w:cs="Times New Roman"/>
          <w:color w:val="auto"/>
          <w:spacing w:val="0"/>
          <w:szCs w:val="24"/>
        </w:rPr>
        <w:t>、中药材、核桃、甘蔗</w:t>
      </w:r>
      <w:r>
        <w:rPr>
          <w:rFonts w:hint="default" w:ascii="Times New Roman" w:hAnsi="Times New Roman" w:eastAsia="仿宋_GB2312" w:cs="Times New Roman"/>
          <w:color w:val="auto"/>
          <w:spacing w:val="0"/>
          <w:szCs w:val="24"/>
          <w:lang w:eastAsia="zh-CN"/>
        </w:rPr>
        <w:t>、竹子</w:t>
      </w:r>
      <w:r>
        <w:rPr>
          <w:rFonts w:hint="default" w:ascii="Times New Roman" w:hAnsi="Times New Roman" w:eastAsia="仿宋_GB2312" w:cs="Times New Roman"/>
          <w:color w:val="auto"/>
          <w:spacing w:val="0"/>
          <w:szCs w:val="24"/>
          <w:lang w:val="en-US" w:eastAsia="zh-CN"/>
        </w:rPr>
        <w:t>等特色</w:t>
      </w:r>
      <w:r>
        <w:rPr>
          <w:rFonts w:hint="default" w:ascii="Times New Roman" w:hAnsi="Times New Roman" w:eastAsia="仿宋_GB2312" w:cs="Times New Roman"/>
          <w:color w:val="auto"/>
          <w:spacing w:val="0"/>
          <w:szCs w:val="24"/>
        </w:rPr>
        <w:t>产业。引导小农户与各类新型经营主体建立契约型、股权型利益联结机制，按</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公司＋合作社＋农户</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基本经营模式运作，推动产业规模化发展。推动农业庄园、特色小镇建设，</w:t>
      </w:r>
      <w:r>
        <w:rPr>
          <w:rFonts w:hint="default" w:eastAsia="仿宋_GB2312"/>
          <w:color w:val="auto"/>
          <w:spacing w:val="0"/>
          <w:szCs w:val="24"/>
        </w:rPr>
        <w:t>打造一批集农业观光、精品民宿、餐饮服务、康养于一体的精品旅游庄园</w:t>
      </w:r>
      <w:r>
        <w:rPr>
          <w:rFonts w:hint="eastAsia" w:eastAsia="仿宋_GB2312"/>
          <w:color w:val="auto"/>
          <w:spacing w:val="0"/>
          <w:szCs w:val="24"/>
          <w:lang w:eastAsia="zh-CN"/>
        </w:rPr>
        <w:t>；</w:t>
      </w:r>
      <w:r>
        <w:rPr>
          <w:rFonts w:hint="default" w:eastAsia="仿宋_GB2312"/>
          <w:color w:val="auto"/>
          <w:spacing w:val="0"/>
          <w:szCs w:val="24"/>
        </w:rPr>
        <w:t>聚焦有生态、有特色、有机地、有规模、有主体、有平台、有业态、有市场、有品质</w:t>
      </w:r>
      <w:r>
        <w:rPr>
          <w:rFonts w:hint="eastAsia" w:eastAsia="仿宋_GB2312"/>
          <w:color w:val="auto"/>
          <w:spacing w:val="0"/>
          <w:szCs w:val="24"/>
          <w:lang w:eastAsia="zh-CN"/>
        </w:rPr>
        <w:t>“</w:t>
      </w:r>
      <w:r>
        <w:rPr>
          <w:rFonts w:hint="default" w:eastAsia="仿宋_GB2312"/>
          <w:color w:val="auto"/>
          <w:spacing w:val="0"/>
          <w:szCs w:val="24"/>
        </w:rPr>
        <w:t>9个有</w:t>
      </w:r>
      <w:r>
        <w:rPr>
          <w:rFonts w:hint="eastAsia" w:eastAsia="仿宋_GB2312"/>
          <w:color w:val="auto"/>
          <w:spacing w:val="0"/>
          <w:szCs w:val="24"/>
          <w:lang w:eastAsia="zh-CN"/>
        </w:rPr>
        <w:t>”</w:t>
      </w:r>
      <w:r>
        <w:rPr>
          <w:rFonts w:hint="default" w:eastAsia="仿宋_GB2312"/>
          <w:color w:val="auto"/>
          <w:spacing w:val="0"/>
          <w:szCs w:val="24"/>
        </w:rPr>
        <w:t>要素及标准，推进田园综合体建设，</w:t>
      </w:r>
      <w:r>
        <w:rPr>
          <w:rFonts w:hint="default" w:ascii="Times New Roman" w:hAnsi="Times New Roman" w:eastAsia="仿宋_GB2312" w:cs="Times New Roman"/>
          <w:color w:val="auto"/>
          <w:spacing w:val="0"/>
          <w:szCs w:val="24"/>
        </w:rPr>
        <w:t>打造一批产业融合载体，促进农业生产、加工、物流、研发、示范、服务等相互融合和全产业链开发，提升农业发展能力。</w:t>
      </w:r>
    </w:p>
    <w:p w14:paraId="4B7B3996">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二、发展乡村旅游业</w:t>
      </w:r>
    </w:p>
    <w:p w14:paraId="5CF29862">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color w:val="auto"/>
          <w:spacing w:val="0"/>
          <w:szCs w:val="24"/>
        </w:rPr>
        <w:t>推进旅游与民俗文化</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美丽乡村建设</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新型城镇化等高度融合，积极发展花腰傣民族文化农业、休闲农业度假体验、创意农业、科普农业等新业态，</w:t>
      </w:r>
      <w:r>
        <w:rPr>
          <w:rFonts w:hint="default" w:ascii="Times New Roman" w:hAnsi="Times New Roman" w:eastAsia="仿宋_GB2312" w:cs="Times New Roman"/>
          <w:color w:val="auto"/>
          <w:spacing w:val="0"/>
          <w:szCs w:val="24"/>
          <w:lang w:val="en-US" w:eastAsia="zh-CN"/>
        </w:rPr>
        <w:t>借鉴安吉鲁家村模式，</w:t>
      </w:r>
      <w:r>
        <w:rPr>
          <w:rFonts w:hint="default" w:ascii="Times New Roman" w:hAnsi="Times New Roman" w:eastAsia="仿宋_GB2312" w:cs="Times New Roman"/>
          <w:color w:val="auto"/>
          <w:spacing w:val="0"/>
          <w:szCs w:val="24"/>
        </w:rPr>
        <w:t>加快在戛洒、平甸等打造一批</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乡村环境优、民族文化浓、市场前景好、扶贫带动大、乡风文明美</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的宜居、宜业、宜游的旅游特色村和美丽乡村，</w:t>
      </w:r>
      <w:r>
        <w:rPr>
          <w:rFonts w:hint="default" w:ascii="Times New Roman" w:hAnsi="Times New Roman" w:eastAsia="仿宋_GB2312" w:cs="Times New Roman"/>
          <w:color w:val="auto"/>
          <w:spacing w:val="0"/>
          <w:szCs w:val="24"/>
          <w:lang w:val="en-US" w:eastAsia="zh-CN"/>
        </w:rPr>
        <w:t>发展乡村旅游</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开展柑橘、笋丝、火腿等土特产伴手礼加工及线上线下销售。发挥</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褚橙庄园</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桔荔庄园</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等</w:t>
      </w:r>
      <w:r>
        <w:rPr>
          <w:rFonts w:hint="default" w:ascii="Times New Roman" w:hAnsi="Times New Roman" w:eastAsia="仿宋_GB2312" w:cs="Times New Roman"/>
          <w:color w:val="auto"/>
          <w:spacing w:val="0"/>
          <w:szCs w:val="24"/>
        </w:rPr>
        <w:t>庄园经济特有的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造血</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功能</w:t>
      </w:r>
      <w:r>
        <w:rPr>
          <w:rFonts w:hint="default" w:ascii="Times New Roman" w:hAnsi="Times New Roman" w:eastAsia="仿宋_GB2312" w:cs="Times New Roman"/>
          <w:color w:val="auto"/>
          <w:spacing w:val="0"/>
          <w:szCs w:val="24"/>
          <w:lang w:eastAsia="zh-CN"/>
        </w:rPr>
        <w:t>和示范作用</w:t>
      </w:r>
      <w:r>
        <w:rPr>
          <w:rFonts w:hint="default" w:ascii="Times New Roman" w:hAnsi="Times New Roman" w:eastAsia="仿宋_GB2312" w:cs="Times New Roman"/>
          <w:color w:val="auto"/>
          <w:spacing w:val="0"/>
          <w:szCs w:val="24"/>
        </w:rPr>
        <w:t>，把庄园经济作为实现高原特色农业现代化的重要组织方式和发展模式加以建设和扩展，大力发展庄园经济。</w:t>
      </w:r>
    </w:p>
    <w:p w14:paraId="7C734CE2">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三、发展乡村新型服务业</w:t>
      </w:r>
    </w:p>
    <w:p w14:paraId="6ED628E1">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充实和完善通信运营商乡村营业站点和</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三农</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服务体系，大力发展农村电子商务</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开展农村电商示范村建设，积极发展健康的网红经济、直播带货</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推动农产品、农业生产资料和休闲农业相关优质产品网上营销，打造高原特色</w:t>
      </w:r>
      <w:r>
        <w:rPr>
          <w:rFonts w:hint="default" w:ascii="Times New Roman" w:hAnsi="Times New Roman" w:eastAsia="仿宋_GB2312" w:cs="Times New Roman"/>
          <w:color w:val="auto"/>
          <w:spacing w:val="0"/>
          <w:szCs w:val="24"/>
          <w:lang w:val="en-US" w:eastAsia="zh-CN"/>
        </w:rPr>
        <w:t>现代</w:t>
      </w:r>
      <w:r>
        <w:rPr>
          <w:rFonts w:hint="default" w:ascii="Times New Roman" w:hAnsi="Times New Roman" w:eastAsia="仿宋_GB2312" w:cs="Times New Roman"/>
          <w:color w:val="auto"/>
          <w:spacing w:val="0"/>
          <w:szCs w:val="24"/>
        </w:rPr>
        <w:t>农业电子商务示范基地。积极发展养老</w:t>
      </w:r>
      <w:r>
        <w:rPr>
          <w:rFonts w:hint="default" w:ascii="Times New Roman" w:hAnsi="Times New Roman" w:eastAsia="仿宋_GB2312" w:cs="Times New Roman"/>
          <w:color w:val="auto"/>
          <w:spacing w:val="0"/>
          <w:szCs w:val="24"/>
          <w:lang w:val="en-US" w:eastAsia="zh-CN"/>
        </w:rPr>
        <w:t>托育</w:t>
      </w:r>
      <w:r>
        <w:rPr>
          <w:rFonts w:hint="default" w:ascii="Times New Roman" w:hAnsi="Times New Roman" w:eastAsia="仿宋_GB2312" w:cs="Times New Roman"/>
          <w:color w:val="auto"/>
          <w:spacing w:val="0"/>
          <w:szCs w:val="24"/>
        </w:rPr>
        <w:t>、卫生保洁、文</w:t>
      </w:r>
      <w:r>
        <w:rPr>
          <w:rFonts w:hint="default" w:ascii="Times New Roman" w:hAnsi="Times New Roman" w:eastAsia="仿宋_GB2312" w:cs="Times New Roman"/>
          <w:color w:val="auto"/>
          <w:spacing w:val="0"/>
          <w:szCs w:val="24"/>
          <w:lang w:eastAsia="zh-CN"/>
        </w:rPr>
        <w:t>艺</w:t>
      </w:r>
      <w:r>
        <w:rPr>
          <w:rFonts w:hint="default" w:ascii="Times New Roman" w:hAnsi="Times New Roman" w:eastAsia="仿宋_GB2312" w:cs="Times New Roman"/>
          <w:color w:val="auto"/>
          <w:spacing w:val="0"/>
          <w:szCs w:val="24"/>
        </w:rPr>
        <w:t>演出、体育健身、法律咨询、信息中介、典礼司仪等乡村服务业。鼓励发展覆盖娱乐、健康、教育、家政、体育等领域的在线服务平台，推动传统</w:t>
      </w:r>
      <w:r>
        <w:rPr>
          <w:rFonts w:hint="default" w:ascii="Times New Roman" w:hAnsi="Times New Roman" w:eastAsia="仿宋_GB2312" w:cs="Times New Roman"/>
          <w:color w:val="auto"/>
          <w:spacing w:val="0"/>
          <w:szCs w:val="24"/>
          <w:lang w:val="en-US" w:eastAsia="zh-CN"/>
        </w:rPr>
        <w:t>乡村</w:t>
      </w:r>
      <w:r>
        <w:rPr>
          <w:rFonts w:hint="default" w:ascii="Times New Roman" w:hAnsi="Times New Roman" w:eastAsia="仿宋_GB2312" w:cs="Times New Roman"/>
          <w:color w:val="auto"/>
          <w:spacing w:val="0"/>
          <w:szCs w:val="24"/>
        </w:rPr>
        <w:t>服务业升级改造，为乡村居民提供高效便捷服务。</w:t>
      </w:r>
    </w:p>
    <w:p w14:paraId="1273DF60">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78" w:name="_Toc32360"/>
      <w:bookmarkStart w:id="79" w:name="_Toc9491"/>
      <w:r>
        <w:rPr>
          <w:rFonts w:hint="eastAsia" w:ascii="黑体" w:hAnsi="黑体" w:eastAsia="黑体" w:cs="黑体"/>
          <w:b/>
          <w:bCs w:val="0"/>
          <w:color w:val="auto"/>
          <w:spacing w:val="0"/>
          <w:szCs w:val="32"/>
        </w:rPr>
        <w:t>第三节  实施乡村建设行动</w:t>
      </w:r>
      <w:bookmarkEnd w:id="78"/>
      <w:bookmarkEnd w:id="79"/>
    </w:p>
    <w:p w14:paraId="1C6ACC72">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全面实施乡村振兴</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百千万</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工程，完善乡村基础设施，持续推进美丽乡村建设，全面推动乡村人才发展，打造产业兴旺、生态宜居、乡风文明、治理有效、生活富裕的美丽乡村。</w:t>
      </w:r>
    </w:p>
    <w:p w14:paraId="67F4E4BD">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一、科学合理布局村庄建设</w:t>
      </w:r>
    </w:p>
    <w:p w14:paraId="2254772A">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pacing w:val="0"/>
          <w:szCs w:val="24"/>
          <w:lang w:val="en-US" w:eastAsia="zh-CN"/>
        </w:rPr>
      </w:pPr>
      <w:r>
        <w:rPr>
          <w:rFonts w:hint="default" w:ascii="Times New Roman" w:hAnsi="Times New Roman" w:eastAsia="仿宋_GB2312" w:cs="Times New Roman"/>
          <w:color w:val="auto"/>
          <w:spacing w:val="0"/>
          <w:szCs w:val="24"/>
        </w:rPr>
        <w:t>加强乡村规划编制，统筹产业发展、基础设施、公共服务、资源能源、生态环境保护等格局</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做到实用性村庄规划应编尽编。严格执行村庄规划，建设专管员网格化管理制度。合理划定乡村规划经济发展片区、居民点管控边界和生态控制边界，确定村庄布局和规模，避免随意撤并村庄建设区、违背农民意愿大拆大建。加强乡村风貌整体管理，注重农房单体个性设计，结合彝族、傣族特色和区域差异改造提升房屋风貌。推进设计下乡工作，引导懂建设、有情怀、爱农村的设计人员下乡服务，提升乡村规划建设水平。</w:t>
      </w:r>
    </w:p>
    <w:p w14:paraId="34CE5E9C">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二、加强乡村基础设施建设</w:t>
      </w:r>
    </w:p>
    <w:p w14:paraId="0F5A0887">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完善乡村水、电、路、气、通信、广播电视、物流等基础设施，健全运营管护长效机制。加强村内道路、通村道路硬化，实施农村公路</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窄改宽</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和生命安全防护工程，稳步推进</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路长制</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，加强农村公路日常养护、预防性养护和路政宣传、巡查、超限超载治理，建设</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四好农村路</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。加强饮用水水源地、地下水保护，实施农村供水保障工程，通过新</w:t>
      </w:r>
      <w:r>
        <w:rPr>
          <w:rFonts w:hint="default" w:ascii="Times New Roman" w:hAnsi="Times New Roman" w:eastAsia="仿宋_GB2312" w:cs="Times New Roman"/>
          <w:color w:val="auto"/>
          <w:spacing w:val="0"/>
          <w:szCs w:val="24"/>
          <w:u w:val="none"/>
          <w:lang w:val="en-US" w:eastAsia="zh-CN"/>
        </w:rPr>
        <w:t>改扩建管网和配套消毒设施设备，保障</w:t>
      </w:r>
      <w:r>
        <w:rPr>
          <w:rFonts w:hint="default" w:ascii="Times New Roman" w:hAnsi="Times New Roman" w:eastAsia="仿宋_GB2312" w:cs="Times New Roman"/>
          <w:color w:val="auto"/>
          <w:spacing w:val="0"/>
          <w:szCs w:val="24"/>
          <w:lang w:val="en-US" w:eastAsia="zh-CN"/>
        </w:rPr>
        <w:t>山区农村人畜饮水和农业灌溉用水。推进</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以气代柴</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以气代煤</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以电代柴</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节能</w:t>
      </w:r>
      <w:r>
        <w:rPr>
          <w:rFonts w:hint="default" w:ascii="Times New Roman" w:hAnsi="Times New Roman" w:eastAsia="仿宋_GB2312" w:cs="Times New Roman"/>
          <w:color w:val="auto"/>
          <w:spacing w:val="0"/>
          <w:szCs w:val="24"/>
          <w:highlight w:val="none"/>
          <w:lang w:val="en-US" w:eastAsia="zh-CN"/>
        </w:rPr>
        <w:t>改灶</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，推广农村绿色节能建筑和农用节能技术、产品。加快农村电网改造升级，发展</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互联网+</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智慧能源。实施快速汽车充电桩项目，推进充电站进乡镇、充电桩进社区。</w:t>
      </w:r>
    </w:p>
    <w:p w14:paraId="3838F0CB">
      <w:pPr>
        <w:keepNext/>
        <w:keepLines/>
        <w:pageBreakBefore w:val="0"/>
        <w:widowControl w:val="0"/>
        <w:tabs>
          <w:tab w:val="center" w:pos="4156"/>
        </w:tabs>
        <w:kinsoku/>
        <w:wordWrap/>
        <w:overflowPunct/>
        <w:topLinePunct w:val="0"/>
        <w:autoSpaceDN/>
        <w:bidi w:val="0"/>
        <w:spacing w:before="60" w:after="60"/>
        <w:ind w:firstLine="687"/>
        <w:outlineLvl w:val="2"/>
        <w:rPr>
          <w:rFonts w:hint="default" w:ascii="Times New Roman" w:hAnsi="Times New Roman" w:eastAsia="方正楷体_GBK" w:cs="Times New Roman"/>
          <w:b/>
          <w:color w:val="auto"/>
          <w:spacing w:val="0"/>
          <w:szCs w:val="22"/>
        </w:rPr>
      </w:pPr>
      <w:r>
        <w:rPr>
          <w:rFonts w:hint="eastAsia" w:ascii="黑体" w:hAnsi="黑体" w:eastAsia="黑体" w:cs="黑体"/>
          <w:b w:val="0"/>
          <w:bCs/>
          <w:color w:val="auto"/>
          <w:spacing w:val="0"/>
          <w:szCs w:val="22"/>
        </w:rPr>
        <w:t>三、持续改善农村人居环境</w:t>
      </w:r>
    </w:p>
    <w:p w14:paraId="78492851">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积极开展农村生活污水和垃圾治理、村民小组公厕改造、村容村貌提升，打造宜居宜业美丽乡村。加快乡镇污水处理厂建设和配套管网延伸，因地制宜采用污染治理与资源利用相结合、工程措施与生态措施相结合、集中与分散相结合的处理工艺，有效治理农村生活污水。严禁工业和城镇污染向农村转移。采取</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村收集、镇转运、县处理</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组收集、村（镇）转运、镇（片区）处理</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源头减量、就近就地处理</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等多种模式，加强生活垃圾治理，推行城乡生活垃圾处理收费制度，做到农村垃圾</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统一堆放、统一处理</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与垃圾分类处理有机衔接。因地制宜采取改厕技术和模式，推进</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厕所革命</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，推广使用</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三格化粪池</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。落实乡村振兴</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百千万</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工程，到2025年，力争建设1个以上乡村振兴示范乡镇、10个精品示范村、100个美丽村庄。</w:t>
      </w:r>
    </w:p>
    <w:p w14:paraId="2506A2C3">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四、全面加强乡村人才建设</w:t>
      </w:r>
    </w:p>
    <w:p w14:paraId="7D206E67">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完善人才培养、引进、使用、激励等方面的政策措施，让农村机会吸引人，让人才植根乡村。</w:t>
      </w:r>
      <w:r>
        <w:rPr>
          <w:rFonts w:hint="default" w:ascii="Times New Roman" w:hAnsi="Times New Roman" w:eastAsia="仿宋_GB2312" w:cs="Times New Roman"/>
          <w:color w:val="auto"/>
          <w:spacing w:val="0"/>
          <w:szCs w:val="24"/>
          <w:lang w:eastAsia="zh-CN"/>
        </w:rPr>
        <w:t>实施</w:t>
      </w:r>
      <w:r>
        <w:rPr>
          <w:rFonts w:hint="default" w:ascii="Times New Roman" w:hAnsi="Times New Roman" w:eastAsia="仿宋_GB2312" w:cs="Times New Roman"/>
          <w:color w:val="auto"/>
          <w:spacing w:val="0"/>
          <w:szCs w:val="24"/>
        </w:rPr>
        <w:t>新型农民培育</w:t>
      </w:r>
      <w:r>
        <w:rPr>
          <w:rFonts w:hint="default" w:ascii="Times New Roman" w:hAnsi="Times New Roman" w:eastAsia="仿宋_GB2312" w:cs="Times New Roman"/>
          <w:color w:val="auto"/>
          <w:spacing w:val="0"/>
          <w:szCs w:val="24"/>
          <w:lang w:val="en-US" w:eastAsia="zh-CN"/>
        </w:rPr>
        <w:t>工程</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培育一批现代青年农场主、农民合作社带头人、农业职业经理人和农业社会化服务人员。鼓励支持中青年科技人员承担农业科技项目，加大对山区、少数民族地区农技人才培养扶持</w:t>
      </w:r>
      <w:r>
        <w:rPr>
          <w:rFonts w:hint="default" w:ascii="Times New Roman" w:hAnsi="Times New Roman" w:eastAsia="仿宋_GB2312" w:cs="Times New Roman"/>
          <w:color w:val="auto"/>
          <w:spacing w:val="0"/>
          <w:szCs w:val="24"/>
          <w:lang w:val="en-US" w:eastAsia="zh-CN"/>
        </w:rPr>
        <w:t>力度</w:t>
      </w:r>
      <w:r>
        <w:rPr>
          <w:rFonts w:hint="default" w:ascii="Times New Roman" w:hAnsi="Times New Roman" w:eastAsia="仿宋_GB2312" w:cs="Times New Roman"/>
          <w:color w:val="auto"/>
          <w:spacing w:val="0"/>
          <w:szCs w:val="24"/>
        </w:rPr>
        <w:t>。加强农村乡土人才、民族民间技能人才培养，把返乡创业人员培养成带动示范作用强的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田秀才</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土专家</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。开展乡村振兴青春建功行动，以培养造就一支懂农业、爱农村、爱农民的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三农</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青年工作队伍为切入点，组织动员广大青年投身乡村振兴。以乡情乡愁为纽带，鼓励企业家、党政干部、医生教师、技能人才等，通过下乡担任志愿者、投资兴业、行医办学、法律服务等方式参与乡村振兴。</w:t>
      </w:r>
    </w:p>
    <w:tbl>
      <w:tblPr>
        <w:tblStyle w:val="21"/>
        <w:tblW w:w="9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9"/>
      </w:tblGrid>
      <w:tr w14:paraId="0C0F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9" w:type="dxa"/>
            <w:tcBorders>
              <w:top w:val="single" w:color="4F81BD" w:sz="8" w:space="0"/>
              <w:left w:val="single" w:color="4F81BD" w:sz="8" w:space="0"/>
              <w:bottom w:val="single" w:color="4F81BD" w:sz="8" w:space="0"/>
              <w:right w:val="single" w:color="4F81BD" w:sz="8" w:space="0"/>
            </w:tcBorders>
            <w:shd w:val="clear" w:color="auto" w:fill="4F81BD"/>
          </w:tcPr>
          <w:p w14:paraId="2222EE0A">
            <w:pPr>
              <w:pageBreakBefore w:val="0"/>
              <w:widowControl w:val="0"/>
              <w:kinsoku/>
              <w:wordWrap/>
              <w:overflowPunct/>
              <w:topLinePunct w:val="0"/>
              <w:autoSpaceDN/>
              <w:bidi w:val="0"/>
              <w:spacing w:line="500" w:lineRule="exact"/>
              <w:ind w:firstLine="0" w:firstLineChars="0"/>
              <w:jc w:val="center"/>
              <w:rPr>
                <w:rFonts w:hint="default" w:ascii="Times New Roman" w:hAnsi="Times New Roman" w:eastAsia="宋体" w:cs="Times New Roman"/>
                <w:color w:val="auto"/>
                <w:spacing w:val="0"/>
                <w:sz w:val="28"/>
                <w:szCs w:val="28"/>
                <w:lang w:eastAsia="zh-CN"/>
              </w:rPr>
            </w:pPr>
            <w:r>
              <w:rPr>
                <w:rFonts w:hint="default" w:ascii="Times New Roman" w:hAnsi="Times New Roman" w:eastAsia="仿宋_GB2312" w:cs="Times New Roman"/>
                <w:b/>
                <w:bCs/>
                <w:color w:val="auto"/>
                <w:spacing w:val="0"/>
                <w:sz w:val="28"/>
                <w:szCs w:val="28"/>
              </w:rPr>
              <w:t>专栏</w:t>
            </w:r>
            <w:r>
              <w:rPr>
                <w:rFonts w:hint="default" w:ascii="Times New Roman" w:hAnsi="Times New Roman" w:eastAsia="仿宋_GB2312" w:cs="Times New Roman"/>
                <w:b/>
                <w:bCs/>
                <w:color w:val="auto"/>
                <w:spacing w:val="0"/>
                <w:sz w:val="28"/>
                <w:szCs w:val="28"/>
                <w:lang w:val="en-US" w:eastAsia="zh-CN"/>
              </w:rPr>
              <w:t>12</w:t>
            </w:r>
            <w:r>
              <w:rPr>
                <w:rFonts w:hint="default" w:ascii="Times New Roman" w:hAnsi="Times New Roman" w:eastAsia="仿宋_GB2312" w:cs="Times New Roman"/>
                <w:b/>
                <w:bCs/>
                <w:color w:val="auto"/>
                <w:spacing w:val="0"/>
                <w:sz w:val="28"/>
                <w:szCs w:val="28"/>
              </w:rPr>
              <w:t xml:space="preserve"> 农业农村发展重大工程</w:t>
            </w:r>
          </w:p>
        </w:tc>
      </w:tr>
      <w:tr w14:paraId="06D9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9" w:type="dxa"/>
            <w:tcBorders>
              <w:top w:val="single" w:color="4F81BD" w:sz="8" w:space="0"/>
              <w:left w:val="single" w:color="4F81BD" w:sz="8" w:space="0"/>
              <w:bottom w:val="single" w:color="4F81BD" w:sz="8" w:space="0"/>
              <w:right w:val="single" w:color="4F81BD" w:sz="8" w:space="0"/>
            </w:tcBorders>
            <w:shd w:val="clear" w:color="auto" w:fill="FFFFFF"/>
          </w:tcPr>
          <w:p w14:paraId="23C3C34F">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sz w:val="28"/>
                <w:szCs w:val="28"/>
              </w:rPr>
            </w:pPr>
            <w:r>
              <w:rPr>
                <w:rFonts w:hint="default" w:ascii="Times New Roman" w:hAnsi="Times New Roman" w:eastAsia="仿宋_GB2312" w:cs="Times New Roman"/>
                <w:b/>
                <w:bCs/>
                <w:color w:val="auto"/>
                <w:spacing w:val="0"/>
                <w:sz w:val="28"/>
                <w:szCs w:val="28"/>
              </w:rPr>
              <w:t>美丽</w:t>
            </w:r>
            <w:r>
              <w:rPr>
                <w:rFonts w:hint="default" w:ascii="Times New Roman" w:hAnsi="Times New Roman" w:eastAsia="仿宋_GB2312" w:cs="Times New Roman"/>
                <w:b/>
                <w:bCs/>
                <w:color w:val="auto"/>
                <w:spacing w:val="0"/>
                <w:sz w:val="28"/>
                <w:szCs w:val="28"/>
                <w:lang w:val="en-US"/>
              </w:rPr>
              <w:t>乡村</w:t>
            </w:r>
            <w:r>
              <w:rPr>
                <w:rFonts w:hint="default" w:ascii="Times New Roman" w:hAnsi="Times New Roman" w:eastAsia="仿宋_GB2312" w:cs="Times New Roman"/>
                <w:b/>
                <w:bCs/>
                <w:color w:val="auto"/>
                <w:spacing w:val="0"/>
                <w:sz w:val="28"/>
                <w:szCs w:val="28"/>
              </w:rPr>
              <w:t>建设工程。</w:t>
            </w:r>
            <w:r>
              <w:rPr>
                <w:rFonts w:hint="default" w:ascii="Times New Roman" w:hAnsi="Times New Roman" w:eastAsia="仿宋_GB2312" w:cs="Times New Roman"/>
                <w:bCs/>
                <w:color w:val="auto"/>
                <w:spacing w:val="0"/>
                <w:sz w:val="28"/>
                <w:szCs w:val="28"/>
              </w:rPr>
              <w:t>改建村庄公厕，</w:t>
            </w:r>
            <w:r>
              <w:rPr>
                <w:rFonts w:hint="default" w:ascii="Times New Roman" w:hAnsi="Times New Roman" w:eastAsia="仿宋_GB2312" w:cs="Times New Roman"/>
                <w:bCs/>
                <w:color w:val="auto"/>
                <w:spacing w:val="0"/>
                <w:sz w:val="28"/>
                <w:szCs w:val="28"/>
                <w:lang w:val="en-US" w:eastAsia="zh-CN"/>
              </w:rPr>
              <w:t>推进</w:t>
            </w:r>
            <w:r>
              <w:rPr>
                <w:rFonts w:hint="default" w:ascii="Times New Roman" w:hAnsi="Times New Roman" w:eastAsia="仿宋_GB2312" w:cs="Times New Roman"/>
                <w:bCs/>
                <w:color w:val="auto"/>
                <w:spacing w:val="0"/>
                <w:sz w:val="28"/>
                <w:szCs w:val="28"/>
              </w:rPr>
              <w:t>人畜分离、雨污分流</w:t>
            </w:r>
            <w:r>
              <w:rPr>
                <w:rFonts w:hint="default" w:ascii="Times New Roman" w:hAnsi="Times New Roman" w:eastAsia="仿宋_GB2312" w:cs="Times New Roman"/>
                <w:bCs/>
                <w:color w:val="auto"/>
                <w:spacing w:val="0"/>
                <w:sz w:val="28"/>
                <w:szCs w:val="28"/>
                <w:lang w:eastAsia="zh-CN"/>
              </w:rPr>
              <w:t>，</w:t>
            </w:r>
            <w:r>
              <w:rPr>
                <w:rFonts w:hint="default" w:ascii="Times New Roman" w:hAnsi="Times New Roman" w:eastAsia="仿宋_GB2312" w:cs="Times New Roman"/>
                <w:bCs/>
                <w:color w:val="auto"/>
                <w:spacing w:val="0"/>
                <w:sz w:val="28"/>
                <w:szCs w:val="28"/>
                <w:lang w:val="en-US" w:eastAsia="zh-CN"/>
              </w:rPr>
              <w:t>实施道路</w:t>
            </w:r>
            <w:r>
              <w:rPr>
                <w:rFonts w:hint="default" w:ascii="Times New Roman" w:hAnsi="Times New Roman" w:eastAsia="仿宋_GB2312" w:cs="Times New Roman"/>
                <w:bCs/>
                <w:color w:val="auto"/>
                <w:spacing w:val="0"/>
                <w:sz w:val="28"/>
                <w:szCs w:val="28"/>
              </w:rPr>
              <w:t>硬化工程，</w:t>
            </w:r>
            <w:r>
              <w:rPr>
                <w:rFonts w:hint="default" w:ascii="Times New Roman" w:hAnsi="Times New Roman" w:eastAsia="仿宋_GB2312" w:cs="Times New Roman"/>
                <w:bCs/>
                <w:color w:val="auto"/>
                <w:spacing w:val="0"/>
                <w:sz w:val="28"/>
                <w:szCs w:val="28"/>
                <w:lang w:val="en-US" w:eastAsia="zh-CN"/>
              </w:rPr>
              <w:t>加强</w:t>
            </w:r>
            <w:r>
              <w:rPr>
                <w:rFonts w:hint="default" w:ascii="Times New Roman" w:hAnsi="Times New Roman" w:eastAsia="仿宋_GB2312" w:cs="Times New Roman"/>
                <w:bCs/>
                <w:color w:val="auto"/>
                <w:spacing w:val="0"/>
                <w:sz w:val="28"/>
                <w:szCs w:val="28"/>
              </w:rPr>
              <w:t>活动室、活动场地</w:t>
            </w:r>
            <w:r>
              <w:rPr>
                <w:rFonts w:hint="default" w:ascii="Times New Roman" w:hAnsi="Times New Roman" w:eastAsia="仿宋_GB2312" w:cs="Times New Roman"/>
                <w:bCs/>
                <w:color w:val="auto"/>
                <w:spacing w:val="0"/>
                <w:sz w:val="28"/>
                <w:szCs w:val="28"/>
                <w:lang w:eastAsia="zh-CN"/>
              </w:rPr>
              <w:t>、村庄</w:t>
            </w:r>
            <w:r>
              <w:rPr>
                <w:rFonts w:hint="default" w:ascii="Times New Roman" w:hAnsi="Times New Roman" w:eastAsia="仿宋_GB2312" w:cs="Times New Roman"/>
                <w:bCs/>
                <w:color w:val="auto"/>
                <w:spacing w:val="0"/>
                <w:sz w:val="28"/>
                <w:szCs w:val="28"/>
              </w:rPr>
              <w:t>亮化、绿化等建设</w:t>
            </w:r>
            <w:r>
              <w:rPr>
                <w:rFonts w:hint="eastAsia" w:eastAsia="仿宋_GB2312" w:cs="Times New Roman"/>
                <w:bCs/>
                <w:color w:val="auto"/>
                <w:spacing w:val="0"/>
                <w:sz w:val="28"/>
                <w:szCs w:val="28"/>
                <w:lang w:eastAsia="zh-CN"/>
              </w:rPr>
              <w:t>。</w:t>
            </w:r>
            <w:r>
              <w:rPr>
                <w:rFonts w:hint="default" w:ascii="Times New Roman" w:hAnsi="Times New Roman" w:eastAsia="仿宋_GB2312" w:cs="Times New Roman"/>
                <w:bCs/>
                <w:color w:val="auto"/>
                <w:spacing w:val="0"/>
                <w:sz w:val="28"/>
                <w:szCs w:val="28"/>
              </w:rPr>
              <w:t>到2025年，建设美丽</w:t>
            </w:r>
            <w:r>
              <w:rPr>
                <w:rFonts w:hint="default" w:ascii="Times New Roman" w:hAnsi="Times New Roman" w:eastAsia="仿宋_GB2312" w:cs="Times New Roman"/>
                <w:bCs/>
                <w:color w:val="auto"/>
                <w:spacing w:val="0"/>
                <w:sz w:val="28"/>
                <w:szCs w:val="28"/>
                <w:lang w:val="en-US"/>
              </w:rPr>
              <w:t>乡村</w:t>
            </w:r>
            <w:r>
              <w:rPr>
                <w:rFonts w:hint="default" w:ascii="Times New Roman" w:hAnsi="Times New Roman" w:eastAsia="仿宋_GB2312" w:cs="Times New Roman"/>
                <w:bCs/>
                <w:color w:val="auto"/>
                <w:spacing w:val="0"/>
                <w:sz w:val="28"/>
                <w:szCs w:val="28"/>
              </w:rPr>
              <w:t>100个。</w:t>
            </w:r>
          </w:p>
          <w:p w14:paraId="13B403F9">
            <w:pPr>
              <w:pageBreakBefore w:val="0"/>
              <w:widowControl w:val="0"/>
              <w:kinsoku/>
              <w:wordWrap/>
              <w:overflowPunct/>
              <w:topLinePunct w:val="0"/>
              <w:autoSpaceDN/>
              <w:bidi w:val="0"/>
              <w:spacing w:line="500" w:lineRule="exact"/>
              <w:ind w:firstLine="606"/>
              <w:rPr>
                <w:rFonts w:ascii="Times New Roman" w:hAnsi="Times New Roman" w:eastAsia="宋体" w:cs="Times New Roman"/>
                <w:bCs/>
                <w:color w:val="auto"/>
                <w:spacing w:val="0"/>
                <w:sz w:val="28"/>
                <w:szCs w:val="28"/>
              </w:rPr>
            </w:pPr>
            <w:r>
              <w:rPr>
                <w:rFonts w:hint="default" w:ascii="Times New Roman" w:hAnsi="Times New Roman" w:eastAsia="仿宋_GB2312" w:cs="Times New Roman"/>
                <w:b/>
                <w:bCs/>
                <w:color w:val="auto"/>
                <w:spacing w:val="0"/>
                <w:sz w:val="28"/>
                <w:szCs w:val="28"/>
              </w:rPr>
              <w:t>农村公路建设养护工程。</w:t>
            </w:r>
            <w:r>
              <w:rPr>
                <w:rFonts w:hint="default" w:ascii="Times New Roman" w:hAnsi="Times New Roman" w:eastAsia="仿宋_GB2312" w:cs="Times New Roman"/>
                <w:bCs/>
                <w:color w:val="auto"/>
                <w:spacing w:val="0"/>
                <w:sz w:val="28"/>
                <w:szCs w:val="28"/>
              </w:rPr>
              <w:t>创建</w:t>
            </w:r>
            <w:r>
              <w:rPr>
                <w:rFonts w:hint="eastAsia" w:eastAsia="仿宋_GB2312" w:cs="Times New Roman"/>
                <w:bCs/>
                <w:color w:val="auto"/>
                <w:spacing w:val="0"/>
                <w:sz w:val="28"/>
                <w:szCs w:val="28"/>
                <w:lang w:eastAsia="zh-CN"/>
              </w:rPr>
              <w:t>“</w:t>
            </w:r>
            <w:r>
              <w:rPr>
                <w:rFonts w:hint="default" w:ascii="Times New Roman" w:hAnsi="Times New Roman" w:eastAsia="仿宋_GB2312" w:cs="Times New Roman"/>
                <w:bCs/>
                <w:color w:val="auto"/>
                <w:spacing w:val="0"/>
                <w:sz w:val="28"/>
                <w:szCs w:val="28"/>
              </w:rPr>
              <w:t>美丽公路</w:t>
            </w:r>
            <w:r>
              <w:rPr>
                <w:rFonts w:hint="eastAsia" w:eastAsia="仿宋_GB2312" w:cs="Times New Roman"/>
                <w:bCs/>
                <w:color w:val="auto"/>
                <w:spacing w:val="0"/>
                <w:sz w:val="28"/>
                <w:szCs w:val="28"/>
                <w:lang w:eastAsia="zh-CN"/>
              </w:rPr>
              <w:t>”</w:t>
            </w:r>
            <w:r>
              <w:rPr>
                <w:rFonts w:hint="default" w:ascii="Times New Roman" w:hAnsi="Times New Roman" w:eastAsia="仿宋_GB2312" w:cs="Times New Roman"/>
                <w:bCs/>
                <w:color w:val="auto"/>
                <w:spacing w:val="0"/>
                <w:sz w:val="28"/>
                <w:szCs w:val="28"/>
                <w:lang w:val="en-US" w:eastAsia="zh-CN"/>
              </w:rPr>
              <w:t>100</w:t>
            </w:r>
            <w:r>
              <w:rPr>
                <w:rFonts w:hint="default" w:ascii="Times New Roman" w:hAnsi="Times New Roman" w:eastAsia="仿宋_GB2312" w:cs="Times New Roman"/>
                <w:bCs/>
                <w:color w:val="auto"/>
                <w:spacing w:val="0"/>
                <w:sz w:val="28"/>
                <w:szCs w:val="28"/>
              </w:rPr>
              <w:t>公里，逐年完成安防工程、路面维修、行道树种植、行道树修剪刷白、标志标牌制作安装、路面画线、路容路貌打造，使农村公路呈现出</w:t>
            </w:r>
            <w:r>
              <w:rPr>
                <w:rFonts w:hint="eastAsia" w:eastAsia="仿宋_GB2312" w:cs="Times New Roman"/>
                <w:bCs/>
                <w:color w:val="auto"/>
                <w:spacing w:val="0"/>
                <w:sz w:val="28"/>
                <w:szCs w:val="28"/>
                <w:lang w:eastAsia="zh-CN"/>
              </w:rPr>
              <w:t>“</w:t>
            </w:r>
            <w:r>
              <w:rPr>
                <w:rFonts w:hint="default" w:ascii="Times New Roman" w:hAnsi="Times New Roman" w:eastAsia="仿宋_GB2312" w:cs="Times New Roman"/>
                <w:bCs/>
                <w:color w:val="auto"/>
                <w:spacing w:val="0"/>
                <w:sz w:val="28"/>
                <w:szCs w:val="28"/>
              </w:rPr>
              <w:t>畅、安、舒、美</w:t>
            </w:r>
            <w:r>
              <w:rPr>
                <w:rFonts w:hint="eastAsia" w:eastAsia="仿宋_GB2312" w:cs="Times New Roman"/>
                <w:bCs/>
                <w:color w:val="auto"/>
                <w:spacing w:val="0"/>
                <w:sz w:val="28"/>
                <w:szCs w:val="28"/>
                <w:lang w:eastAsia="zh-CN"/>
              </w:rPr>
              <w:t>”</w:t>
            </w:r>
            <w:r>
              <w:rPr>
                <w:rFonts w:hint="default" w:ascii="Times New Roman" w:hAnsi="Times New Roman" w:eastAsia="仿宋_GB2312" w:cs="Times New Roman"/>
                <w:bCs/>
                <w:color w:val="auto"/>
                <w:spacing w:val="0"/>
                <w:sz w:val="28"/>
                <w:szCs w:val="28"/>
              </w:rPr>
              <w:t>的景象。加强农村公路危桥改造、农村公路生命安全防护，建设农村公路桥梁28件634.2</w:t>
            </w:r>
            <w:r>
              <w:rPr>
                <w:rFonts w:hint="default" w:ascii="Times New Roman" w:hAnsi="Times New Roman" w:eastAsia="仿宋_GB2312" w:cs="Times New Roman"/>
                <w:bCs/>
                <w:color w:val="auto"/>
                <w:spacing w:val="0"/>
                <w:sz w:val="28"/>
                <w:szCs w:val="28"/>
                <w:lang w:eastAsia="zh-CN"/>
              </w:rPr>
              <w:t>延米</w:t>
            </w:r>
            <w:r>
              <w:rPr>
                <w:rFonts w:hint="default" w:ascii="Times New Roman" w:hAnsi="Times New Roman" w:eastAsia="仿宋_GB2312" w:cs="Times New Roman"/>
                <w:bCs/>
                <w:color w:val="auto"/>
                <w:spacing w:val="0"/>
                <w:sz w:val="28"/>
                <w:szCs w:val="28"/>
              </w:rPr>
              <w:t>，对农村53条747公里公路沿线布置交通标志牌和波形护栏等防护设施。加强农村公路养护，对公路及其沿线设施的一般性损坏部分进行定期的修理加固，以恢复公路原有的技术状况。</w:t>
            </w:r>
          </w:p>
        </w:tc>
      </w:tr>
    </w:tbl>
    <w:p w14:paraId="69E28DF2">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80" w:name="_Toc5769"/>
      <w:bookmarkStart w:id="81" w:name="_Toc31339"/>
      <w:r>
        <w:rPr>
          <w:rFonts w:hint="eastAsia" w:ascii="黑体" w:hAnsi="黑体" w:eastAsia="黑体" w:cs="黑体"/>
          <w:b/>
          <w:bCs w:val="0"/>
          <w:color w:val="auto"/>
          <w:spacing w:val="0"/>
          <w:szCs w:val="32"/>
        </w:rPr>
        <w:t>第四节  深化农村改革</w:t>
      </w:r>
      <w:bookmarkEnd w:id="80"/>
      <w:bookmarkEnd w:id="81"/>
    </w:p>
    <w:p w14:paraId="433163A2">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严格落实第二轮土地承包到期后再延长30年政策，确保农村土地承包关系稳定并长久不变。深化农村承包地制度改革，用好确权数据成果，尽快形成全县农村承包土地</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一张图</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。健全城乡统一的建设用地市场，积极探索实施农村集体经营性建设用地入市制度</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进一步放活土地经营权，允许土地经营权入股从事农业产业化经营。开展农村房地一体的权籍调查，推进颁发统一的不动产权证。适度放活宅基地和农民房屋使用权。开展违法多占、乱占宅基地集中清理整治。加快完成农村集体建设用地使用权确权登记颁证。健全农村金融服务体系，发展农业保险。深化农村集体产权制度改革，加快培育农民合作社、家庭农场等新型农业经营主体，健全农业专业化社会化服务体系，发展多种形式适度规模经营，实现小农户和现代农业有机衔接</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发展新型农村集体经济。</w:t>
      </w:r>
    </w:p>
    <w:p w14:paraId="64700585">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82" w:name="_Toc16038"/>
      <w:bookmarkStart w:id="83" w:name="_Toc5688"/>
      <w:r>
        <w:rPr>
          <w:rFonts w:hint="eastAsia" w:ascii="黑体" w:hAnsi="黑体" w:eastAsia="黑体" w:cs="黑体"/>
          <w:b/>
          <w:bCs w:val="0"/>
          <w:color w:val="auto"/>
          <w:spacing w:val="0"/>
          <w:szCs w:val="32"/>
        </w:rPr>
        <w:t>第五节  推进城乡融合发展</w:t>
      </w:r>
      <w:bookmarkEnd w:id="82"/>
      <w:bookmarkEnd w:id="83"/>
    </w:p>
    <w:p w14:paraId="444D34E7">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完善财政投入保障机制，以财政资金投入引导社会资本投入，建立涉农资金整合长效机制，提高资金配置效率。完善乡村金融服务体系，推动政策性保险扩面、增品、提标，降低农户生产经营风险，支持通过市场化方式设立城乡融合发展基金。建立工商资本入乡促进机制，鼓励工商资本投资适合产业化规模化集约化经营的农业领域，支持社会力量进入乡村生活性服务业领域。鼓励社会资本投向农村建设，引导更多人才、技术、资金等要素投向农业农村</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健全有利于各类人才向乡镇流动的政策支持体系，鼓励城市人才入乡创业兴业。建立科技成果入乡转化机制，探索公益性和经营性农技推广融合发展机制。推动城乡基础设施和公共服务一体化发展</w:t>
      </w:r>
      <w:r>
        <w:rPr>
          <w:rFonts w:hint="default" w:ascii="Times New Roman" w:hAnsi="Times New Roman" w:eastAsia="仿宋_GB2312" w:cs="Times New Roman"/>
          <w:color w:val="auto"/>
          <w:spacing w:val="0"/>
          <w:szCs w:val="24"/>
          <w:lang w:eastAsia="zh-CN"/>
        </w:rPr>
        <w:t>，加</w:t>
      </w:r>
      <w:r>
        <w:rPr>
          <w:rFonts w:hint="default" w:ascii="Times New Roman" w:hAnsi="Times New Roman" w:eastAsia="仿宋_GB2312" w:cs="Times New Roman"/>
          <w:color w:val="auto"/>
          <w:spacing w:val="0"/>
          <w:szCs w:val="24"/>
        </w:rPr>
        <w:t>快城乡基础设施一体化，健全统一的规划、建设、管护机制，构建城乡快捷高效的交通网、</w:t>
      </w:r>
      <w:r>
        <w:rPr>
          <w:rFonts w:hint="default" w:ascii="Times New Roman" w:hAnsi="Times New Roman" w:eastAsia="仿宋_GB2312" w:cs="Times New Roman"/>
          <w:color w:val="auto"/>
          <w:spacing w:val="0"/>
          <w:szCs w:val="24"/>
          <w:lang w:val="en-US" w:eastAsia="zh-CN"/>
        </w:rPr>
        <w:t>水网、</w:t>
      </w:r>
      <w:r>
        <w:rPr>
          <w:rFonts w:hint="default" w:ascii="Times New Roman" w:hAnsi="Times New Roman" w:eastAsia="仿宋_GB2312" w:cs="Times New Roman"/>
          <w:color w:val="auto"/>
          <w:spacing w:val="0"/>
          <w:szCs w:val="24"/>
        </w:rPr>
        <w:t>市政网、信息网、服务网。促进城乡基本公共服务均等化，加快公共服务向农村延伸、社会事业向农村覆盖，推动城乡标准统一、制度并轨。</w:t>
      </w:r>
    </w:p>
    <w:p w14:paraId="6C762662">
      <w:pPr>
        <w:pageBreakBefore w:val="0"/>
        <w:widowControl w:val="0"/>
        <w:kinsoku/>
        <w:wordWrap/>
        <w:overflowPunct/>
        <w:topLinePunct w:val="0"/>
        <w:autoSpaceDN/>
        <w:bidi w:val="0"/>
        <w:rPr>
          <w:rFonts w:hint="eastAsia"/>
          <w:spacing w:val="0"/>
          <w:lang w:val="en-US" w:eastAsia="zh-CN"/>
        </w:rPr>
      </w:pPr>
      <w:r>
        <w:rPr>
          <w:rFonts w:hint="eastAsia"/>
          <w:spacing w:val="0"/>
          <w:lang w:val="en-US" w:eastAsia="zh-CN"/>
        </w:rPr>
        <w:br w:type="page"/>
      </w:r>
    </w:p>
    <w:p w14:paraId="13F23A0A">
      <w:pPr>
        <w:pStyle w:val="3"/>
        <w:pageBreakBefore w:val="0"/>
        <w:widowControl w:val="0"/>
        <w:kinsoku/>
        <w:wordWrap/>
        <w:overflowPunct/>
        <w:topLinePunct w:val="0"/>
        <w:autoSpaceDN/>
        <w:bidi w:val="0"/>
        <w:rPr>
          <w:rFonts w:hint="eastAsia"/>
          <w:spacing w:val="0"/>
          <w:lang w:val="en-US" w:eastAsia="zh-CN"/>
        </w:rPr>
      </w:pPr>
      <w:bookmarkStart w:id="84" w:name="_Toc8224"/>
      <w:bookmarkStart w:id="85" w:name="_Toc10470"/>
      <w:r>
        <w:rPr>
          <w:rFonts w:hint="eastAsia"/>
          <w:spacing w:val="0"/>
          <w:lang w:val="en-US" w:eastAsia="zh-CN"/>
        </w:rPr>
        <w:t>第七章  坚持基础先行，实现有效投资新跃升</w:t>
      </w:r>
      <w:bookmarkEnd w:id="84"/>
      <w:bookmarkEnd w:id="85"/>
    </w:p>
    <w:p w14:paraId="646E12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sz w:val="32"/>
          <w:szCs w:val="32"/>
          <w:u w:val="none"/>
        </w:rPr>
      </w:pPr>
      <w:r>
        <w:rPr>
          <w:rFonts w:hint="default" w:ascii="Times New Roman" w:hAnsi="Times New Roman" w:eastAsia="仿宋_GB2312" w:cs="Times New Roman"/>
          <w:color w:val="auto"/>
          <w:spacing w:val="0"/>
          <w:szCs w:val="24"/>
        </w:rPr>
        <w:t>以全要素整合、全周期协同、全方位融合、全链条畅通为导向，加快</w:t>
      </w:r>
      <w:r>
        <w:rPr>
          <w:rFonts w:hint="default" w:ascii="Times New Roman" w:hAnsi="Times New Roman" w:eastAsia="仿宋_GB2312" w:cs="Times New Roman"/>
          <w:color w:val="auto"/>
          <w:spacing w:val="0"/>
          <w:szCs w:val="24"/>
          <w:lang w:val="en-US" w:eastAsia="zh-CN"/>
        </w:rPr>
        <w:t>综合</w:t>
      </w:r>
      <w:r>
        <w:rPr>
          <w:rFonts w:hint="default" w:ascii="Times New Roman" w:hAnsi="Times New Roman" w:eastAsia="仿宋_GB2312" w:cs="Times New Roman"/>
          <w:color w:val="auto"/>
          <w:spacing w:val="0"/>
          <w:szCs w:val="24"/>
        </w:rPr>
        <w:t>交通、水利、能源、大数据、物流</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五大枢纽</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设施建设，补齐发展短板，夯实高质量跨越式发展基础。</w:t>
      </w:r>
    </w:p>
    <w:p w14:paraId="214191B7">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86" w:name="_Toc15834"/>
      <w:bookmarkStart w:id="87" w:name="_Toc16483"/>
      <w:r>
        <w:rPr>
          <w:rFonts w:hint="eastAsia" w:ascii="黑体" w:hAnsi="黑体" w:eastAsia="黑体" w:cs="黑体"/>
          <w:b/>
          <w:bCs w:val="0"/>
          <w:color w:val="auto"/>
          <w:spacing w:val="0"/>
          <w:szCs w:val="32"/>
        </w:rPr>
        <w:t>第一节  夯实综合交通基础设施</w:t>
      </w:r>
      <w:bookmarkEnd w:id="86"/>
      <w:bookmarkEnd w:id="87"/>
    </w:p>
    <w:p w14:paraId="4EA5D8B2">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紧紧抓住交通强国试点省份机遇，以滇中城市群互联互通基础设施网络建设</w:t>
      </w:r>
      <w:r>
        <w:rPr>
          <w:rFonts w:hint="default" w:ascii="Times New Roman" w:hAnsi="Times New Roman" w:eastAsia="仿宋_GB2312" w:cs="Times New Roman"/>
          <w:color w:val="auto"/>
          <w:spacing w:val="0"/>
          <w:szCs w:val="24"/>
          <w:lang w:val="en-US" w:eastAsia="zh-CN"/>
        </w:rPr>
        <w:t>和</w:t>
      </w:r>
      <w:r>
        <w:rPr>
          <w:rFonts w:hint="default" w:ascii="Times New Roman" w:hAnsi="Times New Roman" w:eastAsia="仿宋_GB2312" w:cs="Times New Roman"/>
          <w:color w:val="auto"/>
          <w:spacing w:val="0"/>
          <w:szCs w:val="24"/>
        </w:rPr>
        <w:t>高速公路</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能通全通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互联互通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建设为契机，加快发展铁路运输方式，完成玉磨铁路新平段</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仙福铁路专用线建设。构建</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东进西出、北连南下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的高速路网</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大十字</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，配合完成墨临高速新平段，</w:t>
      </w:r>
      <w:r>
        <w:rPr>
          <w:rFonts w:hint="default" w:ascii="Times New Roman" w:hAnsi="Times New Roman" w:eastAsia="仿宋_GB2312" w:cs="Times New Roman"/>
          <w:color w:val="auto"/>
          <w:spacing w:val="0"/>
          <w:szCs w:val="24"/>
          <w:lang w:val="en-US" w:eastAsia="zh-CN"/>
        </w:rPr>
        <w:t>全力推进</w:t>
      </w:r>
      <w:r>
        <w:rPr>
          <w:rFonts w:hint="default" w:ascii="Times New Roman" w:hAnsi="Times New Roman" w:eastAsia="仿宋_GB2312" w:cs="Times New Roman"/>
          <w:color w:val="auto"/>
          <w:spacing w:val="0"/>
          <w:szCs w:val="24"/>
        </w:rPr>
        <w:t>永金高速新平戛洒至元江红光段，加快推进</w:t>
      </w:r>
      <w:r>
        <w:rPr>
          <w:rFonts w:hint="default" w:ascii="Times New Roman" w:hAnsi="Times New Roman" w:eastAsia="仿宋_GB2312" w:cs="Times New Roman"/>
          <w:color w:val="auto"/>
          <w:spacing w:val="0"/>
          <w:szCs w:val="24"/>
          <w:lang w:val="en-US" w:eastAsia="zh-CN"/>
        </w:rPr>
        <w:t>易门至新平、</w:t>
      </w:r>
      <w:r>
        <w:rPr>
          <w:rFonts w:hint="default" w:ascii="Times New Roman" w:hAnsi="Times New Roman" w:eastAsia="仿宋_GB2312" w:cs="Times New Roman"/>
          <w:color w:val="auto"/>
          <w:spacing w:val="0"/>
          <w:szCs w:val="24"/>
        </w:rPr>
        <w:t>大开门至石屏宝秀、戛洒至者东等高速公路建设。切实做好水塘至南涧高速公路、昆磨高速（扬武）至墨临高速（孟弄）、新化至水塘高速公路、石板至S45永金高速公路前期工作，推进国省道和重要县乡道升级改造，进一步优化完善路网结构，提升全县普通干线公路二级以上公路比例，提高普通干线公路服务能力和水平。继续推进</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四好农村路</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及</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美丽公路</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建设</w:t>
      </w:r>
      <w:r>
        <w:rPr>
          <w:rFonts w:hint="default" w:ascii="Times New Roman" w:hAnsi="Times New Roman" w:eastAsia="仿宋_GB2312" w:cs="Times New Roman"/>
          <w:color w:val="auto"/>
          <w:spacing w:val="0"/>
          <w:szCs w:val="24"/>
        </w:rPr>
        <w:t>，实现全县</w:t>
      </w:r>
      <w:r>
        <w:rPr>
          <w:rFonts w:hint="default" w:ascii="Times New Roman" w:hAnsi="Times New Roman" w:eastAsia="仿宋_GB2312" w:cs="Times New Roman"/>
          <w:color w:val="auto"/>
          <w:spacing w:val="0"/>
          <w:szCs w:val="24"/>
          <w:lang w:val="en-US" w:eastAsia="zh-CN"/>
        </w:rPr>
        <w:t>村民小组</w:t>
      </w:r>
      <w:r>
        <w:rPr>
          <w:rFonts w:hint="default" w:ascii="Times New Roman" w:hAnsi="Times New Roman" w:eastAsia="仿宋_GB2312" w:cs="Times New Roman"/>
          <w:color w:val="auto"/>
          <w:spacing w:val="0"/>
          <w:szCs w:val="24"/>
        </w:rPr>
        <w:t>通硬化路的目标。加快推进通用机场前期工作，争取启动通用机场建设。加快城乡客运站场提升改造进程，合理规划布局城乡客运站，实现</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镇有站</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村</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行政</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有亭</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的目标，在城市公交和出租车领域推广</w:t>
      </w:r>
      <w:r>
        <w:rPr>
          <w:rFonts w:hint="default" w:ascii="Times New Roman" w:hAnsi="Times New Roman" w:eastAsia="仿宋_GB2312" w:cs="Times New Roman"/>
          <w:color w:val="auto"/>
          <w:spacing w:val="0"/>
          <w:szCs w:val="24"/>
          <w:lang w:eastAsia="zh-CN"/>
        </w:rPr>
        <w:t>新</w:t>
      </w:r>
      <w:r>
        <w:rPr>
          <w:rFonts w:hint="default" w:ascii="Times New Roman" w:hAnsi="Times New Roman" w:eastAsia="仿宋_GB2312" w:cs="Times New Roman"/>
          <w:color w:val="auto"/>
          <w:spacing w:val="0"/>
          <w:szCs w:val="24"/>
        </w:rPr>
        <w:t>能源</w:t>
      </w:r>
      <w:r>
        <w:rPr>
          <w:rFonts w:hint="default" w:ascii="Times New Roman" w:hAnsi="Times New Roman" w:eastAsia="仿宋_GB2312" w:cs="Times New Roman"/>
          <w:color w:val="auto"/>
          <w:spacing w:val="0"/>
          <w:szCs w:val="24"/>
          <w:lang w:eastAsia="zh-CN"/>
        </w:rPr>
        <w:t>汽</w:t>
      </w:r>
      <w:r>
        <w:rPr>
          <w:rFonts w:hint="default" w:ascii="Times New Roman" w:hAnsi="Times New Roman" w:eastAsia="仿宋_GB2312" w:cs="Times New Roman"/>
          <w:color w:val="auto"/>
          <w:spacing w:val="0"/>
          <w:szCs w:val="24"/>
        </w:rPr>
        <w:t>车，全面整合客运联网售票系统资源，建立与全省联网、标准统一的售票系统，逐步实现全县客运站网上售票。</w:t>
      </w:r>
    </w:p>
    <w:tbl>
      <w:tblPr>
        <w:tblStyle w:val="30"/>
        <w:tblW w:w="94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2"/>
      </w:tblGrid>
      <w:tr w14:paraId="5F905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442" w:type="dxa"/>
            <w:tcBorders>
              <w:top w:val="single" w:color="4F81BD" w:sz="8" w:space="0"/>
              <w:left w:val="single" w:color="4F81BD" w:sz="8" w:space="0"/>
              <w:bottom w:val="single" w:color="4F81BD" w:sz="8" w:space="0"/>
              <w:right w:val="single" w:color="4F81BD" w:sz="8" w:space="0"/>
            </w:tcBorders>
            <w:shd w:val="clear" w:color="auto" w:fill="4F81BD"/>
          </w:tcPr>
          <w:p w14:paraId="5E5FF848">
            <w:pPr>
              <w:pageBreakBefore w:val="0"/>
              <w:widowControl w:val="0"/>
              <w:kinsoku/>
              <w:wordWrap/>
              <w:overflowPunct/>
              <w:topLinePunct w:val="0"/>
              <w:autoSpaceDN/>
              <w:bidi w:val="0"/>
              <w:adjustRightInd w:val="0"/>
              <w:spacing w:line="500" w:lineRule="exact"/>
              <w:ind w:firstLine="0" w:firstLineChars="0"/>
              <w:jc w:val="center"/>
              <w:rPr>
                <w:rFonts w:ascii="Times New Roman" w:hAnsi="Times New Roman" w:eastAsia="宋体"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专栏1</w:t>
            </w:r>
            <w:r>
              <w:rPr>
                <w:rFonts w:hint="default" w:ascii="Times New Roman" w:hAnsi="Times New Roman" w:eastAsia="仿宋_GB2312" w:cs="Times New Roman"/>
                <w:b/>
                <w:bCs/>
                <w:color w:val="auto"/>
                <w:spacing w:val="0"/>
                <w:kern w:val="0"/>
                <w:sz w:val="28"/>
                <w:szCs w:val="28"/>
                <w:lang w:val="en-US" w:eastAsia="zh-CN"/>
              </w:rPr>
              <w:t>3</w:t>
            </w:r>
            <w:r>
              <w:rPr>
                <w:rFonts w:hint="default" w:ascii="Times New Roman" w:hAnsi="Times New Roman" w:eastAsia="仿宋_GB2312" w:cs="Times New Roman"/>
                <w:b/>
                <w:bCs/>
                <w:color w:val="auto"/>
                <w:spacing w:val="0"/>
                <w:kern w:val="0"/>
                <w:sz w:val="28"/>
                <w:szCs w:val="28"/>
              </w:rPr>
              <w:t xml:space="preserve">  综合交通基础项目</w:t>
            </w:r>
          </w:p>
        </w:tc>
      </w:tr>
      <w:tr w14:paraId="351F3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2" w:type="dxa"/>
            <w:tcBorders>
              <w:top w:val="single" w:color="4F81BD" w:sz="8" w:space="0"/>
              <w:left w:val="single" w:color="4F81BD" w:sz="8" w:space="0"/>
              <w:bottom w:val="single" w:color="4F81BD" w:sz="8" w:space="0"/>
              <w:right w:val="single" w:color="4F81BD" w:sz="8" w:space="0"/>
            </w:tcBorders>
            <w:shd w:val="clear" w:color="auto" w:fill="FFFFFF"/>
          </w:tcPr>
          <w:p w14:paraId="40AD38C0">
            <w:pPr>
              <w:keepNext w:val="0"/>
              <w:keepLines w:val="0"/>
              <w:pageBreakBefore w:val="0"/>
              <w:widowControl w:val="0"/>
              <w:kinsoku/>
              <w:wordWrap/>
              <w:overflowPunct/>
              <w:topLinePunct w:val="0"/>
              <w:autoSpaceDE/>
              <w:autoSpaceDN/>
              <w:bidi w:val="0"/>
              <w:adjustRightInd w:val="0"/>
              <w:snapToGrid/>
              <w:spacing w:line="460" w:lineRule="exact"/>
              <w:ind w:firstLine="562"/>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高速公路</w:t>
            </w:r>
            <w:r>
              <w:rPr>
                <w:rFonts w:hint="default" w:ascii="Times New Roman" w:hAnsi="Times New Roman" w:eastAsia="仿宋_GB2312" w:cs="Times New Roman"/>
                <w:color w:val="auto"/>
                <w:spacing w:val="0"/>
                <w:sz w:val="28"/>
                <w:szCs w:val="28"/>
                <w:lang w:eastAsia="zh-CN"/>
              </w:rPr>
              <w:t>。</w:t>
            </w:r>
            <w:r>
              <w:rPr>
                <w:rFonts w:hint="default" w:ascii="Times New Roman" w:hAnsi="Times New Roman" w:eastAsia="仿宋_GB2312" w:cs="Times New Roman"/>
                <w:color w:val="auto"/>
                <w:spacing w:val="0"/>
                <w:kern w:val="0"/>
                <w:sz w:val="28"/>
                <w:szCs w:val="28"/>
              </w:rPr>
              <w:t>建设G8511昆磨高速复线玉溪至墨江段、G5615天猴高速新平戛洒至镇沅者东段、易门至新平高速公路、云南省S45永金高速双柏至戛洒段、石屏宝秀至新平大开门高速公路，基本形成</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五纵一横</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的高速路网骨架。</w:t>
            </w:r>
          </w:p>
          <w:p w14:paraId="67EAA481">
            <w:pPr>
              <w:keepNext w:val="0"/>
              <w:keepLines w:val="0"/>
              <w:pageBreakBefore w:val="0"/>
              <w:widowControl w:val="0"/>
              <w:kinsoku/>
              <w:wordWrap/>
              <w:overflowPunct/>
              <w:topLinePunct w:val="0"/>
              <w:autoSpaceDE/>
              <w:autoSpaceDN/>
              <w:bidi w:val="0"/>
              <w:adjustRightInd w:val="0"/>
              <w:snapToGrid/>
              <w:spacing w:line="460" w:lineRule="exact"/>
              <w:ind w:firstLine="606"/>
              <w:textAlignment w:val="auto"/>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sz w:val="28"/>
                <w:szCs w:val="28"/>
              </w:rPr>
              <w:t>国省干线、县乡道提升改造</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kern w:val="0"/>
                <w:sz w:val="28"/>
                <w:szCs w:val="28"/>
              </w:rPr>
              <w:t>提升等级低、路况差、抗灾保障能力弱的道路，争取实施G323新平县城过境公路提升改造工程、G213线新平县园区过境段改道工程、S224者竜至水塘提升改造工程、G227新平县细丫口至马鹿塘段改扩建工程、S215新平县城至新化提升改造工程、S316漠沙至元江提升改造工程、X905新平县马鹿塘至金山丫口提升改造工程、新平县河门口至丫勒公路改造工程、老厂至大红山及新化至老厂三级提升改造工程、者竜乡界牌至三江口公路提升改造工程（长虫山公路）等。</w:t>
            </w:r>
          </w:p>
          <w:p w14:paraId="53993405">
            <w:pPr>
              <w:keepNext w:val="0"/>
              <w:keepLines w:val="0"/>
              <w:pageBreakBefore w:val="0"/>
              <w:widowControl w:val="0"/>
              <w:kinsoku/>
              <w:wordWrap/>
              <w:overflowPunct/>
              <w:topLinePunct w:val="0"/>
              <w:autoSpaceDE/>
              <w:autoSpaceDN/>
              <w:bidi w:val="0"/>
              <w:adjustRightInd w:val="0"/>
              <w:snapToGrid/>
              <w:spacing w:line="460" w:lineRule="exact"/>
              <w:ind w:firstLine="606"/>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农村公路建设</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kern w:val="0"/>
                <w:sz w:val="28"/>
                <w:szCs w:val="28"/>
              </w:rPr>
              <w:t>加快推进</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四好农村路</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lang w:eastAsia="zh-CN"/>
              </w:rPr>
              <w:t>美丽公路</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建设，逐步实施规模以上村民小组村组</w:t>
            </w:r>
            <w:r>
              <w:rPr>
                <w:rFonts w:hint="default" w:ascii="Times New Roman" w:hAnsi="Times New Roman" w:eastAsia="仿宋_GB2312" w:cs="Times New Roman"/>
                <w:color w:val="auto"/>
                <w:spacing w:val="0"/>
                <w:kern w:val="0"/>
                <w:sz w:val="28"/>
                <w:szCs w:val="28"/>
                <w:highlight w:val="none"/>
              </w:rPr>
              <w:t>路</w:t>
            </w:r>
            <w:r>
              <w:rPr>
                <w:rFonts w:hint="default" w:ascii="Times New Roman" w:hAnsi="Times New Roman" w:eastAsia="仿宋_GB2312" w:cs="Times New Roman"/>
                <w:color w:val="auto"/>
                <w:spacing w:val="0"/>
                <w:kern w:val="0"/>
                <w:sz w:val="28"/>
                <w:szCs w:val="28"/>
              </w:rPr>
              <w:t>硬化、桥梁新建和危桥改造、大中修工程及生命安全防护工程项目。</w:t>
            </w:r>
          </w:p>
          <w:p w14:paraId="506D894B">
            <w:pPr>
              <w:keepNext w:val="0"/>
              <w:keepLines w:val="0"/>
              <w:pageBreakBefore w:val="0"/>
              <w:widowControl w:val="0"/>
              <w:kinsoku/>
              <w:wordWrap/>
              <w:overflowPunct/>
              <w:topLinePunct w:val="0"/>
              <w:autoSpaceDE/>
              <w:autoSpaceDN/>
              <w:bidi w:val="0"/>
              <w:adjustRightInd w:val="0"/>
              <w:snapToGrid/>
              <w:spacing w:line="460" w:lineRule="exact"/>
              <w:ind w:firstLine="606"/>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通用机场</w:t>
            </w:r>
            <w:r>
              <w:rPr>
                <w:rFonts w:hint="default" w:ascii="Times New Roman" w:hAnsi="Times New Roman" w:eastAsia="仿宋_GB2312" w:cs="Times New Roman"/>
                <w:b/>
                <w:bCs/>
                <w:color w:val="auto"/>
                <w:spacing w:val="0"/>
                <w:sz w:val="28"/>
                <w:szCs w:val="28"/>
                <w:lang w:eastAsia="zh-CN"/>
              </w:rPr>
              <w:t>。</w:t>
            </w:r>
            <w:r>
              <w:rPr>
                <w:rFonts w:hint="eastAsia"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rPr>
              <w:t>十四五</w:t>
            </w:r>
            <w:r>
              <w:rPr>
                <w:rFonts w:hint="eastAsia"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rPr>
              <w:t>期间全面完成A1级通用机场项目前期工作，启动机场建设，填补航空运输发展空白，实现新平机场建设</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零</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突破。</w:t>
            </w:r>
          </w:p>
          <w:p w14:paraId="2C68D9F6">
            <w:pPr>
              <w:keepNext w:val="0"/>
              <w:keepLines w:val="0"/>
              <w:pageBreakBefore w:val="0"/>
              <w:widowControl w:val="0"/>
              <w:kinsoku/>
              <w:wordWrap/>
              <w:overflowPunct/>
              <w:topLinePunct w:val="0"/>
              <w:autoSpaceDE/>
              <w:autoSpaceDN/>
              <w:bidi w:val="0"/>
              <w:adjustRightInd w:val="0"/>
              <w:snapToGrid/>
              <w:spacing w:line="460" w:lineRule="exact"/>
              <w:ind w:firstLine="606"/>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铁路建设</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rPr>
              <w:t>配合推进玉磨铁路新平段建设、争取罗里火车站至仙福钢铁公司铁路运输联络线建设项目。</w:t>
            </w:r>
          </w:p>
          <w:p w14:paraId="0B0D4C78">
            <w:pPr>
              <w:pStyle w:val="2"/>
              <w:keepNext w:val="0"/>
              <w:keepLines w:val="0"/>
              <w:pageBreakBefore w:val="0"/>
              <w:widowControl w:val="0"/>
              <w:kinsoku/>
              <w:wordWrap/>
              <w:overflowPunct/>
              <w:topLinePunct w:val="0"/>
              <w:autoSpaceDE/>
              <w:autoSpaceDN/>
              <w:bidi w:val="0"/>
              <w:snapToGrid/>
              <w:spacing w:after="0" w:line="460" w:lineRule="exact"/>
              <w:ind w:firstLine="562"/>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路网养护管理。</w:t>
            </w:r>
            <w:r>
              <w:rPr>
                <w:rFonts w:hint="default" w:ascii="Times New Roman" w:hAnsi="Times New Roman" w:eastAsia="仿宋_GB2312" w:cs="Times New Roman"/>
                <w:color w:val="auto"/>
                <w:spacing w:val="0"/>
                <w:kern w:val="0"/>
                <w:sz w:val="28"/>
                <w:szCs w:val="28"/>
              </w:rPr>
              <w:t>继续推进公路及桥梁技术状况复核检测，培育公路养护市场。力争到2025年，养护比重达到：县道100%、乡道100%、村道80%；养护资金投入4629万元，公路养护优良中等路率达：县道95%、乡道78%、村道75%；实现县道及其以上行政等级公路危桥当年处置率达100%，基本完成乡道及以上行政等级公路安全隐患治理。</w:t>
            </w:r>
          </w:p>
          <w:p w14:paraId="40AE2B61">
            <w:pPr>
              <w:keepNext w:val="0"/>
              <w:keepLines w:val="0"/>
              <w:pageBreakBefore w:val="0"/>
              <w:widowControl w:val="0"/>
              <w:kinsoku/>
              <w:wordWrap/>
              <w:overflowPunct/>
              <w:topLinePunct w:val="0"/>
              <w:autoSpaceDE/>
              <w:autoSpaceDN/>
              <w:bidi w:val="0"/>
              <w:adjustRightInd w:val="0"/>
              <w:snapToGrid/>
              <w:spacing w:line="460" w:lineRule="exact"/>
              <w:ind w:firstLine="606"/>
              <w:textAlignment w:val="auto"/>
              <w:rPr>
                <w:rFonts w:ascii="Times New Roman" w:hAnsi="Times New Roman" w:eastAsia="宋体" w:cs="Times New Roman"/>
                <w:color w:val="auto"/>
                <w:spacing w:val="0"/>
                <w:sz w:val="28"/>
                <w:szCs w:val="28"/>
              </w:rPr>
            </w:pPr>
            <w:r>
              <w:rPr>
                <w:rFonts w:hint="default" w:ascii="Times New Roman" w:hAnsi="Times New Roman" w:eastAsia="仿宋_GB2312" w:cs="Times New Roman"/>
                <w:b/>
                <w:bCs/>
                <w:color w:val="auto"/>
                <w:spacing w:val="0"/>
                <w:sz w:val="28"/>
                <w:szCs w:val="28"/>
              </w:rPr>
              <w:t>公共客运设施</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rPr>
              <w:t>改建戛洒交通枢纽（二级客运站）、重点行政村和64个居民点招呼站</w:t>
            </w:r>
            <w:r>
              <w:rPr>
                <w:rFonts w:hint="default" w:ascii="Times New Roman" w:hAnsi="Times New Roman" w:eastAsia="仿宋_GB2312" w:cs="Times New Roman"/>
                <w:color w:val="auto"/>
                <w:spacing w:val="0"/>
                <w:sz w:val="28"/>
                <w:szCs w:val="28"/>
                <w:lang w:eastAsia="zh-CN"/>
              </w:rPr>
              <w:t>（亭）</w:t>
            </w:r>
            <w:r>
              <w:rPr>
                <w:rFonts w:hint="default" w:ascii="Times New Roman" w:hAnsi="Times New Roman" w:eastAsia="仿宋_GB2312" w:cs="Times New Roman"/>
                <w:color w:val="auto"/>
                <w:spacing w:val="0"/>
                <w:sz w:val="28"/>
                <w:szCs w:val="28"/>
              </w:rPr>
              <w:t>等。</w:t>
            </w:r>
          </w:p>
        </w:tc>
      </w:tr>
    </w:tbl>
    <w:p w14:paraId="41DC8216">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88" w:name="_Toc25589"/>
      <w:bookmarkStart w:id="89" w:name="_Toc20848"/>
      <w:r>
        <w:rPr>
          <w:rFonts w:hint="eastAsia" w:ascii="黑体" w:hAnsi="黑体" w:eastAsia="黑体" w:cs="黑体"/>
          <w:b/>
          <w:bCs w:val="0"/>
          <w:color w:val="auto"/>
          <w:spacing w:val="0"/>
          <w:szCs w:val="32"/>
        </w:rPr>
        <w:t xml:space="preserve">第二节  </w:t>
      </w:r>
      <w:r>
        <w:rPr>
          <w:rFonts w:hint="eastAsia" w:ascii="黑体" w:hAnsi="黑体" w:eastAsia="黑体" w:cs="黑体"/>
          <w:b/>
          <w:bCs w:val="0"/>
          <w:color w:val="auto"/>
          <w:spacing w:val="0"/>
          <w:szCs w:val="32"/>
          <w:lang w:eastAsia="zh-CN"/>
        </w:rPr>
        <w:t>提升水利保障能力</w:t>
      </w:r>
      <w:bookmarkEnd w:id="88"/>
      <w:bookmarkEnd w:id="89"/>
    </w:p>
    <w:p w14:paraId="7C8A794E">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以基本解决工程性缺水瓶颈，基本消除区域性干旱为目标，加快</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西水东调</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水源点十里河、白沙河中型水库和中线、南线调水管线等骨干工程建设和亚尼河水库、阿者河等重点水源工程建设，缓解江东片区空间性、资源性、工程性缺水状况。加强饮用水源地、地下水保护，提升农村饮水安全保障水平</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积极实施</w:t>
      </w:r>
      <w:r>
        <w:rPr>
          <w:rFonts w:hint="default" w:ascii="Times New Roman" w:hAnsi="Times New Roman" w:eastAsia="仿宋_GB2312" w:cs="Times New Roman"/>
          <w:color w:val="auto"/>
          <w:spacing w:val="0"/>
          <w:szCs w:val="24"/>
          <w:lang w:eastAsia="zh-CN"/>
        </w:rPr>
        <w:t>全县</w:t>
      </w:r>
      <w:r>
        <w:rPr>
          <w:rFonts w:hint="default" w:ascii="Times New Roman" w:hAnsi="Times New Roman" w:eastAsia="仿宋_GB2312" w:cs="Times New Roman"/>
          <w:color w:val="auto"/>
          <w:spacing w:val="0"/>
          <w:szCs w:val="24"/>
        </w:rPr>
        <w:t>农村供水保障项目提升工程，通过新建改扩建、管网延伸和配套消毒设施设备等，不断提高农村自来水普及率、集中供水率、千人工程水源保护区划定率、分散式供水人口覆盖、供水工程净化消毒设施配套率，力争水质达标率达到全国平均水平。建设水利系统化，完善江河安澜的防洪体系，加快全域水网空间规划工作，优化防洪空间布局，</w:t>
      </w:r>
      <w:r>
        <w:rPr>
          <w:rFonts w:hint="default" w:ascii="Times New Roman" w:hAnsi="Times New Roman" w:eastAsia="仿宋_GB2312" w:cs="Times New Roman"/>
          <w:color w:val="auto"/>
          <w:spacing w:val="0"/>
          <w:szCs w:val="24"/>
          <w:lang w:eastAsia="zh-CN"/>
        </w:rPr>
        <w:t>实施病险库坝除险加固、</w:t>
      </w:r>
      <w:r>
        <w:rPr>
          <w:rFonts w:hint="default" w:ascii="Times New Roman" w:hAnsi="Times New Roman" w:eastAsia="仿宋_GB2312" w:cs="Times New Roman"/>
          <w:color w:val="auto"/>
          <w:spacing w:val="0"/>
          <w:szCs w:val="24"/>
        </w:rPr>
        <w:t>清淤扩容工程以及山洪沟、重要支流治理工程，加强山洪灾害监测预警系统建设，提高山洪灾害防御能力。加强防汛抗旱工程体系及抗旱应急工程建设，加快大中型灌区建设</w:t>
      </w:r>
      <w:r>
        <w:rPr>
          <w:rFonts w:hint="default" w:ascii="Times New Roman" w:hAnsi="Times New Roman" w:eastAsia="仿宋_GB2312" w:cs="Times New Roman"/>
          <w:color w:val="auto"/>
          <w:spacing w:val="0"/>
          <w:szCs w:val="24"/>
          <w:lang w:val="en-US" w:eastAsia="zh-CN"/>
        </w:rPr>
        <w:t>和</w:t>
      </w:r>
      <w:r>
        <w:rPr>
          <w:rFonts w:hint="default" w:ascii="Times New Roman" w:hAnsi="Times New Roman" w:eastAsia="仿宋_GB2312" w:cs="Times New Roman"/>
          <w:color w:val="auto"/>
          <w:spacing w:val="0"/>
          <w:szCs w:val="24"/>
        </w:rPr>
        <w:t>小水库、小水网、</w:t>
      </w:r>
      <w:r>
        <w:rPr>
          <w:rFonts w:hint="default" w:ascii="Times New Roman" w:hAnsi="Times New Roman" w:eastAsia="仿宋_GB2312" w:cs="Times New Roman"/>
          <w:color w:val="auto"/>
          <w:spacing w:val="0"/>
          <w:szCs w:val="24"/>
          <w:lang w:val="en-US" w:eastAsia="zh-CN"/>
        </w:rPr>
        <w:t>一批</w:t>
      </w:r>
      <w:r>
        <w:rPr>
          <w:rFonts w:hint="default" w:ascii="Times New Roman" w:hAnsi="Times New Roman" w:eastAsia="仿宋_GB2312" w:cs="Times New Roman"/>
          <w:color w:val="auto"/>
          <w:spacing w:val="0"/>
          <w:szCs w:val="24"/>
        </w:rPr>
        <w:t>抗旱应急引水工程</w:t>
      </w:r>
      <w:r>
        <w:rPr>
          <w:rFonts w:hint="default" w:ascii="Times New Roman" w:hAnsi="Times New Roman" w:eastAsia="仿宋_GB2312" w:cs="Times New Roman"/>
          <w:color w:val="auto"/>
          <w:spacing w:val="0"/>
          <w:szCs w:val="24"/>
          <w:lang w:eastAsia="zh-CN"/>
        </w:rPr>
        <w:t>、山区小水网</w:t>
      </w:r>
      <w:r>
        <w:rPr>
          <w:rFonts w:hint="default" w:ascii="Times New Roman" w:hAnsi="Times New Roman" w:eastAsia="仿宋_GB2312" w:cs="Times New Roman"/>
          <w:color w:val="auto"/>
          <w:spacing w:val="0"/>
          <w:szCs w:val="24"/>
        </w:rPr>
        <w:t>建设，提高防汛抗旱的应急管理能力，提高山区农村人畜饮水和农业灌溉用水保障。</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CB26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09B63D68">
            <w:pPr>
              <w:pageBreakBefore w:val="0"/>
              <w:widowControl w:val="0"/>
              <w:kinsoku/>
              <w:wordWrap/>
              <w:overflowPunct/>
              <w:topLinePunct w:val="0"/>
              <w:autoSpaceDN/>
              <w:bidi w:val="0"/>
              <w:adjustRightInd w:val="0"/>
              <w:spacing w:line="500" w:lineRule="exact"/>
              <w:ind w:firstLine="562"/>
              <w:jc w:val="center"/>
              <w:rPr>
                <w:rFonts w:ascii="Times New Roman" w:hAnsi="Times New Roman"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专栏1</w:t>
            </w:r>
            <w:r>
              <w:rPr>
                <w:rFonts w:hint="default" w:ascii="Times New Roman" w:hAnsi="Times New Roman" w:eastAsia="仿宋_GB2312" w:cs="Times New Roman"/>
                <w:b/>
                <w:bCs/>
                <w:color w:val="auto"/>
                <w:spacing w:val="0"/>
                <w:kern w:val="0"/>
                <w:sz w:val="28"/>
                <w:szCs w:val="28"/>
                <w:lang w:val="en-US" w:eastAsia="zh-CN"/>
              </w:rPr>
              <w:t>4</w:t>
            </w:r>
            <w:r>
              <w:rPr>
                <w:rFonts w:hint="default" w:ascii="Times New Roman" w:hAnsi="Times New Roman" w:eastAsia="仿宋_GB2312" w:cs="Times New Roman"/>
                <w:b/>
                <w:bCs/>
                <w:color w:val="auto"/>
                <w:spacing w:val="0"/>
                <w:kern w:val="0"/>
                <w:sz w:val="28"/>
                <w:szCs w:val="28"/>
              </w:rPr>
              <w:t xml:space="preserve">  水利基础设施重要项目</w:t>
            </w:r>
          </w:p>
        </w:tc>
      </w:tr>
      <w:tr w14:paraId="0A38F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06455963">
            <w:pPr>
              <w:pageBreakBefore w:val="0"/>
              <w:widowControl w:val="0"/>
              <w:kinsoku/>
              <w:wordWrap/>
              <w:overflowPunct/>
              <w:topLinePunct w:val="0"/>
              <w:autoSpaceDN/>
              <w:bidi w:val="0"/>
              <w:adjustRightInd w:val="0"/>
              <w:snapToGrid w:val="0"/>
              <w:spacing w:line="500" w:lineRule="exact"/>
              <w:ind w:firstLine="562"/>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重点水源工程</w:t>
            </w:r>
            <w:r>
              <w:rPr>
                <w:rFonts w:hint="default" w:ascii="Times New Roman" w:hAnsi="Times New Roman" w:eastAsia="仿宋_GB2312" w:cs="Times New Roman"/>
                <w:color w:val="auto"/>
                <w:spacing w:val="0"/>
                <w:sz w:val="28"/>
                <w:szCs w:val="28"/>
              </w:rPr>
              <w:t>。十里河水库（西水东调中线工程）、白沙河水库（西水东调南线工程）、亚尼河水库、洋芋山水库、阿者河水库、摆依寨水库、平田水库、白鹤塘水库。</w:t>
            </w:r>
          </w:p>
          <w:p w14:paraId="309AD4AE">
            <w:pPr>
              <w:pageBreakBefore w:val="0"/>
              <w:widowControl w:val="0"/>
              <w:kinsoku/>
              <w:wordWrap/>
              <w:overflowPunct/>
              <w:topLinePunct w:val="0"/>
              <w:autoSpaceDN/>
              <w:bidi w:val="0"/>
              <w:adjustRightInd w:val="0"/>
              <w:snapToGrid w:val="0"/>
              <w:spacing w:line="500" w:lineRule="exact"/>
              <w:ind w:firstLine="606"/>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重要支流、中小河流治理、山洪沟、病险水库治理加固工程。</w:t>
            </w:r>
            <w:r>
              <w:rPr>
                <w:rFonts w:hint="default" w:ascii="Times New Roman" w:hAnsi="Times New Roman" w:eastAsia="仿宋_GB2312" w:cs="Times New Roman"/>
                <w:color w:val="auto"/>
                <w:spacing w:val="0"/>
                <w:sz w:val="28"/>
                <w:szCs w:val="28"/>
              </w:rPr>
              <w:t>戛洒江戛洒段、大沐浴段治理工程、绿汁江新平县段二期治理工程；挖窖河、大春河二期、困龙河、新平河、南恩河、蚌岗河、丫味河、棉花河、康之康河、南独河、班东河、西尼河、十里牌河、依施河共14件河道治理工程；老鸹箐、纳溪新寨河、米达起箐、豹子母河、沙河、小马命、革棚山洪沟治理；平甸河水库、他克冲水库、老厂河水库除险加固项目等。</w:t>
            </w:r>
          </w:p>
          <w:p w14:paraId="545D6A5A">
            <w:pPr>
              <w:pageBreakBefore w:val="0"/>
              <w:widowControl w:val="0"/>
              <w:kinsoku/>
              <w:wordWrap/>
              <w:overflowPunct/>
              <w:topLinePunct w:val="0"/>
              <w:autoSpaceDN/>
              <w:bidi w:val="0"/>
              <w:adjustRightInd w:val="0"/>
              <w:snapToGrid w:val="0"/>
              <w:spacing w:line="500" w:lineRule="exact"/>
              <w:ind w:firstLine="606"/>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抗旱水源、城市备用水源工程。</w:t>
            </w:r>
            <w:r>
              <w:rPr>
                <w:rFonts w:hint="default" w:ascii="Times New Roman" w:hAnsi="Times New Roman" w:eastAsia="仿宋_GB2312" w:cs="Times New Roman"/>
                <w:color w:val="auto"/>
                <w:spacing w:val="0"/>
                <w:sz w:val="28"/>
                <w:szCs w:val="28"/>
              </w:rPr>
              <w:t>大箐河水库、峨德河水库灌渠、平甸乡抗旱应急引水工程；团结水库备用水源保护工程等。</w:t>
            </w:r>
          </w:p>
          <w:p w14:paraId="6ABBE7BA">
            <w:pPr>
              <w:pageBreakBefore w:val="0"/>
              <w:widowControl w:val="0"/>
              <w:kinsoku/>
              <w:wordWrap/>
              <w:overflowPunct/>
              <w:topLinePunct w:val="0"/>
              <w:autoSpaceDN/>
              <w:bidi w:val="0"/>
              <w:adjustRightInd w:val="0"/>
              <w:snapToGrid w:val="0"/>
              <w:spacing w:line="500" w:lineRule="exact"/>
              <w:ind w:firstLine="606"/>
              <w:rPr>
                <w:color w:val="auto"/>
                <w:spacing w:val="0"/>
                <w:sz w:val="28"/>
                <w:szCs w:val="28"/>
              </w:rPr>
            </w:pPr>
            <w:r>
              <w:rPr>
                <w:rFonts w:hint="default" w:ascii="Times New Roman" w:hAnsi="Times New Roman" w:eastAsia="仿宋_GB2312" w:cs="Times New Roman"/>
                <w:b/>
                <w:bCs/>
                <w:color w:val="auto"/>
                <w:spacing w:val="0"/>
                <w:sz w:val="28"/>
                <w:szCs w:val="28"/>
              </w:rPr>
              <w:t>农村水系综合整治和供水保障工程。</w:t>
            </w:r>
            <w:r>
              <w:rPr>
                <w:rFonts w:hint="default" w:ascii="Times New Roman" w:hAnsi="Times New Roman" w:eastAsia="仿宋_GB2312" w:cs="Times New Roman"/>
                <w:color w:val="auto"/>
                <w:spacing w:val="0"/>
                <w:sz w:val="28"/>
                <w:szCs w:val="28"/>
              </w:rPr>
              <w:t>新平县马龙河、金厂河、达哈河、竹箐河、棉花河整治工程；新平县农村供水保障工程。</w:t>
            </w:r>
          </w:p>
        </w:tc>
      </w:tr>
    </w:tbl>
    <w:p w14:paraId="5A1DB2B2">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90" w:name="_Toc13534"/>
      <w:bookmarkStart w:id="91" w:name="_Toc13066"/>
      <w:r>
        <w:rPr>
          <w:rFonts w:hint="eastAsia" w:ascii="黑体" w:hAnsi="黑体" w:eastAsia="黑体" w:cs="黑体"/>
          <w:b/>
          <w:bCs w:val="0"/>
          <w:color w:val="auto"/>
          <w:spacing w:val="0"/>
          <w:szCs w:val="32"/>
        </w:rPr>
        <w:t xml:space="preserve">第三节  </w:t>
      </w:r>
      <w:r>
        <w:rPr>
          <w:rFonts w:hint="eastAsia" w:ascii="黑体" w:hAnsi="黑体" w:eastAsia="黑体" w:cs="黑体"/>
          <w:b/>
          <w:bCs w:val="0"/>
          <w:color w:val="auto"/>
          <w:spacing w:val="0"/>
          <w:szCs w:val="32"/>
          <w:lang w:eastAsia="zh-CN"/>
        </w:rPr>
        <w:t>提升</w:t>
      </w:r>
      <w:r>
        <w:rPr>
          <w:rFonts w:hint="eastAsia" w:ascii="黑体" w:hAnsi="黑体" w:eastAsia="黑体" w:cs="黑体"/>
          <w:b/>
          <w:bCs w:val="0"/>
          <w:color w:val="auto"/>
          <w:spacing w:val="0"/>
          <w:szCs w:val="32"/>
        </w:rPr>
        <w:t>能源</w:t>
      </w:r>
      <w:r>
        <w:rPr>
          <w:rFonts w:hint="eastAsia" w:ascii="黑体" w:hAnsi="黑体" w:eastAsia="黑体" w:cs="黑体"/>
          <w:b/>
          <w:bCs w:val="0"/>
          <w:color w:val="auto"/>
          <w:spacing w:val="0"/>
          <w:szCs w:val="32"/>
          <w:lang w:eastAsia="zh-CN"/>
        </w:rPr>
        <w:t>保障能力</w:t>
      </w:r>
      <w:bookmarkEnd w:id="90"/>
      <w:bookmarkEnd w:id="91"/>
    </w:p>
    <w:p w14:paraId="50A3C6DC">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围绕城镇建设布局，加快布局绿色智能电网，做好电力走廊专业设计和规划</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val="en-US"/>
        </w:rPr>
        <w:t>科学编制新能源产业发展规划，培育十亿级清洁能源产业</w:t>
      </w:r>
      <w:r>
        <w:rPr>
          <w:rFonts w:hint="default" w:ascii="Times New Roman" w:hAnsi="Times New Roman" w:eastAsia="仿宋_GB2312" w:cs="Times New Roman"/>
          <w:color w:val="auto"/>
          <w:spacing w:val="0"/>
          <w:szCs w:val="24"/>
        </w:rPr>
        <w:t>。有序推进鲁奎山风电场</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联兴风电场</w:t>
      </w:r>
      <w:r>
        <w:rPr>
          <w:rFonts w:hint="default" w:ascii="Times New Roman" w:hAnsi="Times New Roman" w:eastAsia="仿宋_GB2312" w:cs="Times New Roman"/>
          <w:color w:val="auto"/>
          <w:spacing w:val="0"/>
          <w:szCs w:val="24"/>
          <w:lang w:val="en-US" w:eastAsia="zh-CN"/>
        </w:rPr>
        <w:t>三期</w:t>
      </w:r>
      <w:r>
        <w:rPr>
          <w:rFonts w:hint="default" w:ascii="Times New Roman" w:hAnsi="Times New Roman" w:eastAsia="仿宋_GB2312" w:cs="Times New Roman"/>
          <w:color w:val="auto"/>
          <w:spacing w:val="0"/>
          <w:szCs w:val="24"/>
        </w:rPr>
        <w:t>、</w:t>
      </w:r>
      <w:r>
        <w:rPr>
          <w:rFonts w:hint="default" w:ascii="Times New Roman" w:hAnsi="Times New Roman" w:eastAsia="仿宋_GB2312" w:cs="Times New Roman"/>
          <w:color w:val="auto"/>
          <w:spacing w:val="0"/>
          <w:szCs w:val="24"/>
          <w:lang w:val="en-US" w:eastAsia="zh-CN"/>
        </w:rPr>
        <w:t>帽盒</w:t>
      </w:r>
      <w:r>
        <w:rPr>
          <w:rFonts w:hint="default" w:ascii="Times New Roman" w:hAnsi="Times New Roman" w:eastAsia="仿宋_GB2312" w:cs="Times New Roman"/>
          <w:color w:val="auto"/>
          <w:spacing w:val="0"/>
          <w:szCs w:val="24"/>
        </w:rPr>
        <w:t>山光伏电站等项目建设，完成小水电站清理整改。加快推进智能电网规划建设，继续实施农网改造升级工程，强化配电自动化和通信网项目建设，全面提升电网数字化、智能化水平。加快新平</w:t>
      </w:r>
      <w:r>
        <w:rPr>
          <w:rFonts w:hint="default" w:ascii="Times New Roman" w:hAnsi="Times New Roman" w:eastAsia="仿宋_GB2312" w:cs="Times New Roman"/>
          <w:color w:val="auto"/>
          <w:spacing w:val="0"/>
          <w:szCs w:val="24"/>
          <w:lang w:eastAsia="zh-CN"/>
        </w:rPr>
        <w:t>产</w:t>
      </w:r>
      <w:r>
        <w:rPr>
          <w:rFonts w:hint="default" w:ascii="Times New Roman" w:hAnsi="Times New Roman" w:eastAsia="仿宋_GB2312" w:cs="Times New Roman"/>
          <w:color w:val="auto"/>
          <w:spacing w:val="0"/>
          <w:szCs w:val="24"/>
        </w:rPr>
        <w:t>业园区增量配电业务配电设施建设</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加快推进220千伏花街输变电工程、110千伏月牙田变扩建工程等项目前期工作，建成110千伏白糯格变电站、35千伏磨盘输变电等工程，</w:t>
      </w:r>
      <w:r>
        <w:rPr>
          <w:rFonts w:hint="default" w:ascii="Times New Roman" w:hAnsi="Times New Roman" w:eastAsia="仿宋_GB2312" w:cs="Times New Roman"/>
          <w:color w:val="auto"/>
          <w:spacing w:val="0"/>
          <w:szCs w:val="24"/>
          <w:lang w:eastAsia="zh-CN"/>
        </w:rPr>
        <w:t>加快推进峨山—新平天然气管道建设并向农村延伸，</w:t>
      </w:r>
      <w:r>
        <w:rPr>
          <w:rFonts w:hint="default" w:ascii="Times New Roman" w:hAnsi="Times New Roman" w:eastAsia="仿宋_GB2312" w:cs="Times New Roman"/>
          <w:color w:val="auto"/>
          <w:spacing w:val="0"/>
          <w:szCs w:val="24"/>
        </w:rPr>
        <w:t>积极推进戛洒液化石油气储备站</w:t>
      </w:r>
      <w:r>
        <w:rPr>
          <w:rFonts w:hint="default" w:ascii="Times New Roman" w:hAnsi="Times New Roman" w:eastAsia="仿宋_GB2312" w:cs="Times New Roman"/>
          <w:color w:val="auto"/>
          <w:spacing w:val="0"/>
          <w:szCs w:val="24"/>
          <w:lang w:eastAsia="zh-CN"/>
        </w:rPr>
        <w:t>建设</w:t>
      </w:r>
      <w:r>
        <w:rPr>
          <w:rFonts w:hint="default" w:ascii="Times New Roman" w:hAnsi="Times New Roman" w:eastAsia="仿宋_GB2312" w:cs="Times New Roman"/>
          <w:color w:val="auto"/>
          <w:spacing w:val="0"/>
          <w:szCs w:val="24"/>
        </w:rPr>
        <w:t>。完善城镇加油站布局，新建新化乡丫勐路、六勐路及新平县金山丫口至马鹿塘段三级加油站。着力推动新能源汽车充电基础设施建设，加快建设集中式换充电站、分散式充电桩，实现县域高速公路服务区、车站、大型公共场所全覆盖。推动农村分布式光伏建设，实现农村供能方式多元化、清洁化。</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F26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7AF6AF92">
            <w:pPr>
              <w:pageBreakBefore w:val="0"/>
              <w:widowControl w:val="0"/>
              <w:kinsoku/>
              <w:wordWrap/>
              <w:overflowPunct/>
              <w:topLinePunct w:val="0"/>
              <w:autoSpaceDN/>
              <w:bidi w:val="0"/>
              <w:adjustRightInd w:val="0"/>
              <w:spacing w:line="500" w:lineRule="exact"/>
              <w:ind w:firstLine="562"/>
              <w:jc w:val="center"/>
              <w:rPr>
                <w:rFonts w:ascii="Times New Roman" w:hAnsi="Times New Roman"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专栏1</w:t>
            </w:r>
            <w:r>
              <w:rPr>
                <w:rFonts w:hint="default" w:ascii="Times New Roman" w:hAnsi="Times New Roman" w:eastAsia="仿宋_GB2312" w:cs="Times New Roman"/>
                <w:b/>
                <w:bCs/>
                <w:color w:val="auto"/>
                <w:spacing w:val="0"/>
                <w:kern w:val="0"/>
                <w:sz w:val="28"/>
                <w:szCs w:val="28"/>
                <w:lang w:val="en-US" w:eastAsia="zh-CN"/>
              </w:rPr>
              <w:t>5</w:t>
            </w:r>
            <w:r>
              <w:rPr>
                <w:rFonts w:hint="default" w:ascii="Times New Roman" w:hAnsi="Times New Roman" w:eastAsia="仿宋_GB2312" w:cs="Times New Roman"/>
                <w:b/>
                <w:bCs/>
                <w:color w:val="auto"/>
                <w:spacing w:val="0"/>
                <w:kern w:val="0"/>
                <w:sz w:val="28"/>
                <w:szCs w:val="28"/>
              </w:rPr>
              <w:t xml:space="preserve"> 能源基础设施重要项目</w:t>
            </w:r>
          </w:p>
        </w:tc>
      </w:tr>
      <w:tr w14:paraId="4A710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2F8AB05C">
            <w:pPr>
              <w:pageBreakBefore w:val="0"/>
              <w:widowControl w:val="0"/>
              <w:kinsoku/>
              <w:wordWrap/>
              <w:overflowPunct/>
              <w:topLinePunct w:val="0"/>
              <w:autoSpaceDE w:val="0"/>
              <w:autoSpaceDN/>
              <w:bidi w:val="0"/>
              <w:adjustRightInd w:val="0"/>
              <w:snapToGrid w:val="0"/>
              <w:spacing w:line="500" w:lineRule="exact"/>
              <w:ind w:firstLine="562"/>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风电光伏电站</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rPr>
              <w:t>新平县哈科迪二期风电场、新平县联兴风电场</w:t>
            </w:r>
            <w:r>
              <w:rPr>
                <w:rFonts w:hint="default" w:ascii="Times New Roman" w:hAnsi="Times New Roman" w:eastAsia="仿宋_GB2312" w:cs="Times New Roman"/>
                <w:color w:val="auto"/>
                <w:spacing w:val="0"/>
                <w:sz w:val="28"/>
                <w:szCs w:val="28"/>
                <w:lang w:val="en-US" w:eastAsia="zh-CN"/>
              </w:rPr>
              <w:t>三期</w:t>
            </w:r>
            <w:r>
              <w:rPr>
                <w:rFonts w:hint="default" w:ascii="Times New Roman" w:hAnsi="Times New Roman" w:eastAsia="仿宋_GB2312" w:cs="Times New Roman"/>
                <w:color w:val="auto"/>
                <w:spacing w:val="0"/>
                <w:sz w:val="28"/>
                <w:szCs w:val="28"/>
              </w:rPr>
              <w:t>、新平县鲁奎山风电场、新平县建兴乡光伏电场建设项目、新平县建兴乡帽盒磨味片区分散式风电项目、新平县建兴帽合分散式风电建设项目、新平县冒合山光伏电站等。</w:t>
            </w:r>
          </w:p>
          <w:p w14:paraId="6558E38B">
            <w:pPr>
              <w:pageBreakBefore w:val="0"/>
              <w:widowControl w:val="0"/>
              <w:kinsoku/>
              <w:wordWrap/>
              <w:overflowPunct/>
              <w:topLinePunct w:val="0"/>
              <w:autoSpaceDN/>
              <w:bidi w:val="0"/>
              <w:adjustRightInd w:val="0"/>
              <w:snapToGrid w:val="0"/>
              <w:spacing w:line="500" w:lineRule="exact"/>
              <w:ind w:firstLine="606"/>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新平电网提升改造工程</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rPr>
              <w:t>220千伏花街变新建工程、110千伏桂山变增容（扩建）工程、110千伏月牙田变扩建工程、35千伏磨盘输变电工程、35千伏水塘变增容工程、35千伏腰街变增容工程、35千伏新化变扩建工程等、10千伏及以下农网改造升级工程。</w:t>
            </w:r>
          </w:p>
          <w:p w14:paraId="156AB3DF">
            <w:pPr>
              <w:pageBreakBefore w:val="0"/>
              <w:widowControl w:val="0"/>
              <w:kinsoku/>
              <w:wordWrap/>
              <w:overflowPunct/>
              <w:topLinePunct w:val="0"/>
              <w:autoSpaceDN/>
              <w:bidi w:val="0"/>
              <w:adjustRightInd w:val="0"/>
              <w:snapToGrid w:val="0"/>
              <w:spacing w:line="500" w:lineRule="exact"/>
              <w:ind w:firstLine="606"/>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油气能源基础设施</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lang w:val="en-US" w:eastAsia="zh-CN"/>
              </w:rPr>
              <w:t>化念至县城城市燃气管道建设项目、</w:t>
            </w:r>
            <w:r>
              <w:rPr>
                <w:rFonts w:hint="default" w:ascii="Times New Roman" w:hAnsi="Times New Roman" w:eastAsia="仿宋_GB2312" w:cs="Times New Roman"/>
                <w:color w:val="auto"/>
                <w:spacing w:val="0"/>
                <w:sz w:val="28"/>
                <w:szCs w:val="28"/>
              </w:rPr>
              <w:t>戛洒液化石油气储备站、新平县金山丫口至马鹿塘段平掌加油站建设项目、新平县新化乡六勐路六竜加油站建设项目、新平县新化乡丫勐路阿宝加油站建设项目等。</w:t>
            </w:r>
          </w:p>
          <w:p w14:paraId="262A363B">
            <w:pPr>
              <w:pageBreakBefore w:val="0"/>
              <w:widowControl w:val="0"/>
              <w:kinsoku/>
              <w:wordWrap/>
              <w:overflowPunct/>
              <w:topLinePunct w:val="0"/>
              <w:autoSpaceDN/>
              <w:bidi w:val="0"/>
              <w:adjustRightInd w:val="0"/>
              <w:snapToGrid w:val="0"/>
              <w:spacing w:line="500" w:lineRule="exact"/>
              <w:ind w:firstLine="606"/>
              <w:rPr>
                <w:rFonts w:hint="default" w:ascii="Times New Roman" w:hAnsi="Times New Roman" w:eastAsia="仿宋_GB2312" w:cs="Times New Roman"/>
                <w:color w:val="auto"/>
                <w:spacing w:val="0"/>
                <w:sz w:val="28"/>
                <w:szCs w:val="28"/>
                <w:lang w:val="en-US" w:eastAsia="zh-CN"/>
              </w:rPr>
            </w:pPr>
            <w:r>
              <w:rPr>
                <w:rFonts w:hint="default" w:ascii="Times New Roman" w:hAnsi="Times New Roman" w:eastAsia="仿宋_GB2312" w:cs="Times New Roman"/>
                <w:b/>
                <w:bCs/>
                <w:color w:val="auto"/>
                <w:spacing w:val="0"/>
                <w:sz w:val="28"/>
                <w:szCs w:val="28"/>
              </w:rPr>
              <w:t>新能源充电基础设施</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lang w:val="en-US" w:eastAsia="zh-CN"/>
              </w:rPr>
              <w:t>在县城和乡镇所在地建设4座充电站，200个新能源充电桩。</w:t>
            </w:r>
          </w:p>
          <w:p w14:paraId="1EE6CDFF">
            <w:pPr>
              <w:pageBreakBefore w:val="0"/>
              <w:widowControl w:val="0"/>
              <w:kinsoku/>
              <w:wordWrap/>
              <w:overflowPunct/>
              <w:topLinePunct w:val="0"/>
              <w:autoSpaceDN/>
              <w:bidi w:val="0"/>
              <w:adjustRightInd w:val="0"/>
              <w:snapToGrid w:val="0"/>
              <w:spacing w:line="500" w:lineRule="exact"/>
              <w:ind w:firstLine="606"/>
              <w:rPr>
                <w:color w:val="auto"/>
                <w:spacing w:val="0"/>
                <w:sz w:val="28"/>
                <w:szCs w:val="28"/>
              </w:rPr>
            </w:pPr>
            <w:r>
              <w:rPr>
                <w:rFonts w:hint="default" w:ascii="Times New Roman" w:hAnsi="Times New Roman" w:eastAsia="仿宋_GB2312" w:cs="Times New Roman"/>
                <w:b/>
                <w:bCs/>
                <w:color w:val="auto"/>
                <w:spacing w:val="0"/>
                <w:sz w:val="28"/>
                <w:szCs w:val="28"/>
              </w:rPr>
              <w:t>农村能源基础设施</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rPr>
              <w:t>新化太阳能提灌工程。</w:t>
            </w:r>
          </w:p>
        </w:tc>
      </w:tr>
    </w:tbl>
    <w:p w14:paraId="379A8FA3">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92" w:name="_Toc15894"/>
      <w:bookmarkStart w:id="93" w:name="_Toc30001"/>
      <w:r>
        <w:rPr>
          <w:rFonts w:hint="eastAsia" w:ascii="黑体" w:hAnsi="黑体" w:eastAsia="黑体" w:cs="黑体"/>
          <w:b/>
          <w:bCs w:val="0"/>
          <w:color w:val="auto"/>
          <w:spacing w:val="0"/>
          <w:szCs w:val="32"/>
        </w:rPr>
        <w:t>第四节  完善物流基础设施建设</w:t>
      </w:r>
      <w:bookmarkEnd w:id="92"/>
      <w:bookmarkEnd w:id="93"/>
    </w:p>
    <w:p w14:paraId="49DE678E">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加强货运场站、物流中心和物流园区的建设，重点推进</w:t>
      </w:r>
      <w:r>
        <w:rPr>
          <w:rFonts w:hint="default" w:ascii="Times New Roman" w:hAnsi="Times New Roman" w:eastAsia="仿宋_GB2312" w:cs="Times New Roman"/>
          <w:color w:val="auto"/>
          <w:spacing w:val="0"/>
          <w:szCs w:val="24"/>
          <w:lang w:eastAsia="zh-CN"/>
        </w:rPr>
        <w:t>县城</w:t>
      </w:r>
      <w:r>
        <w:rPr>
          <w:rFonts w:hint="default" w:ascii="Times New Roman" w:hAnsi="Times New Roman" w:eastAsia="仿宋_GB2312" w:cs="Times New Roman"/>
          <w:color w:val="auto"/>
          <w:spacing w:val="0"/>
          <w:szCs w:val="24"/>
        </w:rPr>
        <w:t>、大开门、戛</w:t>
      </w:r>
      <w:r>
        <w:rPr>
          <w:rFonts w:hint="default" w:ascii="Times New Roman" w:hAnsi="Times New Roman" w:eastAsia="仿宋_GB2312" w:cs="Times New Roman"/>
          <w:color w:val="auto"/>
          <w:spacing w:val="0"/>
          <w:szCs w:val="24"/>
          <w:highlight w:val="none"/>
        </w:rPr>
        <w:t>洒南</w:t>
      </w:r>
      <w:r>
        <w:rPr>
          <w:rFonts w:hint="default" w:ascii="Times New Roman" w:hAnsi="Times New Roman" w:eastAsia="仿宋_GB2312" w:cs="Times New Roman"/>
          <w:color w:val="auto"/>
          <w:spacing w:val="0"/>
          <w:szCs w:val="24"/>
        </w:rPr>
        <w:t>、漠沙北4个物流中心等物流园建设。大力推进城乡物流发展，建立城市绿色货运配送体系，积极引导物流中心、城市共同配送中心（分拨中心）及末端配送网点三级配送节点建设。建设乡镇物流服务站点，整合乡镇电商服务站及邮政、电信、移动、供销、银行等资源，建设</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电商服务站+快递超市+</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一站多业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乡镇物流服务站。</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B5F0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5FF93931">
            <w:pPr>
              <w:pageBreakBefore w:val="0"/>
              <w:widowControl w:val="0"/>
              <w:kinsoku/>
              <w:wordWrap/>
              <w:overflowPunct/>
              <w:topLinePunct w:val="0"/>
              <w:autoSpaceDN/>
              <w:bidi w:val="0"/>
              <w:spacing w:line="500" w:lineRule="exact"/>
              <w:ind w:firstLine="0" w:firstLineChars="0"/>
              <w:jc w:val="center"/>
              <w:rPr>
                <w:rFonts w:eastAsia="宋体" w:cs="Times New Roman"/>
                <w:b/>
                <w:color w:val="auto"/>
                <w:spacing w:val="0"/>
                <w:sz w:val="28"/>
                <w:szCs w:val="28"/>
                <w:lang w:bidi="zh-CN"/>
              </w:rPr>
            </w:pPr>
            <w:r>
              <w:rPr>
                <w:rFonts w:hint="default" w:ascii="Times New Roman" w:hAnsi="Times New Roman" w:eastAsia="仿宋_GB2312" w:cs="Times New Roman"/>
                <w:b/>
                <w:color w:val="auto"/>
                <w:spacing w:val="0"/>
                <w:sz w:val="28"/>
                <w:szCs w:val="28"/>
                <w:lang w:bidi="zh-CN"/>
              </w:rPr>
              <w:t>专栏1</w:t>
            </w:r>
            <w:r>
              <w:rPr>
                <w:rFonts w:hint="default" w:ascii="Times New Roman" w:hAnsi="Times New Roman" w:eastAsia="仿宋_GB2312" w:cs="Times New Roman"/>
                <w:b/>
                <w:color w:val="auto"/>
                <w:spacing w:val="0"/>
                <w:sz w:val="28"/>
                <w:szCs w:val="28"/>
                <w:lang w:val="en-US" w:bidi="zh-CN"/>
              </w:rPr>
              <w:t>6</w:t>
            </w:r>
            <w:r>
              <w:rPr>
                <w:rFonts w:hint="default" w:ascii="Times New Roman" w:hAnsi="Times New Roman" w:eastAsia="仿宋_GB2312" w:cs="Times New Roman"/>
                <w:b/>
                <w:color w:val="auto"/>
                <w:spacing w:val="0"/>
                <w:sz w:val="28"/>
                <w:szCs w:val="28"/>
                <w:lang w:bidi="zh-CN"/>
              </w:rPr>
              <w:t xml:space="preserve"> 物流基础重大工程</w:t>
            </w:r>
          </w:p>
        </w:tc>
      </w:tr>
      <w:tr w14:paraId="243D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1E331D98">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乡镇物流服务站点建设。</w:t>
            </w:r>
            <w:r>
              <w:rPr>
                <w:rFonts w:hint="default" w:ascii="Times New Roman" w:hAnsi="Times New Roman" w:eastAsia="仿宋_GB2312" w:cs="Times New Roman"/>
                <w:color w:val="auto"/>
                <w:spacing w:val="0"/>
                <w:sz w:val="28"/>
                <w:szCs w:val="28"/>
              </w:rPr>
              <w:t>建设12个</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电商服务站+快递超市+</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的</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一站多业</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乡镇物流服务站，其中：在漠沙、戛洒等建设3-5个集中配送网点，其他乡（镇）建设1-2个集中配送网点。</w:t>
            </w:r>
          </w:p>
          <w:p w14:paraId="1C98CCAB">
            <w:pPr>
              <w:pageBreakBefore w:val="0"/>
              <w:widowControl w:val="0"/>
              <w:kinsoku/>
              <w:wordWrap/>
              <w:overflowPunct/>
              <w:topLinePunct w:val="0"/>
              <w:autoSpaceDN/>
              <w:bidi w:val="0"/>
              <w:spacing w:line="500" w:lineRule="exact"/>
              <w:ind w:firstLine="606"/>
              <w:rPr>
                <w:color w:val="auto"/>
                <w:spacing w:val="0"/>
              </w:rPr>
            </w:pPr>
            <w:r>
              <w:rPr>
                <w:rFonts w:hint="default" w:ascii="Times New Roman" w:hAnsi="Times New Roman" w:eastAsia="仿宋_GB2312" w:cs="Times New Roman"/>
                <w:b/>
                <w:bCs/>
                <w:color w:val="auto"/>
                <w:spacing w:val="0"/>
                <w:sz w:val="28"/>
                <w:szCs w:val="28"/>
              </w:rPr>
              <w:t>村级物流服务站点建设。</w:t>
            </w:r>
            <w:r>
              <w:rPr>
                <w:rFonts w:hint="default" w:ascii="Times New Roman" w:hAnsi="Times New Roman" w:eastAsia="仿宋_GB2312" w:cs="Times New Roman"/>
                <w:color w:val="auto"/>
                <w:spacing w:val="0"/>
                <w:sz w:val="28"/>
                <w:szCs w:val="28"/>
              </w:rPr>
              <w:t>利用村爱心超市、</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邮政</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便民服务站、供销社</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万村千乡</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农家店、移动服务站、电信服务站，建设98个以上</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电商服务站+快递超市+</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的</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一站多业</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村级物流服务站点。</w:t>
            </w:r>
          </w:p>
        </w:tc>
      </w:tr>
    </w:tbl>
    <w:p w14:paraId="5F8871DB">
      <w:pPr>
        <w:pStyle w:val="4"/>
        <w:keepNext w:val="0"/>
        <w:keepLines w:val="0"/>
        <w:pageBreakBefore w:val="0"/>
        <w:widowControl w:val="0"/>
        <w:kinsoku/>
        <w:wordWrap/>
        <w:overflowPunct/>
        <w:topLinePunct w:val="0"/>
        <w:autoSpaceDN/>
        <w:bidi w:val="0"/>
        <w:rPr>
          <w:rFonts w:hint="default" w:ascii="黑体" w:hAnsi="黑体" w:eastAsia="黑体" w:cs="黑体"/>
          <w:b/>
          <w:bCs w:val="0"/>
          <w:color w:val="auto"/>
          <w:spacing w:val="0"/>
          <w:szCs w:val="32"/>
          <w:lang w:val="en-US" w:eastAsia="zh-CN"/>
        </w:rPr>
      </w:pPr>
      <w:bookmarkStart w:id="94" w:name="_Toc25681"/>
      <w:bookmarkStart w:id="95" w:name="_Toc3713"/>
      <w:bookmarkStart w:id="96" w:name="_Toc16019"/>
      <w:bookmarkStart w:id="97" w:name="_Toc2254"/>
      <w:bookmarkStart w:id="98" w:name="_Toc10559"/>
      <w:r>
        <w:rPr>
          <w:rFonts w:hint="eastAsia" w:ascii="黑体" w:hAnsi="黑体" w:eastAsia="黑体" w:cs="黑体"/>
          <w:b/>
          <w:bCs w:val="0"/>
          <w:color w:val="auto"/>
          <w:spacing w:val="0"/>
          <w:szCs w:val="32"/>
        </w:rPr>
        <w:t xml:space="preserve">第五节  </w:t>
      </w:r>
      <w:bookmarkEnd w:id="94"/>
      <w:bookmarkEnd w:id="95"/>
      <w:bookmarkEnd w:id="96"/>
      <w:bookmarkEnd w:id="97"/>
      <w:r>
        <w:rPr>
          <w:rFonts w:hint="eastAsia" w:ascii="黑体" w:hAnsi="黑体" w:eastAsia="黑体" w:cs="黑体"/>
          <w:b/>
          <w:bCs w:val="0"/>
          <w:color w:val="auto"/>
          <w:spacing w:val="0"/>
          <w:szCs w:val="32"/>
          <w:lang w:val="en-US" w:eastAsia="zh-CN"/>
        </w:rPr>
        <w:t>加快新型基础设施建设</w:t>
      </w:r>
      <w:bookmarkEnd w:id="98"/>
    </w:p>
    <w:p w14:paraId="68338744">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统筹存量和增量、传统和新型基础设施发展，补齐信息基础设施短板。拓宽网络与骨干网链路带宽，增强接入、传输和交换能力。深入实施</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4G补盲提速</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工程，扩大4G网络覆盖广度和深度</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积极落实省级新一轮</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云上云</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计划，持续推动以5G建设为代表的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新基建</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建设与应用，加快推进全县5G网络基础设施建设</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到2025年，自然村宽带覆盖率达80%，20户以上自然村4G网络实现全覆盖，城市建成区、集镇、景点景区实现5G网络全覆盖。加快</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三网</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融合，推进网络提速降费。推动物联网、IPv6等规模化部署和应用。围绕</w:t>
      </w:r>
      <w:r>
        <w:rPr>
          <w:rFonts w:hint="default" w:ascii="Times New Roman" w:hAnsi="Times New Roman" w:eastAsia="仿宋_GB2312" w:cs="Times New Roman"/>
          <w:color w:val="auto"/>
          <w:spacing w:val="0"/>
          <w:szCs w:val="24"/>
          <w:highlight w:val="none"/>
        </w:rPr>
        <w:t>矿冶</w:t>
      </w:r>
      <w:r>
        <w:rPr>
          <w:rFonts w:hint="default" w:ascii="Times New Roman" w:hAnsi="Times New Roman" w:eastAsia="仿宋_GB2312" w:cs="Times New Roman"/>
          <w:color w:val="auto"/>
          <w:spacing w:val="0"/>
          <w:szCs w:val="24"/>
        </w:rPr>
        <w:t>、生物医药、绿色食品等建设行业互联网平台，开展现场设备运行监测、故障预警、性能优化，支撑智能调度、预测及运营决策。加快建设重要产品溯源、税务、物流、医疗、跨境贸易等重点领域区块链行业应用平台，积极发展人工智能应用平台，推进智慧交通、智能电网、智慧城管、智慧社区、智慧政务等配套基础设施建设，实施市政基础设施数字化升级改造</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促进传统和新型基础设施深度融合发展。加快</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一门式</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数字政务建设，推动政务大厅从物理集中向数据融合转变。</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136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3C5DC3E5">
            <w:pPr>
              <w:pageBreakBefore w:val="0"/>
              <w:widowControl w:val="0"/>
              <w:kinsoku/>
              <w:wordWrap/>
              <w:overflowPunct/>
              <w:topLinePunct w:val="0"/>
              <w:autoSpaceDN/>
              <w:bidi w:val="0"/>
              <w:spacing w:line="500" w:lineRule="exact"/>
              <w:ind w:firstLine="606"/>
              <w:jc w:val="center"/>
              <w:rPr>
                <w:rFonts w:ascii="Times New Roman" w:hAnsi="Times New Roman" w:eastAsia="宋体" w:cs="Times New Roman"/>
                <w:b/>
                <w:color w:val="auto"/>
                <w:spacing w:val="0"/>
                <w:sz w:val="28"/>
                <w:szCs w:val="28"/>
                <w:lang w:bidi="zh-CN"/>
              </w:rPr>
            </w:pPr>
            <w:r>
              <w:rPr>
                <w:rFonts w:hint="default" w:ascii="Times New Roman" w:hAnsi="Times New Roman" w:eastAsia="仿宋_GB2312" w:cs="Times New Roman"/>
                <w:b/>
                <w:color w:val="auto"/>
                <w:spacing w:val="0"/>
                <w:sz w:val="28"/>
                <w:szCs w:val="28"/>
                <w:lang w:bidi="zh-CN"/>
              </w:rPr>
              <w:t>专栏1</w:t>
            </w:r>
            <w:r>
              <w:rPr>
                <w:rFonts w:hint="default" w:ascii="Times New Roman" w:hAnsi="Times New Roman" w:eastAsia="仿宋_GB2312" w:cs="Times New Roman"/>
                <w:b/>
                <w:color w:val="auto"/>
                <w:spacing w:val="0"/>
                <w:sz w:val="28"/>
                <w:szCs w:val="28"/>
                <w:lang w:val="en-US" w:bidi="zh-CN"/>
              </w:rPr>
              <w:t>7</w:t>
            </w:r>
            <w:r>
              <w:rPr>
                <w:rFonts w:hint="default" w:ascii="Times New Roman" w:hAnsi="Times New Roman" w:eastAsia="仿宋_GB2312" w:cs="Times New Roman"/>
                <w:b/>
                <w:color w:val="auto"/>
                <w:spacing w:val="0"/>
                <w:sz w:val="28"/>
                <w:szCs w:val="28"/>
                <w:lang w:bidi="zh-CN"/>
              </w:rPr>
              <w:t xml:space="preserve">  新型基础设施建设重大工程</w:t>
            </w:r>
          </w:p>
        </w:tc>
      </w:tr>
      <w:tr w14:paraId="3B96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20DB8507">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sz w:val="28"/>
                <w:szCs w:val="28"/>
                <w:lang w:bidi="zh-CN"/>
              </w:rPr>
            </w:pPr>
            <w:r>
              <w:rPr>
                <w:rFonts w:hint="default" w:ascii="Times New Roman" w:hAnsi="Times New Roman" w:eastAsia="仿宋_GB2312" w:cs="Times New Roman"/>
                <w:b/>
                <w:color w:val="auto"/>
                <w:spacing w:val="0"/>
                <w:sz w:val="28"/>
                <w:szCs w:val="28"/>
                <w:lang w:bidi="zh-CN"/>
              </w:rPr>
              <w:t>高速泛在连接网络建设工程。</w:t>
            </w:r>
            <w:r>
              <w:rPr>
                <w:rFonts w:hint="default" w:ascii="Times New Roman" w:hAnsi="Times New Roman" w:eastAsia="仿宋_GB2312" w:cs="Times New Roman"/>
                <w:bCs/>
                <w:color w:val="auto"/>
                <w:spacing w:val="0"/>
                <w:sz w:val="28"/>
                <w:szCs w:val="28"/>
                <w:lang w:bidi="zh-CN"/>
              </w:rPr>
              <w:t>打造5G网络，推动5G网络在园区、医院、学校、景区景点等重点场所连续覆盖；围绕A级以上景区、特色小镇等部署5G网络。开展老旧小区百兆光纤网络升级改造，推动光纤宽带网络向乡镇和农村地区延伸覆盖，对现有百兆以下固定宽带用户升级提速至百兆，加快建设千兆宽带。统筹推进基础网络、终端、应用平台IPv6改造升级。大力发展物联网，加大5G标准下物联网建设力度，按需新建物联网基站，加快在高标准农田、产业园区、城市路网、社区、水库、湖泊、自然保护区等布设低成本、低功耗、高精度、高可靠的智能传感器。</w:t>
            </w:r>
          </w:p>
          <w:p w14:paraId="5C72F9B1">
            <w:pPr>
              <w:pageBreakBefore w:val="0"/>
              <w:widowControl w:val="0"/>
              <w:kinsoku/>
              <w:wordWrap/>
              <w:overflowPunct/>
              <w:topLinePunct w:val="0"/>
              <w:autoSpaceDN/>
              <w:bidi w:val="0"/>
              <w:spacing w:line="500" w:lineRule="exact"/>
              <w:ind w:firstLine="606"/>
              <w:rPr>
                <w:rFonts w:ascii="Times New Roman" w:hAnsi="Times New Roman" w:eastAsia="宋体" w:cs="Times New Roman"/>
                <w:bCs/>
                <w:color w:val="auto"/>
                <w:spacing w:val="0"/>
                <w:sz w:val="28"/>
                <w:szCs w:val="28"/>
                <w:lang w:bidi="zh-CN"/>
              </w:rPr>
            </w:pPr>
            <w:r>
              <w:rPr>
                <w:rFonts w:hint="default" w:ascii="Times New Roman" w:hAnsi="Times New Roman" w:eastAsia="仿宋_GB2312" w:cs="Times New Roman"/>
                <w:b/>
                <w:color w:val="auto"/>
                <w:spacing w:val="0"/>
                <w:sz w:val="28"/>
                <w:szCs w:val="28"/>
                <w:lang w:bidi="zh-CN"/>
              </w:rPr>
              <w:t>新基建应用平台建设工程。</w:t>
            </w:r>
            <w:r>
              <w:rPr>
                <w:rFonts w:hint="default" w:ascii="Times New Roman" w:hAnsi="Times New Roman" w:eastAsia="仿宋_GB2312" w:cs="Times New Roman"/>
                <w:bCs/>
                <w:color w:val="auto"/>
                <w:spacing w:val="0"/>
                <w:sz w:val="28"/>
                <w:szCs w:val="28"/>
                <w:lang w:bidi="zh-CN"/>
              </w:rPr>
              <w:t>完善关键感知、智能传输、智能信息处理、安全技术等核心要素，加快工业生产、城市管理、智慧出行、智慧家居等场景应用。建设工业互联网公共基础支撑平台、新能源充电桩等基础数字设施。</w:t>
            </w:r>
          </w:p>
        </w:tc>
      </w:tr>
    </w:tbl>
    <w:p w14:paraId="4C93F6C9">
      <w:pPr>
        <w:pageBreakBefore w:val="0"/>
        <w:widowControl w:val="0"/>
        <w:kinsoku/>
        <w:wordWrap/>
        <w:overflowPunct/>
        <w:topLinePunct w:val="0"/>
        <w:autoSpaceDN/>
        <w:bidi w:val="0"/>
        <w:ind w:left="0" w:leftChars="0" w:firstLine="0" w:firstLineChars="0"/>
        <w:rPr>
          <w:rFonts w:hint="default"/>
          <w:color w:val="auto"/>
          <w:spacing w:val="0"/>
        </w:rPr>
      </w:pPr>
      <w:r>
        <w:rPr>
          <w:rFonts w:hint="default"/>
          <w:color w:val="auto"/>
          <w:spacing w:val="0"/>
        </w:rPr>
        <w:br w:type="page"/>
      </w:r>
    </w:p>
    <w:p w14:paraId="5D8DF25F">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bCs w:val="0"/>
          <w:color w:val="auto"/>
          <w:spacing w:val="0"/>
          <w:kern w:val="2"/>
          <w:sz w:val="36"/>
          <w:szCs w:val="36"/>
          <w:lang w:val="en-US" w:eastAsia="zh-CN"/>
        </w:rPr>
      </w:pPr>
      <w:bookmarkStart w:id="99" w:name="_Toc17266"/>
      <w:bookmarkStart w:id="100" w:name="_Toc1195"/>
      <w:r>
        <w:rPr>
          <w:rFonts w:hint="eastAsia" w:ascii="方正小标宋_GBK" w:hAnsi="方正小标宋_GBK" w:eastAsia="方正小标宋_GBK" w:cs="方正小标宋_GBK"/>
          <w:bCs w:val="0"/>
          <w:color w:val="auto"/>
          <w:spacing w:val="0"/>
          <w:kern w:val="2"/>
          <w:sz w:val="36"/>
          <w:szCs w:val="36"/>
          <w:lang w:val="en-US" w:eastAsia="zh-CN"/>
        </w:rPr>
        <w:t>第八章  坚持生态立县，构建和谐生态新空间</w:t>
      </w:r>
      <w:bookmarkEnd w:id="99"/>
      <w:bookmarkEnd w:id="100"/>
    </w:p>
    <w:p w14:paraId="783D9AA1">
      <w:pPr>
        <w:pageBreakBefore w:val="0"/>
        <w:widowControl w:val="0"/>
        <w:kinsoku/>
        <w:wordWrap/>
        <w:overflowPunct/>
        <w:topLinePunct w:val="0"/>
        <w:autoSpaceDN/>
        <w:bidi w:val="0"/>
        <w:rPr>
          <w:rFonts w:hint="default"/>
          <w:color w:val="auto"/>
          <w:spacing w:val="0"/>
        </w:rPr>
      </w:pPr>
      <w:r>
        <w:rPr>
          <w:rFonts w:hint="default" w:ascii="Times New Roman" w:hAnsi="Times New Roman" w:eastAsia="仿宋_GB2312" w:cs="Times New Roman"/>
          <w:color w:val="auto"/>
          <w:spacing w:val="0"/>
          <w:szCs w:val="24"/>
        </w:rPr>
        <w:t>坚持人与自然和谐共生，牢固树立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绿水青山就是金山银山</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理念，统筹山水林田湖草系统治理，深入实施可持续发展战略，加快转变经济发展方式，加快美丽新平建设。</w:t>
      </w:r>
    </w:p>
    <w:p w14:paraId="3A07E15F">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01" w:name="_Toc20852"/>
      <w:bookmarkStart w:id="102" w:name="_Toc5734"/>
      <w:r>
        <w:rPr>
          <w:rFonts w:hint="eastAsia" w:ascii="黑体" w:hAnsi="黑体" w:eastAsia="黑体" w:cs="黑体"/>
          <w:b/>
          <w:bCs w:val="0"/>
          <w:color w:val="auto"/>
          <w:spacing w:val="0"/>
          <w:szCs w:val="32"/>
        </w:rPr>
        <w:t>第一节  落实</w:t>
      </w:r>
      <w:r>
        <w:rPr>
          <w:rFonts w:hint="eastAsia" w:ascii="黑体" w:hAnsi="黑体" w:eastAsia="黑体" w:cs="黑体"/>
          <w:b/>
          <w:bCs w:val="0"/>
          <w:color w:val="auto"/>
          <w:spacing w:val="0"/>
          <w:szCs w:val="32"/>
          <w:lang w:eastAsia="zh-CN"/>
        </w:rPr>
        <w:t>“</w:t>
      </w:r>
      <w:r>
        <w:rPr>
          <w:rFonts w:hint="eastAsia" w:ascii="黑体" w:hAnsi="黑体" w:eastAsia="黑体" w:cs="黑体"/>
          <w:b/>
          <w:bCs w:val="0"/>
          <w:color w:val="auto"/>
          <w:spacing w:val="0"/>
          <w:szCs w:val="32"/>
        </w:rPr>
        <w:t>三线一单</w:t>
      </w:r>
      <w:r>
        <w:rPr>
          <w:rFonts w:hint="eastAsia" w:ascii="黑体" w:hAnsi="黑体" w:eastAsia="黑体" w:cs="黑体"/>
          <w:b/>
          <w:bCs w:val="0"/>
          <w:color w:val="auto"/>
          <w:spacing w:val="0"/>
          <w:szCs w:val="32"/>
          <w:lang w:eastAsia="zh-CN"/>
        </w:rPr>
        <w:t>”</w:t>
      </w:r>
      <w:r>
        <w:rPr>
          <w:rFonts w:hint="eastAsia" w:ascii="黑体" w:hAnsi="黑体" w:eastAsia="黑体" w:cs="黑体"/>
          <w:b/>
          <w:bCs w:val="0"/>
          <w:color w:val="auto"/>
          <w:spacing w:val="0"/>
          <w:szCs w:val="32"/>
        </w:rPr>
        <w:t>硬约束</w:t>
      </w:r>
      <w:bookmarkEnd w:id="101"/>
      <w:bookmarkEnd w:id="102"/>
    </w:p>
    <w:p w14:paraId="5457712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加快推进生态保护红线勘界定标工作，完善生态红线管控措施，加大哀牢山国家级自然保护区、磨盘山森林公园等优先保护区保护力度，严格禁止生态保护红线内开发性、生产性建设活动。充分衔接环境质量目标和达标期限要求，遵循环境质量不断优化原则，确立大气、水、土壤环境质量底线。按照资源总量管控要求，明确水、土、能源等资源要素利用</w:t>
      </w:r>
      <w:r>
        <w:rPr>
          <w:rFonts w:hint="default" w:ascii="Times New Roman" w:hAnsi="Times New Roman" w:eastAsia="仿宋_GB2312" w:cs="Times New Roman"/>
          <w:color w:val="auto"/>
          <w:spacing w:val="0"/>
          <w:szCs w:val="24"/>
          <w:highlight w:val="none"/>
        </w:rPr>
        <w:t>上线</w:t>
      </w:r>
      <w:r>
        <w:rPr>
          <w:rFonts w:hint="default" w:ascii="Times New Roman" w:hAnsi="Times New Roman" w:eastAsia="仿宋_GB2312" w:cs="Times New Roman"/>
          <w:color w:val="auto"/>
          <w:spacing w:val="0"/>
          <w:szCs w:val="24"/>
        </w:rPr>
        <w:t>。开展生态环境功能区划符合性审查，严格控制石化、化工、有色金属冶炼等项目环境风险。</w:t>
      </w:r>
    </w:p>
    <w:p w14:paraId="79BF403F">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03" w:name="_Toc17693"/>
      <w:bookmarkStart w:id="104" w:name="_Toc21131"/>
      <w:r>
        <w:rPr>
          <w:rFonts w:hint="eastAsia" w:ascii="黑体" w:hAnsi="黑体" w:eastAsia="黑体" w:cs="黑体"/>
          <w:b/>
          <w:bCs w:val="0"/>
          <w:color w:val="auto"/>
          <w:spacing w:val="0"/>
          <w:szCs w:val="32"/>
        </w:rPr>
        <w:t xml:space="preserve">第二节  </w:t>
      </w:r>
      <w:r>
        <w:rPr>
          <w:rFonts w:hint="eastAsia" w:ascii="黑体" w:hAnsi="黑体" w:eastAsia="黑体" w:cs="黑体"/>
          <w:b/>
          <w:bCs w:val="0"/>
          <w:color w:val="auto"/>
          <w:spacing w:val="0"/>
          <w:szCs w:val="32"/>
          <w:lang w:eastAsia="zh-CN"/>
        </w:rPr>
        <w:t>持续改善环境质量</w:t>
      </w:r>
      <w:bookmarkEnd w:id="103"/>
      <w:bookmarkEnd w:id="104"/>
    </w:p>
    <w:p w14:paraId="50E29094">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保持生态环境保护战略定力，持续深入打好污染防治攻坚战，加强污染源头防控，突出精准治污、科学治污、依法治污，着力解决突出环境问题，实行最严格的生态环境保护制度，推动环境质量持续改善。</w:t>
      </w:r>
    </w:p>
    <w:p w14:paraId="29D46663">
      <w:pPr>
        <w:keepNext/>
        <w:keepLines/>
        <w:tabs>
          <w:tab w:val="center" w:pos="4156"/>
        </w:tabs>
        <w:spacing w:before="60" w:after="60"/>
        <w:outlineLvl w:val="2"/>
        <w:rPr>
          <w:rFonts w:hint="default" w:ascii="Times New Roman" w:hAnsi="Times New Roman" w:eastAsia="仿宋_GB2312" w:cs="Times New Roman"/>
          <w:b/>
          <w:bCs/>
          <w:color w:val="auto"/>
          <w:spacing w:val="0"/>
          <w:kern w:val="2"/>
          <w:sz w:val="32"/>
          <w:szCs w:val="24"/>
          <w:lang w:val="en-US" w:eastAsia="zh-CN" w:bidi="ar-SA"/>
        </w:rPr>
      </w:pPr>
      <w:r>
        <w:rPr>
          <w:rFonts w:hint="eastAsia" w:ascii="黑体" w:hAnsi="黑体" w:eastAsia="黑体" w:cs="黑体"/>
          <w:b w:val="0"/>
          <w:bCs/>
          <w:color w:val="auto"/>
          <w:spacing w:val="0"/>
          <w:kern w:val="2"/>
          <w:sz w:val="32"/>
          <w:szCs w:val="22"/>
          <w:lang w:val="en-US" w:eastAsia="zh-CN" w:bidi="ar-SA"/>
        </w:rPr>
        <w:t>一、加强大气污染防治</w:t>
      </w:r>
    </w:p>
    <w:p w14:paraId="417E9D42">
      <w:pPr>
        <w:pStyle w:val="2"/>
        <w:keepNext w:val="0"/>
        <w:keepLines w:val="0"/>
        <w:pageBreakBefore w:val="0"/>
        <w:widowControl w:val="0"/>
        <w:kinsoku/>
        <w:wordWrap/>
        <w:overflowPunct/>
        <w:topLinePunct w:val="0"/>
        <w:autoSpaceDE/>
        <w:autoSpaceDN/>
        <w:bidi w:val="0"/>
        <w:adjustRightInd/>
        <w:snapToGrid/>
        <w:spacing w:after="0" w:line="560" w:lineRule="exact"/>
        <w:ind w:firstLine="687"/>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加强工业企业大气污染综合治理，巩固大气污染重点行业脱硫、脱硝技术改造成果，实施钢铁、水泥等重点行业污染源全面达标排放计划，推进钢铁行业超低浓度排放，实施</w:t>
      </w:r>
      <w:r>
        <w:rPr>
          <w:rFonts w:hint="eastAsia" w:eastAsia="仿宋_GB2312" w:cs="Times New Roman"/>
          <w:color w:val="auto"/>
          <w:spacing w:val="0"/>
          <w:kern w:val="2"/>
          <w:sz w:val="32"/>
          <w:szCs w:val="24"/>
          <w:lang w:val="en-US" w:eastAsia="zh-CN" w:bidi="ar-SA"/>
        </w:rPr>
        <w:t>“</w:t>
      </w:r>
      <w:r>
        <w:rPr>
          <w:rFonts w:hint="default" w:ascii="Times New Roman" w:hAnsi="Times New Roman" w:eastAsia="仿宋_GB2312" w:cs="Times New Roman"/>
          <w:color w:val="auto"/>
          <w:spacing w:val="0"/>
          <w:kern w:val="2"/>
          <w:sz w:val="32"/>
          <w:szCs w:val="24"/>
          <w:lang w:val="en-US" w:eastAsia="zh-CN" w:bidi="ar-SA"/>
        </w:rPr>
        <w:t>煤改气</w:t>
      </w:r>
      <w:r>
        <w:rPr>
          <w:rFonts w:hint="eastAsia" w:eastAsia="仿宋_GB2312" w:cs="Times New Roman"/>
          <w:color w:val="auto"/>
          <w:spacing w:val="0"/>
          <w:kern w:val="2"/>
          <w:sz w:val="32"/>
          <w:szCs w:val="24"/>
          <w:lang w:val="en-US" w:eastAsia="zh-CN" w:bidi="ar-SA"/>
        </w:rPr>
        <w:t>”“</w:t>
      </w:r>
      <w:r>
        <w:rPr>
          <w:rFonts w:hint="default" w:ascii="Times New Roman" w:hAnsi="Times New Roman" w:eastAsia="仿宋_GB2312" w:cs="Times New Roman"/>
          <w:color w:val="auto"/>
          <w:spacing w:val="0"/>
          <w:kern w:val="2"/>
          <w:sz w:val="32"/>
          <w:szCs w:val="24"/>
          <w:lang w:val="en-US" w:eastAsia="zh-CN" w:bidi="ar-SA"/>
        </w:rPr>
        <w:t>煤改电</w:t>
      </w:r>
      <w:r>
        <w:rPr>
          <w:rFonts w:hint="eastAsia" w:eastAsia="仿宋_GB2312" w:cs="Times New Roman"/>
          <w:color w:val="auto"/>
          <w:spacing w:val="0"/>
          <w:kern w:val="2"/>
          <w:sz w:val="32"/>
          <w:szCs w:val="24"/>
          <w:lang w:val="en-US" w:eastAsia="zh-CN" w:bidi="ar-SA"/>
        </w:rPr>
        <w:t>”</w:t>
      </w:r>
      <w:r>
        <w:rPr>
          <w:rFonts w:hint="default" w:ascii="Times New Roman" w:hAnsi="Times New Roman" w:eastAsia="仿宋_GB2312" w:cs="Times New Roman"/>
          <w:color w:val="auto"/>
          <w:spacing w:val="0"/>
          <w:kern w:val="2"/>
          <w:sz w:val="32"/>
          <w:szCs w:val="24"/>
          <w:lang w:val="en-US" w:eastAsia="zh-CN" w:bidi="ar-SA"/>
        </w:rPr>
        <w:t>工程建设，推广清洁能源使用，开展桂山、戛洒、扬武等片区集中整治，减少工业集聚区污染。完善扬尘污染防治制度，推行建筑工地扬尘污染防治网格化管理，统筹油、路、车治理和机动车污染防治，推进道路清扫保洁机械化作业及道路洒水降尘。大力开展餐饮业挥发性有机物整治专项执法行动，推广高效油烟净化设施。</w:t>
      </w:r>
    </w:p>
    <w:p w14:paraId="03B5877C">
      <w:pPr>
        <w:keepNext/>
        <w:keepLines/>
        <w:tabs>
          <w:tab w:val="center" w:pos="4156"/>
        </w:tabs>
        <w:spacing w:before="60" w:after="60"/>
        <w:outlineLvl w:val="2"/>
        <w:rPr>
          <w:rFonts w:hint="eastAsia" w:ascii="黑体" w:hAnsi="黑体" w:eastAsia="黑体" w:cs="黑体"/>
          <w:b w:val="0"/>
          <w:bCs/>
          <w:color w:val="auto"/>
          <w:spacing w:val="0"/>
          <w:kern w:val="2"/>
          <w:sz w:val="32"/>
          <w:szCs w:val="22"/>
          <w:lang w:val="en-US" w:eastAsia="zh-CN" w:bidi="ar-SA"/>
        </w:rPr>
      </w:pPr>
      <w:r>
        <w:rPr>
          <w:rFonts w:hint="eastAsia" w:ascii="黑体" w:hAnsi="黑体" w:eastAsia="黑体" w:cs="黑体"/>
          <w:b w:val="0"/>
          <w:bCs/>
          <w:color w:val="auto"/>
          <w:spacing w:val="0"/>
          <w:kern w:val="2"/>
          <w:sz w:val="32"/>
          <w:szCs w:val="22"/>
          <w:lang w:val="en-US" w:eastAsia="zh-CN" w:bidi="ar-SA"/>
        </w:rPr>
        <w:t>二、加强水环境整治</w:t>
      </w:r>
    </w:p>
    <w:p w14:paraId="110E1FA5">
      <w:pPr>
        <w:pStyle w:val="2"/>
        <w:keepNext w:val="0"/>
        <w:keepLines w:val="0"/>
        <w:pageBreakBefore w:val="0"/>
        <w:widowControl w:val="0"/>
        <w:kinsoku/>
        <w:wordWrap/>
        <w:overflowPunct/>
        <w:topLinePunct w:val="0"/>
        <w:autoSpaceDE/>
        <w:autoSpaceDN/>
        <w:bidi w:val="0"/>
        <w:adjustRightInd/>
        <w:snapToGrid/>
        <w:spacing w:after="0" w:line="560" w:lineRule="exact"/>
        <w:ind w:firstLine="687"/>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落实河（湖）长制，构建流域控制单元精细化管理体系，加大南薅、居拉里大桥等断面流域内城镇生活污染及农业面源污染治理力度，加强仙福钢铁、瀛洲水泥等重点企业水污染监管，坚持上下游协调联动，统筹推进红河水系水污染综合防治工作。严格地下水水量和水位双控制，开展地下水取水专项执法检查和综合整治。实施饮用水水源保护区环境综合整治工程，加强清水河水库、他拉河水库等重要饮用水水源保护区应急监管，强化饮用水水源水质监测和动态跟踪。</w:t>
      </w:r>
    </w:p>
    <w:p w14:paraId="36B27157">
      <w:pPr>
        <w:pStyle w:val="2"/>
        <w:keepNext w:val="0"/>
        <w:keepLines w:val="0"/>
        <w:pageBreakBefore w:val="0"/>
        <w:widowControl w:val="0"/>
        <w:kinsoku/>
        <w:wordWrap/>
        <w:overflowPunct/>
        <w:topLinePunct w:val="0"/>
        <w:autoSpaceDE/>
        <w:autoSpaceDN/>
        <w:bidi w:val="0"/>
        <w:adjustRightInd/>
        <w:snapToGrid/>
        <w:spacing w:after="0" w:line="560" w:lineRule="exact"/>
        <w:ind w:firstLine="687"/>
        <w:textAlignment w:val="auto"/>
        <w:outlineLvl w:val="2"/>
        <w:rPr>
          <w:rFonts w:hint="default" w:ascii="Times New Roman" w:hAnsi="Times New Roman" w:eastAsia="仿宋_GB2312" w:cs="Times New Roman"/>
          <w:b/>
          <w:bCs/>
          <w:color w:val="auto"/>
          <w:spacing w:val="0"/>
          <w:kern w:val="2"/>
          <w:sz w:val="32"/>
          <w:szCs w:val="24"/>
          <w:lang w:val="en-US" w:eastAsia="zh-CN" w:bidi="ar-SA"/>
        </w:rPr>
      </w:pPr>
      <w:r>
        <w:rPr>
          <w:rStyle w:val="33"/>
        </w:rPr>
        <w:t>三、</w:t>
      </w:r>
      <w:r>
        <w:rPr>
          <w:rStyle w:val="33"/>
          <w:rFonts w:hint="eastAsia"/>
        </w:rPr>
        <w:t>加强土壤及固体废弃物污染防治</w:t>
      </w:r>
    </w:p>
    <w:p w14:paraId="00BC3DBC">
      <w:pPr>
        <w:pStyle w:val="2"/>
        <w:keepNext w:val="0"/>
        <w:keepLines w:val="0"/>
        <w:pageBreakBefore w:val="0"/>
        <w:widowControl w:val="0"/>
        <w:kinsoku/>
        <w:wordWrap/>
        <w:overflowPunct/>
        <w:topLinePunct w:val="0"/>
        <w:autoSpaceDE/>
        <w:autoSpaceDN/>
        <w:bidi w:val="0"/>
        <w:adjustRightInd/>
        <w:snapToGrid/>
        <w:spacing w:after="0" w:line="560" w:lineRule="exact"/>
        <w:ind w:firstLine="687"/>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全面开展土壤污染状况详查，实施农用地分类管理。加强退化耕地综合治理，积极推进耕地轮作休耕试点，加强轮作休耕耕地管理。建立污染地块联动监管机制，严格管控重度污染耕地，强化暂不开发污染地块的环境风险管控。严格落实畜禽禁养区管理，推进化肥农药减量，着力控制农业面源污染。实施尾矿、煤矸石等矿业固体废物产生、贮存减量化工程，加大工业固体废物堆存场所排查整治力度。逐步禁止不可降解塑料袋等一次性塑料制品的生产、销售及使用，加快建立分类投放、分类收集、分类运输、分类处理的生活垃圾管理系统。实施危险废物分级分类管理，建立信息化监管体系，加强医疗废物和有毒有害化学品监管力度。</w:t>
      </w:r>
    </w:p>
    <w:tbl>
      <w:tblPr>
        <w:tblStyle w:val="30"/>
        <w:tblW w:w="8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6"/>
      </w:tblGrid>
      <w:tr w14:paraId="15EC2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8356" w:type="dxa"/>
            <w:tcBorders>
              <w:top w:val="single" w:color="4F81BD" w:sz="8" w:space="0"/>
              <w:left w:val="single" w:color="4F81BD" w:sz="8" w:space="0"/>
              <w:bottom w:val="single" w:color="4F81BD" w:sz="8" w:space="0"/>
              <w:right w:val="single" w:color="4F81BD" w:sz="8" w:space="0"/>
            </w:tcBorders>
            <w:shd w:val="clear" w:color="auto" w:fill="4F81BD"/>
          </w:tcPr>
          <w:p w14:paraId="438EE1CD">
            <w:pPr>
              <w:pageBreakBefore w:val="0"/>
              <w:widowControl w:val="0"/>
              <w:kinsoku/>
              <w:wordWrap/>
              <w:overflowPunct/>
              <w:topLinePunct w:val="0"/>
              <w:autoSpaceDN/>
              <w:bidi w:val="0"/>
              <w:adjustRightInd w:val="0"/>
              <w:spacing w:line="500" w:lineRule="exact"/>
              <w:ind w:firstLine="0" w:firstLineChars="0"/>
              <w:jc w:val="center"/>
              <w:rPr>
                <w:rFonts w:ascii="Times New Roman" w:hAnsi="Times New Roman" w:eastAsia="宋体"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专栏1</w:t>
            </w:r>
            <w:r>
              <w:rPr>
                <w:rFonts w:hint="default" w:ascii="Times New Roman" w:hAnsi="Times New Roman" w:eastAsia="仿宋_GB2312" w:cs="Times New Roman"/>
                <w:b/>
                <w:bCs/>
                <w:color w:val="auto"/>
                <w:spacing w:val="0"/>
                <w:kern w:val="0"/>
                <w:sz w:val="28"/>
                <w:szCs w:val="28"/>
                <w:lang w:val="en-US" w:eastAsia="zh-CN"/>
              </w:rPr>
              <w:t>8</w:t>
            </w:r>
            <w:r>
              <w:rPr>
                <w:rFonts w:hint="default" w:ascii="Times New Roman" w:hAnsi="Times New Roman" w:eastAsia="仿宋_GB2312" w:cs="Times New Roman"/>
                <w:b/>
                <w:bCs/>
                <w:color w:val="auto"/>
                <w:spacing w:val="0"/>
                <w:kern w:val="0"/>
                <w:sz w:val="28"/>
                <w:szCs w:val="28"/>
              </w:rPr>
              <w:t xml:space="preserve">  环境保护工程</w:t>
            </w:r>
          </w:p>
        </w:tc>
      </w:tr>
      <w:tr w14:paraId="16F5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6" w:type="dxa"/>
            <w:tcBorders>
              <w:top w:val="single" w:color="4F81BD" w:sz="8" w:space="0"/>
              <w:left w:val="single" w:color="4F81BD" w:sz="8" w:space="0"/>
              <w:bottom w:val="single" w:color="4F81BD" w:sz="8" w:space="0"/>
              <w:right w:val="single" w:color="4F81BD" w:sz="8" w:space="0"/>
            </w:tcBorders>
            <w:shd w:val="clear" w:color="auto" w:fill="FFFFFF"/>
          </w:tcPr>
          <w:p w14:paraId="5AE10382">
            <w:pPr>
              <w:pStyle w:val="2"/>
              <w:pageBreakBefore w:val="0"/>
              <w:widowControl w:val="0"/>
              <w:kinsoku/>
              <w:wordWrap/>
              <w:overflowPunct/>
              <w:topLinePunct w:val="0"/>
              <w:autoSpaceDN/>
              <w:bidi w:val="0"/>
              <w:spacing w:after="0" w:line="500" w:lineRule="exact"/>
              <w:ind w:firstLine="606"/>
              <w:rPr>
                <w:rFonts w:hint="default" w:ascii="Times New Roman" w:hAnsi="Times New Roman" w:eastAsia="仿宋_GB2312" w:cs="Times New Roman"/>
                <w:color w:val="auto"/>
                <w:spacing w:val="0"/>
                <w:sz w:val="28"/>
                <w:szCs w:val="32"/>
                <w:lang w:bidi="zh-CN"/>
              </w:rPr>
            </w:pPr>
            <w:r>
              <w:rPr>
                <w:rFonts w:hint="default" w:ascii="Times New Roman" w:hAnsi="Times New Roman" w:eastAsia="仿宋_GB2312" w:cs="Times New Roman"/>
                <w:b/>
                <w:bCs/>
                <w:color w:val="auto"/>
                <w:spacing w:val="0"/>
                <w:sz w:val="28"/>
                <w:szCs w:val="32"/>
                <w:lang w:bidi="zh-CN"/>
              </w:rPr>
              <w:t>水土保持工程。</w:t>
            </w:r>
            <w:r>
              <w:rPr>
                <w:rFonts w:hint="default" w:ascii="Times New Roman" w:hAnsi="Times New Roman" w:eastAsia="仿宋_GB2312" w:cs="Times New Roman"/>
                <w:color w:val="auto"/>
                <w:spacing w:val="0"/>
                <w:sz w:val="28"/>
                <w:szCs w:val="32"/>
                <w:lang w:bidi="zh-CN"/>
              </w:rPr>
              <w:t>实施新平县西尼河、白沙河、依施河、玉租河等小流域水土流失综合治理工程。到2025年，水土流失治理率达50%。</w:t>
            </w:r>
          </w:p>
          <w:p w14:paraId="6111C3DE">
            <w:pPr>
              <w:pStyle w:val="2"/>
              <w:pageBreakBefore w:val="0"/>
              <w:widowControl w:val="0"/>
              <w:kinsoku/>
              <w:wordWrap/>
              <w:overflowPunct/>
              <w:topLinePunct w:val="0"/>
              <w:autoSpaceDN/>
              <w:bidi w:val="0"/>
              <w:spacing w:after="0" w:line="500" w:lineRule="exact"/>
              <w:ind w:firstLine="606"/>
              <w:rPr>
                <w:rFonts w:eastAsia="宋体"/>
                <w:color w:val="auto"/>
                <w:spacing w:val="0"/>
                <w:sz w:val="21"/>
              </w:rPr>
            </w:pPr>
            <w:r>
              <w:rPr>
                <w:rFonts w:hint="default" w:ascii="Times New Roman" w:hAnsi="Times New Roman" w:eastAsia="仿宋_GB2312" w:cs="Times New Roman"/>
                <w:b/>
                <w:bCs/>
                <w:color w:val="auto"/>
                <w:spacing w:val="0"/>
                <w:sz w:val="28"/>
                <w:szCs w:val="32"/>
                <w:lang w:bidi="zh-CN"/>
              </w:rPr>
              <w:t>重点流域治理工程。</w:t>
            </w:r>
            <w:r>
              <w:rPr>
                <w:rFonts w:hint="default" w:ascii="Times New Roman" w:hAnsi="Times New Roman" w:eastAsia="仿宋_GB2312" w:cs="Times New Roman"/>
                <w:color w:val="auto"/>
                <w:spacing w:val="0"/>
                <w:sz w:val="28"/>
                <w:szCs w:val="32"/>
                <w:lang w:bidi="zh-CN"/>
              </w:rPr>
              <w:t>实施挖窖河、大春河、新平河、南恩河、班东河、依施河等流域综合治理工程；推进入库河道生态净化、农村生活污水治理和农业面源污染综合治理；开展戛洒镇红河（戛洒江）流域矿区生态恢复治理示范。到2025年，戛洒江、平甸河地表水</w:t>
            </w:r>
            <w:r>
              <w:rPr>
                <w:rFonts w:hint="default" w:ascii="Times New Roman" w:hAnsi="Times New Roman" w:eastAsia="仿宋_GB2312" w:cs="Times New Roman"/>
                <w:color w:val="auto"/>
                <w:spacing w:val="0"/>
                <w:sz w:val="28"/>
                <w:szCs w:val="32"/>
                <w:highlight w:val="none"/>
                <w:lang w:bidi="zh-CN"/>
              </w:rPr>
              <w:t>水</w:t>
            </w:r>
            <w:r>
              <w:rPr>
                <w:rFonts w:hint="default" w:ascii="Times New Roman" w:hAnsi="Times New Roman" w:eastAsia="仿宋_GB2312" w:cs="Times New Roman"/>
                <w:color w:val="auto"/>
                <w:spacing w:val="0"/>
                <w:sz w:val="28"/>
                <w:szCs w:val="32"/>
                <w:lang w:bidi="zh-CN"/>
              </w:rPr>
              <w:t>环境功能分别达Ⅳ类、Ⅲ类。</w:t>
            </w:r>
          </w:p>
        </w:tc>
      </w:tr>
    </w:tbl>
    <w:p w14:paraId="67AC4361">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05" w:name="_Toc7540"/>
      <w:bookmarkStart w:id="106" w:name="_Toc19230"/>
      <w:r>
        <w:rPr>
          <w:rFonts w:hint="eastAsia" w:ascii="黑体" w:hAnsi="黑体" w:eastAsia="黑体" w:cs="黑体"/>
          <w:b/>
          <w:bCs w:val="0"/>
          <w:color w:val="auto"/>
          <w:spacing w:val="0"/>
          <w:szCs w:val="32"/>
        </w:rPr>
        <w:t>第三节  加强生态保护修复</w:t>
      </w:r>
      <w:bookmarkEnd w:id="105"/>
      <w:bookmarkEnd w:id="106"/>
    </w:p>
    <w:p w14:paraId="66E8177B">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加大生态系统保护力度，持续推进大规模国土绿化，解决突出生态问题，提升生态系统质量和稳定性，筑牢生态安全屏障。</w:t>
      </w:r>
    </w:p>
    <w:p w14:paraId="2673A526">
      <w:pPr>
        <w:pageBreakBefore w:val="0"/>
        <w:widowControl w:val="0"/>
        <w:kinsoku/>
        <w:wordWrap/>
        <w:overflowPunct/>
        <w:topLinePunct w:val="0"/>
        <w:autoSpaceDN/>
        <w:bidi w:val="0"/>
        <w:rPr>
          <w:rFonts w:hint="default" w:ascii="Times New Roman" w:hAnsi="Times New Roman" w:eastAsia="仿宋_GB2312" w:cs="Times New Roman"/>
          <w:b/>
          <w:bCs/>
          <w:color w:val="auto"/>
          <w:spacing w:val="0"/>
          <w:szCs w:val="24"/>
        </w:rPr>
      </w:pPr>
      <w:r>
        <w:rPr>
          <w:rStyle w:val="33"/>
        </w:rPr>
        <w:t>一、开展国土绿化行动</w:t>
      </w:r>
    </w:p>
    <w:p w14:paraId="69B98943">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健全自然资源资产产权制度和管理体制，分类分批完成全县森林、水流、荒地、湿地自然资源调查，建成全县自然资源与地理空间基础数据库。大力推进天然林修复、低效林改造工作，精准提升森林资源质量。加快实施国家储备林建设、防护林建设等工程，带动扩大营造林规模。持续开展</w:t>
      </w:r>
      <w:r>
        <w:rPr>
          <w:rFonts w:hint="default" w:ascii="Times New Roman" w:hAnsi="Times New Roman" w:eastAsia="仿宋_GB2312" w:cs="Times New Roman"/>
          <w:color w:val="auto"/>
          <w:spacing w:val="0"/>
          <w:szCs w:val="24"/>
          <w:lang w:eastAsia="zh-CN"/>
        </w:rPr>
        <w:t>荒漠</w:t>
      </w:r>
      <w:r>
        <w:rPr>
          <w:rFonts w:hint="default" w:ascii="Times New Roman" w:hAnsi="Times New Roman" w:eastAsia="仿宋_GB2312" w:cs="Times New Roman"/>
          <w:color w:val="auto"/>
          <w:spacing w:val="0"/>
          <w:szCs w:val="24"/>
        </w:rPr>
        <w:t>化监测预防工作，加大</w:t>
      </w:r>
      <w:r>
        <w:rPr>
          <w:rFonts w:hint="default" w:ascii="Times New Roman" w:hAnsi="Times New Roman" w:eastAsia="仿宋_GB2312" w:cs="Times New Roman"/>
          <w:color w:val="auto"/>
          <w:spacing w:val="0"/>
          <w:szCs w:val="24"/>
          <w:lang w:eastAsia="zh-CN"/>
        </w:rPr>
        <w:t>戛洒</w:t>
      </w:r>
      <w:r>
        <w:rPr>
          <w:rFonts w:hint="default" w:ascii="Times New Roman" w:hAnsi="Times New Roman" w:eastAsia="仿宋_GB2312" w:cs="Times New Roman"/>
          <w:color w:val="auto"/>
          <w:spacing w:val="0"/>
          <w:szCs w:val="24"/>
        </w:rPr>
        <w:t>江干热河谷等</w:t>
      </w:r>
      <w:r>
        <w:rPr>
          <w:rFonts w:hint="default" w:ascii="Times New Roman" w:hAnsi="Times New Roman" w:eastAsia="仿宋_GB2312" w:cs="Times New Roman"/>
          <w:color w:val="auto"/>
          <w:spacing w:val="0"/>
          <w:szCs w:val="24"/>
          <w:lang w:eastAsia="zh-CN"/>
        </w:rPr>
        <w:t>生态退化、</w:t>
      </w:r>
      <w:r>
        <w:rPr>
          <w:rFonts w:hint="default" w:ascii="Times New Roman" w:hAnsi="Times New Roman" w:eastAsia="仿宋_GB2312" w:cs="Times New Roman"/>
          <w:color w:val="auto"/>
          <w:spacing w:val="0"/>
          <w:szCs w:val="24"/>
        </w:rPr>
        <w:t>生态脆弱</w:t>
      </w:r>
      <w:r>
        <w:rPr>
          <w:rFonts w:hint="default" w:ascii="Times New Roman" w:hAnsi="Times New Roman" w:eastAsia="仿宋_GB2312" w:cs="Times New Roman"/>
          <w:color w:val="auto"/>
          <w:spacing w:val="0"/>
          <w:szCs w:val="24"/>
          <w:lang w:val="en-US" w:eastAsia="zh-CN"/>
        </w:rPr>
        <w:t>重点</w:t>
      </w:r>
      <w:r>
        <w:rPr>
          <w:rFonts w:hint="default" w:ascii="Times New Roman" w:hAnsi="Times New Roman" w:eastAsia="仿宋_GB2312" w:cs="Times New Roman"/>
          <w:color w:val="auto"/>
          <w:spacing w:val="0"/>
          <w:szCs w:val="24"/>
          <w:highlight w:val="none"/>
        </w:rPr>
        <w:t>区</w:t>
      </w:r>
      <w:r>
        <w:rPr>
          <w:rFonts w:hint="default" w:ascii="Times New Roman" w:hAnsi="Times New Roman" w:eastAsia="仿宋_GB2312" w:cs="Times New Roman"/>
          <w:color w:val="auto"/>
          <w:spacing w:val="0"/>
          <w:szCs w:val="24"/>
        </w:rPr>
        <w:t>绿化力度。广泛开展沿路、沿河（湖）、沿集镇</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三沿</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造林绿化活动，提高城镇面山</w:t>
      </w:r>
      <w:r>
        <w:rPr>
          <w:rFonts w:hint="default" w:ascii="Times New Roman" w:hAnsi="Times New Roman" w:eastAsia="仿宋_GB2312" w:cs="Times New Roman"/>
          <w:color w:val="auto"/>
          <w:spacing w:val="0"/>
          <w:szCs w:val="24"/>
          <w:lang w:eastAsia="zh-CN"/>
        </w:rPr>
        <w:t>森林</w:t>
      </w:r>
      <w:r>
        <w:rPr>
          <w:rFonts w:hint="default" w:ascii="Times New Roman" w:hAnsi="Times New Roman" w:eastAsia="仿宋_GB2312" w:cs="Times New Roman"/>
          <w:color w:val="auto"/>
          <w:spacing w:val="0"/>
          <w:szCs w:val="24"/>
        </w:rPr>
        <w:t>覆盖率。严防松材线虫病等重大林业有害生物入侵危害，不断提高林草灾害防控能力。到2025年，森林覆盖率达</w:t>
      </w:r>
      <w:r>
        <w:rPr>
          <w:rFonts w:hint="default" w:ascii="Times New Roman" w:hAnsi="Times New Roman" w:eastAsia="仿宋_GB2312" w:cs="Times New Roman"/>
          <w:color w:val="auto"/>
          <w:spacing w:val="0"/>
          <w:szCs w:val="24"/>
          <w:lang w:val="en-US" w:eastAsia="zh-CN"/>
        </w:rPr>
        <w:t>73.67</w:t>
      </w:r>
      <w:r>
        <w:rPr>
          <w:rFonts w:hint="default" w:ascii="Times New Roman" w:hAnsi="Times New Roman" w:eastAsia="仿宋_GB2312" w:cs="Times New Roman"/>
          <w:color w:val="auto"/>
          <w:spacing w:val="0"/>
          <w:szCs w:val="24"/>
        </w:rPr>
        <w:t>%，森林蓄积量达2400万立方米。</w:t>
      </w:r>
    </w:p>
    <w:p w14:paraId="427C5556">
      <w:pPr>
        <w:pageBreakBefore w:val="0"/>
        <w:widowControl w:val="0"/>
        <w:kinsoku/>
        <w:wordWrap/>
        <w:overflowPunct/>
        <w:topLinePunct w:val="0"/>
        <w:autoSpaceDN/>
        <w:bidi w:val="0"/>
        <w:rPr>
          <w:rFonts w:hint="default" w:ascii="Times New Roman" w:hAnsi="Times New Roman" w:eastAsia="仿宋_GB2312" w:cs="Times New Roman"/>
          <w:b/>
          <w:bCs/>
          <w:color w:val="auto"/>
          <w:spacing w:val="0"/>
          <w:szCs w:val="24"/>
        </w:rPr>
      </w:pPr>
      <w:r>
        <w:rPr>
          <w:rStyle w:val="33"/>
        </w:rPr>
        <w:t>二、加强生物多样性保护</w:t>
      </w:r>
    </w:p>
    <w:p w14:paraId="29250CAC">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lang w:eastAsia="zh-CN"/>
        </w:rPr>
        <w:t>全面推行林长制，大力提高哀牢山、磨盘山等自然保护区管护水平，</w:t>
      </w:r>
      <w:r>
        <w:rPr>
          <w:rFonts w:hint="default" w:ascii="Times New Roman" w:hAnsi="Times New Roman" w:eastAsia="仿宋_GB2312" w:cs="Times New Roman"/>
          <w:color w:val="auto"/>
          <w:spacing w:val="0"/>
          <w:szCs w:val="24"/>
        </w:rPr>
        <w:t>构建以国家公园为主体的自然保护地体系，推动哀牢山国家级自然保护区（新平段）、磨盘山国家级森林自然公园等总体规划编制工作，加强以哀牢山—红河谷为代表的鸟类迁徙通道保护。开展珍稀濒危野生动植物及极小种群物种抢救保护工作，实施疣粒野生稻原生境保护小区建设，戛洒江巨魾种群恢复重建，绿孔雀、西黑冠长臂猿、红豆杉等珍稀物种保护工程。开展物种引进风险评估，加强外来入侵物种入侵机理、扩散途径和防范措施研究。</w:t>
      </w:r>
    </w:p>
    <w:p w14:paraId="2248FEBA">
      <w:pPr>
        <w:pageBreakBefore w:val="0"/>
        <w:widowControl w:val="0"/>
        <w:kinsoku/>
        <w:wordWrap/>
        <w:overflowPunct/>
        <w:topLinePunct w:val="0"/>
        <w:autoSpaceDN/>
        <w:bidi w:val="0"/>
        <w:rPr>
          <w:rFonts w:hint="default" w:ascii="Times New Roman" w:hAnsi="Times New Roman" w:eastAsia="仿宋_GB2312" w:cs="Times New Roman"/>
          <w:b/>
          <w:bCs/>
          <w:color w:val="auto"/>
          <w:spacing w:val="0"/>
          <w:szCs w:val="24"/>
        </w:rPr>
      </w:pPr>
      <w:r>
        <w:rPr>
          <w:rStyle w:val="33"/>
        </w:rPr>
        <w:t>三、加强湿地保护恢复</w:t>
      </w:r>
    </w:p>
    <w:p w14:paraId="0BEA1ACA">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推进湿地公园建设，加快重要湿地、一般湿地认定进度，完善湿地分类保护与管理，扩大湿地保护范围。开展小微湿地生境恢复和生态景观功能提质工程，加大</w:t>
      </w:r>
      <w:r>
        <w:rPr>
          <w:rFonts w:hint="default" w:ascii="Times New Roman" w:hAnsi="Times New Roman" w:eastAsia="仿宋_GB2312" w:cs="Times New Roman"/>
          <w:color w:val="auto"/>
          <w:spacing w:val="0"/>
          <w:szCs w:val="24"/>
          <w:lang w:eastAsia="zh-CN"/>
        </w:rPr>
        <w:t>戛洒</w:t>
      </w:r>
      <w:r>
        <w:rPr>
          <w:rFonts w:hint="default" w:ascii="Times New Roman" w:hAnsi="Times New Roman" w:eastAsia="仿宋_GB2312" w:cs="Times New Roman"/>
          <w:color w:val="auto"/>
          <w:spacing w:val="0"/>
          <w:szCs w:val="24"/>
        </w:rPr>
        <w:t>江湿地</w:t>
      </w:r>
      <w:r>
        <w:rPr>
          <w:rFonts w:hint="default" w:ascii="Times New Roman" w:hAnsi="Times New Roman" w:eastAsia="仿宋_GB2312" w:cs="Times New Roman"/>
          <w:color w:val="auto"/>
          <w:spacing w:val="0"/>
          <w:szCs w:val="24"/>
          <w:lang w:eastAsia="zh-CN"/>
        </w:rPr>
        <w:t>公园</w:t>
      </w:r>
      <w:r>
        <w:rPr>
          <w:rFonts w:hint="default" w:ascii="Times New Roman" w:hAnsi="Times New Roman" w:eastAsia="仿宋_GB2312" w:cs="Times New Roman"/>
          <w:color w:val="auto"/>
          <w:spacing w:val="0"/>
          <w:szCs w:val="24"/>
        </w:rPr>
        <w:t>、黄草坝湿地</w:t>
      </w:r>
      <w:r>
        <w:rPr>
          <w:rFonts w:hint="default" w:ascii="Times New Roman" w:hAnsi="Times New Roman" w:eastAsia="仿宋_GB2312" w:cs="Times New Roman"/>
          <w:color w:val="auto"/>
          <w:spacing w:val="0"/>
          <w:szCs w:val="24"/>
          <w:lang w:eastAsia="zh-CN"/>
        </w:rPr>
        <w:t>公园</w:t>
      </w:r>
      <w:r>
        <w:rPr>
          <w:rFonts w:hint="default" w:ascii="Times New Roman" w:hAnsi="Times New Roman" w:eastAsia="仿宋_GB2312" w:cs="Times New Roman"/>
          <w:color w:val="auto"/>
          <w:spacing w:val="0"/>
          <w:szCs w:val="24"/>
        </w:rPr>
        <w:t>、纳溪湿地</w:t>
      </w:r>
      <w:r>
        <w:rPr>
          <w:rFonts w:hint="default" w:ascii="Times New Roman" w:hAnsi="Times New Roman" w:eastAsia="仿宋_GB2312" w:cs="Times New Roman"/>
          <w:color w:val="auto"/>
          <w:spacing w:val="0"/>
          <w:szCs w:val="24"/>
          <w:lang w:eastAsia="zh-CN"/>
        </w:rPr>
        <w:t>公园</w:t>
      </w:r>
      <w:r>
        <w:rPr>
          <w:rFonts w:hint="default" w:ascii="Times New Roman" w:hAnsi="Times New Roman" w:eastAsia="仿宋_GB2312" w:cs="Times New Roman"/>
          <w:color w:val="auto"/>
          <w:spacing w:val="0"/>
          <w:szCs w:val="24"/>
        </w:rPr>
        <w:t>保护</w:t>
      </w:r>
      <w:r>
        <w:rPr>
          <w:rFonts w:hint="default" w:ascii="Times New Roman" w:hAnsi="Times New Roman" w:eastAsia="仿宋_GB2312" w:cs="Times New Roman"/>
          <w:color w:val="auto"/>
          <w:spacing w:val="0"/>
          <w:szCs w:val="24"/>
          <w:lang w:val="en-US" w:eastAsia="zh-CN"/>
        </w:rPr>
        <w:t>修复</w:t>
      </w:r>
      <w:r>
        <w:rPr>
          <w:rFonts w:hint="default" w:ascii="Times New Roman" w:hAnsi="Times New Roman" w:eastAsia="仿宋_GB2312" w:cs="Times New Roman"/>
          <w:color w:val="auto"/>
          <w:spacing w:val="0"/>
          <w:szCs w:val="24"/>
        </w:rPr>
        <w:t>力度，提高流域森林覆盖率，恢复湿地生态系统结构和功能，稳步提高湿地保护率。到2025年，湿地保有量</w:t>
      </w:r>
      <w:r>
        <w:rPr>
          <w:rFonts w:hint="default" w:ascii="Times New Roman" w:hAnsi="Times New Roman" w:eastAsia="仿宋_GB2312" w:cs="Times New Roman"/>
          <w:color w:val="auto"/>
          <w:spacing w:val="0"/>
          <w:szCs w:val="24"/>
          <w:lang w:val="en-US" w:eastAsia="zh-CN"/>
        </w:rPr>
        <w:t>7</w:t>
      </w:r>
      <w:r>
        <w:rPr>
          <w:rFonts w:hint="default" w:ascii="Times New Roman" w:hAnsi="Times New Roman" w:eastAsia="仿宋_GB2312" w:cs="Times New Roman"/>
          <w:color w:val="auto"/>
          <w:spacing w:val="0"/>
          <w:szCs w:val="24"/>
        </w:rPr>
        <w:t>万亩。</w:t>
      </w:r>
    </w:p>
    <w:p w14:paraId="3BA8809A">
      <w:pPr>
        <w:pageBreakBefore w:val="0"/>
        <w:widowControl w:val="0"/>
        <w:kinsoku/>
        <w:wordWrap/>
        <w:overflowPunct/>
        <w:topLinePunct w:val="0"/>
        <w:autoSpaceDN/>
        <w:bidi w:val="0"/>
        <w:rPr>
          <w:rFonts w:hint="default" w:ascii="Times New Roman" w:hAnsi="Times New Roman" w:eastAsia="仿宋_GB2312" w:cs="Times New Roman"/>
          <w:b/>
          <w:bCs/>
          <w:color w:val="auto"/>
          <w:spacing w:val="0"/>
          <w:szCs w:val="24"/>
        </w:rPr>
      </w:pPr>
      <w:r>
        <w:rPr>
          <w:rStyle w:val="33"/>
        </w:rPr>
        <w:t>四、推动矿山地质环境恢复治理</w:t>
      </w:r>
    </w:p>
    <w:p w14:paraId="4E68A7D6">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探索矿区污染治理和修复模式，开展矿山地质环境分区治理，以鲁奎山铁矿和大红山铁铜矿为示范，实施采空区回填、尾矿库与废石场加固、土地复垦与植被恢复等治理修复工程，开展重金属污染土壤的污染治理和修复试点建设，加强重点范围内的露天采场和破坏山体的绿化造林及景观修复治理，逐步修复矿区生态环境。</w:t>
      </w:r>
    </w:p>
    <w:tbl>
      <w:tblPr>
        <w:tblStyle w:val="30"/>
        <w:tblW w:w="8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6"/>
      </w:tblGrid>
      <w:tr w14:paraId="2861B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8356" w:type="dxa"/>
            <w:tcBorders>
              <w:top w:val="single" w:color="4F81BD" w:sz="8" w:space="0"/>
              <w:left w:val="single" w:color="4F81BD" w:sz="8" w:space="0"/>
              <w:bottom w:val="single" w:color="4F81BD" w:sz="8" w:space="0"/>
              <w:right w:val="single" w:color="4F81BD" w:sz="8" w:space="0"/>
            </w:tcBorders>
            <w:shd w:val="clear" w:color="auto" w:fill="4F81BD"/>
          </w:tcPr>
          <w:p w14:paraId="72DDAB0D">
            <w:pPr>
              <w:pageBreakBefore w:val="0"/>
              <w:widowControl w:val="0"/>
              <w:kinsoku/>
              <w:wordWrap/>
              <w:overflowPunct/>
              <w:topLinePunct w:val="0"/>
              <w:autoSpaceDN/>
              <w:bidi w:val="0"/>
              <w:adjustRightInd w:val="0"/>
              <w:spacing w:line="500" w:lineRule="exact"/>
              <w:ind w:firstLine="0" w:firstLineChars="0"/>
              <w:jc w:val="center"/>
              <w:rPr>
                <w:rFonts w:ascii="Times New Roman" w:hAnsi="Times New Roman" w:eastAsia="宋体"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专栏</w:t>
            </w:r>
            <w:r>
              <w:rPr>
                <w:rFonts w:hint="default" w:ascii="Times New Roman" w:hAnsi="Times New Roman" w:eastAsia="仿宋_GB2312" w:cs="Times New Roman"/>
                <w:b/>
                <w:bCs/>
                <w:color w:val="auto"/>
                <w:spacing w:val="0"/>
                <w:kern w:val="0"/>
                <w:sz w:val="28"/>
                <w:szCs w:val="28"/>
                <w:lang w:val="en-US" w:eastAsia="zh-CN"/>
              </w:rPr>
              <w:t xml:space="preserve">19  </w:t>
            </w:r>
            <w:r>
              <w:rPr>
                <w:rFonts w:hint="default" w:ascii="Times New Roman" w:hAnsi="Times New Roman" w:eastAsia="仿宋_GB2312" w:cs="Times New Roman"/>
                <w:b/>
                <w:bCs/>
                <w:color w:val="auto"/>
                <w:spacing w:val="0"/>
                <w:kern w:val="0"/>
                <w:sz w:val="28"/>
                <w:szCs w:val="28"/>
              </w:rPr>
              <w:t>生态修复重大工程</w:t>
            </w:r>
          </w:p>
        </w:tc>
      </w:tr>
      <w:tr w14:paraId="6D0FF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6" w:type="dxa"/>
            <w:tcBorders>
              <w:top w:val="single" w:color="4F81BD" w:sz="8" w:space="0"/>
              <w:left w:val="single" w:color="4F81BD" w:sz="8" w:space="0"/>
              <w:bottom w:val="single" w:color="4F81BD" w:sz="8" w:space="0"/>
              <w:right w:val="single" w:color="4F81BD" w:sz="8" w:space="0"/>
            </w:tcBorders>
            <w:shd w:val="clear" w:color="auto" w:fill="FFFFFF"/>
          </w:tcPr>
          <w:p w14:paraId="60219D07">
            <w:pPr>
              <w:pStyle w:val="2"/>
              <w:pageBreakBefore w:val="0"/>
              <w:widowControl w:val="0"/>
              <w:kinsoku/>
              <w:wordWrap/>
              <w:overflowPunct/>
              <w:topLinePunct w:val="0"/>
              <w:autoSpaceDN/>
              <w:bidi w:val="0"/>
              <w:spacing w:after="0" w:line="500" w:lineRule="exact"/>
              <w:ind w:firstLine="606"/>
              <w:rPr>
                <w:rFonts w:hint="default" w:ascii="Times New Roman" w:hAnsi="Times New Roman" w:eastAsia="仿宋_GB2312" w:cs="Times New Roman"/>
                <w:color w:val="auto"/>
                <w:spacing w:val="0"/>
                <w:sz w:val="28"/>
                <w:szCs w:val="32"/>
                <w:lang w:bidi="zh-CN"/>
              </w:rPr>
            </w:pPr>
            <w:r>
              <w:rPr>
                <w:rFonts w:hint="default" w:ascii="Times New Roman" w:hAnsi="Times New Roman" w:eastAsia="仿宋_GB2312" w:cs="Times New Roman"/>
                <w:b/>
                <w:bCs/>
                <w:color w:val="auto"/>
                <w:spacing w:val="0"/>
                <w:sz w:val="28"/>
                <w:szCs w:val="32"/>
                <w:lang w:bidi="zh-CN"/>
              </w:rPr>
              <w:t>湿地保护工程。</w:t>
            </w:r>
            <w:r>
              <w:rPr>
                <w:rFonts w:hint="default" w:ascii="Times New Roman" w:hAnsi="Times New Roman" w:eastAsia="仿宋_GB2312" w:cs="Times New Roman"/>
                <w:color w:val="auto"/>
                <w:spacing w:val="0"/>
                <w:sz w:val="28"/>
                <w:szCs w:val="32"/>
                <w:lang w:bidi="zh-CN"/>
              </w:rPr>
              <w:t>实施戛洒江湿地公园、黄草坝湿地公园、纳溪湿地公园等重要湿地保护工程。</w:t>
            </w:r>
          </w:p>
          <w:p w14:paraId="48307764">
            <w:pPr>
              <w:pStyle w:val="2"/>
              <w:pageBreakBefore w:val="0"/>
              <w:widowControl w:val="0"/>
              <w:kinsoku/>
              <w:wordWrap/>
              <w:overflowPunct/>
              <w:topLinePunct w:val="0"/>
              <w:autoSpaceDN/>
              <w:bidi w:val="0"/>
              <w:spacing w:after="0" w:line="500" w:lineRule="exact"/>
              <w:ind w:firstLine="606"/>
              <w:rPr>
                <w:rFonts w:hint="default" w:ascii="Times New Roman" w:hAnsi="Times New Roman" w:eastAsia="仿宋_GB2312" w:cs="Times New Roman"/>
                <w:color w:val="auto"/>
                <w:spacing w:val="0"/>
                <w:sz w:val="28"/>
                <w:szCs w:val="32"/>
                <w:lang w:bidi="zh-CN"/>
              </w:rPr>
            </w:pPr>
            <w:r>
              <w:rPr>
                <w:rFonts w:hint="default" w:ascii="Times New Roman" w:hAnsi="Times New Roman" w:eastAsia="仿宋_GB2312" w:cs="Times New Roman"/>
                <w:b/>
                <w:bCs/>
                <w:color w:val="auto"/>
                <w:spacing w:val="0"/>
                <w:sz w:val="28"/>
                <w:szCs w:val="32"/>
                <w:lang w:bidi="zh-CN"/>
              </w:rPr>
              <w:t>国土绿化工程。</w:t>
            </w:r>
            <w:r>
              <w:rPr>
                <w:rFonts w:hint="default" w:ascii="Times New Roman" w:hAnsi="Times New Roman" w:eastAsia="仿宋_GB2312" w:cs="Times New Roman"/>
                <w:color w:val="auto"/>
                <w:spacing w:val="0"/>
                <w:sz w:val="28"/>
                <w:szCs w:val="32"/>
                <w:lang w:bidi="zh-CN"/>
              </w:rPr>
              <w:t>开展新平县城及面山绿化美化、村庄集镇绿化美化、征占用林地异地造林、草地改良、林业有害生物综合防控；实施长江经济带生态修复治理、大戛高速公路建设临时用地绿化恢复、乡村公路绿化美化等</w:t>
            </w:r>
            <w:r>
              <w:rPr>
                <w:rFonts w:hint="eastAsia" w:eastAsia="仿宋_GB2312" w:cs="Times New Roman"/>
                <w:color w:val="auto"/>
                <w:spacing w:val="0"/>
                <w:sz w:val="28"/>
                <w:szCs w:val="32"/>
                <w:lang w:bidi="zh-CN"/>
              </w:rPr>
              <w:t>“</w:t>
            </w:r>
            <w:r>
              <w:rPr>
                <w:rFonts w:hint="default" w:ascii="Times New Roman" w:hAnsi="Times New Roman" w:eastAsia="仿宋_GB2312" w:cs="Times New Roman"/>
                <w:color w:val="auto"/>
                <w:spacing w:val="0"/>
                <w:sz w:val="28"/>
                <w:szCs w:val="32"/>
                <w:lang w:bidi="zh-CN"/>
              </w:rPr>
              <w:t>三沿</w:t>
            </w:r>
            <w:r>
              <w:rPr>
                <w:rFonts w:hint="eastAsia" w:eastAsia="仿宋_GB2312" w:cs="Times New Roman"/>
                <w:color w:val="auto"/>
                <w:spacing w:val="0"/>
                <w:sz w:val="28"/>
                <w:szCs w:val="32"/>
                <w:lang w:bidi="zh-CN"/>
              </w:rPr>
              <w:t>”</w:t>
            </w:r>
            <w:r>
              <w:rPr>
                <w:rFonts w:hint="default" w:ascii="Times New Roman" w:hAnsi="Times New Roman" w:eastAsia="仿宋_GB2312" w:cs="Times New Roman"/>
                <w:color w:val="auto"/>
                <w:spacing w:val="0"/>
                <w:sz w:val="28"/>
                <w:szCs w:val="32"/>
                <w:lang w:bidi="zh-CN"/>
              </w:rPr>
              <w:t>绿化工程。</w:t>
            </w:r>
          </w:p>
          <w:p w14:paraId="731044DD">
            <w:pPr>
              <w:pStyle w:val="2"/>
              <w:pageBreakBefore w:val="0"/>
              <w:widowControl w:val="0"/>
              <w:kinsoku/>
              <w:wordWrap/>
              <w:overflowPunct/>
              <w:topLinePunct w:val="0"/>
              <w:autoSpaceDN/>
              <w:bidi w:val="0"/>
              <w:spacing w:after="0" w:line="500" w:lineRule="exact"/>
              <w:ind w:firstLine="606"/>
              <w:rPr>
                <w:rFonts w:eastAsia="宋体"/>
                <w:color w:val="auto"/>
                <w:spacing w:val="0"/>
                <w:sz w:val="21"/>
              </w:rPr>
            </w:pPr>
            <w:r>
              <w:rPr>
                <w:rFonts w:hint="default" w:ascii="Times New Roman" w:hAnsi="Times New Roman" w:eastAsia="仿宋_GB2312" w:cs="Times New Roman"/>
                <w:b/>
                <w:bCs/>
                <w:color w:val="auto"/>
                <w:spacing w:val="0"/>
                <w:sz w:val="28"/>
                <w:szCs w:val="32"/>
                <w:lang w:bidi="zh-CN"/>
              </w:rPr>
              <w:t>生物多样性保护工程。</w:t>
            </w:r>
            <w:r>
              <w:rPr>
                <w:rFonts w:hint="default" w:ascii="Times New Roman" w:hAnsi="Times New Roman" w:eastAsia="仿宋_GB2312" w:cs="Times New Roman"/>
                <w:color w:val="auto"/>
                <w:spacing w:val="0"/>
                <w:sz w:val="28"/>
                <w:szCs w:val="32"/>
                <w:lang w:bidi="zh-CN"/>
              </w:rPr>
              <w:t>实施疣粒野生稻原生境保护小区建设、戛洒江巨魾（面瓜鱼）种群恢复重建及栖息地保护、哀牢山国家级自然保护区生物资源管护站及野生动物救助站建设等工程。到2025年，以哀牢山自然保护区</w:t>
            </w:r>
            <w:r>
              <w:rPr>
                <w:rFonts w:hint="default" w:ascii="Times New Roman" w:hAnsi="Times New Roman" w:eastAsia="仿宋_GB2312" w:cs="Times New Roman"/>
                <w:color w:val="auto"/>
                <w:spacing w:val="0"/>
                <w:sz w:val="28"/>
                <w:szCs w:val="32"/>
                <w:lang w:val="en-US" w:bidi="zh-CN"/>
              </w:rPr>
              <w:t>为</w:t>
            </w:r>
            <w:r>
              <w:rPr>
                <w:rFonts w:hint="default" w:ascii="Times New Roman" w:hAnsi="Times New Roman" w:eastAsia="仿宋_GB2312" w:cs="Times New Roman"/>
                <w:color w:val="auto"/>
                <w:spacing w:val="0"/>
                <w:sz w:val="28"/>
                <w:szCs w:val="32"/>
                <w:lang w:bidi="zh-CN"/>
              </w:rPr>
              <w:t>主体的保护地体系基本建立，自然保护地面积占国土面积15%以上，重要生态系统和重点保护野生动植物得到有效保护。</w:t>
            </w:r>
          </w:p>
        </w:tc>
      </w:tr>
    </w:tbl>
    <w:p w14:paraId="75D4C3A0">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07" w:name="_Toc13904"/>
      <w:bookmarkStart w:id="108" w:name="_Toc30312"/>
      <w:r>
        <w:rPr>
          <w:rFonts w:hint="eastAsia" w:ascii="黑体" w:hAnsi="黑体" w:eastAsia="黑体" w:cs="黑体"/>
          <w:b/>
          <w:bCs w:val="0"/>
          <w:color w:val="auto"/>
          <w:spacing w:val="0"/>
          <w:szCs w:val="32"/>
        </w:rPr>
        <w:t>第四节  加快推动绿色发展</w:t>
      </w:r>
      <w:bookmarkEnd w:id="107"/>
      <w:bookmarkEnd w:id="108"/>
    </w:p>
    <w:p w14:paraId="77D8638F">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default" w:ascii="Times New Roman" w:hAnsi="Times New Roman" w:eastAsia="仿宋_GB2312" w:cs="Times New Roman"/>
          <w:b/>
          <w:bCs/>
          <w:color w:val="auto"/>
          <w:spacing w:val="0"/>
        </w:rPr>
      </w:pPr>
      <w:r>
        <w:rPr>
          <w:rFonts w:hint="default" w:ascii="Times New Roman" w:hAnsi="Times New Roman" w:eastAsia="仿宋_GB2312" w:cs="Times New Roman"/>
          <w:color w:val="auto"/>
          <w:spacing w:val="0"/>
          <w:szCs w:val="32"/>
        </w:rPr>
        <w:t>推进绿色发展方式和生活方式，形成内生动力机制，坚定不移走绿色低碳循环发展之路，加快构建绿色循环低碳发展产业体系。</w:t>
      </w:r>
    </w:p>
    <w:p w14:paraId="21092D14">
      <w:pPr>
        <w:pStyle w:val="2"/>
        <w:keepNext w:val="0"/>
        <w:keepLines w:val="0"/>
        <w:pageBreakBefore w:val="0"/>
        <w:widowControl w:val="0"/>
        <w:kinsoku/>
        <w:wordWrap/>
        <w:overflowPunct/>
        <w:topLinePunct w:val="0"/>
        <w:autoSpaceDE/>
        <w:autoSpaceDN/>
        <w:bidi w:val="0"/>
        <w:adjustRightInd/>
        <w:snapToGrid/>
        <w:spacing w:after="0" w:line="560" w:lineRule="exact"/>
        <w:ind w:firstLine="606"/>
        <w:textAlignment w:val="auto"/>
        <w:rPr>
          <w:rFonts w:hint="default" w:ascii="Times New Roman" w:hAnsi="Times New Roman" w:eastAsia="仿宋_GB2312" w:cs="Times New Roman"/>
          <w:b/>
          <w:bCs/>
          <w:color w:val="auto"/>
          <w:spacing w:val="0"/>
        </w:rPr>
      </w:pPr>
      <w:r>
        <w:rPr>
          <w:rStyle w:val="33"/>
        </w:rPr>
        <w:t>一、全面提高资源利用效率</w:t>
      </w:r>
    </w:p>
    <w:p w14:paraId="30B2DA3D">
      <w:pPr>
        <w:pStyle w:val="2"/>
        <w:keepNext w:val="0"/>
        <w:keepLines w:val="0"/>
        <w:pageBreakBefore w:val="0"/>
        <w:widowControl w:val="0"/>
        <w:kinsoku/>
        <w:wordWrap/>
        <w:overflowPunct/>
        <w:topLinePunct w:val="0"/>
        <w:autoSpaceDE/>
        <w:autoSpaceDN/>
        <w:bidi w:val="0"/>
        <w:adjustRightInd/>
        <w:snapToGrid/>
        <w:spacing w:after="0" w:line="560" w:lineRule="exact"/>
        <w:ind w:firstLine="606"/>
        <w:textAlignment w:val="auto"/>
        <w:rPr>
          <w:rFonts w:hint="default" w:ascii="Times New Roman" w:hAnsi="Times New Roman" w:eastAsia="仿宋_GB2312" w:cs="Times New Roman"/>
          <w:b/>
          <w:bCs/>
          <w:color w:val="auto"/>
          <w:spacing w:val="0"/>
        </w:rPr>
      </w:pPr>
      <w:r>
        <w:rPr>
          <w:rFonts w:hint="default" w:ascii="Times New Roman" w:hAnsi="Times New Roman" w:eastAsia="仿宋_GB2312" w:cs="Times New Roman"/>
          <w:b w:val="0"/>
          <w:bCs w:val="0"/>
          <w:color w:val="auto"/>
          <w:spacing w:val="0"/>
          <w:lang w:eastAsia="zh-CN"/>
        </w:rPr>
        <w:t>大力发展绿色经济，实施更严格的环境保护标准，节约集约利用资源。</w:t>
      </w:r>
      <w:r>
        <w:rPr>
          <w:rFonts w:hint="default" w:ascii="Times New Roman" w:hAnsi="Times New Roman" w:eastAsia="仿宋_GB2312" w:cs="Times New Roman"/>
          <w:color w:val="auto"/>
          <w:spacing w:val="0"/>
        </w:rPr>
        <w:t>推进资源总量管理、科学配置、全面节约、循环利用。严格土地用途管制，推进土地集约节约利用</w:t>
      </w:r>
      <w:r>
        <w:rPr>
          <w:rFonts w:hint="default" w:ascii="Times New Roman" w:hAnsi="Times New Roman" w:eastAsia="仿宋_GB2312" w:cs="Times New Roman"/>
          <w:color w:val="auto"/>
          <w:spacing w:val="0"/>
          <w:lang w:eastAsia="zh-CN"/>
        </w:rPr>
        <w:t>，盘活农村闲置和批而未供存量土地，挖掘农村居民点集约利用潜力，积极推进矿区土地复垦利用，集约节约土地资源</w:t>
      </w:r>
      <w:r>
        <w:rPr>
          <w:rFonts w:hint="default" w:ascii="Times New Roman" w:hAnsi="Times New Roman" w:eastAsia="仿宋_GB2312" w:cs="Times New Roman"/>
          <w:color w:val="auto"/>
          <w:spacing w:val="0"/>
        </w:rPr>
        <w:t>。</w:t>
      </w:r>
      <w:r>
        <w:rPr>
          <w:rFonts w:hint="eastAsia" w:eastAsia="仿宋_GB2312" w:cs="Times New Roman"/>
          <w:color w:val="auto"/>
          <w:spacing w:val="0"/>
          <w:lang w:val="en-US" w:eastAsia="zh-CN"/>
        </w:rPr>
        <w:t>实施全面节水行动，</w:t>
      </w:r>
      <w:r>
        <w:rPr>
          <w:rFonts w:hint="default" w:ascii="Times New Roman" w:hAnsi="Times New Roman" w:eastAsia="仿宋_GB2312" w:cs="Times New Roman"/>
          <w:color w:val="auto"/>
          <w:spacing w:val="0"/>
        </w:rPr>
        <w:t>严格实行取水许可制度，开展钢铁、造纸、农特产品加工及制糖等典型企业节水改造，加强农业节水灌溉工程建设，推进城乡污水再生利用设施建设。推动不同行业企业原料互供、资源共享，建立跨行业的循环经济产业链。</w:t>
      </w:r>
      <w:r>
        <w:rPr>
          <w:rFonts w:hint="default" w:ascii="Times New Roman" w:hAnsi="Times New Roman" w:eastAsia="仿宋_GB2312" w:cs="Times New Roman"/>
          <w:color w:val="auto"/>
          <w:spacing w:val="0"/>
          <w:lang w:eastAsia="zh-CN"/>
        </w:rPr>
        <w:t>实施工业节能增效项目，加快建筑节能改造和节约型公共机构建设，节约利用能源。</w:t>
      </w:r>
      <w:r>
        <w:rPr>
          <w:rFonts w:hint="default" w:ascii="Times New Roman" w:hAnsi="Times New Roman" w:eastAsia="仿宋_GB2312" w:cs="Times New Roman"/>
          <w:color w:val="auto"/>
          <w:spacing w:val="0"/>
        </w:rPr>
        <w:t>扩大废旧钢铁再利用规模，建立稀贵金属废旧物料、电子电器废弃物等回收交易体系。</w:t>
      </w:r>
      <w:r>
        <w:rPr>
          <w:rFonts w:hint="default" w:ascii="Times New Roman" w:hAnsi="Times New Roman" w:eastAsia="仿宋_GB2312" w:cs="Times New Roman"/>
          <w:color w:val="auto"/>
          <w:spacing w:val="0"/>
          <w:sz w:val="32"/>
          <w:szCs w:val="22"/>
        </w:rPr>
        <w:t>实施扬武镇固体废弃物再生利用、粪污资源化利用整县推进、秸秆资源化利用等工程。</w:t>
      </w:r>
      <w:r>
        <w:rPr>
          <w:rFonts w:hint="default" w:ascii="Times New Roman" w:hAnsi="Times New Roman" w:eastAsia="仿宋_GB2312" w:cs="Times New Roman"/>
          <w:color w:val="auto"/>
          <w:spacing w:val="0"/>
        </w:rPr>
        <w:t>到2025年，工业固体废物综合利用率达73%；规模化畜禽养殖场粪便综合利用率大于97%；秸秆综合利用率大于85%。</w:t>
      </w:r>
    </w:p>
    <w:p w14:paraId="268BC8D6">
      <w:pPr>
        <w:pStyle w:val="2"/>
        <w:keepNext w:val="0"/>
        <w:keepLines w:val="0"/>
        <w:pageBreakBefore w:val="0"/>
        <w:widowControl w:val="0"/>
        <w:kinsoku/>
        <w:wordWrap/>
        <w:overflowPunct/>
        <w:topLinePunct w:val="0"/>
        <w:autoSpaceDE/>
        <w:autoSpaceDN/>
        <w:bidi w:val="0"/>
        <w:adjustRightInd/>
        <w:snapToGrid/>
        <w:spacing w:after="0" w:line="560" w:lineRule="exact"/>
        <w:ind w:firstLine="687"/>
        <w:textAlignment w:val="auto"/>
        <w:rPr>
          <w:rFonts w:hint="default" w:ascii="Times New Roman" w:hAnsi="Times New Roman" w:eastAsia="仿宋_GB2312" w:cs="Times New Roman"/>
          <w:color w:val="auto"/>
          <w:spacing w:val="0"/>
        </w:rPr>
      </w:pPr>
      <w:r>
        <w:rPr>
          <w:rStyle w:val="33"/>
          <w:color w:val="auto"/>
        </w:rPr>
        <w:t>二、推动清洁生产</w:t>
      </w:r>
    </w:p>
    <w:p w14:paraId="5FAEE86A">
      <w:pPr>
        <w:pStyle w:val="2"/>
        <w:keepNext w:val="0"/>
        <w:keepLines w:val="0"/>
        <w:pageBreakBefore w:val="0"/>
        <w:widowControl w:val="0"/>
        <w:kinsoku/>
        <w:wordWrap/>
        <w:overflowPunct/>
        <w:topLinePunct w:val="0"/>
        <w:autoSpaceDE/>
        <w:autoSpaceDN/>
        <w:bidi w:val="0"/>
        <w:adjustRightInd/>
        <w:snapToGrid/>
        <w:spacing w:after="0" w:line="560" w:lineRule="exact"/>
        <w:ind w:firstLine="687"/>
        <w:textAlignment w:val="auto"/>
        <w:rPr>
          <w:rFonts w:hint="default" w:ascii="Times New Roman" w:hAnsi="Times New Roman" w:eastAsia="仿宋_GB2312" w:cs="Times New Roman"/>
          <w:color w:val="auto"/>
          <w:spacing w:val="0"/>
          <w:lang w:eastAsia="zh-CN"/>
        </w:rPr>
      </w:pPr>
      <w:r>
        <w:rPr>
          <w:rFonts w:hint="default" w:ascii="Times New Roman" w:hAnsi="Times New Roman" w:eastAsia="仿宋_GB2312" w:cs="Times New Roman"/>
          <w:color w:val="auto"/>
          <w:spacing w:val="0"/>
        </w:rPr>
        <w:t>完善能源消费总量和强度</w:t>
      </w:r>
      <w:r>
        <w:rPr>
          <w:rFonts w:hint="eastAsia" w:eastAsia="仿宋_GB2312" w:cs="Times New Roman"/>
          <w:color w:val="auto"/>
          <w:spacing w:val="0"/>
          <w:lang w:eastAsia="zh-CN"/>
        </w:rPr>
        <w:t>“</w:t>
      </w:r>
      <w:r>
        <w:rPr>
          <w:rFonts w:hint="default" w:ascii="Times New Roman" w:hAnsi="Times New Roman" w:eastAsia="仿宋_GB2312" w:cs="Times New Roman"/>
          <w:color w:val="auto"/>
          <w:spacing w:val="0"/>
        </w:rPr>
        <w:t>双控</w:t>
      </w:r>
      <w:r>
        <w:rPr>
          <w:rFonts w:hint="eastAsia" w:eastAsia="仿宋_GB2312" w:cs="Times New Roman"/>
          <w:color w:val="auto"/>
          <w:spacing w:val="0"/>
          <w:lang w:eastAsia="zh-CN"/>
        </w:rPr>
        <w:t>”</w:t>
      </w:r>
      <w:r>
        <w:rPr>
          <w:rFonts w:hint="default" w:ascii="Times New Roman" w:hAnsi="Times New Roman" w:eastAsia="仿宋_GB2312" w:cs="Times New Roman"/>
          <w:color w:val="auto"/>
          <w:spacing w:val="0"/>
        </w:rPr>
        <w:t>制度，加快重点领域节能减排，推进企业清洁生产、循环化改造。强化钢铁、水泥等高耗能行业管理，提升工业生产效率和能耗效率。推广智慧能源—节能技术与信息技术的深度融合，实现节能管理系统优化。积极发展节能环保产业、清洁能源产业。深入推进测土配方施肥和农作物病虫害统防统治与全程绿色防控，推进化肥、农药减量增效。</w:t>
      </w:r>
      <w:r>
        <w:rPr>
          <w:rFonts w:hint="default" w:ascii="Times New Roman" w:hAnsi="Times New Roman" w:eastAsia="仿宋_GB2312" w:cs="Times New Roman"/>
          <w:color w:val="auto"/>
          <w:spacing w:val="0"/>
          <w:lang w:eastAsia="zh-CN"/>
        </w:rPr>
        <w:t>实施绿色制造工程，加大技术改造力度，推动创建一批绿色示范工厂，申报绿色设计产品、绿色制造集成系统。</w:t>
      </w:r>
    </w:p>
    <w:p w14:paraId="69AE1F76">
      <w:pPr>
        <w:pStyle w:val="2"/>
        <w:keepNext w:val="0"/>
        <w:keepLines w:val="0"/>
        <w:pageBreakBefore w:val="0"/>
        <w:widowControl w:val="0"/>
        <w:kinsoku/>
        <w:wordWrap/>
        <w:overflowPunct/>
        <w:topLinePunct w:val="0"/>
        <w:autoSpaceDE/>
        <w:autoSpaceDN/>
        <w:bidi w:val="0"/>
        <w:adjustRightInd/>
        <w:snapToGrid/>
        <w:spacing w:after="0" w:line="560" w:lineRule="exact"/>
        <w:ind w:firstLine="687"/>
        <w:textAlignment w:val="auto"/>
        <w:rPr>
          <w:rFonts w:hint="default" w:ascii="Times New Roman" w:hAnsi="Times New Roman" w:eastAsia="仿宋_GB2312" w:cs="Times New Roman"/>
          <w:color w:val="auto"/>
          <w:spacing w:val="0"/>
        </w:rPr>
      </w:pPr>
      <w:r>
        <w:rPr>
          <w:rStyle w:val="33"/>
        </w:rPr>
        <w:t>三、推行绿色生活方式</w:t>
      </w:r>
    </w:p>
    <w:p w14:paraId="32DD8829">
      <w:pPr>
        <w:pStyle w:val="2"/>
        <w:keepNext w:val="0"/>
        <w:keepLines w:val="0"/>
        <w:pageBreakBefore w:val="0"/>
        <w:widowControl w:val="0"/>
        <w:kinsoku/>
        <w:wordWrap/>
        <w:overflowPunct/>
        <w:topLinePunct w:val="0"/>
        <w:autoSpaceDE/>
        <w:autoSpaceDN/>
        <w:bidi w:val="0"/>
        <w:adjustRightInd/>
        <w:snapToGrid/>
        <w:spacing w:after="0" w:line="560" w:lineRule="exact"/>
        <w:ind w:firstLine="687"/>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倡导简约适度、绿色低碳、生态环保的生活方式，促进绿色消费，反对奢侈浪费和不合理消费。鼓励并引导居民家庭更换使用节水型器具，推广高效照明产品，采购节能办公设备。限制商品过度包装，减少一次性用品使用。优先发展绿色公共交通，优化运输方式，推广新能源汽车，鼓励采用自行车、步行等低碳绿色方式出行。加强生态文明理念宣传，增强全民节约意识、环保意识、生态意识，培养生态道德和行为习惯。</w:t>
      </w:r>
    </w:p>
    <w:p w14:paraId="1CF593C4">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09" w:name="_Toc22354"/>
      <w:bookmarkStart w:id="110" w:name="_Toc23723"/>
      <w:r>
        <w:rPr>
          <w:rFonts w:hint="eastAsia" w:ascii="黑体" w:hAnsi="黑体" w:eastAsia="黑体" w:cs="黑体"/>
          <w:b/>
          <w:bCs w:val="0"/>
          <w:color w:val="auto"/>
          <w:spacing w:val="0"/>
          <w:szCs w:val="32"/>
        </w:rPr>
        <w:t xml:space="preserve">第五节  </w:t>
      </w:r>
      <w:r>
        <w:rPr>
          <w:rFonts w:hint="eastAsia" w:ascii="黑体" w:hAnsi="黑体" w:eastAsia="黑体" w:cs="黑体"/>
          <w:b/>
          <w:bCs w:val="0"/>
          <w:color w:val="auto"/>
          <w:spacing w:val="0"/>
          <w:szCs w:val="32"/>
          <w:lang w:eastAsia="zh-CN"/>
        </w:rPr>
        <w:t>践行“两山”理论</w:t>
      </w:r>
      <w:bookmarkEnd w:id="109"/>
      <w:bookmarkEnd w:id="110"/>
    </w:p>
    <w:p w14:paraId="31FC3223">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lang w:eastAsia="zh-CN"/>
        </w:rPr>
        <w:t>健全自然资产产权制度和管理体制，分类分批完成全县森林、水流、荒地、湿地自然资源调查，建成全县自然资源与地理空间基础数据库。</w:t>
      </w:r>
      <w:r>
        <w:rPr>
          <w:rFonts w:hint="default" w:ascii="Times New Roman" w:hAnsi="Times New Roman" w:eastAsia="仿宋_GB2312" w:cs="Times New Roman"/>
          <w:color w:val="auto"/>
          <w:spacing w:val="0"/>
        </w:rPr>
        <w:t>完善生态价值实现机制，严格实行生态环境损害赔偿制度，大幅提高违法成本。</w:t>
      </w:r>
      <w:r>
        <w:rPr>
          <w:rFonts w:hint="default" w:ascii="Times New Roman" w:hAnsi="Times New Roman" w:eastAsia="仿宋_GB2312" w:cs="Times New Roman"/>
          <w:color w:val="auto"/>
          <w:spacing w:val="0"/>
          <w:lang w:val="en-US" w:eastAsia="zh-CN"/>
        </w:rPr>
        <w:t>完善</w:t>
      </w:r>
      <w:r>
        <w:rPr>
          <w:rFonts w:hint="default" w:ascii="Times New Roman" w:hAnsi="Times New Roman" w:eastAsia="仿宋_GB2312" w:cs="Times New Roman"/>
          <w:color w:val="auto"/>
          <w:spacing w:val="0"/>
        </w:rPr>
        <w:t>多元化生态补偿机制，</w:t>
      </w:r>
      <w:r>
        <w:rPr>
          <w:rFonts w:hint="default" w:ascii="Times New Roman" w:hAnsi="Times New Roman" w:eastAsia="仿宋_GB2312" w:cs="Times New Roman"/>
          <w:color w:val="auto"/>
          <w:spacing w:val="0"/>
          <w:lang w:eastAsia="zh-CN"/>
        </w:rPr>
        <w:t>建立生态效益评估机制，</w:t>
      </w:r>
      <w:r>
        <w:rPr>
          <w:rFonts w:hint="default" w:ascii="Times New Roman" w:hAnsi="Times New Roman" w:eastAsia="仿宋_GB2312" w:cs="Times New Roman"/>
          <w:color w:val="auto"/>
          <w:spacing w:val="0"/>
          <w:sz w:val="32"/>
          <w:szCs w:val="32"/>
          <w:u w:val="none"/>
        </w:rPr>
        <w:t>开展以红河水系、具有重要生态功能的中型水库以及集中式饮用水水源地为重点的生态保护补偿研究。</w:t>
      </w:r>
      <w:r>
        <w:rPr>
          <w:rFonts w:hint="default" w:ascii="Times New Roman" w:hAnsi="Times New Roman" w:eastAsia="仿宋_GB2312" w:cs="Times New Roman"/>
          <w:color w:val="auto"/>
          <w:spacing w:val="0"/>
          <w:sz w:val="32"/>
          <w:szCs w:val="32"/>
          <w:u w:val="none"/>
          <w:lang w:eastAsia="zh-CN"/>
        </w:rPr>
        <w:t>完善排污权有偿使用和交易制度，适时在钢铁等行业开展排污权有偿使用和交易。</w:t>
      </w:r>
      <w:r>
        <w:rPr>
          <w:rFonts w:hint="default" w:ascii="Times New Roman" w:hAnsi="Times New Roman" w:eastAsia="仿宋_GB2312" w:cs="Times New Roman"/>
          <w:color w:val="auto"/>
          <w:spacing w:val="0"/>
        </w:rPr>
        <w:t>建立绿色金融体系，鼓励金融机构加大绿色信贷的发放力度，不断增加绿色金融服务供给。提升资源能源利用效率，培育绿色发展新动能，深化钢铁企业产能置换技术升级改造，发展低碳导向型工业，加快能源供给侧风能、太阳能、天然气等清洁能源产业化发展。围绕打造</w:t>
      </w:r>
      <w:r>
        <w:rPr>
          <w:rFonts w:hint="eastAsia" w:eastAsia="仿宋_GB2312" w:cs="Times New Roman"/>
          <w:color w:val="auto"/>
          <w:spacing w:val="0"/>
          <w:lang w:eastAsia="zh-CN"/>
        </w:rPr>
        <w:t>“</w:t>
      </w:r>
      <w:r>
        <w:rPr>
          <w:rFonts w:hint="default" w:ascii="Times New Roman" w:hAnsi="Times New Roman" w:eastAsia="仿宋_GB2312" w:cs="Times New Roman"/>
          <w:color w:val="auto"/>
          <w:spacing w:val="0"/>
        </w:rPr>
        <w:t>绿色食品牌</w:t>
      </w:r>
      <w:r>
        <w:rPr>
          <w:rFonts w:hint="eastAsia" w:eastAsia="仿宋_GB2312" w:cs="Times New Roman"/>
          <w:color w:val="auto"/>
          <w:spacing w:val="0"/>
          <w:lang w:eastAsia="zh-CN"/>
        </w:rPr>
        <w:t>”</w:t>
      </w:r>
      <w:r>
        <w:rPr>
          <w:rFonts w:hint="default" w:ascii="Times New Roman" w:hAnsi="Times New Roman" w:eastAsia="仿宋_GB2312" w:cs="Times New Roman"/>
          <w:color w:val="auto"/>
          <w:spacing w:val="0"/>
        </w:rPr>
        <w:t>目标，推进烟、果、药、畜等高原特色优势产业转型升级，做强</w:t>
      </w:r>
      <w:r>
        <w:rPr>
          <w:rFonts w:hint="eastAsia" w:eastAsia="仿宋_GB2312" w:cs="Times New Roman"/>
          <w:color w:val="auto"/>
          <w:spacing w:val="0"/>
          <w:lang w:eastAsia="zh-CN"/>
        </w:rPr>
        <w:t>“</w:t>
      </w:r>
      <w:r>
        <w:rPr>
          <w:rFonts w:hint="default" w:ascii="Times New Roman" w:hAnsi="Times New Roman" w:eastAsia="仿宋_GB2312" w:cs="Times New Roman"/>
          <w:color w:val="auto"/>
          <w:spacing w:val="0"/>
        </w:rPr>
        <w:t>褚橙</w:t>
      </w:r>
      <w:r>
        <w:rPr>
          <w:rFonts w:hint="eastAsia" w:eastAsia="仿宋_GB2312" w:cs="Times New Roman"/>
          <w:color w:val="auto"/>
          <w:spacing w:val="0"/>
          <w:lang w:eastAsia="zh-CN"/>
        </w:rPr>
        <w:t>”</w:t>
      </w:r>
      <w:r>
        <w:rPr>
          <w:rFonts w:hint="default" w:ascii="Times New Roman" w:hAnsi="Times New Roman" w:eastAsia="仿宋_GB2312" w:cs="Times New Roman"/>
          <w:color w:val="auto"/>
          <w:spacing w:val="0"/>
        </w:rPr>
        <w:t>等农产品，推动生态农业发展。依托花腰傣特色民族文化等，积极培育文化旅游品牌。</w:t>
      </w:r>
    </w:p>
    <w:p w14:paraId="30778C7F">
      <w:pPr>
        <w:pageBreakBefore w:val="0"/>
        <w:widowControl w:val="0"/>
        <w:kinsoku/>
        <w:wordWrap/>
        <w:overflowPunct/>
        <w:topLinePunct w:val="0"/>
        <w:autoSpaceDN/>
        <w:bidi w:val="0"/>
        <w:rPr>
          <w:rFonts w:hint="default"/>
          <w:color w:val="auto"/>
          <w:spacing w:val="0"/>
        </w:rPr>
      </w:pPr>
      <w:r>
        <w:rPr>
          <w:rFonts w:hint="default"/>
          <w:color w:val="auto"/>
          <w:spacing w:val="0"/>
        </w:rPr>
        <w:br w:type="page"/>
      </w:r>
    </w:p>
    <w:p w14:paraId="298E9E11">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bCs w:val="0"/>
          <w:color w:val="auto"/>
          <w:spacing w:val="0"/>
          <w:kern w:val="2"/>
          <w:sz w:val="36"/>
          <w:szCs w:val="36"/>
          <w:lang w:val="en-US" w:eastAsia="zh-CN"/>
        </w:rPr>
      </w:pPr>
      <w:bookmarkStart w:id="111" w:name="_Toc31793"/>
      <w:bookmarkStart w:id="112" w:name="_Toc15796"/>
      <w:r>
        <w:rPr>
          <w:rFonts w:hint="eastAsia" w:ascii="方正小标宋_GBK" w:hAnsi="方正小标宋_GBK" w:eastAsia="方正小标宋_GBK" w:cs="方正小标宋_GBK"/>
          <w:bCs w:val="0"/>
          <w:color w:val="auto"/>
          <w:spacing w:val="0"/>
          <w:kern w:val="2"/>
          <w:sz w:val="36"/>
          <w:szCs w:val="36"/>
          <w:lang w:val="en-US" w:eastAsia="zh-CN"/>
        </w:rPr>
        <w:t>第九章  坚持创新驱动，激发经济发展新动能</w:t>
      </w:r>
      <w:bookmarkEnd w:id="111"/>
      <w:bookmarkEnd w:id="112"/>
    </w:p>
    <w:p w14:paraId="2A4376C6">
      <w:pPr>
        <w:keepNext w:val="0"/>
        <w:keepLines w:val="0"/>
        <w:pageBreakBefore w:val="0"/>
        <w:widowControl w:val="0"/>
        <w:numPr>
          <w:ilvl w:val="-1"/>
          <w:numId w:val="0"/>
        </w:numPr>
        <w:kinsoku/>
        <w:wordWrap/>
        <w:overflowPunct/>
        <w:topLinePunct w:val="0"/>
        <w:autoSpaceDE/>
        <w:autoSpaceDN/>
        <w:bidi w:val="0"/>
        <w:spacing w:after="100" w:afterLines="-2147483648" w:afterAutospacing="1" w:line="560" w:lineRule="exact"/>
        <w:ind w:left="0" w:leftChars="0" w:right="0" w:rightChars="0" w:firstLine="640" w:firstLineChars="200"/>
        <w:textAlignment w:val="auto"/>
        <w:outlineLvl w:val="9"/>
        <w:rPr>
          <w:rFonts w:hint="default"/>
          <w:color w:val="auto"/>
          <w:spacing w:val="0"/>
          <w:szCs w:val="24"/>
        </w:rPr>
      </w:pPr>
      <w:r>
        <w:rPr>
          <w:rFonts w:hint="default" w:ascii="Times New Roman" w:hAnsi="Times New Roman" w:eastAsia="仿宋_GB2312" w:cs="Times New Roman"/>
          <w:color w:val="auto"/>
          <w:spacing w:val="0"/>
          <w:szCs w:val="24"/>
          <w:lang w:eastAsia="zh-CN"/>
        </w:rPr>
        <w:t>把提高自主创新能力作为调整经济结构、转变经济增长方式</w:t>
      </w:r>
      <w:r>
        <w:rPr>
          <w:rFonts w:hint="eastAsia" w:eastAsia="仿宋_GB2312" w:cs="Times New Roman"/>
          <w:color w:val="auto"/>
          <w:spacing w:val="0"/>
          <w:szCs w:val="24"/>
          <w:lang w:val="en-US" w:eastAsia="zh-CN"/>
        </w:rPr>
        <w:t>和增强</w:t>
      </w:r>
      <w:r>
        <w:rPr>
          <w:rFonts w:hint="default" w:ascii="Times New Roman" w:hAnsi="Times New Roman" w:eastAsia="仿宋_GB2312" w:cs="Times New Roman"/>
          <w:color w:val="auto"/>
          <w:spacing w:val="0"/>
          <w:szCs w:val="24"/>
          <w:lang w:eastAsia="zh-CN"/>
        </w:rPr>
        <w:t>产业核心竞争力的中心环节，吸引科创资源聚集整合，激励科创资源流动转化，加快建成科教创新示范区。</w:t>
      </w:r>
    </w:p>
    <w:p w14:paraId="25F4663C">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13" w:name="_Toc21994"/>
      <w:bookmarkStart w:id="114" w:name="_Toc14973"/>
      <w:r>
        <w:rPr>
          <w:rFonts w:hint="eastAsia" w:ascii="黑体" w:hAnsi="黑体" w:eastAsia="黑体" w:cs="黑体"/>
          <w:b/>
          <w:bCs w:val="0"/>
          <w:color w:val="auto"/>
          <w:spacing w:val="0"/>
          <w:szCs w:val="32"/>
          <w:lang w:eastAsia="zh-CN"/>
        </w:rPr>
        <w:t>第一节</w:t>
      </w:r>
      <w:r>
        <w:rPr>
          <w:rFonts w:hint="eastAsia" w:ascii="黑体" w:hAnsi="黑体" w:eastAsia="黑体" w:cs="黑体"/>
          <w:b/>
          <w:bCs w:val="0"/>
          <w:color w:val="auto"/>
          <w:spacing w:val="0"/>
          <w:szCs w:val="32"/>
          <w:lang w:val="en-US" w:eastAsia="zh-CN"/>
        </w:rPr>
        <w:t xml:space="preserve">  </w:t>
      </w:r>
      <w:r>
        <w:rPr>
          <w:rFonts w:hint="eastAsia" w:ascii="黑体" w:hAnsi="黑体" w:eastAsia="黑体" w:cs="黑体"/>
          <w:b/>
          <w:bCs w:val="0"/>
          <w:color w:val="auto"/>
          <w:spacing w:val="0"/>
          <w:szCs w:val="32"/>
        </w:rPr>
        <w:t>加强创新创业平台建设</w:t>
      </w:r>
      <w:bookmarkEnd w:id="113"/>
      <w:bookmarkEnd w:id="114"/>
    </w:p>
    <w:p w14:paraId="3A85039A">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Style w:val="33"/>
          <w:rFonts w:hint="default" w:eastAsia="方正仿宋_GBK"/>
        </w:rPr>
      </w:pPr>
      <w:r>
        <w:rPr>
          <w:rFonts w:hint="default" w:ascii="Times New Roman" w:hAnsi="Times New Roman" w:cs="Times New Roman"/>
          <w:spacing w:val="0"/>
          <w:highlight w:val="none"/>
        </w:rPr>
        <w:t>集聚创新资源，加快布局创新基础设施</w:t>
      </w:r>
      <w:r>
        <w:rPr>
          <w:rFonts w:hint="eastAsia" w:ascii="Times New Roman" w:hAnsi="Times New Roman" w:cs="Times New Roman"/>
          <w:spacing w:val="0"/>
          <w:highlight w:val="none"/>
          <w:lang w:eastAsia="zh-CN"/>
        </w:rPr>
        <w:t>，</w:t>
      </w:r>
      <w:r>
        <w:rPr>
          <w:rFonts w:hint="eastAsia" w:ascii="Times New Roman" w:hAnsi="Times New Roman" w:cs="Times New Roman"/>
          <w:spacing w:val="0"/>
          <w:highlight w:val="none"/>
          <w:lang w:val="en-US" w:eastAsia="zh-CN"/>
        </w:rPr>
        <w:t>强化创新创业平台载体建设，</w:t>
      </w:r>
      <w:r>
        <w:rPr>
          <w:rFonts w:hint="eastAsia" w:ascii="Times New Roman" w:hAnsi="Times New Roman" w:cs="Times New Roman"/>
          <w:spacing w:val="0"/>
          <w:highlight w:val="none"/>
        </w:rPr>
        <w:t>提高创新整体效能。</w:t>
      </w:r>
    </w:p>
    <w:p w14:paraId="64329073">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b/>
          <w:bCs/>
          <w:color w:val="auto"/>
          <w:spacing w:val="0"/>
        </w:rPr>
      </w:pPr>
      <w:r>
        <w:rPr>
          <w:rStyle w:val="33"/>
        </w:rPr>
        <w:t>一、加快布局创新基础设施</w:t>
      </w:r>
    </w:p>
    <w:p w14:paraId="3CB7190A">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color w:val="auto"/>
          <w:spacing w:val="0"/>
          <w:szCs w:val="24"/>
        </w:rPr>
        <w:t>推动建设现代农业产业园、彝族民族文化产业园、依施河热谷生态农业示范区等创新型特色园区。加强对接中国科学院昆明植物研究所、云南农业大学等院所和高校，建立新平特色产业研究院，持续建设与产业特色相适应的技术研究中心、重点产业实验室等研发平台。实施国家核心糖料蔗基地建设项目，建成具备区域影响力的糖产业技术研发基地。加快建设新平县现代科技服务平台，积极培育发展第三方科技创新专业服务平台。</w:t>
      </w:r>
    </w:p>
    <w:p w14:paraId="74717E77">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b/>
          <w:bCs/>
          <w:color w:val="auto"/>
          <w:spacing w:val="0"/>
        </w:rPr>
      </w:pPr>
      <w:r>
        <w:rPr>
          <w:rStyle w:val="33"/>
        </w:rPr>
        <w:t>二、加快建设双创平台</w:t>
      </w:r>
    </w:p>
    <w:p w14:paraId="003BBDE8">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color w:val="auto"/>
          <w:spacing w:val="0"/>
          <w:szCs w:val="32"/>
        </w:rPr>
      </w:pPr>
      <w:r>
        <w:rPr>
          <w:rFonts w:hint="default" w:ascii="Times New Roman" w:hAnsi="Times New Roman" w:eastAsia="仿宋_GB2312" w:cs="Times New Roman"/>
          <w:color w:val="auto"/>
          <w:spacing w:val="0"/>
          <w:szCs w:val="32"/>
        </w:rPr>
        <w:t>实施</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双创新平</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计划，</w:t>
      </w:r>
      <w:r>
        <w:rPr>
          <w:rFonts w:hint="default" w:ascii="Times New Roman" w:hAnsi="Times New Roman" w:eastAsia="仿宋_GB2312" w:cs="Times New Roman"/>
          <w:color w:val="auto"/>
          <w:spacing w:val="0"/>
          <w:szCs w:val="22"/>
          <w:lang w:bidi="zh-CN"/>
        </w:rPr>
        <w:t>推进建设大众创业万众创新产业园、智慧商业孵化中心、民族科技馆、农民工返乡创业实训基地等创新创业载体，加速建设创业咖啡、创业工厂、少数民族创客空间、科技媒体等低成本、便利化、全要素、开放式的</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众创空间</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，创建一批</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双创</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示范基地。鼓励发展虚拟创新创业社区。完善</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创业苗圃+孵化器+加速器+产业园</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的创新创业孵化体系，</w:t>
      </w:r>
      <w:r>
        <w:rPr>
          <w:rFonts w:hint="default" w:ascii="Times New Roman" w:hAnsi="Times New Roman" w:eastAsia="仿宋_GB2312" w:cs="Times New Roman"/>
          <w:color w:val="auto"/>
          <w:spacing w:val="0"/>
          <w:szCs w:val="22"/>
        </w:rPr>
        <w:t>建设绿色</w:t>
      </w:r>
      <w:r>
        <w:rPr>
          <w:rFonts w:hint="default" w:ascii="Times New Roman" w:hAnsi="Times New Roman" w:eastAsia="仿宋_GB2312" w:cs="Times New Roman"/>
          <w:color w:val="auto"/>
          <w:spacing w:val="0"/>
          <w:szCs w:val="22"/>
          <w:highlight w:val="none"/>
        </w:rPr>
        <w:t>矿</w:t>
      </w:r>
      <w:r>
        <w:rPr>
          <w:rFonts w:hint="default" w:ascii="Times New Roman" w:hAnsi="Times New Roman" w:eastAsia="方正仿宋_GBK" w:cs="Times New Roman"/>
          <w:color w:val="auto"/>
          <w:spacing w:val="0"/>
          <w:szCs w:val="22"/>
          <w:highlight w:val="none"/>
        </w:rPr>
        <w:t>冶</w:t>
      </w:r>
      <w:r>
        <w:rPr>
          <w:rFonts w:hint="default" w:ascii="Times New Roman" w:hAnsi="Times New Roman" w:eastAsia="方正仿宋_GBK" w:cs="Times New Roman"/>
          <w:color w:val="auto"/>
          <w:spacing w:val="0"/>
          <w:szCs w:val="22"/>
        </w:rPr>
        <w:t>、现代农业、生物资源等优势产业孵化器和加速器。</w:t>
      </w:r>
    </w:p>
    <w:p w14:paraId="080E4A25">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15" w:name="_Toc21038"/>
      <w:bookmarkStart w:id="116" w:name="_Toc20454"/>
      <w:r>
        <w:rPr>
          <w:rFonts w:hint="eastAsia" w:ascii="黑体" w:hAnsi="黑体" w:eastAsia="黑体" w:cs="黑体"/>
          <w:b/>
          <w:bCs w:val="0"/>
          <w:color w:val="auto"/>
          <w:spacing w:val="0"/>
          <w:szCs w:val="32"/>
          <w:lang w:eastAsia="zh-CN"/>
        </w:rPr>
        <w:t>第二节</w:t>
      </w:r>
      <w:r>
        <w:rPr>
          <w:rFonts w:hint="eastAsia" w:ascii="黑体" w:hAnsi="黑体" w:eastAsia="黑体" w:cs="黑体"/>
          <w:b/>
          <w:bCs w:val="0"/>
          <w:color w:val="auto"/>
          <w:spacing w:val="0"/>
          <w:szCs w:val="32"/>
          <w:lang w:val="en-US" w:eastAsia="zh-CN"/>
        </w:rPr>
        <w:t xml:space="preserve">  </w:t>
      </w:r>
      <w:r>
        <w:rPr>
          <w:rFonts w:hint="eastAsia" w:ascii="黑体" w:hAnsi="黑体" w:eastAsia="黑体" w:cs="黑体"/>
          <w:b/>
          <w:bCs w:val="0"/>
          <w:color w:val="auto"/>
          <w:spacing w:val="0"/>
          <w:szCs w:val="32"/>
        </w:rPr>
        <w:t>提升企业自主创新能力</w:t>
      </w:r>
      <w:bookmarkEnd w:id="115"/>
      <w:bookmarkEnd w:id="116"/>
    </w:p>
    <w:p w14:paraId="69A43A0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7" w:firstLineChars="0"/>
        <w:textAlignment w:val="auto"/>
        <w:rPr>
          <w:rFonts w:hint="eastAsia" w:ascii="Times New Roman" w:hAnsi="Times New Roman" w:cs="Times New Roman"/>
          <w:spacing w:val="0"/>
          <w:highlight w:val="none"/>
        </w:rPr>
      </w:pPr>
      <w:r>
        <w:rPr>
          <w:rFonts w:ascii="Times New Roman" w:hAnsi="Times New Roman" w:cs="Times New Roman"/>
          <w:spacing w:val="0"/>
          <w:highlight w:val="none"/>
        </w:rPr>
        <w:t>加强创新主体培育</w:t>
      </w:r>
      <w:r>
        <w:rPr>
          <w:rFonts w:hint="eastAsia" w:cs="Times New Roman"/>
          <w:spacing w:val="0"/>
          <w:highlight w:val="none"/>
          <w:lang w:eastAsia="zh-CN"/>
        </w:rPr>
        <w:t>，</w:t>
      </w:r>
      <w:r>
        <w:rPr>
          <w:rFonts w:hint="eastAsia" w:ascii="Times New Roman" w:hAnsi="Times New Roman" w:cs="Times New Roman"/>
          <w:spacing w:val="0"/>
          <w:highlight w:val="none"/>
        </w:rPr>
        <w:t>建立企业为主体、市场为导向、产学研结合的技术创新体系</w:t>
      </w:r>
      <w:r>
        <w:rPr>
          <w:rFonts w:hint="eastAsia" w:ascii="Times New Roman" w:hAnsi="Times New Roman" w:cs="Times New Roman"/>
          <w:spacing w:val="0"/>
          <w:highlight w:val="none"/>
          <w:lang w:eastAsia="zh-CN"/>
        </w:rPr>
        <w:t>，</w:t>
      </w:r>
      <w:r>
        <w:rPr>
          <w:rFonts w:ascii="Times New Roman" w:hAnsi="Times New Roman" w:cs="Times New Roman"/>
          <w:spacing w:val="0"/>
          <w:highlight w:val="none"/>
        </w:rPr>
        <w:t>激发和增强创新发展活力</w:t>
      </w:r>
      <w:r>
        <w:rPr>
          <w:rFonts w:hint="eastAsia" w:ascii="Times New Roman" w:hAnsi="Times New Roman" w:cs="Times New Roman"/>
          <w:spacing w:val="0"/>
          <w:highlight w:val="none"/>
          <w:lang w:eastAsia="zh-CN"/>
        </w:rPr>
        <w:t>。</w:t>
      </w:r>
    </w:p>
    <w:p w14:paraId="5E057CB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textAlignment w:val="auto"/>
        <w:rPr>
          <w:rFonts w:hint="default" w:ascii="Times New Roman" w:hAnsi="Times New Roman" w:eastAsia="仿宋_GB2312" w:cs="Times New Roman"/>
          <w:b/>
          <w:bCs/>
          <w:color w:val="auto"/>
          <w:spacing w:val="0"/>
        </w:rPr>
      </w:pPr>
      <w:r>
        <w:rPr>
          <w:rStyle w:val="33"/>
        </w:rPr>
        <w:t>一、加大创新型企业培育</w:t>
      </w:r>
    </w:p>
    <w:p w14:paraId="7853084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color w:val="auto"/>
          <w:spacing w:val="0"/>
          <w:sz w:val="32"/>
          <w:szCs w:val="32"/>
          <w:u w:val="none"/>
        </w:rPr>
        <w:t>强化企业创新主体地位，充分发</w:t>
      </w:r>
      <w:r>
        <w:rPr>
          <w:rFonts w:hint="default" w:ascii="Times New Roman" w:hAnsi="Times New Roman" w:eastAsia="仿宋_GB2312" w:cs="Times New Roman"/>
          <w:color w:val="auto"/>
          <w:spacing w:val="0"/>
          <w:szCs w:val="24"/>
          <w:lang w:val="en-US" w:eastAsia="zh-CN"/>
        </w:rPr>
        <w:t>挥企业在技术创新中的主体地位，鼓励企业建立健全创新发展机制，不断激发企业发展活力。抓好科技型企业培育，支持企业自主研发，保障科技经费投入到位，加大研发与试验发展经费投入强度，提高科技成果转化率。持续开展高新技术企业培育专项行动和小微企业成长行动计划，加大对本土成长性好、发展潜力大的中小型高新企业扶持力度，形成合理的企业梯队结构。支持企业承担或参与绿色</w:t>
      </w:r>
      <w:r>
        <w:rPr>
          <w:rFonts w:hint="default" w:ascii="Times New Roman" w:hAnsi="Times New Roman" w:eastAsia="仿宋_GB2312" w:cs="Times New Roman"/>
          <w:color w:val="auto"/>
          <w:spacing w:val="0"/>
          <w:szCs w:val="24"/>
          <w:highlight w:val="none"/>
          <w:lang w:val="en-US" w:eastAsia="zh-CN"/>
        </w:rPr>
        <w:t>矿冶</w:t>
      </w:r>
      <w:r>
        <w:rPr>
          <w:rFonts w:hint="default" w:ascii="Times New Roman" w:hAnsi="Times New Roman" w:eastAsia="仿宋_GB2312" w:cs="Times New Roman"/>
          <w:color w:val="auto"/>
          <w:spacing w:val="0"/>
          <w:szCs w:val="24"/>
          <w:lang w:val="en-US" w:eastAsia="zh-CN"/>
        </w:rPr>
        <w:t>、生物资源加工等省级重大专项、重大科技攻关等任务。鼓励仙福集团、红山球团、褚氏农业等龙头企业加大研发和技改投入，创建一批企业研究院、企业技术中心、重点省级实验室等研发平台。到2025年，新增高新技术企业7个。</w:t>
      </w:r>
    </w:p>
    <w:p w14:paraId="263184E9">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b/>
          <w:bCs/>
          <w:color w:val="auto"/>
          <w:spacing w:val="0"/>
        </w:rPr>
      </w:pPr>
      <w:r>
        <w:rPr>
          <w:rStyle w:val="33"/>
        </w:rPr>
        <w:t>二、深化产学研协调创新</w:t>
      </w:r>
    </w:p>
    <w:p w14:paraId="5A221EA5">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color w:val="auto"/>
          <w:spacing w:val="0"/>
          <w:szCs w:val="22"/>
        </w:rPr>
        <w:t>加快建设绿色矿业、现代农业、生物资源等重点产业公共创新服务平台，强化中小微企业共性技术攻关。围绕铜铁、柑橘等重点领域，构建以企业为主体，与</w:t>
      </w:r>
      <w:r>
        <w:rPr>
          <w:rFonts w:hint="default" w:ascii="Times New Roman" w:hAnsi="Times New Roman" w:eastAsia="仿宋_GB2312" w:cs="Times New Roman"/>
          <w:color w:val="auto"/>
          <w:spacing w:val="0"/>
          <w:sz w:val="32"/>
          <w:szCs w:val="32"/>
          <w:u w:val="none"/>
        </w:rPr>
        <w:t>中国</w:t>
      </w:r>
      <w:r>
        <w:rPr>
          <w:rFonts w:hint="default" w:ascii="Times New Roman" w:hAnsi="Times New Roman" w:eastAsia="仿宋_GB2312" w:cs="Times New Roman"/>
          <w:color w:val="auto"/>
          <w:spacing w:val="0"/>
          <w:sz w:val="32"/>
          <w:szCs w:val="32"/>
          <w:u w:val="none"/>
          <w:lang w:val="en-US" w:eastAsia="zh-CN"/>
        </w:rPr>
        <w:t>农业</w:t>
      </w:r>
      <w:r>
        <w:rPr>
          <w:rFonts w:hint="default" w:ascii="Times New Roman" w:hAnsi="Times New Roman" w:eastAsia="仿宋_GB2312" w:cs="Times New Roman"/>
          <w:color w:val="auto"/>
          <w:spacing w:val="0"/>
          <w:sz w:val="32"/>
          <w:szCs w:val="32"/>
          <w:u w:val="none"/>
        </w:rPr>
        <w:t>科学院</w:t>
      </w:r>
      <w:r>
        <w:rPr>
          <w:rFonts w:hint="default" w:ascii="Times New Roman" w:hAnsi="Times New Roman" w:eastAsia="仿宋_GB2312" w:cs="Times New Roman"/>
          <w:color w:val="auto"/>
          <w:spacing w:val="0"/>
          <w:sz w:val="32"/>
          <w:szCs w:val="32"/>
          <w:u w:val="none"/>
          <w:lang w:val="en-US" w:eastAsia="zh-CN"/>
        </w:rPr>
        <w:t>柑桔</w:t>
      </w:r>
      <w:r>
        <w:rPr>
          <w:rFonts w:hint="default" w:ascii="Times New Roman" w:hAnsi="Times New Roman" w:eastAsia="仿宋_GB2312" w:cs="Times New Roman"/>
          <w:color w:val="auto"/>
          <w:spacing w:val="0"/>
          <w:sz w:val="32"/>
          <w:szCs w:val="32"/>
          <w:u w:val="none"/>
        </w:rPr>
        <w:t>研究所、</w:t>
      </w:r>
      <w:r>
        <w:rPr>
          <w:rFonts w:hint="default" w:ascii="Times New Roman" w:hAnsi="Times New Roman" w:eastAsia="仿宋_GB2312" w:cs="Times New Roman"/>
          <w:color w:val="auto"/>
          <w:spacing w:val="0"/>
          <w:szCs w:val="22"/>
        </w:rPr>
        <w:t>中国科学院昆明植物研究所、</w:t>
      </w:r>
      <w:r>
        <w:rPr>
          <w:rFonts w:hint="default" w:ascii="Times New Roman" w:hAnsi="Times New Roman" w:eastAsia="仿宋_GB2312" w:cs="Times New Roman"/>
          <w:color w:val="auto"/>
          <w:spacing w:val="0"/>
          <w:sz w:val="32"/>
          <w:szCs w:val="32"/>
          <w:u w:val="none"/>
        </w:rPr>
        <w:t>昆明理工大学、</w:t>
      </w:r>
      <w:r>
        <w:rPr>
          <w:rFonts w:hint="default" w:ascii="Times New Roman" w:hAnsi="Times New Roman" w:eastAsia="仿宋_GB2312" w:cs="Times New Roman"/>
          <w:color w:val="auto"/>
          <w:spacing w:val="0"/>
          <w:sz w:val="32"/>
          <w:szCs w:val="32"/>
          <w:u w:val="none"/>
          <w:lang w:eastAsia="zh-CN"/>
        </w:rPr>
        <w:t>华中农业大学、</w:t>
      </w:r>
      <w:r>
        <w:rPr>
          <w:rFonts w:hint="default" w:ascii="Times New Roman" w:hAnsi="Times New Roman" w:eastAsia="仿宋_GB2312" w:cs="Times New Roman"/>
          <w:color w:val="auto"/>
          <w:spacing w:val="0"/>
          <w:szCs w:val="22"/>
        </w:rPr>
        <w:t>云南农业大学等院所和高校联合开发、利益共享、风险共担的科技成果转化基地、产学研用合作平台和技术创新联盟，开展产业关键技术突破和新产品研发。</w:t>
      </w:r>
    </w:p>
    <w:p w14:paraId="05CC2902">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eastAsia="zh-CN"/>
        </w:rPr>
      </w:pPr>
      <w:bookmarkStart w:id="117" w:name="_Toc22983"/>
      <w:bookmarkStart w:id="118" w:name="_Toc27152"/>
      <w:r>
        <w:rPr>
          <w:rFonts w:hint="eastAsia" w:ascii="黑体" w:hAnsi="黑体" w:eastAsia="黑体" w:cs="黑体"/>
          <w:b/>
          <w:bCs w:val="0"/>
          <w:color w:val="auto"/>
          <w:spacing w:val="0"/>
          <w:szCs w:val="32"/>
          <w:lang w:eastAsia="zh-CN"/>
        </w:rPr>
        <w:t>第三节</w:t>
      </w:r>
      <w:r>
        <w:rPr>
          <w:rFonts w:hint="eastAsia" w:ascii="黑体" w:hAnsi="黑体" w:eastAsia="黑体" w:cs="黑体"/>
          <w:b/>
          <w:bCs w:val="0"/>
          <w:color w:val="auto"/>
          <w:spacing w:val="0"/>
          <w:szCs w:val="32"/>
          <w:lang w:val="en-US" w:eastAsia="zh-CN"/>
        </w:rPr>
        <w:t xml:space="preserve">  </w:t>
      </w:r>
      <w:r>
        <w:rPr>
          <w:rFonts w:hint="eastAsia" w:ascii="黑体" w:hAnsi="黑体" w:eastAsia="黑体" w:cs="黑体"/>
          <w:b/>
          <w:bCs w:val="0"/>
          <w:color w:val="auto"/>
          <w:spacing w:val="0"/>
          <w:szCs w:val="32"/>
          <w:lang w:eastAsia="zh-CN"/>
        </w:rPr>
        <w:t>推进科技创新成果转化</w:t>
      </w:r>
      <w:bookmarkEnd w:id="117"/>
      <w:bookmarkEnd w:id="118"/>
    </w:p>
    <w:p w14:paraId="6B9CD6FE">
      <w:pPr>
        <w:spacing w:line="560" w:lineRule="exact"/>
        <w:ind w:left="0" w:right="0" w:firstLine="687" w:firstLineChars="0"/>
        <w:rPr>
          <w:rFonts w:ascii="Times New Roman" w:hAnsi="Times New Roman" w:cs="Times New Roman"/>
          <w:spacing w:val="0"/>
          <w:highlight w:val="none"/>
        </w:rPr>
      </w:pPr>
      <w:r>
        <w:rPr>
          <w:rFonts w:ascii="Times New Roman" w:hAnsi="Times New Roman" w:cs="Times New Roman"/>
          <w:spacing w:val="0"/>
          <w:highlight w:val="none"/>
        </w:rPr>
        <w:t>推进科技成果转移转化，</w:t>
      </w:r>
      <w:r>
        <w:rPr>
          <w:rFonts w:hint="eastAsia" w:ascii="Times New Roman" w:hAnsi="Times New Roman" w:cs="Times New Roman"/>
          <w:spacing w:val="0"/>
          <w:highlight w:val="none"/>
        </w:rPr>
        <w:t>突破关键核心技术</w:t>
      </w:r>
      <w:r>
        <w:rPr>
          <w:rFonts w:hint="eastAsia" w:ascii="Times New Roman" w:hAnsi="Times New Roman" w:cs="Times New Roman"/>
          <w:spacing w:val="0"/>
          <w:highlight w:val="none"/>
          <w:lang w:eastAsia="zh-CN"/>
        </w:rPr>
        <w:t>，</w:t>
      </w:r>
      <w:r>
        <w:rPr>
          <w:rFonts w:hint="eastAsia" w:ascii="Times New Roman" w:hAnsi="Times New Roman" w:cs="Times New Roman"/>
          <w:spacing w:val="0"/>
          <w:highlight w:val="none"/>
        </w:rPr>
        <w:t>以科技创新催生新发展动能</w:t>
      </w:r>
      <w:r>
        <w:rPr>
          <w:rFonts w:hint="eastAsia" w:ascii="Times New Roman" w:hAnsi="Times New Roman" w:cs="Times New Roman"/>
          <w:spacing w:val="0"/>
          <w:highlight w:val="none"/>
          <w:lang w:eastAsia="zh-CN"/>
        </w:rPr>
        <w:t>，</w:t>
      </w:r>
      <w:r>
        <w:rPr>
          <w:rFonts w:ascii="Times New Roman" w:hAnsi="Times New Roman" w:cs="Times New Roman"/>
          <w:spacing w:val="0"/>
          <w:highlight w:val="none"/>
        </w:rPr>
        <w:t>完善创新体制机制，提高产业发展核心竞争力。</w:t>
      </w:r>
    </w:p>
    <w:p w14:paraId="79629E68">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b/>
          <w:bCs/>
          <w:color w:val="auto"/>
          <w:spacing w:val="0"/>
        </w:rPr>
      </w:pPr>
      <w:r>
        <w:rPr>
          <w:rStyle w:val="33"/>
        </w:rPr>
        <w:t>一、完善科技大市场建设</w:t>
      </w:r>
    </w:p>
    <w:p w14:paraId="480287A4">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color w:val="auto"/>
          <w:spacing w:val="0"/>
          <w:szCs w:val="22"/>
        </w:rPr>
        <w:t>推进新平科技成果转化中心、科技咨询服务中心等建设，打造一站式公共科技服务平台。完善省网上技术市场－县技术市场－县域科技型企业的组织体系，展示、交易、共享、服务、交流</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五位一体</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的网上技术交易平台，建设绿色矿业、现代农业、生物资源等产业专业技术市场。建设新平县科技金融中心，积极引入融资担保、风险投资等金融机构。</w:t>
      </w:r>
    </w:p>
    <w:p w14:paraId="4CC006E9">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b/>
          <w:bCs/>
          <w:color w:val="auto"/>
          <w:spacing w:val="0"/>
        </w:rPr>
      </w:pPr>
      <w:r>
        <w:rPr>
          <w:rStyle w:val="33"/>
        </w:rPr>
        <w:t>二、建设知识产权强县</w:t>
      </w:r>
    </w:p>
    <w:p w14:paraId="6F537515">
      <w:pPr>
        <w:pageBreakBefore w:val="0"/>
        <w:widowControl w:val="0"/>
        <w:kinsoku/>
        <w:wordWrap/>
        <w:overflowPunct/>
        <w:topLinePunct w:val="0"/>
        <w:autoSpaceDE/>
        <w:autoSpaceDN/>
        <w:bidi w:val="0"/>
        <w:adjustRightInd/>
        <w:snapToGrid/>
        <w:spacing w:line="560" w:lineRule="exact"/>
        <w:ind w:firstLine="687"/>
        <w:textAlignment w:val="auto"/>
        <w:rPr>
          <w:color w:val="auto"/>
          <w:spacing w:val="0"/>
          <w:szCs w:val="22"/>
        </w:rPr>
      </w:pPr>
      <w:r>
        <w:rPr>
          <w:rFonts w:hint="default" w:ascii="Times New Roman" w:hAnsi="Times New Roman" w:eastAsia="仿宋_GB2312" w:cs="Times New Roman"/>
          <w:color w:val="auto"/>
          <w:spacing w:val="0"/>
          <w:szCs w:val="22"/>
          <w:lang w:bidi="zh-CN"/>
        </w:rPr>
        <w:t>深入实施知识产权战略行动计划，构建知识产权综合运用公共服务平台，鼓励中小企业开展知识产权托管。</w:t>
      </w:r>
      <w:r>
        <w:rPr>
          <w:rFonts w:hint="default" w:ascii="Times New Roman" w:hAnsi="Times New Roman" w:eastAsia="仿宋_GB2312" w:cs="Times New Roman"/>
          <w:color w:val="auto"/>
          <w:spacing w:val="0"/>
          <w:szCs w:val="22"/>
        </w:rPr>
        <w:t>建立健全知识产权联合执法机制、多元纠纷解决机制，构建网络化知识产权维权援助体系，积极</w:t>
      </w:r>
      <w:r>
        <w:rPr>
          <w:rFonts w:hint="default" w:ascii="Times New Roman" w:hAnsi="Times New Roman" w:eastAsia="仿宋_GB2312" w:cs="Times New Roman"/>
          <w:color w:val="auto"/>
          <w:spacing w:val="0"/>
          <w:szCs w:val="22"/>
          <w:lang w:bidi="zh-CN"/>
        </w:rPr>
        <w:t>创建国家知识产权强县示范县。大力培育各级专利示范企业和品牌企业，鼓励个体工商户、社会自然人申请专利。鼓励企业开展国家标准、行业标准、地方标准制定和重点新产品开发认证。</w:t>
      </w:r>
    </w:p>
    <w:p w14:paraId="4CFD8A2C">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19" w:name="_Toc17342"/>
      <w:bookmarkStart w:id="120" w:name="_Toc21331"/>
      <w:r>
        <w:rPr>
          <w:rFonts w:hint="eastAsia" w:ascii="黑体" w:hAnsi="黑体" w:eastAsia="黑体" w:cs="黑体"/>
          <w:b/>
          <w:bCs w:val="0"/>
          <w:color w:val="auto"/>
          <w:spacing w:val="0"/>
          <w:szCs w:val="32"/>
          <w:lang w:eastAsia="zh-CN"/>
        </w:rPr>
        <w:t>第四节</w:t>
      </w:r>
      <w:r>
        <w:rPr>
          <w:rFonts w:hint="eastAsia" w:ascii="黑体" w:hAnsi="黑体" w:eastAsia="黑体" w:cs="黑体"/>
          <w:b/>
          <w:bCs w:val="0"/>
          <w:color w:val="auto"/>
          <w:spacing w:val="0"/>
          <w:szCs w:val="32"/>
          <w:lang w:val="en-US" w:eastAsia="zh-CN"/>
        </w:rPr>
        <w:t xml:space="preserve">  </w:t>
      </w:r>
      <w:r>
        <w:rPr>
          <w:rFonts w:hint="eastAsia" w:ascii="黑体" w:hAnsi="黑体" w:eastAsia="黑体" w:cs="黑体"/>
          <w:b/>
          <w:bCs w:val="0"/>
          <w:color w:val="auto"/>
          <w:spacing w:val="0"/>
          <w:szCs w:val="32"/>
        </w:rPr>
        <w:t>聚力打造人才强县</w:t>
      </w:r>
      <w:bookmarkEnd w:id="119"/>
      <w:bookmarkEnd w:id="120"/>
    </w:p>
    <w:p w14:paraId="2CA3C2BA">
      <w:pPr>
        <w:pStyle w:val="2"/>
        <w:spacing w:before="0" w:after="0" w:line="560" w:lineRule="exact"/>
        <w:ind w:left="0" w:right="0" w:firstLine="640"/>
      </w:pPr>
      <w:r>
        <w:rPr>
          <w:color w:val="231F20"/>
          <w:spacing w:val="1"/>
        </w:rPr>
        <w:t>深入实施人才强</w:t>
      </w:r>
      <w:r>
        <w:rPr>
          <w:rFonts w:hint="eastAsia"/>
          <w:color w:val="231F20"/>
          <w:spacing w:val="1"/>
          <w:lang w:val="en-US" w:eastAsia="zh-CN"/>
        </w:rPr>
        <w:t>县</w:t>
      </w:r>
      <w:r>
        <w:rPr>
          <w:color w:val="231F20"/>
          <w:spacing w:val="1"/>
        </w:rPr>
        <w:t>战略，大力培养和引进各类创新创业人才，</w:t>
      </w:r>
      <w:r>
        <w:rPr>
          <w:rFonts w:hint="eastAsia"/>
          <w:color w:val="231F20"/>
          <w:spacing w:val="1"/>
        </w:rPr>
        <w:t>强化本土人才培养</w:t>
      </w:r>
      <w:r>
        <w:rPr>
          <w:rFonts w:hint="eastAsia"/>
          <w:color w:val="231F20"/>
          <w:spacing w:val="1"/>
          <w:lang w:eastAsia="zh-CN"/>
        </w:rPr>
        <w:t>，</w:t>
      </w:r>
      <w:r>
        <w:rPr>
          <w:color w:val="231F20"/>
          <w:spacing w:val="-14"/>
        </w:rPr>
        <w:t>完善科技人才培养、引进、流动、激励等工作机制和配套政策，</w:t>
      </w:r>
      <w:r>
        <w:rPr>
          <w:rFonts w:hint="eastAsia"/>
          <w:color w:val="231F20"/>
          <w:spacing w:val="-14"/>
          <w:lang w:val="en-US" w:eastAsia="zh-CN"/>
        </w:rPr>
        <w:t>强化</w:t>
      </w:r>
      <w:r>
        <w:rPr>
          <w:color w:val="231F20"/>
          <w:spacing w:val="5"/>
        </w:rPr>
        <w:t>创新创业人才队伍</w:t>
      </w:r>
      <w:r>
        <w:rPr>
          <w:rFonts w:hint="eastAsia"/>
          <w:color w:val="231F20"/>
          <w:spacing w:val="5"/>
          <w:lang w:val="en-US" w:eastAsia="zh-CN"/>
        </w:rPr>
        <w:t>建设</w:t>
      </w:r>
      <w:r>
        <w:rPr>
          <w:color w:val="231F20"/>
          <w:spacing w:val="5"/>
        </w:rPr>
        <w:t>。</w:t>
      </w:r>
    </w:p>
    <w:p w14:paraId="504D4CF3">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b/>
          <w:bCs/>
          <w:color w:val="auto"/>
          <w:spacing w:val="0"/>
        </w:rPr>
      </w:pPr>
      <w:r>
        <w:rPr>
          <w:rStyle w:val="33"/>
        </w:rPr>
        <w:t>一、加大创新人才引进</w:t>
      </w:r>
    </w:p>
    <w:p w14:paraId="2DBB6671">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lang w:bidi="zh-CN"/>
        </w:rPr>
      </w:pPr>
      <w:r>
        <w:rPr>
          <w:rFonts w:hint="default" w:ascii="Times New Roman" w:hAnsi="Times New Roman" w:eastAsia="仿宋_GB2312" w:cs="Times New Roman"/>
          <w:color w:val="auto"/>
          <w:spacing w:val="0"/>
          <w:szCs w:val="22"/>
        </w:rPr>
        <w:t>积极对接玉溪市</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百千万人才计划</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等专项人才政策，</w:t>
      </w:r>
      <w:r>
        <w:rPr>
          <w:rFonts w:hint="default" w:ascii="Times New Roman" w:hAnsi="Times New Roman" w:eastAsia="仿宋_GB2312" w:cs="Times New Roman"/>
          <w:color w:val="auto"/>
          <w:spacing w:val="0"/>
          <w:szCs w:val="22"/>
          <w:lang w:bidi="zh-CN"/>
        </w:rPr>
        <w:t>深入实施</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兴玉英才</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人才培养工程，开展企业家</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菜单式</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培训，培养具有较高科技素养、善于开拓市场、引领转型升级的优秀企业家及后备人才队伍。支持企业引进院士、专家到新平建立工作站。探索实施</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产业基金+孵化器+专业团队</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的引才模式。</w:t>
      </w:r>
    </w:p>
    <w:p w14:paraId="12DDF89C">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b/>
          <w:bCs/>
          <w:color w:val="auto"/>
          <w:spacing w:val="0"/>
        </w:rPr>
      </w:pPr>
      <w:r>
        <w:rPr>
          <w:rStyle w:val="33"/>
        </w:rPr>
        <w:t>二、强化本土人才培养</w:t>
      </w:r>
    </w:p>
    <w:p w14:paraId="0E5E3518">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lang w:val="en-GB" w:eastAsia="zh-CN" w:bidi="zh-CN"/>
        </w:rPr>
      </w:pPr>
      <w:r>
        <w:rPr>
          <w:rFonts w:hint="default" w:ascii="Times New Roman" w:hAnsi="Times New Roman" w:eastAsia="仿宋_GB2312" w:cs="Times New Roman"/>
          <w:color w:val="auto"/>
          <w:spacing w:val="0"/>
          <w:szCs w:val="22"/>
          <w:lang w:bidi="zh-CN"/>
        </w:rPr>
        <w:t>统筹推进党政人才、企业经营管理人才、专业技术人才、农村实用人才、社会工作人才等各类人才队伍建设。开展</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名人名作、名师名校、名医名院</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建设。推进与中国电建集团昆明勘测设计院、云南农业大学等院所和高校联合培养新平</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工匠型</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人才。实施</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人才强镇（平台）</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建设专项行动，深化推进</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一镇（平台）一品</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人才工程，打造基层人才工作示范群。推动新平产业园区开展人才管理改革试点，建立完善</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新平英才服务绿卡</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、人才安居政策，构建覆盖广泛、专业高效的人才服务体系</w:t>
      </w:r>
      <w:r>
        <w:rPr>
          <w:rFonts w:hint="default" w:ascii="Times New Roman" w:hAnsi="Times New Roman" w:eastAsia="仿宋_GB2312" w:cs="Times New Roman"/>
          <w:color w:val="auto"/>
          <w:spacing w:val="0"/>
          <w:szCs w:val="22"/>
          <w:lang w:eastAsia="zh-CN" w:bidi="zh-CN"/>
        </w:rPr>
        <w:t>。</w:t>
      </w:r>
    </w:p>
    <w:p w14:paraId="329C0CB4">
      <w:pPr>
        <w:keepNext/>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b/>
          <w:bCs/>
          <w:color w:val="auto"/>
          <w:spacing w:val="0"/>
        </w:rPr>
      </w:pPr>
      <w:r>
        <w:rPr>
          <w:rStyle w:val="33"/>
        </w:rPr>
        <w:t>三、完善人才引育政策</w:t>
      </w:r>
    </w:p>
    <w:p w14:paraId="58DECF49">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eastAsia="仿宋_GB2312"/>
          <w:color w:val="auto"/>
          <w:spacing w:val="0"/>
          <w:szCs w:val="24"/>
        </w:rPr>
      </w:pPr>
      <w:r>
        <w:rPr>
          <w:rFonts w:hint="default" w:ascii="Times New Roman" w:hAnsi="Times New Roman" w:eastAsia="仿宋_GB2312" w:cs="Times New Roman"/>
          <w:color w:val="auto"/>
          <w:spacing w:val="0"/>
          <w:szCs w:val="24"/>
        </w:rPr>
        <w:t>优化人才激励评价机制，实施管理、技术</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双通道</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晋升制度以及灵活的聘用和薪酬制度。设立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人才引导基金</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，完善技术入股、科技人员持股、技术开发奖励、人才项目储备金制度。推动新平</w:t>
      </w:r>
      <w:r>
        <w:rPr>
          <w:rFonts w:hint="default" w:ascii="Times New Roman" w:hAnsi="Times New Roman" w:eastAsia="仿宋_GB2312" w:cs="Times New Roman"/>
          <w:color w:val="auto"/>
          <w:spacing w:val="0"/>
          <w:szCs w:val="24"/>
          <w:lang w:eastAsia="zh-CN"/>
        </w:rPr>
        <w:t>产</w:t>
      </w:r>
      <w:r>
        <w:rPr>
          <w:rFonts w:hint="default" w:ascii="Times New Roman" w:hAnsi="Times New Roman" w:eastAsia="仿宋_GB2312" w:cs="Times New Roman"/>
          <w:color w:val="auto"/>
          <w:spacing w:val="0"/>
          <w:szCs w:val="24"/>
        </w:rPr>
        <w:t>业园区开展人才管理改革试点，争取玉溪国家创新型城市股权激励、科研人员等政策覆盖。构建完善覆盖广泛、专业高效的人才服务体系，妥善解决各类人才住房、医疗、子女入学等现实问题。</w:t>
      </w:r>
    </w:p>
    <w:p w14:paraId="02B391DA">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121" w:name="_Toc23415"/>
      <w:bookmarkStart w:id="122" w:name="_Toc25027"/>
      <w:r>
        <w:rPr>
          <w:rFonts w:hint="eastAsia" w:ascii="黑体" w:hAnsi="黑体" w:eastAsia="黑体" w:cs="黑体"/>
          <w:b/>
          <w:bCs w:val="0"/>
          <w:color w:val="auto"/>
          <w:spacing w:val="0"/>
          <w:szCs w:val="32"/>
          <w:lang w:val="en-US" w:eastAsia="zh-CN"/>
        </w:rPr>
        <w:t>第五节  强化科教文化兴县战略</w:t>
      </w:r>
      <w:bookmarkEnd w:id="121"/>
      <w:bookmarkEnd w:id="122"/>
    </w:p>
    <w:p w14:paraId="237B79D5">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坚持教育优先发展，强化人才培养，加速各行业的科技进步，把科学普及放在科技创新同等重要的位置，提高公民科学文化素质，加快科技教育、传播与普及长足发展，激发全社会创新活力和创造潜能，到</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十四五</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末，全县公民科学素质比例达到15%。积极创建2021—2025年度省级科普示范县，强化基层科普</w:t>
      </w:r>
      <w:r>
        <w:rPr>
          <w:rFonts w:hint="default" w:ascii="Times New Roman" w:hAnsi="Times New Roman" w:eastAsia="仿宋_GB2312" w:cs="Times New Roman"/>
          <w:color w:val="auto"/>
          <w:spacing w:val="0"/>
          <w:szCs w:val="24"/>
          <w:highlight w:val="none"/>
          <w:lang w:val="en-US" w:eastAsia="zh-CN"/>
        </w:rPr>
        <w:t>阵地</w:t>
      </w:r>
      <w:r>
        <w:rPr>
          <w:rFonts w:hint="default" w:ascii="Times New Roman" w:hAnsi="Times New Roman" w:eastAsia="仿宋_GB2312" w:cs="Times New Roman"/>
          <w:color w:val="auto"/>
          <w:spacing w:val="0"/>
          <w:szCs w:val="24"/>
          <w:lang w:val="en-US" w:eastAsia="zh-CN"/>
        </w:rPr>
        <w:t>建设和科普经费保障，建设具有一定规模且服务效果良好的综合性科普活动场所或专业科普场馆。强化科技同经济对接、创新成果同产业对接、创新项目同现实生产力对接、研发人员创新劳动同其利益收入对接，增强科技进步对经济发展的贡献度，营造大众创业、万众创新的发展环境，促进科技、教育、文化更好地为经济建设和社会进步服务。</w:t>
      </w:r>
    </w:p>
    <w:p w14:paraId="646D6872">
      <w:pPr>
        <w:pageBreakBefore w:val="0"/>
        <w:widowControl w:val="0"/>
        <w:kinsoku/>
        <w:wordWrap/>
        <w:overflowPunct/>
        <w:topLinePunct w:val="0"/>
        <w:autoSpaceDN/>
        <w:bidi w:val="0"/>
        <w:rPr>
          <w:rFonts w:hint="default" w:ascii="Times New Roman" w:hAnsi="Times New Roman" w:eastAsia="仿宋_GB2312" w:cs="Times New Roman"/>
          <w:color w:val="auto"/>
          <w:spacing w:val="0"/>
          <w:lang w:val="en-US" w:eastAsia="zh-CN"/>
        </w:rPr>
      </w:pPr>
      <w:r>
        <w:rPr>
          <w:rFonts w:hint="default" w:ascii="Times New Roman" w:hAnsi="Times New Roman" w:eastAsia="仿宋_GB2312" w:cs="Times New Roman"/>
          <w:color w:val="auto"/>
          <w:spacing w:val="0"/>
          <w:lang w:val="en-US" w:eastAsia="zh-CN"/>
        </w:rPr>
        <w:br w:type="page"/>
      </w:r>
    </w:p>
    <w:bookmarkEnd w:id="72"/>
    <w:bookmarkEnd w:id="73"/>
    <w:p w14:paraId="43574862">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bCs w:val="0"/>
          <w:color w:val="auto"/>
          <w:spacing w:val="0"/>
          <w:kern w:val="2"/>
          <w:sz w:val="36"/>
          <w:szCs w:val="36"/>
          <w:lang w:val="en-US" w:eastAsia="zh-CN"/>
        </w:rPr>
      </w:pPr>
      <w:bookmarkStart w:id="123" w:name="_Toc30133"/>
      <w:bookmarkStart w:id="124" w:name="_Toc6502"/>
      <w:bookmarkStart w:id="125" w:name="_Toc12507"/>
      <w:r>
        <w:rPr>
          <w:rFonts w:hint="eastAsia" w:ascii="方正小标宋_GBK" w:hAnsi="方正小标宋_GBK" w:eastAsia="方正小标宋_GBK" w:cs="方正小标宋_GBK"/>
          <w:bCs w:val="0"/>
          <w:color w:val="auto"/>
          <w:spacing w:val="0"/>
          <w:kern w:val="2"/>
          <w:sz w:val="36"/>
          <w:szCs w:val="36"/>
          <w:lang w:val="en-US" w:eastAsia="zh-CN"/>
        </w:rPr>
        <w:t>第十章  坚持改革开放，增强县域发展新活力</w:t>
      </w:r>
      <w:bookmarkEnd w:id="123"/>
      <w:bookmarkEnd w:id="124"/>
    </w:p>
    <w:p w14:paraId="6BD01702">
      <w:pPr>
        <w:pageBreakBefore w:val="0"/>
        <w:widowControl w:val="0"/>
        <w:kinsoku/>
        <w:wordWrap/>
        <w:overflowPunct/>
        <w:topLinePunct w:val="0"/>
        <w:autoSpaceDE/>
        <w:autoSpaceDN/>
        <w:bidi w:val="0"/>
        <w:adjustRightInd/>
        <w:snapToGrid/>
        <w:spacing w:line="560" w:lineRule="exact"/>
        <w:textAlignment w:val="auto"/>
        <w:rPr>
          <w:color w:val="auto"/>
          <w:spacing w:val="0"/>
          <w:szCs w:val="22"/>
        </w:rPr>
      </w:pPr>
      <w:r>
        <w:rPr>
          <w:rFonts w:hint="default" w:ascii="Times New Roman" w:hAnsi="Times New Roman" w:eastAsia="仿宋_GB2312" w:cs="Times New Roman"/>
          <w:color w:val="auto"/>
          <w:spacing w:val="0"/>
          <w:szCs w:val="24"/>
          <w:lang w:eastAsia="zh-CN"/>
        </w:rPr>
        <w:t>坚持全面深化改革，推动系统完备、科学规范、运行有效的制度体系建设，规范构建现代营商环境。坚持引进来和走出去并重，遵循共建共享原则，创新提升招商引资实效，提升对外开放合作水平。</w:t>
      </w:r>
    </w:p>
    <w:p w14:paraId="44CD1BB0">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eastAsia="zh-CN"/>
        </w:rPr>
      </w:pPr>
      <w:bookmarkStart w:id="126" w:name="_Toc21423"/>
      <w:bookmarkStart w:id="127" w:name="_Toc3357"/>
      <w:r>
        <w:rPr>
          <w:rFonts w:hint="eastAsia" w:ascii="黑体" w:hAnsi="黑体" w:eastAsia="黑体" w:cs="黑体"/>
          <w:b/>
          <w:bCs w:val="0"/>
          <w:color w:val="auto"/>
          <w:spacing w:val="0"/>
          <w:szCs w:val="32"/>
          <w:lang w:eastAsia="zh-CN"/>
        </w:rPr>
        <w:t>第一节  深入推进重点领域改革</w:t>
      </w:r>
      <w:bookmarkEnd w:id="126"/>
      <w:bookmarkEnd w:id="127"/>
    </w:p>
    <w:p w14:paraId="44C77FD6">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t>深入推进</w:t>
      </w:r>
      <w:r>
        <w:rPr>
          <w:rFonts w:hint="default" w:ascii="Times New Roman" w:hAnsi="Times New Roman" w:eastAsia="仿宋_GB2312" w:cs="Times New Roman"/>
          <w:color w:val="auto"/>
          <w:spacing w:val="0"/>
          <w:szCs w:val="24"/>
          <w:lang w:val="en-US" w:eastAsia="zh-CN"/>
        </w:rPr>
        <w:t>重点</w:t>
      </w:r>
      <w:r>
        <w:rPr>
          <w:rFonts w:hint="default" w:ascii="Times New Roman" w:hAnsi="Times New Roman" w:eastAsia="仿宋_GB2312" w:cs="Times New Roman"/>
          <w:color w:val="auto"/>
          <w:spacing w:val="0"/>
          <w:szCs w:val="24"/>
          <w:lang w:eastAsia="zh-CN"/>
        </w:rPr>
        <w:t>领域改革，</w:t>
      </w:r>
      <w:r>
        <w:rPr>
          <w:rFonts w:hint="default" w:ascii="Times New Roman" w:hAnsi="Times New Roman" w:eastAsia="仿宋_GB2312" w:cs="Times New Roman"/>
          <w:color w:val="auto"/>
          <w:spacing w:val="0"/>
          <w:szCs w:val="24"/>
          <w:lang w:val="en-US" w:eastAsia="zh-CN"/>
        </w:rPr>
        <w:t>加快转变政府职能，建设高标准市场体系</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val="en-US" w:eastAsia="zh-CN"/>
        </w:rPr>
        <w:t>营造良好的营商环境，</w:t>
      </w:r>
      <w:r>
        <w:rPr>
          <w:rFonts w:hint="default" w:ascii="Times New Roman" w:hAnsi="Times New Roman" w:eastAsia="仿宋_GB2312" w:cs="Times New Roman"/>
          <w:color w:val="auto"/>
          <w:spacing w:val="0"/>
          <w:szCs w:val="24"/>
          <w:lang w:eastAsia="zh-CN"/>
        </w:rPr>
        <w:t>加快形成引领经济发展新常态的体制机制和发展方式。</w:t>
      </w:r>
    </w:p>
    <w:p w14:paraId="4FFC6C49">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w:t>
      </w:r>
      <w:r>
        <w:rPr>
          <w:rFonts w:hint="eastAsia" w:ascii="黑体" w:hAnsi="黑体" w:eastAsia="黑体" w:cs="黑体"/>
          <w:b w:val="0"/>
          <w:bCs/>
          <w:color w:val="auto"/>
          <w:spacing w:val="0"/>
          <w:szCs w:val="22"/>
          <w:lang w:val="en-US" w:eastAsia="zh-CN"/>
        </w:rPr>
        <w:t>激发各类市场主体活力</w:t>
      </w:r>
    </w:p>
    <w:p w14:paraId="3EF4FB1D">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t>深入实施民营经济发展工程，优化民营经济发展环境，保障民营企业平等</w:t>
      </w:r>
      <w:r>
        <w:rPr>
          <w:rFonts w:hint="eastAsia" w:eastAsia="仿宋_GB2312" w:cs="Times New Roman"/>
          <w:color w:val="auto"/>
          <w:spacing w:val="0"/>
          <w:szCs w:val="24"/>
          <w:lang w:eastAsia="zh-CN"/>
        </w:rPr>
        <w:t>获</w:t>
      </w:r>
      <w:r>
        <w:rPr>
          <w:rFonts w:hint="default" w:ascii="Times New Roman" w:hAnsi="Times New Roman" w:eastAsia="仿宋_GB2312" w:cs="Times New Roman"/>
          <w:color w:val="auto"/>
          <w:spacing w:val="0"/>
          <w:szCs w:val="24"/>
          <w:lang w:eastAsia="zh-CN"/>
        </w:rPr>
        <w:t>取生产要素和政策支持。推动国有企业完善现代企业制度，</w:t>
      </w:r>
      <w:r>
        <w:rPr>
          <w:rFonts w:hint="default" w:ascii="Times New Roman" w:hAnsi="Times New Roman" w:eastAsia="仿宋_GB2312" w:cs="Times New Roman"/>
          <w:color w:val="auto"/>
          <w:spacing w:val="0"/>
          <w:szCs w:val="24"/>
          <w:lang w:val="en-US" w:eastAsia="zh-CN"/>
        </w:rPr>
        <w:t>完善国有资产管理体制，</w:t>
      </w:r>
      <w:r>
        <w:rPr>
          <w:rFonts w:hint="default" w:ascii="Times New Roman" w:hAnsi="Times New Roman" w:eastAsia="仿宋_GB2312" w:cs="Times New Roman"/>
          <w:color w:val="auto"/>
          <w:spacing w:val="0"/>
          <w:szCs w:val="24"/>
          <w:lang w:eastAsia="zh-CN"/>
        </w:rPr>
        <w:t>深化国有资本投资运营机制改革。改革完善政府要素调节与监管机制，逐步形成生产要素向优质高效领域流动的机制，引导各类生产要素协同向先进生产力集聚。</w:t>
      </w:r>
      <w:r>
        <w:rPr>
          <w:rFonts w:hint="default" w:ascii="Times New Roman" w:hAnsi="Times New Roman" w:eastAsia="仿宋_GB2312" w:cs="Times New Roman"/>
          <w:color w:val="auto"/>
          <w:spacing w:val="0"/>
          <w:szCs w:val="24"/>
          <w:lang w:val="en-US" w:eastAsia="zh-CN"/>
        </w:rPr>
        <w:t>构建</w:t>
      </w:r>
      <w:r>
        <w:rPr>
          <w:rFonts w:hint="eastAsia" w:eastAsia="仿宋_GB2312" w:cs="Times New Roman"/>
          <w:color w:val="auto"/>
          <w:spacing w:val="0"/>
          <w:szCs w:val="24"/>
          <w:lang w:val="en-US" w:eastAsia="zh-CN"/>
        </w:rPr>
        <w:t>亲清政商关系</w:t>
      </w:r>
      <w:r>
        <w:rPr>
          <w:rFonts w:hint="default" w:ascii="Times New Roman" w:hAnsi="Times New Roman" w:eastAsia="仿宋_GB2312" w:cs="Times New Roman"/>
          <w:color w:val="auto"/>
          <w:spacing w:val="0"/>
          <w:szCs w:val="24"/>
          <w:lang w:val="en-US" w:eastAsia="zh-CN"/>
        </w:rPr>
        <w:t>，搭建政企沟通平台，促进非公有制经济健康发展和非公有制经济人士健康成长。</w:t>
      </w:r>
      <w:r>
        <w:rPr>
          <w:rFonts w:hint="default" w:ascii="Times New Roman" w:hAnsi="Times New Roman" w:eastAsia="仿宋_GB2312" w:cs="Times New Roman"/>
          <w:color w:val="auto"/>
          <w:spacing w:val="0"/>
          <w:szCs w:val="24"/>
          <w:lang w:eastAsia="zh-CN"/>
        </w:rPr>
        <w:t>鼓励非公有制企业参与国有企业改革，鼓励发展非公有资本控股的混合所有制企业，鼓励有条件的私营企业建立现代企业制度。</w:t>
      </w:r>
      <w:r>
        <w:rPr>
          <w:rFonts w:hint="default" w:ascii="Times New Roman" w:hAnsi="Times New Roman" w:eastAsia="仿宋_GB2312" w:cs="Times New Roman"/>
          <w:color w:val="auto"/>
          <w:spacing w:val="0"/>
          <w:szCs w:val="24"/>
          <w:lang w:val="en-US" w:eastAsia="zh-CN"/>
        </w:rPr>
        <w:t>大力弘扬企业家精神，建立健全企业家参与涉企政策制定机制，调动广大企业家积极性、主动性、创造性，更好发挥企业家作用。</w:t>
      </w:r>
    </w:p>
    <w:p w14:paraId="4B30C270">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二、深化财税体制改革</w:t>
      </w:r>
    </w:p>
    <w:p w14:paraId="0594504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t>深化财政预算管理制度改革，加强财政资源统筹，增强基层公共服务保障能力。建立跨年度预算平衡机制，建立政府综合财务报告制度，建立规范合理的政府债务管理及风险预警机制。建立事权和支出责任相适应的制度，探索健全县乡财政管理体制，合理界定和划分县与乡镇（街道）两级政府的事权和支出责任。严格落实国家、省税收优惠及减税降费各项政策措施，优化网上办税平台及导税服务，切实降低实体经济成本和制度性交易成本，提高县域经济整体竞争能力。深化投融资体制改革，完善政府投资管理制度，实施全口径基本建设财政资金预算管理。严格按照政府财政信息公开要求，将政府收支预算、</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三公经费</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预算和部门预算在政府门户网站的专门版块公示公开。</w:t>
      </w:r>
    </w:p>
    <w:p w14:paraId="6E6A86CF">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三、建设高标准市场体系</w:t>
      </w:r>
    </w:p>
    <w:p w14:paraId="1AC9CF9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pacing w:val="0"/>
          <w:lang w:val="en-US" w:eastAsia="zh-CN"/>
        </w:rPr>
      </w:pPr>
      <w:r>
        <w:rPr>
          <w:rFonts w:hint="default" w:ascii="Times New Roman" w:hAnsi="Times New Roman" w:eastAsia="仿宋_GB2312" w:cs="Times New Roman"/>
          <w:color w:val="auto"/>
          <w:spacing w:val="0"/>
          <w:szCs w:val="24"/>
          <w:lang w:val="en-US" w:eastAsia="zh-CN"/>
        </w:rPr>
        <w:t>推动土地、劳动力、资本、技术、数据等要素市场化改革。加快要素市场制度建设，健全要素市场运行机制，完善要素交易规则和服务体系，实现要素价格市场决定、要素流动自主有序、要素配置高效公平。深化综合执法改革，提升市场综合监管能力。完善现代化市场监管机制，严格市场监管、质量监管、安全监管，健全社会监督机制，建立违法严惩制度。完善现代产权制度，加强产权激励，</w:t>
      </w:r>
      <w:r>
        <w:rPr>
          <w:rFonts w:hint="default" w:ascii="Times New Roman" w:hAnsi="Times New Roman" w:eastAsia="仿宋_GB2312" w:cs="Times New Roman"/>
          <w:color w:val="auto"/>
          <w:spacing w:val="0"/>
          <w:szCs w:val="24"/>
          <w:lang w:eastAsia="zh-CN"/>
        </w:rPr>
        <w:t>建立健全新领域新业态产权保护制度，全面依法平等保护民营经济产权，健全产权执法司法保护制度</w:t>
      </w:r>
      <w:r>
        <w:rPr>
          <w:rFonts w:hint="default" w:ascii="Times New Roman" w:hAnsi="Times New Roman" w:eastAsia="仿宋_GB2312" w:cs="Times New Roman"/>
          <w:color w:val="auto"/>
          <w:spacing w:val="0"/>
          <w:szCs w:val="24"/>
          <w:lang w:val="en-US" w:eastAsia="zh-CN"/>
        </w:rPr>
        <w:t>。建立公平竞争审查抽查、考核、公示制度，加强反垄断和反不正当竞争执法司法，提升市场综合监管能力，营造公平竞争的社会环境</w:t>
      </w:r>
      <w:r>
        <w:rPr>
          <w:rFonts w:hint="default" w:ascii="Times New Roman" w:hAnsi="Times New Roman" w:eastAsia="仿宋_GB2312" w:cs="Times New Roman"/>
          <w:color w:val="auto"/>
          <w:spacing w:val="0"/>
          <w:lang w:val="en-US" w:eastAsia="zh-CN"/>
        </w:rPr>
        <w:t>。</w:t>
      </w:r>
    </w:p>
    <w:p w14:paraId="56DDDE90">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四、推进戛洒镇行政管理体制改革</w:t>
      </w:r>
    </w:p>
    <w:p w14:paraId="08FF2B6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t>扩大</w:t>
      </w:r>
      <w:r>
        <w:rPr>
          <w:rFonts w:hint="default" w:ascii="Times New Roman" w:hAnsi="Times New Roman" w:eastAsia="仿宋_GB2312" w:cs="Times New Roman"/>
          <w:color w:val="auto"/>
          <w:spacing w:val="0"/>
          <w:szCs w:val="24"/>
          <w:lang w:val="en-US" w:eastAsia="zh-CN"/>
        </w:rPr>
        <w:t>戛洒</w:t>
      </w:r>
      <w:r>
        <w:rPr>
          <w:rFonts w:hint="default" w:ascii="Times New Roman" w:hAnsi="Times New Roman" w:eastAsia="仿宋_GB2312" w:cs="Times New Roman"/>
          <w:color w:val="auto"/>
          <w:spacing w:val="0"/>
          <w:szCs w:val="24"/>
          <w:lang w:eastAsia="zh-CN"/>
        </w:rPr>
        <w:t>镇经济社会管理权限，建立权责清单管理制度，规范行政职权承接，建立动态调整和评估问效机制。构建</w:t>
      </w:r>
      <w:r>
        <w:rPr>
          <w:rFonts w:hint="default" w:ascii="Times New Roman" w:hAnsi="Times New Roman" w:eastAsia="仿宋_GB2312" w:cs="Times New Roman"/>
          <w:color w:val="auto"/>
          <w:spacing w:val="0"/>
          <w:szCs w:val="24"/>
          <w:lang w:val="en-US" w:eastAsia="zh-CN"/>
        </w:rPr>
        <w:t>简约精干</w:t>
      </w:r>
      <w:r>
        <w:rPr>
          <w:rFonts w:hint="default" w:ascii="Times New Roman" w:hAnsi="Times New Roman" w:eastAsia="仿宋_GB2312" w:cs="Times New Roman"/>
          <w:color w:val="auto"/>
          <w:spacing w:val="0"/>
          <w:szCs w:val="24"/>
          <w:lang w:eastAsia="zh-CN"/>
        </w:rPr>
        <w:t>组织架构，统筹</w:t>
      </w:r>
      <w:r>
        <w:rPr>
          <w:rFonts w:hint="default" w:ascii="Times New Roman" w:hAnsi="Times New Roman" w:eastAsia="仿宋_GB2312" w:cs="Times New Roman"/>
          <w:color w:val="auto"/>
          <w:spacing w:val="0"/>
          <w:szCs w:val="24"/>
          <w:lang w:val="en-US" w:eastAsia="zh-CN"/>
        </w:rPr>
        <w:t>戛洒</w:t>
      </w:r>
      <w:r>
        <w:rPr>
          <w:rFonts w:hint="default" w:ascii="Times New Roman" w:hAnsi="Times New Roman" w:eastAsia="仿宋_GB2312" w:cs="Times New Roman"/>
          <w:color w:val="auto"/>
          <w:spacing w:val="0"/>
          <w:szCs w:val="24"/>
          <w:lang w:eastAsia="zh-CN"/>
        </w:rPr>
        <w:t>镇党委和政府机构设置，科学设置事业单位，健全权责清晰的责任体系，全面提升行政管理效率。建立务实高效的用编用人制度，建立人员岗位统筹管理制度，推进后勤保障服务社会化，大力推行政府购买服务。建立财政激励机制，针对迫切需要发展的优势产业、社会事业和新开工建设的基础设施项目，优先列为新平县重点工程。落实基层党建工作责任制，强化党委抓各类党组织建设责任，推进基层党组织规范化达标创建。健全完善城乡社区治理体制，推进城乡社区服务体系建设，建立社区、社会组织、社会工作者</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val="en-US" w:eastAsia="zh-CN"/>
        </w:rPr>
        <w:t>三社</w:t>
      </w:r>
      <w:r>
        <w:rPr>
          <w:rFonts w:hint="default" w:ascii="Times New Roman" w:hAnsi="Times New Roman" w:eastAsia="仿宋_GB2312" w:cs="Times New Roman"/>
          <w:color w:val="auto"/>
          <w:spacing w:val="0"/>
          <w:szCs w:val="24"/>
          <w:lang w:eastAsia="zh-CN"/>
        </w:rPr>
        <w:t>联动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机制。</w:t>
      </w:r>
    </w:p>
    <w:p w14:paraId="3C864FD6">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五、加快转变政府职能</w:t>
      </w:r>
    </w:p>
    <w:p w14:paraId="48625D0D">
      <w:pPr>
        <w:pageBreakBefore w:val="0"/>
        <w:widowControl w:val="0"/>
        <w:kinsoku/>
        <w:wordWrap/>
        <w:overflowPunct/>
        <w:topLinePunct w:val="0"/>
        <w:autoSpaceDE/>
        <w:autoSpaceDN/>
        <w:bidi w:val="0"/>
        <w:adjustRightInd/>
        <w:snapToGrid/>
        <w:spacing w:before="0" w:after="0" w:line="560" w:lineRule="exact"/>
        <w:ind w:firstLine="687"/>
        <w:textAlignment w:val="auto"/>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eastAsia="zh-CN"/>
        </w:rPr>
        <w:t>持续优化政府服务，形成县乡村三级政务服务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一张网</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eastAsia="zh-CN"/>
        </w:rPr>
        <w:t>打通最后一公里。</w:t>
      </w:r>
      <w:r>
        <w:rPr>
          <w:rFonts w:hint="default" w:ascii="Times New Roman" w:hAnsi="Times New Roman" w:eastAsia="仿宋_GB2312" w:cs="Times New Roman"/>
          <w:color w:val="auto"/>
          <w:spacing w:val="0"/>
          <w:szCs w:val="24"/>
          <w:lang w:val="en-US" w:eastAsia="zh-CN"/>
        </w:rPr>
        <w:t xml:space="preserve">推进 </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放管服</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改革，精简行政许可事项，推进</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证照分离</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改革，落实</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照后减证</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，持续开展减证便民行动。</w:t>
      </w:r>
      <w:r>
        <w:rPr>
          <w:rFonts w:hint="default" w:ascii="Times New Roman" w:hAnsi="Times New Roman" w:eastAsia="仿宋_GB2312" w:cs="Times New Roman"/>
          <w:color w:val="auto"/>
          <w:spacing w:val="0"/>
          <w:szCs w:val="24"/>
          <w:lang w:eastAsia="zh-CN"/>
        </w:rPr>
        <w:t>推进政务服务事项标准化、清单化，深化</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一颗印章管审批</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val="en-US" w:eastAsia="zh-CN"/>
        </w:rPr>
        <w:t>完善</w:t>
      </w:r>
      <w:r>
        <w:rPr>
          <w:rFonts w:hint="default" w:ascii="Times New Roman" w:hAnsi="Times New Roman" w:eastAsia="仿宋_GB2312" w:cs="Times New Roman"/>
          <w:color w:val="auto"/>
          <w:spacing w:val="0"/>
          <w:szCs w:val="24"/>
          <w:lang w:eastAsia="zh-CN"/>
        </w:rPr>
        <w:t>政务服务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好差评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评价制度体系。</w:t>
      </w:r>
      <w:r>
        <w:rPr>
          <w:rFonts w:hint="default" w:ascii="Times New Roman" w:hAnsi="Times New Roman" w:eastAsia="仿宋_GB2312" w:cs="Times New Roman"/>
          <w:color w:val="auto"/>
          <w:spacing w:val="0"/>
          <w:szCs w:val="24"/>
          <w:lang w:val="en-US" w:eastAsia="zh-CN"/>
        </w:rPr>
        <w:t>深入开展</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互联网+政务服务</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eastAsia="zh-CN"/>
        </w:rPr>
        <w:t>加快电子政务网上平台建设，打造精简高效的政务生态，</w:t>
      </w:r>
      <w:r>
        <w:rPr>
          <w:rFonts w:hint="default" w:ascii="Times New Roman" w:hAnsi="Times New Roman" w:eastAsia="仿宋_GB2312" w:cs="Times New Roman"/>
          <w:color w:val="auto"/>
          <w:spacing w:val="0"/>
          <w:szCs w:val="24"/>
          <w:lang w:val="en-US" w:eastAsia="zh-CN"/>
        </w:rPr>
        <w:t>推动政务服务事项</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掌上办</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指尖办</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。实施涉企经营许可事项清单管理，加强事中事后监管，对新产业新业态实行包容审慎监管。</w:t>
      </w:r>
      <w:r>
        <w:rPr>
          <w:rFonts w:hint="default" w:ascii="Times New Roman" w:hAnsi="Times New Roman" w:eastAsia="仿宋_GB2312" w:cs="Times New Roman"/>
          <w:color w:val="auto"/>
          <w:spacing w:val="0"/>
          <w:szCs w:val="24"/>
          <w:lang w:eastAsia="zh-CN"/>
        </w:rPr>
        <w:t>健全支持民营经济、外商投资企业发展的市场、政策、法治和社会环境，进一步激发活力和创造力。</w:t>
      </w:r>
      <w:r>
        <w:rPr>
          <w:rFonts w:hint="default" w:ascii="Times New Roman" w:hAnsi="Times New Roman" w:eastAsia="仿宋_GB2312" w:cs="Times New Roman"/>
          <w:color w:val="auto"/>
          <w:spacing w:val="0"/>
          <w:szCs w:val="24"/>
          <w:lang w:val="en-US" w:eastAsia="zh-CN"/>
        </w:rPr>
        <w:t>深化投资审批制度改革，</w:t>
      </w:r>
      <w:r>
        <w:rPr>
          <w:rFonts w:hint="default" w:ascii="Times New Roman" w:hAnsi="Times New Roman" w:eastAsia="仿宋_GB2312" w:cs="Times New Roman"/>
          <w:color w:val="auto"/>
          <w:spacing w:val="0"/>
          <w:szCs w:val="24"/>
          <w:lang w:eastAsia="zh-CN"/>
        </w:rPr>
        <w:t>落实</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三集中、三到位</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应进必进，进必授权</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的要求，完善投资项目集中并联审批，</w:t>
      </w:r>
      <w:r>
        <w:rPr>
          <w:rFonts w:hint="default" w:ascii="Times New Roman" w:hAnsi="Times New Roman" w:eastAsia="仿宋_GB2312" w:cs="Times New Roman"/>
          <w:color w:val="auto"/>
          <w:spacing w:val="0"/>
          <w:szCs w:val="24"/>
          <w:lang w:val="en-US" w:eastAsia="zh-CN"/>
        </w:rPr>
        <w:t>简化整合投资项目报建手续，推进投资项目承诺制改革。</w:t>
      </w:r>
    </w:p>
    <w:p w14:paraId="23A26DE5">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六、优化营商环境</w:t>
      </w:r>
    </w:p>
    <w:p w14:paraId="7A0AFA61">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加快推进</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rPr>
        <w:t>办事不求人、审批不见面、最多跑一次</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rPr>
        <w:t>和</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rPr>
        <w:t>全程服务有保障</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rPr>
        <w:t>的市场化法治化国际化营商环境</w:t>
      </w:r>
      <w:r>
        <w:rPr>
          <w:rFonts w:hint="default" w:ascii="Times New Roman" w:hAnsi="Times New Roman" w:eastAsia="仿宋_GB2312" w:cs="Times New Roman"/>
          <w:color w:val="auto"/>
          <w:spacing w:val="0"/>
          <w:szCs w:val="24"/>
          <w:lang w:val="en-US" w:eastAsia="zh-CN"/>
        </w:rPr>
        <w:t>建设</w:t>
      </w:r>
      <w:r>
        <w:rPr>
          <w:rFonts w:hint="default" w:ascii="Times New Roman" w:hAnsi="Times New Roman" w:eastAsia="仿宋_GB2312" w:cs="Times New Roman"/>
          <w:color w:val="auto"/>
          <w:spacing w:val="0"/>
          <w:szCs w:val="24"/>
        </w:rPr>
        <w:t>。</w:t>
      </w:r>
      <w:r>
        <w:rPr>
          <w:rFonts w:hint="default" w:ascii="Times New Roman" w:hAnsi="Times New Roman" w:eastAsia="仿宋_GB2312" w:cs="Times New Roman"/>
          <w:color w:val="auto"/>
          <w:spacing w:val="0"/>
          <w:szCs w:val="24"/>
          <w:lang w:val="en-US" w:eastAsia="zh-CN"/>
        </w:rPr>
        <w:t>继续放宽转入限制，全面落实</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全省一张清单</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管理模式，实施统一的市场准入负面清单制度。</w:t>
      </w:r>
      <w:r>
        <w:rPr>
          <w:rFonts w:hint="default" w:ascii="Times New Roman" w:hAnsi="Times New Roman" w:eastAsia="仿宋_GB2312" w:cs="Times New Roman"/>
          <w:color w:val="auto"/>
          <w:spacing w:val="0"/>
          <w:szCs w:val="24"/>
          <w:lang w:eastAsia="zh-CN"/>
        </w:rPr>
        <w:t>保障各类市场主体享有在政府资金安排、土地供应、税费减免、资质许可、项目申报、职称评定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人力资源政策等方面的</w:t>
      </w:r>
      <w:r>
        <w:rPr>
          <w:rFonts w:hint="default" w:ascii="Times New Roman" w:hAnsi="Times New Roman" w:eastAsia="仿宋_GB2312" w:cs="Times New Roman"/>
          <w:color w:val="auto"/>
          <w:spacing w:val="0"/>
          <w:szCs w:val="24"/>
          <w:lang w:val="en-US" w:eastAsia="zh-CN"/>
        </w:rPr>
        <w:t>合法</w:t>
      </w:r>
      <w:r>
        <w:rPr>
          <w:rFonts w:hint="default" w:ascii="Times New Roman" w:hAnsi="Times New Roman" w:eastAsia="仿宋_GB2312" w:cs="Times New Roman"/>
          <w:color w:val="auto"/>
          <w:spacing w:val="0"/>
          <w:szCs w:val="24"/>
          <w:lang w:eastAsia="zh-CN"/>
        </w:rPr>
        <w:t>权益</w:t>
      </w:r>
      <w:r>
        <w:rPr>
          <w:rFonts w:hint="default" w:ascii="Times New Roman" w:hAnsi="Times New Roman" w:eastAsia="仿宋_GB2312" w:cs="Times New Roman"/>
          <w:color w:val="auto"/>
          <w:spacing w:val="0"/>
          <w:szCs w:val="24"/>
        </w:rPr>
        <w:t>。围绕营商环境评价体系，持续抓好整改落实，优化服务，力争在全市营商环境</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红黑榜</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中排名靠前。</w:t>
      </w:r>
      <w:r>
        <w:rPr>
          <w:rFonts w:hint="default" w:ascii="Times New Roman" w:hAnsi="Times New Roman" w:eastAsia="仿宋_GB2312" w:cs="Times New Roman"/>
          <w:color w:val="auto"/>
          <w:spacing w:val="0"/>
          <w:szCs w:val="24"/>
          <w:lang w:eastAsia="zh-CN"/>
        </w:rPr>
        <w:t>高度重视社会信用体系建设，</w:t>
      </w:r>
      <w:r>
        <w:rPr>
          <w:rFonts w:hint="default" w:ascii="Times New Roman" w:hAnsi="Times New Roman" w:eastAsia="仿宋_GB2312" w:cs="Times New Roman"/>
          <w:color w:val="auto"/>
          <w:spacing w:val="0"/>
          <w:szCs w:val="24"/>
        </w:rPr>
        <w:t>全面推进政务诚信、商务诚信、社会诚信和司法公信</w:t>
      </w:r>
      <w:r>
        <w:rPr>
          <w:rFonts w:hint="default" w:ascii="Times New Roman" w:hAnsi="Times New Roman" w:eastAsia="仿宋_GB2312" w:cs="Times New Roman"/>
          <w:color w:val="auto"/>
          <w:spacing w:val="0"/>
          <w:szCs w:val="24"/>
          <w:lang w:eastAsia="zh-CN"/>
        </w:rPr>
        <w:t>等</w:t>
      </w:r>
      <w:r>
        <w:rPr>
          <w:rFonts w:hint="default" w:ascii="Times New Roman" w:hAnsi="Times New Roman" w:eastAsia="仿宋_GB2312" w:cs="Times New Roman"/>
          <w:color w:val="auto"/>
          <w:spacing w:val="0"/>
          <w:szCs w:val="24"/>
        </w:rPr>
        <w:t>建设，建立开放的公共信用信息系统，实现公共信用信息互联互通。</w:t>
      </w:r>
    </w:p>
    <w:p w14:paraId="1650D572">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eastAsia="zh-CN"/>
        </w:rPr>
      </w:pPr>
      <w:bookmarkStart w:id="128" w:name="_Toc9620"/>
      <w:bookmarkStart w:id="129" w:name="_Toc13065"/>
      <w:r>
        <w:rPr>
          <w:rFonts w:hint="eastAsia" w:ascii="黑体" w:hAnsi="黑体" w:eastAsia="黑体" w:cs="黑体"/>
          <w:b/>
          <w:bCs w:val="0"/>
          <w:color w:val="auto"/>
          <w:spacing w:val="0"/>
          <w:szCs w:val="32"/>
          <w:lang w:eastAsia="zh-CN"/>
        </w:rPr>
        <w:t>第</w:t>
      </w:r>
      <w:r>
        <w:rPr>
          <w:rFonts w:hint="eastAsia" w:ascii="黑体" w:hAnsi="黑体" w:eastAsia="黑体" w:cs="黑体"/>
          <w:b/>
          <w:bCs w:val="0"/>
          <w:color w:val="auto"/>
          <w:spacing w:val="0"/>
          <w:szCs w:val="32"/>
          <w:lang w:val="en-US" w:eastAsia="zh-CN"/>
        </w:rPr>
        <w:t>二</w:t>
      </w:r>
      <w:r>
        <w:rPr>
          <w:rFonts w:hint="eastAsia" w:ascii="黑体" w:hAnsi="黑体" w:eastAsia="黑体" w:cs="黑体"/>
          <w:b/>
          <w:bCs w:val="0"/>
          <w:color w:val="auto"/>
          <w:spacing w:val="0"/>
          <w:szCs w:val="32"/>
          <w:lang w:eastAsia="zh-CN"/>
        </w:rPr>
        <w:t>节  提升对外开放合作水平</w:t>
      </w:r>
      <w:bookmarkEnd w:id="128"/>
      <w:bookmarkEnd w:id="129"/>
    </w:p>
    <w:p w14:paraId="12FA7C8B">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坚持内外统筹、全面开放，加大招商引资力度，构建开放型经济新体制，塑造全方位开放新格局</w:t>
      </w:r>
      <w:r>
        <w:rPr>
          <w:rFonts w:hint="eastAsia" w:eastAsia="仿宋_GB2312" w:cs="Times New Roman"/>
          <w:color w:val="auto"/>
          <w:spacing w:val="0"/>
          <w:szCs w:val="24"/>
          <w:lang w:eastAsia="zh-CN"/>
        </w:rPr>
        <w:t>，</w:t>
      </w:r>
      <w:r>
        <w:rPr>
          <w:rFonts w:hint="eastAsia" w:eastAsia="仿宋_GB2312" w:cs="Times New Roman"/>
          <w:color w:val="auto"/>
          <w:spacing w:val="0"/>
          <w:szCs w:val="24"/>
          <w:lang w:val="en-US" w:eastAsia="zh-CN"/>
        </w:rPr>
        <w:t>实现更大范围、更宽领域、更深层次对外开放。</w:t>
      </w:r>
    </w:p>
    <w:p w14:paraId="5A40543A">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一、完善对外开放通道和平台</w:t>
      </w:r>
    </w:p>
    <w:p w14:paraId="71D95FA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color w:val="auto"/>
          <w:spacing w:val="0"/>
          <w:szCs w:val="24"/>
        </w:rPr>
        <w:t>主动服务和融入国家</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一带一路</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val="en-US" w:eastAsia="zh-CN"/>
        </w:rPr>
        <w:t>和云南省面向南亚东南亚辐射中心</w:t>
      </w:r>
      <w:r>
        <w:rPr>
          <w:rFonts w:hint="default" w:ascii="Times New Roman" w:hAnsi="Times New Roman" w:eastAsia="仿宋_GB2312" w:cs="Times New Roman"/>
          <w:color w:val="auto"/>
          <w:spacing w:val="0"/>
          <w:szCs w:val="24"/>
        </w:rPr>
        <w:t>建设，</w:t>
      </w:r>
      <w:r>
        <w:rPr>
          <w:rFonts w:hint="default" w:ascii="Times New Roman" w:hAnsi="Times New Roman" w:eastAsia="仿宋_GB2312" w:cs="Times New Roman"/>
          <w:color w:val="auto"/>
          <w:spacing w:val="0"/>
          <w:szCs w:val="24"/>
          <w:lang w:val="en-US" w:eastAsia="zh-CN"/>
        </w:rPr>
        <w:t>发挥</w:t>
      </w:r>
      <w:r>
        <w:rPr>
          <w:rFonts w:hint="default" w:ascii="Times New Roman" w:hAnsi="Times New Roman" w:eastAsia="仿宋_GB2312" w:cs="Times New Roman"/>
          <w:color w:val="auto"/>
          <w:spacing w:val="0"/>
          <w:szCs w:val="24"/>
        </w:rPr>
        <w:t>区位优势主动融入热区</w:t>
      </w:r>
      <w:r>
        <w:rPr>
          <w:rFonts w:hint="default" w:ascii="Times New Roman" w:hAnsi="Times New Roman" w:eastAsia="仿宋_GB2312" w:cs="Times New Roman"/>
          <w:color w:val="auto"/>
          <w:spacing w:val="0"/>
          <w:szCs w:val="24"/>
          <w:lang w:val="en-US" w:eastAsia="zh-CN"/>
        </w:rPr>
        <w:t>产业</w:t>
      </w:r>
      <w:r>
        <w:rPr>
          <w:rFonts w:hint="default" w:ascii="Times New Roman" w:hAnsi="Times New Roman" w:eastAsia="仿宋_GB2312" w:cs="Times New Roman"/>
          <w:color w:val="auto"/>
          <w:spacing w:val="0"/>
          <w:szCs w:val="24"/>
        </w:rPr>
        <w:t>经济带建设发展。</w:t>
      </w:r>
      <w:r>
        <w:rPr>
          <w:rFonts w:hint="default" w:ascii="Times New Roman" w:hAnsi="Times New Roman" w:eastAsia="仿宋_GB2312" w:cs="Times New Roman"/>
          <w:color w:val="auto"/>
          <w:spacing w:val="0"/>
          <w:szCs w:val="24"/>
          <w:lang w:val="en-US" w:eastAsia="zh-CN"/>
        </w:rPr>
        <w:t>依托</w:t>
      </w:r>
      <w:r>
        <w:rPr>
          <w:rFonts w:hint="default" w:ascii="Times New Roman" w:hAnsi="Times New Roman" w:eastAsia="仿宋_GB2312" w:cs="Times New Roman"/>
          <w:color w:val="auto"/>
          <w:spacing w:val="0"/>
          <w:szCs w:val="24"/>
        </w:rPr>
        <w:t>大戛高速、永金高速、</w:t>
      </w:r>
      <w:r>
        <w:rPr>
          <w:rFonts w:hint="default" w:ascii="Times New Roman" w:hAnsi="Times New Roman" w:eastAsia="仿宋_GB2312" w:cs="Times New Roman"/>
          <w:color w:val="auto"/>
          <w:spacing w:val="0"/>
          <w:szCs w:val="24"/>
          <w:lang w:val="en-US" w:eastAsia="zh-CN"/>
        </w:rPr>
        <w:t>通用</w:t>
      </w:r>
      <w:r>
        <w:rPr>
          <w:rFonts w:hint="default" w:ascii="Times New Roman" w:hAnsi="Times New Roman" w:eastAsia="仿宋_GB2312" w:cs="Times New Roman"/>
          <w:color w:val="auto"/>
          <w:spacing w:val="0"/>
          <w:szCs w:val="24"/>
        </w:rPr>
        <w:t>机场、玉磨铁路</w:t>
      </w:r>
      <w:r>
        <w:rPr>
          <w:rFonts w:hint="default" w:ascii="Times New Roman" w:hAnsi="Times New Roman" w:eastAsia="仿宋_GB2312" w:cs="Times New Roman"/>
          <w:color w:val="auto"/>
          <w:spacing w:val="0"/>
          <w:szCs w:val="24"/>
          <w:lang w:val="en-US" w:eastAsia="zh-CN"/>
        </w:rPr>
        <w:t>等对外开放通道</w:t>
      </w:r>
      <w:r>
        <w:rPr>
          <w:rFonts w:hint="default" w:ascii="Times New Roman" w:hAnsi="Times New Roman" w:eastAsia="仿宋_GB2312" w:cs="Times New Roman"/>
          <w:color w:val="auto"/>
          <w:spacing w:val="0"/>
          <w:szCs w:val="24"/>
        </w:rPr>
        <w:t>建设，加强与玉溪、昆明、红河等地区域协作，促进贸易、投资、制造业、农业、资源等领域合作取得新突破</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实现联动互补发展。加快建设外向型产业基地和进出口商品生产加工基地。统筹推进新平</w:t>
      </w:r>
      <w:r>
        <w:rPr>
          <w:rFonts w:hint="default" w:ascii="Times New Roman" w:hAnsi="Times New Roman" w:eastAsia="仿宋_GB2312" w:cs="Times New Roman"/>
          <w:color w:val="auto"/>
          <w:spacing w:val="0"/>
          <w:szCs w:val="24"/>
          <w:lang w:eastAsia="zh-CN"/>
        </w:rPr>
        <w:t>产</w:t>
      </w:r>
      <w:r>
        <w:rPr>
          <w:rFonts w:hint="default" w:ascii="Times New Roman" w:hAnsi="Times New Roman" w:eastAsia="仿宋_GB2312" w:cs="Times New Roman"/>
          <w:color w:val="auto"/>
          <w:spacing w:val="0"/>
          <w:szCs w:val="24"/>
        </w:rPr>
        <w:t>业园区、斗戛物流园区、大开门大型物流仓储中心、农业园区等各类功能区建设，不断提升各类开发区、产业园区开放合作功能。</w:t>
      </w:r>
    </w:p>
    <w:p w14:paraId="24A99211">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二、加快推动外贸转型升级</w:t>
      </w:r>
    </w:p>
    <w:p w14:paraId="1A7C411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t>用足用活国家、省、市支持外贸发展的出口退税等有关政策，健全完善县级出口奖励政策，</w:t>
      </w:r>
      <w:r>
        <w:rPr>
          <w:rFonts w:hint="default" w:ascii="Times New Roman" w:hAnsi="Times New Roman" w:eastAsia="仿宋_GB2312" w:cs="Times New Roman"/>
          <w:color w:val="auto"/>
          <w:spacing w:val="0"/>
          <w:szCs w:val="24"/>
        </w:rPr>
        <w:t>扩大出口规模。加大对外交流推介，积极组织企业参加南博会、南亚东南亚投资贸易洽谈会、昆交会等推介活动，鼓励企业走出去，积极开拓新兴市场，进一步拓展进出口企业市场渠道。探索发展出口贸易新业态，大力推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互联网+外贸</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w:t>
      </w:r>
      <w:r>
        <w:rPr>
          <w:rFonts w:hint="default" w:ascii="Times New Roman" w:hAnsi="Times New Roman" w:eastAsia="仿宋_GB2312" w:cs="Times New Roman"/>
          <w:color w:val="auto"/>
          <w:spacing w:val="0"/>
          <w:szCs w:val="24"/>
          <w:lang w:eastAsia="zh-CN"/>
        </w:rPr>
        <w:t>盘活电子商务服务公共服务中心，探索电子商务服务中心考核机制，形成县乡村电子商务公共服务体系，大力引导外地电商巨头和本地企业在新平成立电子商务供应链公司，</w:t>
      </w:r>
      <w:r>
        <w:rPr>
          <w:rFonts w:hint="default" w:ascii="Times New Roman" w:hAnsi="Times New Roman" w:eastAsia="仿宋_GB2312" w:cs="Times New Roman"/>
          <w:color w:val="auto"/>
          <w:spacing w:val="0"/>
          <w:szCs w:val="24"/>
        </w:rPr>
        <w:t xml:space="preserve">推动特色农产品通过跨境电商出口。依托褚橙、新平荔枝、新平腌菜等特色农产品品牌，不断延伸产业深加工链条，提高农产品附加值，提升出口农产品质量，增强农产品出口竞争优势。在巩固传统出口产品的基础上，鼓励企业实施产业技术改造和创新，提高出口产品的质量、档次和附加值，积极培育以技术、品牌、质量、服务为核心的出口竞争新优势，加快推进外贸结构向中高端迈进。 </w:t>
      </w:r>
    </w:p>
    <w:p w14:paraId="616074A6">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三、加大招商引资力度</w:t>
      </w:r>
    </w:p>
    <w:p w14:paraId="04A3C500">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坚持以产业园区和龙头企业培育为抓手，实施</w:t>
      </w:r>
      <w:r>
        <w:rPr>
          <w:rFonts w:hint="default" w:ascii="Times New Roman" w:hAnsi="Times New Roman" w:eastAsia="仿宋_GB2312" w:cs="Times New Roman"/>
          <w:color w:val="auto"/>
          <w:spacing w:val="0"/>
          <w:szCs w:val="24"/>
          <w:lang w:val="en-US" w:eastAsia="zh-CN"/>
        </w:rPr>
        <w:t>以商招商、</w:t>
      </w:r>
      <w:r>
        <w:rPr>
          <w:rFonts w:hint="default" w:ascii="Times New Roman" w:hAnsi="Times New Roman" w:eastAsia="仿宋_GB2312" w:cs="Times New Roman"/>
          <w:color w:val="auto"/>
          <w:spacing w:val="0"/>
          <w:szCs w:val="24"/>
        </w:rPr>
        <w:t>全产业链招商和集群招商</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围绕七大产业发展，紧盯国内行业排名前500位的企业</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瞄准热区农业、装备制造业、康养休闲、文化旅游业、商贸物流业、金融保险业等重点产业和玉溪仙福钢铁集团产能置换及改造提升、年产120万吨焦化厂、年产150万吨矿渣微粉生产等</w:t>
      </w:r>
      <w:r>
        <w:rPr>
          <w:rFonts w:hint="default" w:ascii="Times New Roman" w:hAnsi="Times New Roman" w:eastAsia="仿宋_GB2312" w:cs="Times New Roman"/>
          <w:color w:val="auto"/>
          <w:spacing w:val="0"/>
          <w:szCs w:val="24"/>
          <w:lang w:val="en-US" w:eastAsia="zh-CN"/>
        </w:rPr>
        <w:t>重点</w:t>
      </w:r>
      <w:r>
        <w:rPr>
          <w:rFonts w:hint="default" w:ascii="Times New Roman" w:hAnsi="Times New Roman" w:eastAsia="仿宋_GB2312" w:cs="Times New Roman"/>
          <w:color w:val="auto"/>
          <w:spacing w:val="0"/>
          <w:szCs w:val="24"/>
        </w:rPr>
        <w:t>项目开展有针对性的产业招商</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统筹兼顾城市基础设施和公共服务设施建设等重点领域项目招商。建立和完善招商引资成果考核评价体系</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完善招商引资工作联席会议制度和重大项目工作制度，加强招商队伍建设，提高工作人员素质。针对重大项目，建立完善推进机制。严格落实招商引资县级领导负责制，切实提高招商签约项目履约率和资金到位率。</w:t>
      </w:r>
    </w:p>
    <w:p w14:paraId="1C783B03">
      <w:pPr>
        <w:pageBreakBefore w:val="0"/>
        <w:widowControl w:val="0"/>
        <w:kinsoku/>
        <w:wordWrap/>
        <w:overflowPunct/>
        <w:topLinePunct w:val="0"/>
        <w:autoSpaceDN/>
        <w:bidi w:val="0"/>
        <w:ind w:left="0" w:leftChars="0" w:firstLine="0" w:firstLineChars="0"/>
        <w:rPr>
          <w:color w:val="auto"/>
          <w:spacing w:val="0"/>
        </w:rPr>
      </w:pPr>
      <w:r>
        <w:rPr>
          <w:rFonts w:hint="default"/>
          <w:color w:val="auto"/>
          <w:spacing w:val="0"/>
        </w:rPr>
        <w:br w:type="page"/>
      </w:r>
    </w:p>
    <w:p w14:paraId="41230834">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bCs w:val="0"/>
          <w:color w:val="auto"/>
          <w:spacing w:val="0"/>
          <w:kern w:val="2"/>
          <w:sz w:val="36"/>
          <w:szCs w:val="36"/>
          <w:lang w:val="en-US" w:eastAsia="zh-CN"/>
        </w:rPr>
      </w:pPr>
      <w:bookmarkStart w:id="130" w:name="_Toc22166"/>
      <w:bookmarkStart w:id="131" w:name="_Toc2880"/>
      <w:r>
        <w:rPr>
          <w:rFonts w:hint="eastAsia" w:ascii="方正小标宋_GBK" w:hAnsi="方正小标宋_GBK" w:eastAsia="方正小标宋_GBK" w:cs="方正小标宋_GBK"/>
          <w:bCs w:val="0"/>
          <w:color w:val="auto"/>
          <w:spacing w:val="0"/>
          <w:kern w:val="2"/>
          <w:sz w:val="36"/>
          <w:szCs w:val="36"/>
          <w:lang w:val="en-US" w:eastAsia="zh-CN"/>
        </w:rPr>
        <w:t>第十一章  坚持共享共荣，营造社会民生新气象</w:t>
      </w:r>
      <w:bookmarkEnd w:id="130"/>
      <w:bookmarkEnd w:id="131"/>
    </w:p>
    <w:p w14:paraId="4C471AEC">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筑牢民生保障底线，做好普惠性、基础性、兜底性民生建设，加快补齐教育、医疗、社会保障等公共服务短板，</w:t>
      </w:r>
      <w:r>
        <w:rPr>
          <w:rFonts w:hint="eastAsia" w:eastAsia="仿宋_GB2312" w:cs="Times New Roman"/>
          <w:color w:val="auto"/>
          <w:spacing w:val="0"/>
          <w:szCs w:val="24"/>
          <w:lang w:val="en-US" w:eastAsia="zh-CN"/>
        </w:rPr>
        <w:t>推进“幸福新平”建设，不断增强</w:t>
      </w:r>
      <w:r>
        <w:rPr>
          <w:rFonts w:hint="default" w:ascii="Times New Roman" w:hAnsi="Times New Roman" w:eastAsia="仿宋_GB2312" w:cs="Times New Roman"/>
          <w:color w:val="auto"/>
          <w:spacing w:val="0"/>
          <w:szCs w:val="24"/>
        </w:rPr>
        <w:t>人民</w:t>
      </w:r>
      <w:r>
        <w:rPr>
          <w:rFonts w:hint="eastAsia" w:eastAsia="仿宋_GB2312" w:cs="Times New Roman"/>
          <w:color w:val="auto"/>
          <w:spacing w:val="0"/>
          <w:szCs w:val="24"/>
          <w:lang w:val="en-US" w:eastAsia="zh-CN"/>
        </w:rPr>
        <w:t>群众</w:t>
      </w:r>
      <w:r>
        <w:rPr>
          <w:rFonts w:hint="default" w:ascii="Times New Roman" w:hAnsi="Times New Roman" w:eastAsia="仿宋_GB2312" w:cs="Times New Roman"/>
          <w:color w:val="auto"/>
          <w:spacing w:val="0"/>
          <w:szCs w:val="24"/>
        </w:rPr>
        <w:t>获得感幸福感</w:t>
      </w:r>
      <w:r>
        <w:rPr>
          <w:rFonts w:hint="default" w:ascii="Times New Roman" w:hAnsi="Times New Roman" w:eastAsia="仿宋_GB2312" w:cs="Times New Roman"/>
          <w:color w:val="auto"/>
          <w:spacing w:val="0"/>
          <w:szCs w:val="24"/>
          <w:lang w:eastAsia="zh-CN"/>
        </w:rPr>
        <w:t>安全感</w:t>
      </w:r>
      <w:r>
        <w:rPr>
          <w:rFonts w:hint="default" w:ascii="Times New Roman" w:hAnsi="Times New Roman" w:eastAsia="仿宋_GB2312" w:cs="Times New Roman"/>
          <w:color w:val="auto"/>
          <w:spacing w:val="0"/>
          <w:szCs w:val="24"/>
        </w:rPr>
        <w:t>，</w:t>
      </w:r>
      <w:r>
        <w:rPr>
          <w:rFonts w:hint="eastAsia" w:eastAsia="仿宋_GB2312" w:cs="Times New Roman"/>
          <w:color w:val="auto"/>
          <w:spacing w:val="0"/>
          <w:szCs w:val="24"/>
          <w:lang w:val="en-US" w:eastAsia="zh-CN"/>
        </w:rPr>
        <w:t>促进人的全面发展和社会全面进步</w:t>
      </w:r>
      <w:r>
        <w:rPr>
          <w:rFonts w:hint="default" w:ascii="Times New Roman" w:hAnsi="Times New Roman" w:eastAsia="仿宋_GB2312" w:cs="Times New Roman"/>
          <w:color w:val="auto"/>
          <w:spacing w:val="0"/>
          <w:szCs w:val="24"/>
        </w:rPr>
        <w:t>。</w:t>
      </w:r>
    </w:p>
    <w:p w14:paraId="4379C8F8">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132" w:name="_Toc20717"/>
      <w:bookmarkStart w:id="133" w:name="_Toc32025"/>
      <w:r>
        <w:rPr>
          <w:rFonts w:hint="eastAsia" w:ascii="黑体" w:hAnsi="黑体" w:eastAsia="黑体" w:cs="黑体"/>
          <w:b/>
          <w:bCs w:val="0"/>
          <w:color w:val="auto"/>
          <w:spacing w:val="0"/>
          <w:szCs w:val="32"/>
        </w:rPr>
        <w:t>第一节  提高居民收入</w:t>
      </w:r>
      <w:r>
        <w:rPr>
          <w:rFonts w:hint="eastAsia" w:ascii="黑体" w:hAnsi="黑体" w:eastAsia="黑体" w:cs="黑体"/>
          <w:b/>
          <w:bCs w:val="0"/>
          <w:color w:val="auto"/>
          <w:spacing w:val="0"/>
          <w:szCs w:val="32"/>
          <w:lang w:val="en-US" w:eastAsia="zh-CN"/>
        </w:rPr>
        <w:t>水平</w:t>
      </w:r>
      <w:bookmarkEnd w:id="132"/>
      <w:bookmarkEnd w:id="133"/>
    </w:p>
    <w:p w14:paraId="13BE1AF4">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坚持居民收入增长和经济增长同步，持续增加城乡居民收入。增加高质量就业岗位，提高劳动者素质，健全社会工资正常增长机制，提高工资性收入</w:t>
      </w:r>
      <w:r>
        <w:rPr>
          <w:rFonts w:hint="default" w:ascii="Times New Roman" w:hAnsi="Times New Roman" w:eastAsia="仿宋_GB2312" w:cs="Times New Roman"/>
          <w:color w:val="auto"/>
          <w:spacing w:val="0"/>
          <w:szCs w:val="24"/>
          <w:lang w:eastAsia="zh-CN"/>
        </w:rPr>
        <w:t>，完善机关事业单位工资和津补贴制度</w:t>
      </w:r>
      <w:r>
        <w:rPr>
          <w:rFonts w:hint="default" w:ascii="Times New Roman" w:hAnsi="Times New Roman" w:eastAsia="仿宋_GB2312" w:cs="Times New Roman"/>
          <w:color w:val="auto"/>
          <w:spacing w:val="0"/>
          <w:szCs w:val="24"/>
        </w:rPr>
        <w:t>。支持</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大众创业、万众创新</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和小微企业发展，落实税费减免、稳岗补贴等政策，改善营商环境，稳步提高经营性收入。</w:t>
      </w:r>
      <w:r>
        <w:rPr>
          <w:rFonts w:hint="default" w:ascii="Times New Roman" w:hAnsi="Times New Roman" w:eastAsia="仿宋_GB2312" w:cs="Times New Roman"/>
          <w:color w:val="auto"/>
          <w:spacing w:val="0"/>
          <w:szCs w:val="24"/>
          <w:lang w:eastAsia="zh-CN"/>
        </w:rPr>
        <w:t>加快现代化资本市场建设，优化家庭财务结构，释放消费意愿。发展壮大农村集体经济，多渠道增加农村集体和个人分享的增值收益</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股权收益、资产收益。</w:t>
      </w:r>
      <w:r>
        <w:rPr>
          <w:rFonts w:hint="default" w:ascii="Times New Roman" w:hAnsi="Times New Roman" w:eastAsia="仿宋_GB2312" w:cs="Times New Roman"/>
          <w:color w:val="auto"/>
          <w:spacing w:val="0"/>
          <w:szCs w:val="24"/>
        </w:rPr>
        <w:t>扩大社会保障覆盖面，保障困难群体基本生活，持续巩固扩大脱贫成果，切实提高转移性收入，释放消费潜力。实行有利于缩小收入差距的收入再分配政策，明显增加低收入劳动者收入，扩大中等收入者比重。统筹城乡、区域、行业收入分配水平，合理调节收入分配差距。</w:t>
      </w:r>
    </w:p>
    <w:p w14:paraId="6274A93D">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34" w:name="_Toc30086"/>
      <w:bookmarkStart w:id="135" w:name="_Toc28355"/>
      <w:r>
        <w:rPr>
          <w:rFonts w:hint="eastAsia" w:ascii="黑体" w:hAnsi="黑体" w:eastAsia="黑体" w:cs="黑体"/>
          <w:b/>
          <w:bCs w:val="0"/>
          <w:color w:val="auto"/>
          <w:spacing w:val="0"/>
          <w:szCs w:val="32"/>
        </w:rPr>
        <w:t>第二节  稳步提高就业质量</w:t>
      </w:r>
      <w:bookmarkEnd w:id="134"/>
      <w:bookmarkEnd w:id="135"/>
    </w:p>
    <w:p w14:paraId="15DB00A2">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坚持就业优先战略，多渠道扩大就业，完善公共就业服务体系，稳定提高就业率。建立和谐的劳动关系，推行终身职业技能培训制度，促进人力资源良性发展。</w:t>
      </w:r>
    </w:p>
    <w:p w14:paraId="797E88B8">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一、多渠道扩大就业</w:t>
      </w:r>
    </w:p>
    <w:p w14:paraId="439F2258">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实施积极的就业政策，培育各类市场经营主体，拓展现代服务业就业空间，加大</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贷免扶补</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、创业担保贷款等政策帮扶力度，加大对自主创业、灵活就业支持力度，支持发展新就业形态，创造更多灵活就业岗位。实施高校毕业生就业创业促进计划，组织实施大学生村官、</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三支一扶</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等基层服务项目。实施</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云岭全民创业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计划，加快创业孵化平台建设，合力打造农民工返乡创业园，组织开展各类创业培训，以创业带动就业</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加强劳动力转移就业培训和组织化劳务输出，培养劳务经纪人队伍，完善后续跟踪服务。搭建就业扶贫工作平台，提升就业创业服务站和就业扶贫车间服务效能。大规模开展职业技能提升行动培训，培养市场紧缺及高技能人才。强化相对贫困人群、残疾人等重点群体就业帮扶，确保零就业家庭动态清零。积极开发公益性岗位，优先安排就业困难人员。</w:t>
      </w:r>
    </w:p>
    <w:p w14:paraId="0AE1C8C6">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二、完善公共就业服务体系</w:t>
      </w:r>
    </w:p>
    <w:p w14:paraId="1E7DDA24">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打造</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互联网+就业服务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平台，推动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智慧人社</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智慧就业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建设。继续开展</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春风行动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就业援助月</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高校毕业生专场招聘</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民营企业招聘周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等专项活动，加大农村劳动力</w:t>
      </w:r>
      <w:r>
        <w:rPr>
          <w:rFonts w:hint="default" w:ascii="Times New Roman" w:hAnsi="Times New Roman" w:eastAsia="仿宋_GB2312" w:cs="Times New Roman"/>
          <w:color w:val="auto"/>
          <w:spacing w:val="0"/>
          <w:szCs w:val="24"/>
          <w:lang w:eastAsia="zh-CN"/>
        </w:rPr>
        <w:t>向</w:t>
      </w:r>
      <w:r>
        <w:rPr>
          <w:rFonts w:hint="default" w:ascii="Times New Roman" w:hAnsi="Times New Roman" w:eastAsia="仿宋_GB2312" w:cs="Times New Roman"/>
          <w:color w:val="auto"/>
          <w:spacing w:val="0"/>
          <w:szCs w:val="24"/>
        </w:rPr>
        <w:t>省外转移。积极发挥产业资源优势，推动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互联网+互创空间</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生态营运模式及众创空间良性运营。持续推进一县一品创业帮扶精品工程和农村电商就业创业服务平台建设工程。创造更多中高级岗位，畅通企事业单位职员晋升渠道。强化实名制用工及劳动合同监管，建立健全农民工工资专用账户，推行银行代发工资制度落实，根治欠薪现象。提高劳动人事争议处理效能，推进调解仲裁规范化、标准化、专业化、信息化建设。</w:t>
      </w:r>
    </w:p>
    <w:p w14:paraId="726EA7A3">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三、推行终身职业技能培训制度</w:t>
      </w:r>
    </w:p>
    <w:p w14:paraId="6D6CB3C2">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逐步构建覆盖全体、贯穿终身的劳动者评价体系和职业培训制度。组织开展企事业单位专业技术人员和管理人员继续教育培训。继续实施农民工等就业群体的免费职业技能培训计划，提高劳动者素质。加快职业技能实训基地、创业孵化基地、农村电商基地建设。大力开展紧缺职业技能培训，全面推行企业新型学徒制培训，实行师徒结对、一人一策培养。在职业院校启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学历证书+若干职业技能等级证书</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制度试点。建立基于互联网的职业技能培训公共服务平台，提升技能培训信息化水平。</w:t>
      </w:r>
    </w:p>
    <w:p w14:paraId="4C4D4C37">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36" w:name="_Toc22990"/>
      <w:bookmarkStart w:id="137" w:name="_Toc24595"/>
      <w:r>
        <w:rPr>
          <w:rFonts w:hint="eastAsia" w:ascii="黑体" w:hAnsi="黑体" w:eastAsia="黑体" w:cs="黑体"/>
          <w:b/>
          <w:bCs w:val="0"/>
          <w:color w:val="auto"/>
          <w:spacing w:val="0"/>
          <w:szCs w:val="32"/>
        </w:rPr>
        <w:t>第三节  推进教育现代化</w:t>
      </w:r>
      <w:bookmarkEnd w:id="136"/>
      <w:bookmarkEnd w:id="137"/>
    </w:p>
    <w:p w14:paraId="1A7879B4">
      <w:pPr>
        <w:pageBreakBefore w:val="0"/>
        <w:widowControl w:val="0"/>
        <w:kinsoku/>
        <w:wordWrap/>
        <w:overflowPunct/>
        <w:topLinePunct w:val="0"/>
        <w:autoSpaceDN/>
        <w:bidi w:val="0"/>
        <w:rPr>
          <w:rFonts w:hint="default" w:ascii="Times New Roman" w:hAnsi="Times New Roman" w:cs="Times New Roman"/>
          <w:color w:val="auto"/>
          <w:spacing w:val="0"/>
          <w:szCs w:val="24"/>
        </w:rPr>
      </w:pPr>
      <w:r>
        <w:rPr>
          <w:rFonts w:hint="default" w:ascii="Times New Roman" w:hAnsi="Times New Roman" w:eastAsia="仿宋_GB2312" w:cs="Times New Roman"/>
          <w:color w:val="auto"/>
          <w:spacing w:val="0"/>
          <w:szCs w:val="24"/>
        </w:rPr>
        <w:t>坚持教育优先发展战略，统筹教育资源，推动教育公平和人的全面发展，提高教学质量，实现更高水平的教育普及和现代化。到202</w:t>
      </w:r>
      <w:r>
        <w:rPr>
          <w:rFonts w:hint="default" w:ascii="Times New Roman" w:hAnsi="Times New Roman" w:eastAsia="仿宋_GB2312" w:cs="Times New Roman"/>
          <w:color w:val="auto"/>
          <w:spacing w:val="0"/>
          <w:szCs w:val="24"/>
          <w:lang w:val="en-US" w:eastAsia="zh-CN"/>
        </w:rPr>
        <w:t>5</w:t>
      </w:r>
      <w:r>
        <w:rPr>
          <w:rFonts w:hint="default" w:ascii="Times New Roman" w:hAnsi="Times New Roman" w:eastAsia="仿宋_GB2312" w:cs="Times New Roman"/>
          <w:color w:val="auto"/>
          <w:spacing w:val="0"/>
          <w:szCs w:val="24"/>
        </w:rPr>
        <w:t>年，教育发展综合水平</w:t>
      </w:r>
      <w:r>
        <w:rPr>
          <w:rFonts w:hint="default" w:ascii="Times New Roman" w:hAnsi="Times New Roman" w:eastAsia="仿宋_GB2312" w:cs="Times New Roman"/>
          <w:color w:val="auto"/>
          <w:spacing w:val="0"/>
          <w:szCs w:val="24"/>
          <w:lang w:eastAsia="zh-CN"/>
        </w:rPr>
        <w:t>走在全市前列，</w:t>
      </w:r>
      <w:r>
        <w:rPr>
          <w:rFonts w:hint="default" w:ascii="Times New Roman" w:hAnsi="Times New Roman" w:eastAsia="仿宋_GB2312" w:cs="Times New Roman"/>
          <w:color w:val="auto"/>
          <w:spacing w:val="0"/>
          <w:szCs w:val="24"/>
        </w:rPr>
        <w:t>力争</w:t>
      </w:r>
      <w:r>
        <w:rPr>
          <w:rFonts w:hint="default" w:ascii="Times New Roman" w:hAnsi="Times New Roman" w:eastAsia="仿宋_GB2312" w:cs="Times New Roman"/>
          <w:color w:val="auto"/>
          <w:spacing w:val="0"/>
          <w:szCs w:val="24"/>
          <w:lang w:val="en-US" w:eastAsia="zh-CN"/>
        </w:rPr>
        <w:t>2023年</w:t>
      </w:r>
      <w:r>
        <w:rPr>
          <w:rFonts w:hint="default" w:ascii="Times New Roman" w:hAnsi="Times New Roman" w:eastAsia="仿宋_GB2312" w:cs="Times New Roman"/>
          <w:color w:val="auto"/>
          <w:spacing w:val="0"/>
          <w:szCs w:val="24"/>
        </w:rPr>
        <w:t>进入全市县市区前三位。</w:t>
      </w:r>
    </w:p>
    <w:p w14:paraId="182AC532">
      <w:pPr>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color w:val="auto"/>
          <w:spacing w:val="0"/>
          <w:lang w:eastAsia="zh-CN"/>
        </w:rPr>
      </w:pPr>
      <w:r>
        <w:rPr>
          <w:rFonts w:hint="eastAsia" w:ascii="黑体" w:hAnsi="黑体" w:eastAsia="黑体" w:cs="黑体"/>
          <w:b w:val="0"/>
          <w:bCs w:val="0"/>
          <w:color w:val="auto"/>
          <w:spacing w:val="0"/>
        </w:rPr>
        <w:t>一</w:t>
      </w:r>
      <w:r>
        <w:rPr>
          <w:rFonts w:hint="eastAsia" w:ascii="黑体" w:hAnsi="黑体" w:eastAsia="黑体" w:cs="黑体"/>
          <w:b w:val="0"/>
          <w:bCs w:val="0"/>
          <w:color w:val="auto"/>
          <w:spacing w:val="0"/>
          <w:szCs w:val="22"/>
        </w:rPr>
        <w:t>、加快学前教育普及普惠</w:t>
      </w:r>
    </w:p>
    <w:p w14:paraId="716DD151">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推进</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一村一幼</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建设，大力发展公办幼儿园，推动优质教育资源向农村延伸；推进民办学校分类登记管理，规范民办幼儿园办园行为和保教质量，支持民办普惠幼儿园发展；实施学前教育规范提升计划，推进等级幼儿园创建；深入探索城区幼儿园托管乡镇中心园、公办园辐射带动辖区民办园及一村一幼的管理机制，推行集团化连锁化办园、强弱结对帮扶等模式，提升学前教育质量，实现学前教育城乡发展一体化。到2025年，全县学前三年教育毛入园率达到90%以上。</w:t>
      </w:r>
    </w:p>
    <w:p w14:paraId="431C47A4">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二、推进义务教育优质均衡发展</w:t>
      </w:r>
    </w:p>
    <w:p w14:paraId="6C188D42">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统筹优化县域内初中、小学布局，加强城区及周边学校建设，全面改善义务教育薄弱学校基本办学条件，改善教学及辅助用房、学生宿舍、运动场地设施，完成新平一小、戛洒一中、漠沙中心小学等学校新改建项目，推进学校标准化建设。继续实行农村义务教育学生营养改善计划和困难学生生活补助。积极推行学区制、集团化办学、联合办学、九年一贯制等教育教学管理体制改革，加强中小学数字校园、智慧校园打造提升，普及教育信息化助力教育教学质量提升；推进高效课堂建设，推行分层分类走班教学，以导学案编修使用、</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126</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课堂教学改革、学科竞赛等措施，促进师生教学理念转化，强化能力培养，提高学生综合素质；实施义务教育创优提质工程，开展教育论坛，加强课题研究，探索幼小、小初教育衔接，全面加强体育、音乐、美术、综合实践活动等学科建设；发挥政府、学校、家庭、民政、共青团、妇联和社区等合力消除辍学现象。到2025年，九年义务教育巩固率达到97%以上。</w:t>
      </w:r>
    </w:p>
    <w:p w14:paraId="231EE453">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三、推进普高教育优质发展</w:t>
      </w:r>
    </w:p>
    <w:p w14:paraId="390A4549">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lang w:eastAsia="zh-CN"/>
        </w:rPr>
        <w:t>加大投入</w:t>
      </w:r>
      <w:r>
        <w:rPr>
          <w:rFonts w:hint="default" w:ascii="Times New Roman" w:hAnsi="Times New Roman" w:eastAsia="仿宋_GB2312" w:cs="Times New Roman"/>
          <w:color w:val="auto"/>
          <w:spacing w:val="0"/>
          <w:szCs w:val="24"/>
        </w:rPr>
        <w:t>改善办学条件</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实施完成</w:t>
      </w:r>
      <w:r>
        <w:rPr>
          <w:rFonts w:hint="default" w:ascii="Times New Roman" w:hAnsi="Times New Roman" w:eastAsia="仿宋_GB2312" w:cs="Times New Roman"/>
          <w:color w:val="auto"/>
          <w:spacing w:val="0"/>
          <w:szCs w:val="24"/>
          <w:lang w:eastAsia="zh-CN"/>
        </w:rPr>
        <w:t>新平</w:t>
      </w:r>
      <w:r>
        <w:rPr>
          <w:rFonts w:hint="default" w:ascii="Times New Roman" w:hAnsi="Times New Roman" w:eastAsia="仿宋_GB2312" w:cs="Times New Roman"/>
          <w:color w:val="auto"/>
          <w:spacing w:val="0"/>
          <w:szCs w:val="24"/>
        </w:rPr>
        <w:t>一中、三中扩建，加强实验实习设备配备</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实施普通高中提升计划，积极探索高中教育集团化办学模式</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深入推进普通高中课程改革，提高课堂教学和高考质量</w:t>
      </w:r>
      <w:r>
        <w:rPr>
          <w:rFonts w:hint="default" w:ascii="Times New Roman" w:hAnsi="Times New Roman" w:eastAsia="仿宋_GB2312" w:cs="Times New Roman"/>
          <w:color w:val="auto"/>
          <w:spacing w:val="0"/>
          <w:szCs w:val="24"/>
          <w:lang w:eastAsia="zh-CN"/>
        </w:rPr>
        <w:t>；与玉溪一中等名校捆绑，推进新平一中文化、艺体双提升，</w:t>
      </w:r>
      <w:r>
        <w:rPr>
          <w:rFonts w:hint="default" w:ascii="Times New Roman" w:hAnsi="Times New Roman" w:eastAsia="仿宋_GB2312" w:cs="Times New Roman"/>
          <w:color w:val="auto"/>
          <w:spacing w:val="0"/>
          <w:szCs w:val="24"/>
        </w:rPr>
        <w:t>盘活新平三中（衡水实验中学）教育教学资源，</w:t>
      </w:r>
      <w:r>
        <w:rPr>
          <w:rFonts w:hint="default" w:ascii="Times New Roman" w:hAnsi="Times New Roman" w:eastAsia="仿宋_GB2312" w:cs="Times New Roman"/>
          <w:color w:val="auto"/>
          <w:spacing w:val="0"/>
          <w:szCs w:val="24"/>
          <w:lang w:eastAsia="zh-CN"/>
        </w:rPr>
        <w:t>打造优质民办高中，完善</w:t>
      </w:r>
      <w:r>
        <w:rPr>
          <w:rFonts w:hint="default" w:ascii="Times New Roman" w:hAnsi="Times New Roman" w:eastAsia="仿宋_GB2312" w:cs="Times New Roman"/>
          <w:color w:val="auto"/>
          <w:spacing w:val="0"/>
          <w:szCs w:val="24"/>
        </w:rPr>
        <w:t>新平县职业高级中学教学互通机制，充分利用中等职业教育办学资源，</w:t>
      </w:r>
      <w:r>
        <w:rPr>
          <w:rFonts w:hint="default" w:ascii="Times New Roman" w:hAnsi="Times New Roman" w:eastAsia="仿宋_GB2312" w:cs="Times New Roman"/>
          <w:color w:val="auto"/>
          <w:spacing w:val="0"/>
          <w:szCs w:val="24"/>
          <w:lang w:eastAsia="zh-CN"/>
        </w:rPr>
        <w:t>扩大招生规模、普及高中教育，促进新平一中、三中、新平职中</w:t>
      </w:r>
      <w:r>
        <w:rPr>
          <w:rFonts w:hint="default" w:ascii="Times New Roman" w:hAnsi="Times New Roman" w:eastAsia="仿宋_GB2312" w:cs="Times New Roman"/>
          <w:color w:val="auto"/>
          <w:spacing w:val="0"/>
          <w:szCs w:val="24"/>
        </w:rPr>
        <w:t>优质化、特色化、多元化发展。</w:t>
      </w:r>
      <w:r>
        <w:rPr>
          <w:rFonts w:hint="default" w:ascii="Times New Roman" w:hAnsi="Times New Roman" w:eastAsia="仿宋_GB2312" w:cs="Times New Roman"/>
          <w:color w:val="auto"/>
          <w:spacing w:val="0"/>
          <w:szCs w:val="24"/>
          <w:lang w:eastAsia="zh-CN"/>
        </w:rPr>
        <w:t>认真做好学生资助工作，</w:t>
      </w:r>
      <w:r>
        <w:rPr>
          <w:rFonts w:hint="default" w:ascii="Times New Roman" w:hAnsi="Times New Roman" w:eastAsia="仿宋_GB2312" w:cs="Times New Roman"/>
          <w:color w:val="auto"/>
          <w:spacing w:val="0"/>
          <w:szCs w:val="24"/>
        </w:rPr>
        <w:t>免除家庭经济困难学生普通高中学杂费。到2025年，高中阶段毛入学率达到9</w:t>
      </w:r>
      <w:r>
        <w:rPr>
          <w:rFonts w:hint="default" w:ascii="Times New Roman" w:hAnsi="Times New Roman" w:eastAsia="仿宋_GB2312" w:cs="Times New Roman"/>
          <w:color w:val="auto"/>
          <w:spacing w:val="0"/>
          <w:szCs w:val="24"/>
          <w:lang w:val="en-US" w:eastAsia="zh-CN"/>
        </w:rPr>
        <w:t>5</w:t>
      </w:r>
      <w:r>
        <w:rPr>
          <w:rFonts w:hint="default" w:ascii="Times New Roman" w:hAnsi="Times New Roman" w:eastAsia="仿宋_GB2312" w:cs="Times New Roman"/>
          <w:color w:val="auto"/>
          <w:spacing w:val="0"/>
          <w:szCs w:val="24"/>
        </w:rPr>
        <w:t>%以上。</w:t>
      </w:r>
    </w:p>
    <w:p w14:paraId="7174918B">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四、推进职业教育产教融合发展</w:t>
      </w:r>
    </w:p>
    <w:p w14:paraId="5FBC2624">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t>依托市职教集团开展合作办学，打造县职业高级中学特色骨干专业，建立选择性课程体系，开展校本课程建设。推进产教融合、校企合作，推行现代学徒制，形成校企联合招生、联合培养、一体化育人的新模式。完善职业教育对口帮扶机制，积极与东中部地区职业院校合作。建立校企师资互通机制，建设</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双师</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型教师队伍。实施乡村振兴战略教育行动，扩大农村职业教育培训覆盖面。推动普通高中学生向职业学校分流，拓宽普职融通渠道。扩大职业学校招生规模，实现职普招生大体相当的基本目标。</w:t>
      </w:r>
    </w:p>
    <w:p w14:paraId="759F4CE3">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五、构建多元教育服务体系</w:t>
      </w:r>
    </w:p>
    <w:p w14:paraId="22FA17BF">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推动普通教育、成人教育、职业教育</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三教统筹</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，学校、企业、社会相互融合的教育模式，推动全县人力资源素质持续提升。优化特殊教育服务，组织实施特殊教育提升计划</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建立普通教育学校三残儿童少年随班就读办法和保障机制</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积极发展残疾儿童学前教育，大力发展以职业教育为主的残疾人高中阶段教育。健全学校家庭社会协同育人机制</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建立家长学校或家庭教育指导服务点，逐步建立家长系统化培训制度，提高家长实施家庭教育能力。</w:t>
      </w:r>
    </w:p>
    <w:p w14:paraId="5AB09933">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六、加强教师队伍建设和管理</w:t>
      </w:r>
    </w:p>
    <w:p w14:paraId="6A20795D">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健全完善教师补充机制和新任教师公开招聘制度。推进教师</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县管校用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改革，实行教师无校籍管理，逐步实现县域内教师合理流动。建立校际间师资编制动态均衡调剂制度，优化学校教师专业结构，向农村偏远地区倾斜教师配备。实施教师全员培训工程，开展骨干教师培训、</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万名校长培训计划</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等培训项目</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实施</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中小学名师培养工程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后备干部培训计划</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，大力培养高素质专业化中小学教师。完善教师评价及教师职称制度，推动教师职务（职称）评审与岗位聘用有机结合。保障教师工资待遇</w:t>
      </w:r>
      <w:r>
        <w:rPr>
          <w:rFonts w:hint="default" w:ascii="Times New Roman" w:hAnsi="Times New Roman" w:eastAsia="仿宋_GB2312" w:cs="Times New Roman"/>
          <w:color w:val="auto"/>
          <w:spacing w:val="0"/>
          <w:szCs w:val="24"/>
          <w:lang w:eastAsia="zh-CN"/>
        </w:rPr>
        <w:t>，实现教师平均工资水平不低于或者高于国家公务员的平均工资水平并逐步提高</w:t>
      </w:r>
      <w:r>
        <w:rPr>
          <w:rFonts w:hint="default" w:ascii="Times New Roman" w:hAnsi="Times New Roman" w:eastAsia="仿宋_GB2312" w:cs="Times New Roman"/>
          <w:color w:val="auto"/>
          <w:spacing w:val="0"/>
          <w:szCs w:val="24"/>
        </w:rPr>
        <w:t>。补强薄弱地区教师短板，深入实施乡村教师支持计划、银龄讲学计划。加强师德师风建设，健全教师政治理论学习制度。</w:t>
      </w:r>
    </w:p>
    <w:tbl>
      <w:tblPr>
        <w:tblStyle w:val="32"/>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4"/>
      </w:tblGrid>
      <w:tr w14:paraId="2788F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4" w:type="dxa"/>
            <w:tcBorders>
              <w:top w:val="single" w:color="4F81BD" w:sz="8" w:space="0"/>
              <w:left w:val="single" w:color="4F81BD" w:sz="8" w:space="0"/>
              <w:bottom w:val="single" w:color="4F81BD" w:sz="8" w:space="0"/>
              <w:right w:val="single" w:color="4F81BD" w:sz="8" w:space="0"/>
            </w:tcBorders>
            <w:shd w:val="clear" w:color="auto" w:fill="4F81BD"/>
          </w:tcPr>
          <w:p w14:paraId="72DC499D">
            <w:pPr>
              <w:pageBreakBefore w:val="0"/>
              <w:widowControl w:val="0"/>
              <w:kinsoku/>
              <w:wordWrap/>
              <w:overflowPunct/>
              <w:topLinePunct w:val="0"/>
              <w:autoSpaceDN/>
              <w:bidi w:val="0"/>
              <w:spacing w:line="500" w:lineRule="exact"/>
              <w:ind w:firstLine="0" w:firstLineChars="0"/>
              <w:jc w:val="center"/>
              <w:rPr>
                <w:rFonts w:hint="default" w:ascii="Times New Roman" w:hAnsi="Times New Roman" w:eastAsia="仿宋_GB2312" w:cs="Times New Roman"/>
                <w:color w:val="auto"/>
                <w:spacing w:val="0"/>
                <w:kern w:val="0"/>
                <w:sz w:val="28"/>
                <w:szCs w:val="32"/>
                <w:lang w:val="zh-CN" w:bidi="zh-CN"/>
              </w:rPr>
            </w:pPr>
            <w:r>
              <w:rPr>
                <w:rFonts w:hint="default" w:ascii="Times New Roman" w:hAnsi="Times New Roman" w:eastAsia="仿宋_GB2312" w:cs="Times New Roman"/>
                <w:b/>
                <w:bCs/>
                <w:color w:val="auto"/>
                <w:spacing w:val="0"/>
                <w:kern w:val="0"/>
                <w:sz w:val="28"/>
                <w:szCs w:val="32"/>
                <w:lang w:val="zh-CN" w:bidi="zh-CN"/>
              </w:rPr>
              <w:t>专栏</w:t>
            </w:r>
            <w:r>
              <w:rPr>
                <w:rFonts w:hint="default" w:ascii="Times New Roman" w:hAnsi="Times New Roman" w:eastAsia="仿宋_GB2312" w:cs="Times New Roman"/>
                <w:b/>
                <w:bCs/>
                <w:color w:val="auto"/>
                <w:spacing w:val="0"/>
                <w:kern w:val="0"/>
                <w:sz w:val="28"/>
                <w:szCs w:val="32"/>
                <w:lang w:bidi="zh-CN"/>
              </w:rPr>
              <w:t>2</w:t>
            </w:r>
            <w:r>
              <w:rPr>
                <w:rFonts w:hint="default" w:ascii="Times New Roman" w:hAnsi="Times New Roman" w:eastAsia="仿宋_GB2312" w:cs="Times New Roman"/>
                <w:b/>
                <w:bCs/>
                <w:color w:val="auto"/>
                <w:spacing w:val="0"/>
                <w:kern w:val="0"/>
                <w:sz w:val="28"/>
                <w:szCs w:val="32"/>
                <w:lang w:val="en-US" w:bidi="zh-CN"/>
              </w:rPr>
              <w:t>0</w:t>
            </w:r>
            <w:r>
              <w:rPr>
                <w:rFonts w:hint="default" w:ascii="Times New Roman" w:hAnsi="Times New Roman" w:eastAsia="仿宋_GB2312" w:cs="Times New Roman"/>
                <w:b/>
                <w:bCs/>
                <w:color w:val="auto"/>
                <w:spacing w:val="0"/>
                <w:kern w:val="0"/>
                <w:sz w:val="28"/>
                <w:szCs w:val="32"/>
                <w:lang w:val="zh-CN" w:bidi="zh-CN"/>
              </w:rPr>
              <w:t xml:space="preserve"> </w:t>
            </w:r>
            <w:r>
              <w:rPr>
                <w:rFonts w:hint="default" w:ascii="Times New Roman" w:hAnsi="Times New Roman" w:eastAsia="仿宋_GB2312" w:cs="Times New Roman"/>
                <w:b/>
                <w:bCs/>
                <w:color w:val="auto"/>
                <w:spacing w:val="0"/>
                <w:kern w:val="0"/>
                <w:sz w:val="28"/>
                <w:szCs w:val="32"/>
                <w:lang w:bidi="zh-CN"/>
              </w:rPr>
              <w:t xml:space="preserve"> </w:t>
            </w:r>
            <w:r>
              <w:rPr>
                <w:rFonts w:hint="default" w:ascii="Times New Roman" w:hAnsi="Times New Roman" w:eastAsia="仿宋_GB2312" w:cs="Times New Roman"/>
                <w:b/>
                <w:bCs/>
                <w:color w:val="auto"/>
                <w:spacing w:val="0"/>
                <w:kern w:val="0"/>
                <w:sz w:val="28"/>
                <w:szCs w:val="32"/>
                <w:lang w:val="zh-CN" w:bidi="zh-CN"/>
              </w:rPr>
              <w:t>教育普及和现代化建设工程</w:t>
            </w:r>
          </w:p>
        </w:tc>
      </w:tr>
      <w:tr w14:paraId="4171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4" w:type="dxa"/>
            <w:tcBorders>
              <w:top w:val="single" w:color="4F81BD" w:sz="8" w:space="0"/>
              <w:left w:val="single" w:color="4F81BD" w:sz="8" w:space="0"/>
              <w:bottom w:val="single" w:color="4F81BD" w:sz="8" w:space="0"/>
              <w:right w:val="single" w:color="4F81BD" w:sz="8" w:space="0"/>
            </w:tcBorders>
            <w:shd w:val="clear" w:color="auto" w:fill="FFFFFF"/>
          </w:tcPr>
          <w:p w14:paraId="6974DC45">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kern w:val="0"/>
                <w:sz w:val="28"/>
                <w:szCs w:val="32"/>
                <w:lang w:val="zh-CN" w:bidi="zh-CN"/>
              </w:rPr>
            </w:pPr>
            <w:r>
              <w:rPr>
                <w:rFonts w:hint="default" w:ascii="Times New Roman" w:hAnsi="Times New Roman" w:eastAsia="仿宋_GB2312" w:cs="Times New Roman"/>
                <w:b/>
                <w:bCs/>
                <w:color w:val="auto"/>
                <w:spacing w:val="0"/>
                <w:kern w:val="0"/>
                <w:sz w:val="28"/>
                <w:szCs w:val="32"/>
                <w:lang w:val="zh-CN" w:bidi="zh-CN"/>
              </w:rPr>
              <w:t>优化教育布局。</w:t>
            </w:r>
            <w:r>
              <w:rPr>
                <w:rFonts w:hint="default" w:ascii="Times New Roman" w:hAnsi="Times New Roman" w:eastAsia="仿宋_GB2312" w:cs="Times New Roman"/>
                <w:bCs/>
                <w:color w:val="auto"/>
                <w:spacing w:val="0"/>
                <w:kern w:val="0"/>
                <w:sz w:val="28"/>
                <w:szCs w:val="32"/>
                <w:lang w:val="zh-CN" w:bidi="zh-CN"/>
              </w:rPr>
              <w:t>按照</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优化布局、扩大规模、集中办学、提高质量</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的总体要求，高中集中办到县城，小学集中办到乡镇、学区，幼儿园办到乡镇或村委会。至2025年小学从现有的92所撤并到39所，其中扩建11所，新建3所；保留现有12所初级中学，扩建10所；保留扩建现有高中2所、职业高中1所；幼儿园撤销3所，保留82所，新建2所公办幼儿园，新建民办幼儿园1所，扩建幼儿园1所。</w:t>
            </w:r>
          </w:p>
          <w:p w14:paraId="282E29AD">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kern w:val="0"/>
                <w:sz w:val="28"/>
                <w:szCs w:val="32"/>
                <w:lang w:val="zh-CN" w:bidi="zh-CN"/>
              </w:rPr>
            </w:pPr>
            <w:r>
              <w:rPr>
                <w:rFonts w:hint="default" w:ascii="Times New Roman" w:hAnsi="Times New Roman" w:eastAsia="仿宋_GB2312" w:cs="Times New Roman"/>
                <w:b/>
                <w:color w:val="auto"/>
                <w:spacing w:val="0"/>
                <w:kern w:val="0"/>
                <w:sz w:val="28"/>
                <w:szCs w:val="32"/>
                <w:lang w:val="zh-CN" w:bidi="zh-CN"/>
              </w:rPr>
              <w:t>振兴民族教育。</w:t>
            </w:r>
            <w:r>
              <w:rPr>
                <w:rFonts w:hint="default" w:ascii="Times New Roman" w:hAnsi="Times New Roman" w:eastAsia="仿宋_GB2312" w:cs="Times New Roman"/>
                <w:bCs/>
                <w:color w:val="auto"/>
                <w:spacing w:val="0"/>
                <w:kern w:val="0"/>
                <w:sz w:val="28"/>
                <w:szCs w:val="32"/>
                <w:lang w:val="zh-CN" w:bidi="zh-CN"/>
              </w:rPr>
              <w:t>阻断民族地区贫困代际传递，招聘少数民族教师到民族地区实施双语教学，引进</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美丽中国</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支教项目，选派少数民族教师到外省、外市跟班培训，完善民族教育工作。</w:t>
            </w:r>
          </w:p>
          <w:p w14:paraId="1A554DB3">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kern w:val="0"/>
                <w:sz w:val="28"/>
                <w:szCs w:val="32"/>
                <w:lang w:val="zh-CN" w:bidi="zh-CN"/>
              </w:rPr>
            </w:pPr>
            <w:r>
              <w:rPr>
                <w:rFonts w:hint="default" w:ascii="Times New Roman" w:hAnsi="Times New Roman" w:eastAsia="仿宋_GB2312" w:cs="Times New Roman"/>
                <w:b/>
                <w:bCs/>
                <w:color w:val="auto"/>
                <w:spacing w:val="0"/>
                <w:kern w:val="0"/>
                <w:sz w:val="28"/>
                <w:szCs w:val="32"/>
                <w:lang w:val="zh-CN" w:bidi="zh-CN"/>
              </w:rPr>
              <w:t>教育信息化工程。</w:t>
            </w:r>
            <w:r>
              <w:rPr>
                <w:rFonts w:hint="default" w:ascii="Times New Roman" w:hAnsi="Times New Roman" w:eastAsia="仿宋_GB2312" w:cs="Times New Roman"/>
                <w:bCs/>
                <w:color w:val="auto"/>
                <w:spacing w:val="0"/>
                <w:kern w:val="0"/>
                <w:sz w:val="28"/>
                <w:szCs w:val="32"/>
                <w:lang w:val="zh-CN" w:bidi="zh-CN"/>
              </w:rPr>
              <w:t>依托拟建设的县级教育数据中心，形成覆盖学前教育、义务教育、普通高中阶段教育的全学科</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校本资源库</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。大力推进智慧校园建设，探索基于大数据分析与应用下的学校管理途径方法。</w:t>
            </w:r>
          </w:p>
        </w:tc>
      </w:tr>
    </w:tbl>
    <w:p w14:paraId="61D3C1B3">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eastAsia="zh-CN"/>
        </w:rPr>
      </w:pPr>
      <w:bookmarkStart w:id="138" w:name="_Toc20457"/>
      <w:bookmarkStart w:id="139" w:name="_Toc9579"/>
      <w:r>
        <w:rPr>
          <w:rFonts w:hint="default" w:ascii="黑体" w:hAnsi="黑体" w:eastAsia="黑体" w:cs="黑体"/>
          <w:b/>
          <w:bCs w:val="0"/>
          <w:color w:val="auto"/>
          <w:spacing w:val="0"/>
          <w:szCs w:val="32"/>
        </w:rPr>
        <w:t>第四节  加快建设</w:t>
      </w:r>
      <w:r>
        <w:rPr>
          <w:rFonts w:hint="eastAsia" w:ascii="黑体" w:hAnsi="黑体" w:eastAsia="黑体" w:cs="黑体"/>
          <w:b/>
          <w:bCs w:val="0"/>
          <w:color w:val="auto"/>
          <w:spacing w:val="0"/>
          <w:szCs w:val="32"/>
          <w:lang w:eastAsia="zh-CN"/>
        </w:rPr>
        <w:t>“</w:t>
      </w:r>
      <w:r>
        <w:rPr>
          <w:rFonts w:hint="default" w:ascii="黑体" w:hAnsi="黑体" w:eastAsia="黑体" w:cs="黑体"/>
          <w:b/>
          <w:bCs w:val="0"/>
          <w:color w:val="auto"/>
          <w:spacing w:val="0"/>
          <w:szCs w:val="32"/>
        </w:rPr>
        <w:t>健康新平</w:t>
      </w:r>
      <w:bookmarkEnd w:id="138"/>
      <w:bookmarkEnd w:id="139"/>
      <w:r>
        <w:rPr>
          <w:rFonts w:hint="eastAsia" w:ascii="黑体" w:hAnsi="黑体" w:eastAsia="黑体" w:cs="黑体"/>
          <w:b/>
          <w:bCs w:val="0"/>
          <w:color w:val="auto"/>
          <w:spacing w:val="0"/>
          <w:szCs w:val="32"/>
          <w:lang w:eastAsia="zh-CN"/>
        </w:rPr>
        <w:t>”</w:t>
      </w:r>
    </w:p>
    <w:p w14:paraId="08488323">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全面实施</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健康新平</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战略，持续深化医药卫生体制机制改革，</w:t>
      </w:r>
      <w:r>
        <w:rPr>
          <w:rFonts w:hint="default" w:ascii="Times New Roman" w:hAnsi="Times New Roman" w:eastAsia="仿宋_GB2312" w:cs="Times New Roman"/>
          <w:color w:val="auto"/>
          <w:spacing w:val="0"/>
          <w:szCs w:val="24"/>
          <w:lang w:eastAsia="zh-CN"/>
        </w:rPr>
        <w:t>提升医疗卫生服务能力</w:t>
      </w:r>
      <w:r>
        <w:rPr>
          <w:rFonts w:hint="default" w:ascii="Times New Roman" w:hAnsi="Times New Roman" w:eastAsia="仿宋_GB2312" w:cs="Times New Roman"/>
          <w:color w:val="auto"/>
          <w:spacing w:val="0"/>
          <w:szCs w:val="24"/>
        </w:rPr>
        <w:t>，推进人口长期均衡发展。</w:t>
      </w:r>
    </w:p>
    <w:p w14:paraId="750E8E17">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一、全力构建健康管理服务新格局</w:t>
      </w:r>
    </w:p>
    <w:p w14:paraId="2C4F2CF1">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着力普及健康生活、优化健康服务、完善健康保障、建设健康环境、发展健康产业，全方位、全周期保障人民健康。推动医疗服务由医疗中心向以疾病预防和健康促进为中心转变。加快建立县、乡镇（街道）、村三级健康管理服务网络，在医共体的基础上组建健康管理联合体，对高血压、高血糖、高血脂、超重肥胖、心理危机等高危因素开展专项干预。大力推进居民自我健康管理，加快推进家庭医生签约服务。深入实施健康管理师、营养师、心理咨询师及全科医生培养工作。推进妇幼健康服务资源整合，</w:t>
      </w:r>
      <w:r>
        <w:rPr>
          <w:rFonts w:hint="default" w:ascii="Times New Roman" w:hAnsi="Times New Roman" w:eastAsia="仿宋_GB2312" w:cs="Times New Roman"/>
          <w:color w:val="auto"/>
          <w:spacing w:val="0"/>
          <w:szCs w:val="24"/>
          <w:lang w:eastAsia="zh-CN"/>
        </w:rPr>
        <w:t>实现</w:t>
      </w:r>
      <w:r>
        <w:rPr>
          <w:rFonts w:hint="default" w:ascii="Times New Roman" w:hAnsi="Times New Roman" w:eastAsia="仿宋_GB2312" w:cs="Times New Roman"/>
          <w:color w:val="auto"/>
          <w:spacing w:val="0"/>
          <w:szCs w:val="24"/>
        </w:rPr>
        <w:t>国家免费婚前医学检查和孕前优生健康检查项目城乡居民全覆盖。发展以慢性疾病咨询、健康指导、健康评估为特色的健康管理服务新模式。以社区为基础开展多种形式的健康教育与健康促进活动。</w:t>
      </w:r>
    </w:p>
    <w:p w14:paraId="56F38526">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二、完善公共卫生服务体系</w:t>
      </w:r>
    </w:p>
    <w:p w14:paraId="7ED44042">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完善疾病预防、妇幼保健、应急救治、卫生监督等公共卫生服务体系，推动基本公共卫生服务均等化。加强疾病预防控制能力建设，推动县级疾病预防控制机构标准化建设</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加强卫生应急体系建设，提高突发公共卫生事件的应急处置能力，提升自然灾害、事故灾难、社会安全事件中的医疗救援能力，完善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县中心＋区域分站</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的120院前急救体系，建设直升机紧急医学救援体系</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有效应对各类突发公共事件。建立健全县、乡两级卫生监督网络，加强医疗机构、公共场所、学校等卫生监管。深入开展爱国卫生运动，促进全民养成文明健康生活方式。</w:t>
      </w:r>
    </w:p>
    <w:p w14:paraId="75D3702C">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三、健全医疗卫生服务体系</w:t>
      </w:r>
    </w:p>
    <w:p w14:paraId="5607341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统筹城乡各类医疗资源配置，提高医疗卫生服务供给能力和服务质量。加强县级公立医院基础设施建设，推动县人民医院创建三级乙等综合医院，县妇幼保健院创建二级乙等妇幼保健院。以现有医学重点学科为基础，发展</w:t>
      </w:r>
      <w:r>
        <w:rPr>
          <w:rFonts w:hint="default" w:ascii="Times New Roman" w:hAnsi="Times New Roman" w:eastAsia="仿宋_GB2312" w:cs="Times New Roman"/>
          <w:color w:val="auto"/>
          <w:spacing w:val="0"/>
          <w:szCs w:val="24"/>
          <w:lang w:eastAsia="zh-CN"/>
        </w:rPr>
        <w:t>精神科</w:t>
      </w:r>
      <w:r>
        <w:rPr>
          <w:rFonts w:hint="default" w:ascii="Times New Roman" w:hAnsi="Times New Roman" w:eastAsia="仿宋_GB2312" w:cs="Times New Roman"/>
          <w:color w:val="auto"/>
          <w:spacing w:val="0"/>
          <w:szCs w:val="24"/>
        </w:rPr>
        <w:t>、肿瘤科、</w:t>
      </w:r>
      <w:r>
        <w:rPr>
          <w:rFonts w:hint="default" w:ascii="Times New Roman" w:hAnsi="Times New Roman" w:eastAsia="仿宋_GB2312" w:cs="Times New Roman"/>
          <w:color w:val="auto"/>
          <w:spacing w:val="0"/>
          <w:szCs w:val="24"/>
          <w:lang w:eastAsia="zh-CN"/>
        </w:rPr>
        <w:t>老年病</w:t>
      </w:r>
      <w:r>
        <w:rPr>
          <w:rFonts w:hint="default" w:ascii="Times New Roman" w:hAnsi="Times New Roman" w:eastAsia="仿宋_GB2312" w:cs="Times New Roman"/>
          <w:color w:val="auto"/>
          <w:spacing w:val="0"/>
          <w:szCs w:val="24"/>
        </w:rPr>
        <w:t>科等相关临床和辅助科室。推进戛洒、漠沙等乡镇卫生院建设项目</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启动卫生院医疗</w:t>
      </w:r>
      <w:r>
        <w:rPr>
          <w:rFonts w:hint="default" w:ascii="Times New Roman" w:hAnsi="Times New Roman" w:eastAsia="仿宋_GB2312" w:cs="Times New Roman"/>
          <w:color w:val="auto"/>
          <w:spacing w:val="0"/>
          <w:szCs w:val="24"/>
          <w:lang w:eastAsia="zh-CN"/>
        </w:rPr>
        <w:t>卫生</w:t>
      </w:r>
      <w:r>
        <w:rPr>
          <w:rFonts w:hint="default" w:ascii="Times New Roman" w:hAnsi="Times New Roman" w:eastAsia="仿宋_GB2312" w:cs="Times New Roman"/>
          <w:color w:val="auto"/>
          <w:spacing w:val="0"/>
          <w:szCs w:val="24"/>
        </w:rPr>
        <w:t>服务能力提升项目，</w:t>
      </w:r>
      <w:r>
        <w:rPr>
          <w:rFonts w:hint="default" w:ascii="Times New Roman" w:hAnsi="Times New Roman" w:eastAsia="仿宋_GB2312" w:cs="Times New Roman"/>
          <w:color w:val="auto"/>
          <w:spacing w:val="0"/>
          <w:szCs w:val="24"/>
          <w:lang w:eastAsia="zh-CN"/>
        </w:rPr>
        <w:t>力争</w:t>
      </w:r>
      <w:r>
        <w:rPr>
          <w:rFonts w:hint="default" w:ascii="Times New Roman" w:hAnsi="Times New Roman" w:eastAsia="仿宋_GB2312" w:cs="Times New Roman"/>
          <w:color w:val="auto"/>
          <w:spacing w:val="0"/>
          <w:szCs w:val="24"/>
          <w:lang w:val="en-US" w:eastAsia="zh-CN"/>
        </w:rPr>
        <w:t>4个卫生院等级达到国家推荐标准</w:t>
      </w:r>
      <w:r>
        <w:rPr>
          <w:rFonts w:hint="default" w:ascii="Times New Roman" w:hAnsi="Times New Roman" w:eastAsia="仿宋_GB2312" w:cs="Times New Roman"/>
          <w:color w:val="auto"/>
          <w:spacing w:val="0"/>
          <w:szCs w:val="24"/>
        </w:rPr>
        <w:t>。按照</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val="en-US" w:eastAsia="zh-CN"/>
        </w:rPr>
        <w:t>15</w:t>
      </w:r>
      <w:r>
        <w:rPr>
          <w:rFonts w:hint="default" w:ascii="Times New Roman" w:hAnsi="Times New Roman" w:eastAsia="仿宋_GB2312" w:cs="Times New Roman"/>
          <w:color w:val="auto"/>
          <w:spacing w:val="0"/>
          <w:szCs w:val="24"/>
        </w:rPr>
        <w:t>分钟服务圈</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配置村级医疗卫生机构，</w:t>
      </w:r>
      <w:r>
        <w:rPr>
          <w:rFonts w:hint="default" w:ascii="Times New Roman" w:hAnsi="Times New Roman" w:eastAsia="仿宋_GB2312" w:cs="Times New Roman"/>
          <w:color w:val="auto"/>
          <w:spacing w:val="0"/>
          <w:szCs w:val="24"/>
          <w:lang w:eastAsia="zh-CN"/>
        </w:rPr>
        <w:t>提高乡村医疗服务覆盖能力</w:t>
      </w:r>
      <w:r>
        <w:rPr>
          <w:rFonts w:hint="default" w:ascii="Times New Roman" w:hAnsi="Times New Roman" w:eastAsia="仿宋_GB2312" w:cs="Times New Roman"/>
          <w:color w:val="auto"/>
          <w:spacing w:val="0"/>
          <w:szCs w:val="24"/>
        </w:rPr>
        <w:t>。探索推行驻村医生制度、开展巡回医疗。建立完善区域临床检验中心、影像诊断中心等资源共享平台，不断提高基层医疗机构的诊疗水平和服务能力。推</w:t>
      </w:r>
      <w:r>
        <w:rPr>
          <w:rFonts w:hint="default" w:ascii="Times New Roman" w:hAnsi="Times New Roman" w:eastAsia="仿宋_GB2312" w:cs="Times New Roman"/>
          <w:color w:val="auto"/>
          <w:spacing w:val="0"/>
          <w:szCs w:val="24"/>
          <w:lang w:val="en-US" w:eastAsia="zh-CN"/>
        </w:rPr>
        <w:t>进</w:t>
      </w:r>
      <w:r>
        <w:rPr>
          <w:rFonts w:hint="default" w:ascii="Times New Roman" w:hAnsi="Times New Roman" w:eastAsia="仿宋_GB2312" w:cs="Times New Roman"/>
          <w:color w:val="auto"/>
          <w:spacing w:val="0"/>
          <w:szCs w:val="24"/>
        </w:rPr>
        <w:t>医疗数字化，逐步扩大远程医疗服务范围。</w:t>
      </w:r>
      <w:r>
        <w:rPr>
          <w:rFonts w:hint="default" w:ascii="Times New Roman" w:hAnsi="Times New Roman" w:eastAsia="仿宋_GB2312" w:cs="Times New Roman"/>
          <w:color w:val="auto"/>
          <w:spacing w:val="0"/>
          <w:szCs w:val="24"/>
          <w:lang w:eastAsia="zh-CN"/>
        </w:rPr>
        <w:t>深入</w:t>
      </w:r>
      <w:r>
        <w:rPr>
          <w:rFonts w:hint="default" w:ascii="Times New Roman" w:hAnsi="Times New Roman" w:eastAsia="仿宋_GB2312" w:cs="Times New Roman"/>
          <w:color w:val="auto"/>
          <w:spacing w:val="0"/>
          <w:szCs w:val="24"/>
        </w:rPr>
        <w:t>推进县域紧密型</w:t>
      </w:r>
      <w:r>
        <w:rPr>
          <w:rFonts w:hint="default" w:ascii="Times New Roman" w:hAnsi="Times New Roman" w:eastAsia="仿宋_GB2312" w:cs="Times New Roman"/>
          <w:color w:val="auto"/>
          <w:spacing w:val="0"/>
          <w:szCs w:val="24"/>
          <w:lang w:eastAsia="zh-CN"/>
        </w:rPr>
        <w:t>医疗卫生服务</w:t>
      </w:r>
      <w:r>
        <w:rPr>
          <w:rFonts w:hint="default" w:ascii="Times New Roman" w:hAnsi="Times New Roman" w:eastAsia="仿宋_GB2312" w:cs="Times New Roman"/>
          <w:color w:val="auto"/>
          <w:spacing w:val="0"/>
          <w:szCs w:val="24"/>
        </w:rPr>
        <w:t>共</w:t>
      </w:r>
      <w:r>
        <w:rPr>
          <w:rFonts w:hint="default" w:ascii="Times New Roman" w:hAnsi="Times New Roman" w:eastAsia="仿宋_GB2312" w:cs="Times New Roman"/>
          <w:color w:val="auto"/>
          <w:spacing w:val="0"/>
          <w:szCs w:val="24"/>
          <w:lang w:eastAsia="zh-CN"/>
        </w:rPr>
        <w:t>同</w:t>
      </w:r>
      <w:r>
        <w:rPr>
          <w:rFonts w:hint="default" w:ascii="Times New Roman" w:hAnsi="Times New Roman" w:eastAsia="仿宋_GB2312" w:cs="Times New Roman"/>
          <w:color w:val="auto"/>
          <w:spacing w:val="0"/>
          <w:szCs w:val="24"/>
        </w:rPr>
        <w:t>体建设，形成分级诊疗制度新格局。到2025年，基层医疗卫生机构就诊率达</w:t>
      </w:r>
      <w:r>
        <w:rPr>
          <w:rFonts w:hint="default" w:ascii="Times New Roman" w:hAnsi="Times New Roman" w:eastAsia="仿宋_GB2312" w:cs="Times New Roman"/>
          <w:color w:val="auto"/>
          <w:spacing w:val="0"/>
          <w:szCs w:val="24"/>
          <w:lang w:val="en-US" w:eastAsia="zh-CN"/>
        </w:rPr>
        <w:t>65</w:t>
      </w:r>
      <w:r>
        <w:rPr>
          <w:rFonts w:hint="default" w:ascii="Times New Roman" w:hAnsi="Times New Roman" w:eastAsia="仿宋_GB2312" w:cs="Times New Roman"/>
          <w:color w:val="auto"/>
          <w:spacing w:val="0"/>
          <w:szCs w:val="24"/>
        </w:rPr>
        <w:t>%</w:t>
      </w:r>
      <w:r>
        <w:rPr>
          <w:rFonts w:hint="default" w:ascii="Times New Roman" w:hAnsi="Times New Roman" w:eastAsia="仿宋_GB2312" w:cs="Times New Roman"/>
          <w:color w:val="auto"/>
          <w:spacing w:val="0"/>
          <w:szCs w:val="24"/>
          <w:lang w:eastAsia="zh-CN"/>
        </w:rPr>
        <w:t>以上</w:t>
      </w:r>
      <w:r>
        <w:rPr>
          <w:rFonts w:hint="default" w:ascii="Times New Roman" w:hAnsi="Times New Roman" w:eastAsia="仿宋_GB2312" w:cs="Times New Roman"/>
          <w:color w:val="auto"/>
          <w:spacing w:val="0"/>
          <w:szCs w:val="24"/>
        </w:rPr>
        <w:t>，县域范围内就诊率达90%</w:t>
      </w:r>
      <w:r>
        <w:rPr>
          <w:rFonts w:hint="default" w:ascii="Times New Roman" w:hAnsi="Times New Roman" w:eastAsia="仿宋_GB2312" w:cs="Times New Roman"/>
          <w:color w:val="auto"/>
          <w:spacing w:val="0"/>
          <w:szCs w:val="24"/>
          <w:lang w:eastAsia="zh-CN"/>
        </w:rPr>
        <w:t>以上</w:t>
      </w:r>
      <w:r>
        <w:rPr>
          <w:rFonts w:hint="default" w:ascii="Times New Roman" w:hAnsi="Times New Roman" w:eastAsia="仿宋_GB2312" w:cs="Times New Roman"/>
          <w:color w:val="auto"/>
          <w:spacing w:val="0"/>
          <w:szCs w:val="24"/>
        </w:rPr>
        <w:t>。</w:t>
      </w:r>
    </w:p>
    <w:p w14:paraId="6CFC630F">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四、大力发展中医事业</w:t>
      </w:r>
    </w:p>
    <w:p w14:paraId="17C6A36D">
      <w:pPr>
        <w:pageBreakBefore w:val="0"/>
        <w:widowControl w:val="0"/>
        <w:kinsoku/>
        <w:wordWrap/>
        <w:overflowPunct/>
        <w:topLinePunct w:val="0"/>
        <w:autoSpaceDN/>
        <w:bidi w:val="0"/>
        <w:rPr>
          <w:rFonts w:hint="default" w:ascii="Times New Roman" w:hAnsi="Times New Roman" w:cs="Times New Roman"/>
          <w:color w:val="auto"/>
          <w:spacing w:val="0"/>
          <w:szCs w:val="24"/>
        </w:rPr>
      </w:pPr>
      <w:r>
        <w:rPr>
          <w:rFonts w:hint="default" w:ascii="Times New Roman" w:hAnsi="Times New Roman" w:eastAsia="仿宋_GB2312" w:cs="Times New Roman"/>
          <w:color w:val="auto"/>
          <w:spacing w:val="0"/>
          <w:szCs w:val="24"/>
        </w:rPr>
        <w:t>坚持中西医并重，建立健全中医药医疗保健服务体系。积极创建全国基层中医药工作先进单位。实施中医药振兴工程，</w:t>
      </w:r>
      <w:r>
        <w:rPr>
          <w:rFonts w:hint="default" w:ascii="Times New Roman" w:hAnsi="Times New Roman" w:eastAsia="仿宋_GB2312" w:cs="Times New Roman"/>
          <w:color w:val="auto"/>
          <w:spacing w:val="0"/>
          <w:szCs w:val="24"/>
          <w:lang w:eastAsia="zh-CN"/>
        </w:rPr>
        <w:t>县中医院规范设置治未病中心</w:t>
      </w:r>
      <w:r>
        <w:rPr>
          <w:rFonts w:hint="default" w:ascii="Times New Roman" w:hAnsi="Times New Roman" w:eastAsia="仿宋_GB2312" w:cs="Times New Roman"/>
          <w:color w:val="auto"/>
          <w:spacing w:val="0"/>
          <w:szCs w:val="24"/>
        </w:rPr>
        <w:t>，</w:t>
      </w:r>
      <w:r>
        <w:rPr>
          <w:rFonts w:hint="default" w:ascii="Times New Roman" w:hAnsi="Times New Roman" w:eastAsia="仿宋_GB2312" w:cs="Times New Roman"/>
          <w:color w:val="auto"/>
          <w:spacing w:val="0"/>
          <w:szCs w:val="24"/>
          <w:lang w:eastAsia="zh-CN"/>
        </w:rPr>
        <w:t>使</w:t>
      </w:r>
      <w:r>
        <w:rPr>
          <w:rFonts w:hint="default" w:ascii="Times New Roman" w:hAnsi="Times New Roman" w:eastAsia="仿宋_GB2312" w:cs="Times New Roman"/>
          <w:color w:val="auto"/>
          <w:spacing w:val="0"/>
          <w:szCs w:val="24"/>
        </w:rPr>
        <w:t>疾病防治的关口前移。各乡镇卫生院（街道社区卫生服务中心）重点开展公共卫生中医药服务，提高重点人群和慢性病患者中医药健康管理率。实施新平县基层中医药能力提升项目，改造</w:t>
      </w:r>
      <w:r>
        <w:rPr>
          <w:rFonts w:hint="default" w:ascii="Times New Roman" w:hAnsi="Times New Roman" w:eastAsia="仿宋_GB2312" w:cs="Times New Roman"/>
          <w:color w:val="auto"/>
          <w:spacing w:val="0"/>
          <w:szCs w:val="24"/>
          <w:lang w:val="en-US" w:eastAsia="zh-CN"/>
        </w:rPr>
        <w:t>10</w:t>
      </w:r>
      <w:r>
        <w:rPr>
          <w:rFonts w:hint="default" w:ascii="Times New Roman" w:hAnsi="Times New Roman" w:eastAsia="仿宋_GB2312" w:cs="Times New Roman"/>
          <w:color w:val="auto"/>
          <w:spacing w:val="0"/>
          <w:szCs w:val="24"/>
        </w:rPr>
        <w:t>个乡镇卫生院中医馆，实施新平县中医药智慧服务系统建设项目，建设远程共享数字传承云平台和名中医工作室与传承带教服务包。到2025年，</w:t>
      </w:r>
      <w:r>
        <w:rPr>
          <w:rFonts w:hint="default" w:ascii="Times New Roman" w:hAnsi="Times New Roman" w:eastAsia="仿宋_GB2312" w:cs="Times New Roman"/>
          <w:color w:val="auto"/>
          <w:spacing w:val="0"/>
          <w:szCs w:val="24"/>
          <w:lang w:eastAsia="zh-CN"/>
        </w:rPr>
        <w:t>中医药服务能力进一步提升，</w:t>
      </w:r>
      <w:r>
        <w:rPr>
          <w:rFonts w:hint="default" w:ascii="Times New Roman" w:hAnsi="Times New Roman" w:eastAsia="仿宋_GB2312" w:cs="Times New Roman"/>
          <w:color w:val="auto"/>
          <w:spacing w:val="0"/>
          <w:szCs w:val="24"/>
        </w:rPr>
        <w:t>100%的乡镇卫生院能够提供10项以上中医药技术服务，90%以上的村卫生室能够提供5项以上中医药技术服务。</w:t>
      </w:r>
    </w:p>
    <w:p w14:paraId="0332B2E1">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五、发展体育事业</w:t>
      </w:r>
    </w:p>
    <w:p w14:paraId="28CD593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持续推进</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七彩云南全民健身基础设施建设工程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和</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农民体育健身工程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。推动体育基础设施由行政村向自然村延伸，构建城市</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15分钟健身圈</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、智慧体育社区和联通城乡的全民健身步道网络。</w:t>
      </w:r>
      <w:r>
        <w:rPr>
          <w:rFonts w:hint="default" w:ascii="Times New Roman" w:hAnsi="Times New Roman" w:eastAsia="仿宋_GB2312" w:cs="Times New Roman"/>
          <w:color w:val="auto"/>
          <w:spacing w:val="0"/>
          <w:szCs w:val="24"/>
          <w:lang w:eastAsia="zh-CN"/>
        </w:rPr>
        <w:t>建设</w:t>
      </w:r>
      <w:r>
        <w:rPr>
          <w:rFonts w:hint="default" w:ascii="Times New Roman" w:hAnsi="Times New Roman" w:eastAsia="仿宋_GB2312" w:cs="Times New Roman"/>
          <w:color w:val="auto"/>
          <w:spacing w:val="0"/>
          <w:szCs w:val="24"/>
        </w:rPr>
        <w:t>新平县体育公园</w:t>
      </w:r>
      <w:r>
        <w:rPr>
          <w:rFonts w:hint="default" w:ascii="Times New Roman" w:hAnsi="Times New Roman" w:eastAsia="仿宋_GB2312" w:cs="Times New Roman"/>
          <w:color w:val="auto"/>
          <w:spacing w:val="0"/>
          <w:szCs w:val="24"/>
          <w:lang w:eastAsia="zh-CN"/>
        </w:rPr>
        <w:t>，实施全民健身中心建设项目</w:t>
      </w:r>
      <w:r>
        <w:rPr>
          <w:rFonts w:hint="default" w:ascii="Times New Roman" w:hAnsi="Times New Roman" w:eastAsia="仿宋_GB2312" w:cs="Times New Roman"/>
          <w:color w:val="auto"/>
          <w:spacing w:val="0"/>
          <w:szCs w:val="24"/>
        </w:rPr>
        <w:t>，加快校园足球推广普及，积极推广社会足球运动。完善农村体育设施，发挥农村体协作用，组织开展传统特色体育活动。</w:t>
      </w:r>
      <w:r>
        <w:rPr>
          <w:rFonts w:hint="default" w:ascii="Times New Roman" w:hAnsi="Times New Roman" w:eastAsia="仿宋_GB2312" w:cs="Times New Roman"/>
          <w:color w:val="auto"/>
          <w:spacing w:val="0"/>
          <w:szCs w:val="24"/>
          <w:lang w:eastAsia="zh-CN"/>
        </w:rPr>
        <w:t>积极举办</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丰收杯</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农民运动会、职工运动会等各类体育赛事活动</w:t>
      </w:r>
      <w:r>
        <w:rPr>
          <w:rFonts w:hint="default" w:ascii="Times New Roman" w:hAnsi="Times New Roman" w:eastAsia="仿宋_GB2312" w:cs="Times New Roman"/>
          <w:color w:val="auto"/>
          <w:spacing w:val="0"/>
          <w:szCs w:val="24"/>
        </w:rPr>
        <w:t>。加大体育后备人才培养、输送力度。推动全民健身与全民健康深度融合，促进全民健身常态化。挖掘民族传统体育资源，普及民族传统体育项目，培养少数民族传统体育人才。</w:t>
      </w:r>
      <w:r>
        <w:rPr>
          <w:rFonts w:hint="default" w:ascii="Times New Roman" w:hAnsi="Times New Roman" w:eastAsia="仿宋_GB2312" w:cs="Times New Roman"/>
          <w:color w:val="auto"/>
          <w:spacing w:val="0"/>
          <w:szCs w:val="24"/>
          <w:lang w:eastAsia="zh-CN"/>
        </w:rPr>
        <w:t>到</w:t>
      </w:r>
      <w:r>
        <w:rPr>
          <w:rFonts w:hint="default" w:ascii="Times New Roman" w:hAnsi="Times New Roman" w:eastAsia="仿宋_GB2312" w:cs="Times New Roman"/>
          <w:color w:val="auto"/>
          <w:spacing w:val="0"/>
          <w:szCs w:val="24"/>
          <w:lang w:val="en-US" w:eastAsia="zh-CN"/>
        </w:rPr>
        <w:t>2025年，县乡村健身设施覆盖率达100%，人均体育场地面积达1.8平方米以上。</w:t>
      </w:r>
    </w:p>
    <w:tbl>
      <w:tblPr>
        <w:tblStyle w:val="21"/>
        <w:tblW w:w="89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7"/>
      </w:tblGrid>
      <w:tr w14:paraId="3B9E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7" w:type="dxa"/>
            <w:tcBorders>
              <w:top w:val="single" w:color="4F81BD" w:sz="8" w:space="0"/>
              <w:left w:val="single" w:color="4F81BD" w:sz="8" w:space="0"/>
              <w:bottom w:val="single" w:color="4F81BD" w:sz="8" w:space="0"/>
              <w:right w:val="single" w:color="4F81BD" w:sz="8" w:space="0"/>
            </w:tcBorders>
            <w:shd w:val="clear" w:color="auto" w:fill="4F81BD"/>
          </w:tcPr>
          <w:p w14:paraId="02E38BFE">
            <w:pPr>
              <w:pageBreakBefore w:val="0"/>
              <w:widowControl w:val="0"/>
              <w:kinsoku/>
              <w:wordWrap/>
              <w:overflowPunct/>
              <w:topLinePunct w:val="0"/>
              <w:autoSpaceDN/>
              <w:bidi w:val="0"/>
              <w:ind w:firstLine="0" w:firstLineChars="0"/>
              <w:jc w:val="center"/>
              <w:rPr>
                <w:rFonts w:hint="default" w:ascii="Times New Roman" w:hAnsi="Times New Roman" w:eastAsia="仿宋_GB2312" w:cs="Times New Roman"/>
                <w:color w:val="auto"/>
                <w:spacing w:val="0"/>
              </w:rPr>
            </w:pPr>
            <w:r>
              <w:rPr>
                <w:rFonts w:hint="default" w:ascii="Times New Roman" w:hAnsi="Times New Roman" w:eastAsia="仿宋_GB2312" w:cs="Times New Roman"/>
                <w:b/>
                <w:bCs/>
                <w:color w:val="auto"/>
                <w:spacing w:val="0"/>
                <w:kern w:val="0"/>
                <w:sz w:val="28"/>
                <w:szCs w:val="32"/>
                <w:lang w:val="zh-CN" w:bidi="zh-CN"/>
              </w:rPr>
              <w:t>专栏</w:t>
            </w:r>
            <w:r>
              <w:rPr>
                <w:rFonts w:hint="default" w:ascii="Times New Roman" w:hAnsi="Times New Roman" w:eastAsia="仿宋_GB2312" w:cs="Times New Roman"/>
                <w:b/>
                <w:bCs/>
                <w:color w:val="auto"/>
                <w:spacing w:val="0"/>
                <w:kern w:val="0"/>
                <w:sz w:val="28"/>
                <w:szCs w:val="32"/>
                <w:lang w:bidi="zh-CN"/>
              </w:rPr>
              <w:t>2</w:t>
            </w:r>
            <w:r>
              <w:rPr>
                <w:rFonts w:hint="default" w:ascii="Times New Roman" w:hAnsi="Times New Roman" w:eastAsia="仿宋_GB2312" w:cs="Times New Roman"/>
                <w:b/>
                <w:bCs/>
                <w:color w:val="auto"/>
                <w:spacing w:val="0"/>
                <w:kern w:val="0"/>
                <w:sz w:val="28"/>
                <w:szCs w:val="32"/>
                <w:lang w:val="en-US" w:bidi="zh-CN"/>
              </w:rPr>
              <w:t>1</w:t>
            </w:r>
            <w:r>
              <w:rPr>
                <w:rFonts w:hint="default" w:ascii="Times New Roman" w:hAnsi="Times New Roman" w:eastAsia="仿宋_GB2312" w:cs="Times New Roman"/>
                <w:b/>
                <w:bCs/>
                <w:color w:val="auto"/>
                <w:spacing w:val="0"/>
                <w:kern w:val="0"/>
                <w:sz w:val="28"/>
                <w:szCs w:val="32"/>
                <w:lang w:bidi="zh-CN"/>
              </w:rPr>
              <w:t xml:space="preserve"> </w:t>
            </w:r>
            <w:r>
              <w:rPr>
                <w:rFonts w:hint="default" w:ascii="Times New Roman" w:hAnsi="Times New Roman" w:eastAsia="仿宋_GB2312" w:cs="Times New Roman"/>
                <w:b/>
                <w:bCs/>
                <w:color w:val="auto"/>
                <w:spacing w:val="0"/>
                <w:kern w:val="0"/>
                <w:sz w:val="28"/>
                <w:szCs w:val="32"/>
                <w:lang w:val="zh-CN" w:bidi="zh-CN"/>
              </w:rPr>
              <w:t xml:space="preserve"> </w:t>
            </w:r>
            <w:r>
              <w:rPr>
                <w:rFonts w:hint="eastAsia" w:eastAsia="仿宋_GB2312" w:cs="Times New Roman"/>
                <w:b/>
                <w:bCs/>
                <w:color w:val="auto"/>
                <w:spacing w:val="0"/>
                <w:kern w:val="0"/>
                <w:sz w:val="28"/>
                <w:szCs w:val="32"/>
                <w:lang w:val="zh-CN" w:bidi="zh-CN"/>
              </w:rPr>
              <w:t>“</w:t>
            </w:r>
            <w:r>
              <w:rPr>
                <w:rFonts w:hint="default" w:ascii="Times New Roman" w:hAnsi="Times New Roman" w:eastAsia="仿宋_GB2312" w:cs="Times New Roman"/>
                <w:b/>
                <w:bCs/>
                <w:color w:val="auto"/>
                <w:spacing w:val="0"/>
                <w:kern w:val="0"/>
                <w:sz w:val="28"/>
                <w:szCs w:val="32"/>
                <w:lang w:val="zh-CN" w:bidi="zh-CN"/>
              </w:rPr>
              <w:t>健康新平</w:t>
            </w:r>
            <w:r>
              <w:rPr>
                <w:rFonts w:hint="eastAsia" w:eastAsia="仿宋_GB2312" w:cs="Times New Roman"/>
                <w:b/>
                <w:bCs/>
                <w:color w:val="auto"/>
                <w:spacing w:val="0"/>
                <w:kern w:val="0"/>
                <w:sz w:val="28"/>
                <w:szCs w:val="32"/>
                <w:lang w:val="zh-CN" w:bidi="zh-CN"/>
              </w:rPr>
              <w:t>”</w:t>
            </w:r>
            <w:r>
              <w:rPr>
                <w:rFonts w:hint="default" w:ascii="Times New Roman" w:hAnsi="Times New Roman" w:eastAsia="仿宋_GB2312" w:cs="Times New Roman"/>
                <w:b/>
                <w:bCs/>
                <w:color w:val="auto"/>
                <w:spacing w:val="0"/>
                <w:kern w:val="0"/>
                <w:sz w:val="28"/>
                <w:szCs w:val="32"/>
                <w:lang w:val="zh-CN" w:bidi="zh-CN"/>
              </w:rPr>
              <w:t>建设工程</w:t>
            </w:r>
          </w:p>
        </w:tc>
      </w:tr>
      <w:tr w14:paraId="42282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7" w:type="dxa"/>
            <w:tcBorders>
              <w:top w:val="single" w:color="4F81BD" w:sz="8" w:space="0"/>
              <w:left w:val="single" w:color="4F81BD" w:sz="8" w:space="0"/>
              <w:bottom w:val="single" w:color="4F81BD" w:sz="8" w:space="0"/>
              <w:right w:val="single" w:color="4F81BD" w:sz="8" w:space="0"/>
            </w:tcBorders>
            <w:shd w:val="clear" w:color="auto" w:fill="FFFFFF"/>
          </w:tcPr>
          <w:p w14:paraId="08BB64FD">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28"/>
                <w:lang w:val="zh-CN"/>
              </w:rPr>
            </w:pPr>
            <w:r>
              <w:rPr>
                <w:rFonts w:hint="default" w:ascii="Times New Roman" w:hAnsi="Times New Roman" w:eastAsia="仿宋_GB2312" w:cs="Times New Roman"/>
                <w:b/>
                <w:bCs/>
                <w:color w:val="auto"/>
                <w:spacing w:val="0"/>
                <w:sz w:val="28"/>
                <w:szCs w:val="28"/>
                <w:lang w:val="zh-CN"/>
              </w:rPr>
              <w:t>卫生健康机构基础设施建设。</w:t>
            </w:r>
            <w:r>
              <w:rPr>
                <w:rFonts w:hint="default" w:ascii="Times New Roman" w:hAnsi="Times New Roman" w:eastAsia="仿宋_GB2312" w:cs="Times New Roman"/>
                <w:color w:val="auto"/>
                <w:spacing w:val="0"/>
                <w:sz w:val="28"/>
                <w:szCs w:val="28"/>
                <w:lang w:val="zh-CN"/>
              </w:rPr>
              <w:t>实施县人民医院住院综合大楼、县中医医院综合楼和康复楼建设等项目，推进戛洒镇卫生院、老厂乡卫生院迁建，漠沙镇卫生院、平掌乡卫生院改扩建等项目，不断改善卫生健康基础设施条件，提高居民健康保障能力。</w:t>
            </w:r>
          </w:p>
          <w:p w14:paraId="4CC4E6AE">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28"/>
                <w:lang w:val="zh-CN"/>
              </w:rPr>
            </w:pPr>
            <w:r>
              <w:rPr>
                <w:rFonts w:hint="default" w:ascii="Times New Roman" w:hAnsi="Times New Roman" w:eastAsia="仿宋_GB2312" w:cs="Times New Roman"/>
                <w:b/>
                <w:bCs/>
                <w:color w:val="auto"/>
                <w:spacing w:val="0"/>
                <w:sz w:val="28"/>
                <w:szCs w:val="28"/>
                <w:lang w:val="zh-CN"/>
              </w:rPr>
              <w:t>卫生健康信息化建设。</w:t>
            </w:r>
            <w:r>
              <w:rPr>
                <w:rFonts w:hint="default" w:ascii="Times New Roman" w:hAnsi="Times New Roman" w:eastAsia="仿宋_GB2312" w:cs="Times New Roman"/>
                <w:color w:val="auto"/>
                <w:spacing w:val="0"/>
                <w:sz w:val="28"/>
                <w:szCs w:val="28"/>
                <w:lang w:val="zh-CN"/>
              </w:rPr>
              <w:t>重点建设卫生云平台，实现与市级卫生平台互联互通。建立健康档案、电子病历、人口、卫生资源、电子影像五大基础数据库及各应用数据库，通过数据交换平台实现市县两级信息交换共享。建立和完善卫生区域协同平台，推动双向转诊、远程诊疗。建成并使用医疗卫生服务管理平台。建立和完善卫生行业监督、公共卫生管理、人口计生管理平台。</w:t>
            </w:r>
          </w:p>
          <w:p w14:paraId="0D13577B">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rPr>
            </w:pPr>
            <w:r>
              <w:rPr>
                <w:rFonts w:hint="default" w:ascii="Times New Roman" w:hAnsi="Times New Roman" w:eastAsia="仿宋_GB2312" w:cs="Times New Roman"/>
                <w:b/>
                <w:bCs/>
                <w:color w:val="auto"/>
                <w:spacing w:val="0"/>
                <w:sz w:val="28"/>
                <w:szCs w:val="28"/>
                <w:lang w:val="zh-CN"/>
              </w:rPr>
              <w:t>爱国卫生运动。</w:t>
            </w:r>
            <w:r>
              <w:rPr>
                <w:rFonts w:hint="default" w:ascii="Times New Roman" w:hAnsi="Times New Roman" w:eastAsia="仿宋_GB2312" w:cs="Times New Roman"/>
                <w:color w:val="auto"/>
                <w:spacing w:val="0"/>
                <w:sz w:val="28"/>
                <w:szCs w:val="28"/>
                <w:lang w:val="zh-CN"/>
              </w:rPr>
              <w:t>广泛开展</w:t>
            </w:r>
            <w:r>
              <w:rPr>
                <w:rFonts w:hint="eastAsia" w:eastAsia="仿宋_GB2312" w:cs="Times New Roman"/>
                <w:color w:val="auto"/>
                <w:spacing w:val="0"/>
                <w:sz w:val="28"/>
                <w:szCs w:val="28"/>
                <w:lang w:val="zh-CN"/>
              </w:rPr>
              <w:t>“</w:t>
            </w:r>
            <w:r>
              <w:rPr>
                <w:rFonts w:hint="eastAsia" w:eastAsia="仿宋_GB2312" w:cs="Times New Roman"/>
                <w:color w:val="auto"/>
                <w:spacing w:val="0"/>
                <w:sz w:val="28"/>
                <w:szCs w:val="28"/>
                <w:lang w:val="en-US" w:eastAsia="zh-CN"/>
              </w:rPr>
              <w:t>清垃圾、扫厕所、勤洗手、净餐馆、常消毒、管集市、众参与</w:t>
            </w:r>
            <w:r>
              <w:rPr>
                <w:rFonts w:hint="eastAsia" w:eastAsia="仿宋_GB2312" w:cs="Times New Roman"/>
                <w:color w:val="auto"/>
                <w:spacing w:val="0"/>
                <w:sz w:val="28"/>
                <w:szCs w:val="28"/>
                <w:lang w:val="zh-CN"/>
              </w:rPr>
              <w:t>”</w:t>
            </w:r>
            <w:r>
              <w:rPr>
                <w:rFonts w:hint="default" w:ascii="Times New Roman" w:hAnsi="Times New Roman" w:eastAsia="仿宋_GB2312" w:cs="Times New Roman"/>
                <w:color w:val="auto"/>
                <w:spacing w:val="0"/>
                <w:sz w:val="28"/>
                <w:szCs w:val="28"/>
                <w:lang w:val="zh-CN"/>
              </w:rPr>
              <w:t>爱国卫生</w:t>
            </w:r>
            <w:r>
              <w:rPr>
                <w:rFonts w:hint="eastAsia" w:eastAsia="仿宋_GB2312" w:cs="Times New Roman"/>
                <w:color w:val="auto"/>
                <w:spacing w:val="0"/>
                <w:sz w:val="28"/>
                <w:szCs w:val="28"/>
                <w:lang w:val="zh-CN"/>
              </w:rPr>
              <w:t>“</w:t>
            </w:r>
            <w:r>
              <w:rPr>
                <w:rFonts w:hint="default" w:ascii="Times New Roman" w:hAnsi="Times New Roman" w:eastAsia="仿宋_GB2312" w:cs="Times New Roman"/>
                <w:color w:val="auto"/>
                <w:spacing w:val="0"/>
                <w:sz w:val="28"/>
                <w:szCs w:val="28"/>
                <w:lang w:val="en-US" w:eastAsia="zh-CN"/>
              </w:rPr>
              <w:t>7</w:t>
            </w:r>
            <w:r>
              <w:rPr>
                <w:rFonts w:hint="default" w:ascii="Times New Roman" w:hAnsi="Times New Roman" w:eastAsia="仿宋_GB2312" w:cs="Times New Roman"/>
                <w:color w:val="auto"/>
                <w:spacing w:val="0"/>
                <w:sz w:val="28"/>
                <w:szCs w:val="28"/>
                <w:lang w:val="zh-CN"/>
              </w:rPr>
              <w:t>个专项行动</w:t>
            </w:r>
            <w:r>
              <w:rPr>
                <w:rFonts w:hint="eastAsia" w:eastAsia="仿宋_GB2312" w:cs="Times New Roman"/>
                <w:color w:val="auto"/>
                <w:spacing w:val="0"/>
                <w:sz w:val="28"/>
                <w:szCs w:val="28"/>
                <w:lang w:val="zh-CN"/>
              </w:rPr>
              <w:t>”</w:t>
            </w:r>
            <w:r>
              <w:rPr>
                <w:rFonts w:hint="default" w:ascii="Times New Roman" w:hAnsi="Times New Roman" w:eastAsia="仿宋_GB2312" w:cs="Times New Roman"/>
                <w:color w:val="auto"/>
                <w:spacing w:val="0"/>
                <w:sz w:val="28"/>
                <w:szCs w:val="28"/>
                <w:lang w:val="zh-CN"/>
              </w:rPr>
              <w:t>，巩固国家卫生县城创建成果，全面推进健康新平建设。推进国家级卫生乡镇建设，至少创成1个国家级卫生乡镇。</w:t>
            </w:r>
          </w:p>
        </w:tc>
      </w:tr>
    </w:tbl>
    <w:p w14:paraId="6AEAF860">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40" w:name="_Toc1275"/>
      <w:bookmarkStart w:id="141" w:name="_Toc31027"/>
      <w:r>
        <w:rPr>
          <w:rFonts w:hint="eastAsia" w:ascii="黑体" w:hAnsi="黑体" w:eastAsia="黑体" w:cs="黑体"/>
          <w:b/>
          <w:bCs w:val="0"/>
          <w:color w:val="auto"/>
          <w:spacing w:val="0"/>
          <w:szCs w:val="32"/>
        </w:rPr>
        <w:t xml:space="preserve">第五节 </w:t>
      </w:r>
      <w:r>
        <w:rPr>
          <w:rFonts w:hint="eastAsia" w:ascii="黑体" w:hAnsi="黑体" w:eastAsia="黑体" w:cs="黑体"/>
          <w:b/>
          <w:bCs w:val="0"/>
          <w:color w:val="auto"/>
          <w:spacing w:val="0"/>
          <w:szCs w:val="32"/>
          <w:lang w:val="en-US" w:eastAsia="zh-CN"/>
        </w:rPr>
        <w:t xml:space="preserve"> 完善</w:t>
      </w:r>
      <w:r>
        <w:rPr>
          <w:rFonts w:hint="eastAsia" w:ascii="黑体" w:hAnsi="黑体" w:eastAsia="黑体" w:cs="黑体"/>
          <w:b/>
          <w:bCs w:val="0"/>
          <w:color w:val="auto"/>
          <w:spacing w:val="0"/>
          <w:szCs w:val="32"/>
        </w:rPr>
        <w:t>多层次社会保障体系</w:t>
      </w:r>
      <w:bookmarkEnd w:id="140"/>
      <w:bookmarkEnd w:id="141"/>
    </w:p>
    <w:p w14:paraId="31783990">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健全覆盖全民、统筹城乡、公平统一、可持续的多层次社会保障体系，促进养老托育服务健康发展，解决好</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一老一小</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问题。</w:t>
      </w:r>
    </w:p>
    <w:p w14:paraId="2AB80CE0">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一、完善社会保险体系</w:t>
      </w:r>
    </w:p>
    <w:p w14:paraId="1A07DE0D">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推进全民参保计划，加强全民参保登记信息数据管理及比对，以中小微企业和农民工、灵活就业人员、新就业形态人员、未参保居民等为重点，实施精准扩面。推动被征地农民养老保险参保全覆盖。推广</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云南人社12333</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、农信手机APP自助缴费等便民缴费方式。完善灵活就业社保补贴拨付。扩大工伤保险参保覆盖面，探索医疗费结算支付</w:t>
      </w:r>
      <w:r>
        <w:rPr>
          <w:rFonts w:hint="default" w:ascii="Times New Roman" w:hAnsi="Times New Roman" w:eastAsia="仿宋_GB2312" w:cs="Times New Roman"/>
          <w:color w:val="auto"/>
          <w:spacing w:val="0"/>
          <w:szCs w:val="24"/>
          <w:lang w:eastAsia="zh-CN"/>
        </w:rPr>
        <w:t>新模式</w:t>
      </w:r>
      <w:r>
        <w:rPr>
          <w:rFonts w:hint="default" w:ascii="Times New Roman" w:hAnsi="Times New Roman" w:eastAsia="仿宋_GB2312" w:cs="Times New Roman"/>
          <w:color w:val="auto"/>
          <w:spacing w:val="0"/>
          <w:szCs w:val="24"/>
        </w:rPr>
        <w:t>。全面实施城乡居民重大疾病医疗保险制度，完善慢性病管理办法。继续推进机关事业单位养老保险制度改革，落实降费减负，完成退役军人养老保险和社会保险征缴移交。完善医疗救助制度。加强统筹共济和社会保险基金内部稽核监督管理，加大社会保险欠费清欠力度，完善医保智能审核系统。</w:t>
      </w:r>
    </w:p>
    <w:p w14:paraId="5E62358D">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二、构建新型社会救助体系</w:t>
      </w:r>
    </w:p>
    <w:p w14:paraId="28BB195B">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rPr>
        <w:t>健全社会救助体系，完善救灾救济、困难群众最低生活保障、特困人员供养、临时救济救助等保障体系</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推进社会救助城乡统筹和服务均等化。持续开展</w:t>
      </w:r>
      <w:r>
        <w:rPr>
          <w:rFonts w:hint="default" w:ascii="Times New Roman" w:hAnsi="Times New Roman" w:eastAsia="仿宋_GB2312" w:cs="Times New Roman"/>
          <w:color w:val="auto"/>
          <w:spacing w:val="0"/>
          <w:szCs w:val="24"/>
          <w:lang w:val="en-US" w:eastAsia="zh-CN"/>
        </w:rPr>
        <w:t>城乡</w:t>
      </w:r>
      <w:r>
        <w:rPr>
          <w:rFonts w:hint="default" w:ascii="Times New Roman" w:hAnsi="Times New Roman" w:eastAsia="仿宋_GB2312" w:cs="Times New Roman"/>
          <w:color w:val="auto"/>
          <w:spacing w:val="0"/>
          <w:szCs w:val="24"/>
        </w:rPr>
        <w:t>低保专项治理，</w:t>
      </w:r>
      <w:r>
        <w:rPr>
          <w:rFonts w:hint="default" w:ascii="Times New Roman" w:hAnsi="Times New Roman" w:eastAsia="仿宋_GB2312" w:cs="Times New Roman"/>
          <w:color w:val="auto"/>
          <w:spacing w:val="0"/>
          <w:szCs w:val="24"/>
          <w:lang w:val="en-US" w:eastAsia="zh-CN"/>
        </w:rPr>
        <w:t>深化</w:t>
      </w:r>
      <w:r>
        <w:rPr>
          <w:rFonts w:hint="default" w:ascii="Times New Roman" w:hAnsi="Times New Roman" w:eastAsia="仿宋_GB2312" w:cs="Times New Roman"/>
          <w:color w:val="auto"/>
          <w:spacing w:val="0"/>
          <w:szCs w:val="24"/>
        </w:rPr>
        <w:t>低保积分制</w:t>
      </w:r>
      <w:r>
        <w:rPr>
          <w:rFonts w:hint="default" w:ascii="Times New Roman" w:hAnsi="Times New Roman" w:eastAsia="仿宋_GB2312" w:cs="Times New Roman"/>
          <w:color w:val="auto"/>
          <w:spacing w:val="0"/>
          <w:szCs w:val="24"/>
          <w:lang w:val="en-US" w:eastAsia="zh-CN"/>
        </w:rPr>
        <w:t>管理</w:t>
      </w:r>
      <w:r>
        <w:rPr>
          <w:rFonts w:hint="default" w:ascii="Times New Roman" w:hAnsi="Times New Roman" w:eastAsia="仿宋_GB2312" w:cs="Times New Roman"/>
          <w:color w:val="auto"/>
          <w:spacing w:val="0"/>
          <w:szCs w:val="24"/>
        </w:rPr>
        <w:t>，实现应保尽保、</w:t>
      </w:r>
      <w:r>
        <w:rPr>
          <w:rFonts w:hint="default" w:ascii="Times New Roman" w:hAnsi="Times New Roman" w:eastAsia="仿宋_GB2312" w:cs="Times New Roman"/>
          <w:color w:val="auto"/>
          <w:spacing w:val="0"/>
          <w:szCs w:val="24"/>
          <w:lang w:val="en-US" w:eastAsia="zh-CN"/>
        </w:rPr>
        <w:t>应退尽退、</w:t>
      </w:r>
      <w:r>
        <w:rPr>
          <w:rFonts w:hint="default" w:ascii="Times New Roman" w:hAnsi="Times New Roman" w:eastAsia="仿宋_GB2312" w:cs="Times New Roman"/>
          <w:color w:val="auto"/>
          <w:spacing w:val="0"/>
          <w:szCs w:val="24"/>
        </w:rPr>
        <w:t>动态管理、精准救助，稳步提高救助</w:t>
      </w:r>
      <w:r>
        <w:rPr>
          <w:rFonts w:hint="default" w:ascii="Times New Roman" w:hAnsi="Times New Roman" w:eastAsia="仿宋_GB2312" w:cs="Times New Roman"/>
          <w:color w:val="auto"/>
          <w:spacing w:val="0"/>
          <w:szCs w:val="24"/>
          <w:lang w:val="en-US" w:eastAsia="zh-CN"/>
        </w:rPr>
        <w:t>保障</w:t>
      </w:r>
      <w:r>
        <w:rPr>
          <w:rFonts w:hint="default" w:ascii="Times New Roman" w:hAnsi="Times New Roman" w:eastAsia="仿宋_GB2312" w:cs="Times New Roman"/>
          <w:color w:val="auto"/>
          <w:spacing w:val="0"/>
          <w:szCs w:val="24"/>
        </w:rPr>
        <w:t>标准。完善社会救助和保障标准与物价上涨挂钩的联动机制。</w:t>
      </w:r>
      <w:r>
        <w:rPr>
          <w:rFonts w:hint="eastAsia" w:eastAsia="仿宋_GB2312" w:cs="Times New Roman"/>
          <w:color w:val="auto"/>
          <w:spacing w:val="0"/>
          <w:szCs w:val="24"/>
          <w:lang w:val="en-US" w:eastAsia="zh-CN"/>
        </w:rPr>
        <w:t>创新社会救助方式，积极开展服务类社会救助，形成“物质+服务”的救助方式。</w:t>
      </w:r>
      <w:r>
        <w:rPr>
          <w:rFonts w:hint="default" w:ascii="Times New Roman" w:hAnsi="Times New Roman" w:eastAsia="仿宋_GB2312" w:cs="Times New Roman"/>
          <w:color w:val="auto"/>
          <w:spacing w:val="0"/>
          <w:szCs w:val="24"/>
        </w:rPr>
        <w:t>健全社会救助对象定期核查机制，全面实现动态管理。健全临时救助制度，简化审批程序，提高救助效能。完善急难社会救助，加强流浪乞讨人员救助，健全寻亲服务</w:t>
      </w:r>
      <w:r>
        <w:rPr>
          <w:rFonts w:hint="default" w:ascii="Times New Roman" w:hAnsi="Times New Roman" w:eastAsia="仿宋_GB2312" w:cs="Times New Roman"/>
          <w:color w:val="auto"/>
          <w:spacing w:val="0"/>
          <w:szCs w:val="24"/>
          <w:lang w:val="en-US" w:eastAsia="zh-CN"/>
        </w:rPr>
        <w:t>联动机制</w:t>
      </w:r>
      <w:r>
        <w:rPr>
          <w:rFonts w:hint="default" w:ascii="Times New Roman" w:hAnsi="Times New Roman" w:eastAsia="仿宋_GB2312" w:cs="Times New Roman"/>
          <w:color w:val="auto"/>
          <w:spacing w:val="0"/>
          <w:szCs w:val="24"/>
        </w:rPr>
        <w:t>。加强对农村留守儿童和妇女、老人关爱服务</w:t>
      </w:r>
      <w:r>
        <w:rPr>
          <w:rFonts w:hint="default" w:ascii="Times New Roman" w:hAnsi="Times New Roman" w:eastAsia="仿宋_GB2312" w:cs="Times New Roman"/>
          <w:color w:val="auto"/>
          <w:spacing w:val="0"/>
          <w:szCs w:val="24"/>
          <w:lang w:eastAsia="zh-CN"/>
        </w:rPr>
        <w:t>。</w:t>
      </w:r>
    </w:p>
    <w:p w14:paraId="6C1217B8">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三、加快社会福利事业发展</w:t>
      </w:r>
    </w:p>
    <w:p w14:paraId="45B2334B">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加强慈善主体培育，支持开展多种形式慈善活动，探索慈善事业与社会救助、社会福利的政策衔接。健全完善村（社区）</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儿童之家</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等儿童福利基础设施，改善服务功能，提高养育质量。推动儿童福利制度由补缺型向适度普惠型转变，建立儿童福利分类保障制度。实施</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明天计划</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福彩圆梦·孤儿助学工程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等项目，确保助医助学项目覆盖全县所有孤儿。加快制定完善事实无人抚养儿童保障政策，加大流浪儿童救助保护力度。选优配强乡镇（街道）儿童督导员、村（居）儿童主任，建好儿童福利工作专业人才队伍。加强残疾人福利保障，逐步提高残疾人</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两项补贴</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标准，适度扩大补贴范围。</w:t>
      </w:r>
    </w:p>
    <w:p w14:paraId="030F6621">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四、加强退役军人事务管理</w:t>
      </w:r>
    </w:p>
    <w:p w14:paraId="72D571D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lang w:eastAsia="zh-CN"/>
        </w:rPr>
        <w:t>充分</w:t>
      </w:r>
      <w:r>
        <w:rPr>
          <w:rFonts w:hint="default" w:ascii="Times New Roman" w:hAnsi="Times New Roman" w:eastAsia="仿宋_GB2312" w:cs="Times New Roman"/>
          <w:color w:val="auto"/>
          <w:spacing w:val="0"/>
          <w:szCs w:val="24"/>
        </w:rPr>
        <w:t>发挥退役军人工作为经济社会发展、国防和军队建设服务的作用，推动退役军人工作法治化、标准化、信息化建设。加强优待抚恤，推进全国双拥模范县建设，推行军地相互支持需求</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双清单</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，开展创建</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美丽军营</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活动。建立退役军人荣誉激励机制，发挥烈士纪念设施红色教育主阵地作用，大力弘扬英烈精神。建立完善以扶持就业为主，自主就业、安排工作等多种方式相结合的新型退役士兵安置制度。深入推进自主就业退役士兵免费职业教育和技能培训，提高退役士兵就业竞争力。推进符合政府安排工作条件退役士兵保险接续工作。全面落实军休干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两项待遇</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，加强军休文化建设，丰富军休干部文化生活。</w:t>
      </w:r>
    </w:p>
    <w:p w14:paraId="2C5DEF9F">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五、</w:t>
      </w:r>
      <w:bookmarkStart w:id="142" w:name="_Hlk57927607"/>
      <w:r>
        <w:rPr>
          <w:rFonts w:hint="eastAsia" w:ascii="黑体" w:hAnsi="黑体" w:eastAsia="黑体" w:cs="黑体"/>
          <w:b w:val="0"/>
          <w:bCs/>
          <w:color w:val="auto"/>
          <w:spacing w:val="0"/>
          <w:szCs w:val="22"/>
        </w:rPr>
        <w:t>健全养老托育服务体系</w:t>
      </w:r>
      <w:bookmarkEnd w:id="142"/>
    </w:p>
    <w:p w14:paraId="641ACA6A">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加强城乡养老服务基础设施建设，提高农村敬老院运营效益和护理功能，加快推进农村敬老院、老年公寓、</w:t>
      </w:r>
      <w:r>
        <w:rPr>
          <w:rFonts w:hint="default" w:ascii="Times New Roman" w:hAnsi="Times New Roman" w:eastAsia="仿宋_GB2312" w:cs="Times New Roman"/>
          <w:color w:val="auto"/>
          <w:spacing w:val="0"/>
          <w:szCs w:val="24"/>
          <w:lang w:val="en-US" w:eastAsia="zh-CN"/>
        </w:rPr>
        <w:t>村（社区）</w:t>
      </w:r>
      <w:r>
        <w:rPr>
          <w:rFonts w:hint="default" w:ascii="Times New Roman" w:hAnsi="Times New Roman" w:eastAsia="仿宋_GB2312" w:cs="Times New Roman"/>
          <w:color w:val="auto"/>
          <w:spacing w:val="0"/>
          <w:szCs w:val="24"/>
        </w:rPr>
        <w:t>居家养老服务中心等养老设施建设。加强农村特困供养机构升级改造，逐步向区域性养老服务中心转型。按照养老服务业综合改革试点工作</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三级一有</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目标，深化养老服务设施体系建设，鼓励社会力量投资养老服务市场，兴办各类型、各层次养老服务机构（设施）。建立健全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医养融合</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服务体系，促进医疗卫生机构和养老机构合作。积极推进</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互联网+养老</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服务，持续推动智慧健康养老产业发展。</w:t>
      </w:r>
      <w:r>
        <w:rPr>
          <w:rFonts w:hint="eastAsia" w:eastAsia="仿宋_GB2312" w:cs="Times New Roman"/>
          <w:color w:val="auto"/>
          <w:spacing w:val="0"/>
          <w:szCs w:val="24"/>
          <w:lang w:val="en-US" w:eastAsia="zh-CN"/>
        </w:rPr>
        <w:t>健全覆盖县乡村三级的农村养老服务。</w:t>
      </w:r>
      <w:r>
        <w:rPr>
          <w:rFonts w:hint="default" w:ascii="Times New Roman" w:hAnsi="Times New Roman" w:eastAsia="仿宋_GB2312" w:cs="Times New Roman"/>
          <w:color w:val="auto"/>
          <w:spacing w:val="0"/>
          <w:szCs w:val="24"/>
        </w:rPr>
        <w:t>加快开发</w:t>
      </w:r>
      <w:r>
        <w:rPr>
          <w:rFonts w:hint="default" w:ascii="Times New Roman" w:hAnsi="Times New Roman" w:eastAsia="仿宋_GB2312" w:cs="Times New Roman"/>
          <w:color w:val="auto"/>
          <w:spacing w:val="0"/>
          <w:szCs w:val="24"/>
          <w:lang w:eastAsia="zh-CN"/>
        </w:rPr>
        <w:t>集</w:t>
      </w:r>
      <w:r>
        <w:rPr>
          <w:rFonts w:hint="default" w:ascii="Times New Roman" w:hAnsi="Times New Roman" w:eastAsia="仿宋_GB2312" w:cs="Times New Roman"/>
          <w:color w:val="auto"/>
          <w:spacing w:val="0"/>
          <w:szCs w:val="24"/>
        </w:rPr>
        <w:t>休闲</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康养</w:t>
      </w:r>
      <w:r>
        <w:rPr>
          <w:rFonts w:hint="default" w:ascii="Times New Roman" w:hAnsi="Times New Roman" w:eastAsia="仿宋_GB2312" w:cs="Times New Roman"/>
          <w:color w:val="auto"/>
          <w:spacing w:val="0"/>
          <w:szCs w:val="24"/>
          <w:lang w:eastAsia="zh-CN"/>
        </w:rPr>
        <w:t>为一体的</w:t>
      </w:r>
      <w:r>
        <w:rPr>
          <w:rFonts w:hint="default" w:ascii="Times New Roman" w:hAnsi="Times New Roman" w:eastAsia="仿宋_GB2312" w:cs="Times New Roman"/>
          <w:color w:val="auto"/>
          <w:spacing w:val="0"/>
          <w:szCs w:val="24"/>
        </w:rPr>
        <w:t>综合养老项目，打造旅居养老聚居区。推动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物业服务+养老服务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模式发展。加快培养老年人生活服务、健康服务</w:t>
      </w:r>
      <w:r>
        <w:rPr>
          <w:rFonts w:hint="default" w:ascii="Times New Roman" w:hAnsi="Times New Roman" w:eastAsia="仿宋_GB2312" w:cs="Times New Roman"/>
          <w:color w:val="auto"/>
          <w:spacing w:val="0"/>
          <w:szCs w:val="24"/>
          <w:lang w:eastAsia="zh-CN"/>
        </w:rPr>
        <w:t>等领域</w:t>
      </w:r>
      <w:r>
        <w:rPr>
          <w:rFonts w:hint="default" w:ascii="Times New Roman" w:hAnsi="Times New Roman" w:eastAsia="仿宋_GB2312" w:cs="Times New Roman"/>
          <w:color w:val="auto"/>
          <w:spacing w:val="0"/>
          <w:szCs w:val="24"/>
        </w:rPr>
        <w:t>专业服务人员、社会工作者。加快推进养老服务领域社会信用体系建设。持续开展养老服务机构服务质量建设专项行动。到2025年，各乡镇（街道）、村（社区）基本完成</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居家养老服务中心</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项目建设，全县至少有2个以上不同类型的社会化养老服务机构。支持发展普惠性托育机构，在公办幼儿园中同步规划配置托育机构，支持行政事业单位等为职工提供福利性婴幼儿照护服务。完善小区内与常住人口规模相适应的托育机构，引导和支持社会资本兴办各类托育机构，推动托育服务向标准化发展。</w:t>
      </w:r>
    </w:p>
    <w:tbl>
      <w:tblPr>
        <w:tblStyle w:val="3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156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35A18276">
            <w:pPr>
              <w:pageBreakBefore w:val="0"/>
              <w:widowControl w:val="0"/>
              <w:kinsoku/>
              <w:wordWrap/>
              <w:overflowPunct/>
              <w:topLinePunct w:val="0"/>
              <w:autoSpaceDN/>
              <w:bidi w:val="0"/>
              <w:spacing w:line="500" w:lineRule="exact"/>
              <w:ind w:firstLine="0" w:firstLineChars="0"/>
              <w:jc w:val="center"/>
              <w:rPr>
                <w:rFonts w:hint="default" w:ascii="Times New Roman" w:hAnsi="Times New Roman" w:eastAsia="仿宋_GB2312" w:cs="Times New Roman"/>
                <w:color w:val="auto"/>
                <w:spacing w:val="0"/>
                <w:kern w:val="0"/>
                <w:sz w:val="28"/>
                <w:szCs w:val="32"/>
                <w:lang w:val="zh-CN" w:bidi="zh-CN"/>
              </w:rPr>
            </w:pPr>
            <w:r>
              <w:rPr>
                <w:rFonts w:hint="default" w:ascii="Times New Roman" w:hAnsi="Times New Roman" w:eastAsia="仿宋_GB2312" w:cs="Times New Roman"/>
                <w:b/>
                <w:bCs/>
                <w:color w:val="auto"/>
                <w:spacing w:val="0"/>
                <w:kern w:val="0"/>
                <w:sz w:val="28"/>
                <w:szCs w:val="32"/>
                <w:lang w:val="zh-CN" w:bidi="zh-CN"/>
              </w:rPr>
              <w:t>专栏</w:t>
            </w:r>
            <w:r>
              <w:rPr>
                <w:rFonts w:hint="default" w:ascii="Times New Roman" w:hAnsi="Times New Roman" w:eastAsia="仿宋_GB2312" w:cs="Times New Roman"/>
                <w:b/>
                <w:bCs/>
                <w:color w:val="auto"/>
                <w:spacing w:val="0"/>
                <w:kern w:val="0"/>
                <w:sz w:val="28"/>
                <w:szCs w:val="32"/>
                <w:lang w:bidi="zh-CN"/>
              </w:rPr>
              <w:t>2</w:t>
            </w:r>
            <w:r>
              <w:rPr>
                <w:rFonts w:hint="default" w:ascii="Times New Roman" w:hAnsi="Times New Roman" w:eastAsia="仿宋_GB2312" w:cs="Times New Roman"/>
                <w:b/>
                <w:bCs/>
                <w:color w:val="auto"/>
                <w:spacing w:val="0"/>
                <w:kern w:val="0"/>
                <w:sz w:val="28"/>
                <w:szCs w:val="32"/>
                <w:lang w:val="en-US" w:bidi="zh-CN"/>
              </w:rPr>
              <w:t>2</w:t>
            </w:r>
            <w:r>
              <w:rPr>
                <w:rFonts w:hint="default" w:ascii="Times New Roman" w:hAnsi="Times New Roman" w:eastAsia="仿宋_GB2312" w:cs="Times New Roman"/>
                <w:b/>
                <w:bCs/>
                <w:color w:val="auto"/>
                <w:spacing w:val="0"/>
                <w:kern w:val="0"/>
                <w:sz w:val="28"/>
                <w:szCs w:val="32"/>
                <w:lang w:bidi="zh-CN"/>
              </w:rPr>
              <w:t xml:space="preserve"> </w:t>
            </w:r>
            <w:r>
              <w:rPr>
                <w:rFonts w:hint="default" w:ascii="Times New Roman" w:hAnsi="Times New Roman" w:eastAsia="仿宋_GB2312" w:cs="Times New Roman"/>
                <w:b/>
                <w:bCs/>
                <w:color w:val="auto"/>
                <w:spacing w:val="0"/>
                <w:kern w:val="0"/>
                <w:sz w:val="28"/>
                <w:szCs w:val="32"/>
                <w:lang w:val="zh-CN" w:bidi="zh-CN"/>
              </w:rPr>
              <w:t xml:space="preserve"> 社会保障体系建设工程</w:t>
            </w:r>
          </w:p>
        </w:tc>
      </w:tr>
      <w:tr w14:paraId="4D77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56D6A43E">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kern w:val="0"/>
                <w:sz w:val="28"/>
                <w:szCs w:val="32"/>
                <w:lang w:val="zh-CN" w:bidi="zh-CN"/>
              </w:rPr>
            </w:pPr>
            <w:r>
              <w:rPr>
                <w:rFonts w:hint="default" w:ascii="Times New Roman" w:hAnsi="Times New Roman" w:eastAsia="仿宋_GB2312" w:cs="Times New Roman"/>
                <w:b/>
                <w:bCs/>
                <w:color w:val="auto"/>
                <w:spacing w:val="0"/>
                <w:kern w:val="0"/>
                <w:sz w:val="28"/>
                <w:szCs w:val="32"/>
                <w:lang w:val="zh-CN" w:bidi="zh-CN"/>
              </w:rPr>
              <w:t>养老服务体系建设工程。</w:t>
            </w:r>
            <w:r>
              <w:rPr>
                <w:rFonts w:hint="default" w:ascii="Times New Roman" w:hAnsi="Times New Roman" w:eastAsia="仿宋_GB2312" w:cs="Times New Roman"/>
                <w:bCs/>
                <w:color w:val="auto"/>
                <w:spacing w:val="0"/>
                <w:kern w:val="0"/>
                <w:sz w:val="28"/>
                <w:szCs w:val="32"/>
                <w:lang w:val="zh-CN" w:bidi="zh-CN"/>
              </w:rPr>
              <w:t>实施新平县智慧养老服务中心建设、戛洒镇花腰傣庄园（康养度假中心）建设、桂山街道康养中心建设，老年养护院续建工程等项目，续建戛洒、建兴敬老院，新建老厂、平掌、水塘、扬武等敬老院，</w:t>
            </w:r>
            <w:r>
              <w:rPr>
                <w:rFonts w:hint="default" w:ascii="Times New Roman" w:hAnsi="Times New Roman" w:eastAsia="仿宋_GB2312" w:cs="Times New Roman"/>
                <w:bCs/>
                <w:color w:val="auto"/>
                <w:spacing w:val="0"/>
                <w:kern w:val="0"/>
                <w:sz w:val="28"/>
                <w:szCs w:val="32"/>
                <w:lang w:val="en-US" w:bidi="zh-CN"/>
              </w:rPr>
              <w:t>扩建县中心敬老院，</w:t>
            </w:r>
            <w:r>
              <w:rPr>
                <w:rFonts w:hint="default" w:ascii="Times New Roman" w:hAnsi="Times New Roman" w:eastAsia="仿宋_GB2312" w:cs="Times New Roman"/>
                <w:bCs/>
                <w:color w:val="auto"/>
                <w:spacing w:val="0"/>
                <w:kern w:val="0"/>
                <w:sz w:val="28"/>
                <w:szCs w:val="32"/>
                <w:lang w:val="zh-CN" w:bidi="zh-CN"/>
              </w:rPr>
              <w:t>新建14个社区居家养老服务中心、89个农村居家养老服务中心、283个小组老年活动室等，建立健全社区养老服务网络，拓展社会化养老服务功能。</w:t>
            </w:r>
          </w:p>
          <w:p w14:paraId="41F2E77F">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kern w:val="0"/>
                <w:sz w:val="28"/>
                <w:szCs w:val="32"/>
                <w:lang w:val="zh-CN" w:bidi="zh-CN"/>
              </w:rPr>
            </w:pPr>
            <w:r>
              <w:rPr>
                <w:rFonts w:hint="default" w:ascii="Times New Roman" w:hAnsi="Times New Roman" w:eastAsia="仿宋_GB2312" w:cs="Times New Roman"/>
                <w:b/>
                <w:bCs/>
                <w:color w:val="auto"/>
                <w:spacing w:val="0"/>
                <w:kern w:val="0"/>
                <w:sz w:val="28"/>
                <w:szCs w:val="32"/>
                <w:lang w:val="zh-CN" w:bidi="zh-CN"/>
              </w:rPr>
              <w:t>退役军人服务保障体系建设工程。</w:t>
            </w:r>
            <w:r>
              <w:rPr>
                <w:rFonts w:hint="default" w:ascii="Times New Roman" w:hAnsi="Times New Roman" w:eastAsia="仿宋_GB2312" w:cs="Times New Roman"/>
                <w:bCs/>
                <w:color w:val="auto"/>
                <w:spacing w:val="0"/>
                <w:kern w:val="0"/>
                <w:sz w:val="28"/>
                <w:szCs w:val="32"/>
                <w:lang w:val="zh-CN" w:bidi="zh-CN"/>
              </w:rPr>
              <w:t>完善新平县退役军人服务中心，12个乡镇（街道）、124个村（社区）退役军人服务站的设施及工作管理制度。建立退役军人关爱基金，探索建立现役军人家庭保险制度。搭建新平县退役军人服务保障体系信息平台，达到横向到边、纵向到底</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一平台全覆盖</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w:t>
            </w:r>
          </w:p>
        </w:tc>
      </w:tr>
    </w:tbl>
    <w:p w14:paraId="0F121C2A">
      <w:pPr>
        <w:pageBreakBefore w:val="0"/>
        <w:widowControl w:val="0"/>
        <w:kinsoku/>
        <w:wordWrap/>
        <w:overflowPunct/>
        <w:topLinePunct w:val="0"/>
        <w:autoSpaceDN/>
        <w:bidi w:val="0"/>
        <w:ind w:left="0" w:leftChars="0" w:firstLine="0" w:firstLineChars="0"/>
        <w:jc w:val="center"/>
        <w:rPr>
          <w:rFonts w:hint="default" w:ascii="Times New Roman" w:hAnsi="Times New Roman" w:eastAsia="黑体" w:cs="Times New Roman"/>
          <w:color w:val="auto"/>
          <w:spacing w:val="0"/>
        </w:rPr>
      </w:pPr>
    </w:p>
    <w:p w14:paraId="5D70F9B6">
      <w:pPr>
        <w:pageBreakBefore w:val="0"/>
        <w:widowControl w:val="0"/>
        <w:kinsoku/>
        <w:wordWrap/>
        <w:overflowPunct/>
        <w:topLinePunct w:val="0"/>
        <w:autoSpaceDN/>
        <w:bidi w:val="0"/>
        <w:ind w:left="0" w:leftChars="0" w:firstLine="0" w:firstLineChars="0"/>
        <w:rPr>
          <w:rFonts w:hint="default"/>
          <w:color w:val="auto"/>
          <w:spacing w:val="0"/>
        </w:rPr>
      </w:pPr>
      <w:r>
        <w:rPr>
          <w:rFonts w:hint="default"/>
          <w:color w:val="auto"/>
          <w:spacing w:val="0"/>
        </w:rPr>
        <w:br w:type="page"/>
      </w:r>
    </w:p>
    <w:p w14:paraId="55E7EA5C">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bCs w:val="0"/>
          <w:color w:val="auto"/>
          <w:spacing w:val="0"/>
          <w:kern w:val="2"/>
          <w:sz w:val="36"/>
          <w:szCs w:val="36"/>
          <w:lang w:val="en-US" w:eastAsia="zh-CN"/>
        </w:rPr>
      </w:pPr>
      <w:bookmarkStart w:id="143" w:name="_Toc9523"/>
      <w:bookmarkStart w:id="144" w:name="_Toc15674"/>
      <w:r>
        <w:rPr>
          <w:rFonts w:hint="eastAsia" w:ascii="方正小标宋_GBK" w:hAnsi="方正小标宋_GBK" w:eastAsia="方正小标宋_GBK" w:cs="方正小标宋_GBK"/>
          <w:bCs w:val="0"/>
          <w:color w:val="auto"/>
          <w:spacing w:val="0"/>
          <w:kern w:val="2"/>
          <w:sz w:val="36"/>
          <w:szCs w:val="36"/>
          <w:lang w:val="en-US" w:eastAsia="zh-CN"/>
        </w:rPr>
        <w:t>第十二章  坚持传承开发，繁荣文化事业新实力</w:t>
      </w:r>
      <w:bookmarkEnd w:id="143"/>
      <w:bookmarkEnd w:id="144"/>
    </w:p>
    <w:p w14:paraId="46340AC8">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坚持以社会主义核心价值观引领文化建设，提高社会文明程度，完善现代公共文化服务体系，传承发扬优秀传统文化，推动文化事业和文化产业协调发展。</w:t>
      </w:r>
    </w:p>
    <w:p w14:paraId="20075E29">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45" w:name="_Toc24256"/>
      <w:bookmarkStart w:id="146" w:name="_Toc18788"/>
      <w:r>
        <w:rPr>
          <w:rFonts w:hint="eastAsia" w:ascii="黑体" w:hAnsi="黑体" w:eastAsia="黑体" w:cs="黑体"/>
          <w:b/>
          <w:bCs w:val="0"/>
          <w:color w:val="auto"/>
          <w:spacing w:val="0"/>
          <w:szCs w:val="32"/>
        </w:rPr>
        <w:t>第一节  提高社会文明程度</w:t>
      </w:r>
      <w:bookmarkEnd w:id="145"/>
      <w:bookmarkEnd w:id="146"/>
    </w:p>
    <w:p w14:paraId="24E79272">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弘扬和践行社会主义核心价值观，把社会主义核心价值观融入社会发展各领域，转化为人们的情感认同和行为习惯，形成适应新时代要求的思想观念、精神面貌、文明风尚、行为规范。</w:t>
      </w:r>
    </w:p>
    <w:p w14:paraId="7D90237A">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一、加强社会主义核心价值观宣传教育</w:t>
      </w:r>
    </w:p>
    <w:p w14:paraId="3432586E">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深入开展</w:t>
      </w:r>
      <w:r>
        <w:rPr>
          <w:rFonts w:hint="default" w:ascii="Times New Roman" w:hAnsi="Times New Roman" w:eastAsia="仿宋_GB2312" w:cs="Times New Roman"/>
          <w:color w:val="auto"/>
          <w:spacing w:val="0"/>
          <w:szCs w:val="24"/>
          <w:lang w:val="en-US" w:eastAsia="zh-CN"/>
        </w:rPr>
        <w:t>习近平新时代</w:t>
      </w:r>
      <w:r>
        <w:rPr>
          <w:rFonts w:hint="default" w:ascii="Times New Roman" w:hAnsi="Times New Roman" w:eastAsia="仿宋_GB2312" w:cs="Times New Roman"/>
          <w:color w:val="auto"/>
          <w:spacing w:val="0"/>
          <w:szCs w:val="24"/>
        </w:rPr>
        <w:t>中国特色社会主义</w:t>
      </w:r>
      <w:r>
        <w:rPr>
          <w:rFonts w:hint="default" w:ascii="Times New Roman" w:hAnsi="Times New Roman" w:eastAsia="仿宋_GB2312" w:cs="Times New Roman"/>
          <w:color w:val="auto"/>
          <w:spacing w:val="0"/>
          <w:szCs w:val="24"/>
          <w:lang w:val="en-US" w:eastAsia="zh-CN"/>
        </w:rPr>
        <w:t>思想</w:t>
      </w:r>
      <w:r>
        <w:rPr>
          <w:rFonts w:hint="default" w:ascii="Times New Roman" w:hAnsi="Times New Roman" w:eastAsia="仿宋_GB2312" w:cs="Times New Roman"/>
          <w:color w:val="auto"/>
          <w:spacing w:val="0"/>
          <w:szCs w:val="24"/>
        </w:rPr>
        <w:t>和中国梦宣传教育，培育和践行社会主义核心价值观，加强党史、新中国史、改革开放史、社会主义发展史教育，强化爱国主义教育、</w:t>
      </w:r>
      <w:r>
        <w:rPr>
          <w:rFonts w:hint="eastAsia" w:eastAsia="仿宋_GB2312" w:cs="Times New Roman"/>
          <w:color w:val="auto"/>
          <w:spacing w:val="0"/>
          <w:szCs w:val="24"/>
          <w:lang w:val="en-US" w:eastAsia="zh-CN"/>
        </w:rPr>
        <w:t>集体主义、社会主义</w:t>
      </w:r>
      <w:r>
        <w:rPr>
          <w:rFonts w:hint="default" w:ascii="Times New Roman" w:hAnsi="Times New Roman" w:eastAsia="仿宋_GB2312" w:cs="Times New Roman"/>
          <w:color w:val="auto"/>
          <w:spacing w:val="0"/>
          <w:szCs w:val="24"/>
        </w:rPr>
        <w:t>教育。严格社团、讲座、研讨会、报告会的管理，运用新闻报道、言论评论、访谈节目、专题节目和各类出版物等形式传播社会主义核心价值观。推动理想信念教育常态化制度化，发挥学校思想教育阵地作用，加强革命传统教育、爱国主义教育、青少年思想道德教育。加强建兴帽盒山革命根据地、新平烈士陵园等爱国主义教育基地建设。做好重点新闻网站，发展积极健康的网络文化。多渠道运用网络传播社会主义核心价值观，引导人们坚定道路自信、理论自信、制度自信、文化自信，促进全体人民在思想上精神上紧紧团结在一起。</w:t>
      </w:r>
    </w:p>
    <w:p w14:paraId="22DA0049">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二、开展涵养社会主义核心价值观的实践活动</w:t>
      </w:r>
    </w:p>
    <w:p w14:paraId="4B70FCA8">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广泛开展道德实践活动，推进社会公德、职业道德、家庭美德、个人品德建设。持续推进文明城市、文明社区、文明村镇、文明单位、文明家庭和文明校园等创建活动。完善新时代文明实践中心建设，打造新平</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掌上新时代文明实践中心</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，推动文明实践</w:t>
      </w:r>
      <w:r>
        <w:rPr>
          <w:rFonts w:hint="default" w:ascii="Times New Roman" w:hAnsi="Times New Roman" w:eastAsia="仿宋_GB2312" w:cs="Times New Roman"/>
          <w:color w:val="auto"/>
          <w:spacing w:val="0"/>
          <w:szCs w:val="24"/>
          <w:lang w:eastAsia="zh-CN"/>
        </w:rPr>
        <w:t>线上线下同步互动</w:t>
      </w:r>
      <w:r>
        <w:rPr>
          <w:rFonts w:hint="default" w:ascii="Times New Roman" w:hAnsi="Times New Roman" w:eastAsia="仿宋_GB2312" w:cs="Times New Roman"/>
          <w:color w:val="auto"/>
          <w:spacing w:val="0"/>
          <w:szCs w:val="24"/>
        </w:rPr>
        <w:t>，不断拓展文明实践空中站。深化学雷锋志愿服务活动，广泛开展志愿服务关爱行动。加强家庭、家教、家风建设，不断提升公民文明素质和社会文明程度。挖掘重要节庆日、纪念日蕴藏的丰富教育资源，举办庄严庄重、内涵丰富的群众性</w:t>
      </w:r>
      <w:r>
        <w:rPr>
          <w:rFonts w:hint="eastAsia" w:eastAsia="仿宋_GB2312" w:cs="Times New Roman"/>
          <w:color w:val="auto"/>
          <w:spacing w:val="0"/>
          <w:szCs w:val="24"/>
          <w:lang w:eastAsia="zh-CN"/>
        </w:rPr>
        <w:t>庆祝</w:t>
      </w:r>
      <w:r>
        <w:rPr>
          <w:rFonts w:hint="default" w:ascii="Times New Roman" w:hAnsi="Times New Roman" w:eastAsia="仿宋_GB2312" w:cs="Times New Roman"/>
          <w:color w:val="auto"/>
          <w:spacing w:val="0"/>
          <w:szCs w:val="24"/>
        </w:rPr>
        <w:t>活动。</w:t>
      </w:r>
    </w:p>
    <w:p w14:paraId="3E603354">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47" w:name="_Toc5206"/>
      <w:bookmarkStart w:id="148" w:name="_Toc7850"/>
      <w:r>
        <w:rPr>
          <w:rFonts w:hint="eastAsia" w:ascii="黑体" w:hAnsi="黑体" w:eastAsia="黑体" w:cs="黑体"/>
          <w:b/>
          <w:bCs w:val="0"/>
          <w:color w:val="auto"/>
          <w:spacing w:val="0"/>
          <w:szCs w:val="32"/>
        </w:rPr>
        <w:t>第二节  提升公共文化服务水平</w:t>
      </w:r>
      <w:bookmarkEnd w:id="147"/>
      <w:bookmarkEnd w:id="148"/>
    </w:p>
    <w:p w14:paraId="3278128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spacing w:val="0"/>
          <w:highlight w:val="none"/>
        </w:rPr>
      </w:pPr>
      <w:r>
        <w:rPr>
          <w:rFonts w:hint="default" w:ascii="Times New Roman" w:hAnsi="Times New Roman" w:cs="Times New Roman"/>
          <w:spacing w:val="0"/>
          <w:highlight w:val="none"/>
        </w:rPr>
        <w:t>坚持以人民为中心的发展思想，建设完善现代公共文化服务体系和广电服务体系，为人民群众提供更丰富、更优质的精神食粮，更好满足人民群众精神文化生活新期待。</w:t>
      </w:r>
    </w:p>
    <w:p w14:paraId="6EE6A832">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一、健全城乡公共文化服务供给机制</w:t>
      </w:r>
    </w:p>
    <w:p w14:paraId="040AAA1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以推动文化创新为动力，以满足各族群众日益增长的精神文化需求为出发点和落脚点，建立健全县、乡、村、组四级公共文化服务体系。加快建设</w:t>
      </w:r>
      <w:r>
        <w:rPr>
          <w:rFonts w:hint="default" w:ascii="Times New Roman" w:hAnsi="Times New Roman" w:eastAsia="仿宋_GB2312" w:cs="Times New Roman"/>
          <w:color w:val="auto"/>
          <w:spacing w:val="0"/>
          <w:szCs w:val="24"/>
          <w:lang w:eastAsia="zh-CN"/>
        </w:rPr>
        <w:t>县</w:t>
      </w:r>
      <w:r>
        <w:rPr>
          <w:rFonts w:hint="default" w:ascii="Times New Roman" w:hAnsi="Times New Roman" w:eastAsia="仿宋_GB2312" w:cs="Times New Roman"/>
          <w:color w:val="auto"/>
          <w:spacing w:val="0"/>
          <w:szCs w:val="24"/>
        </w:rPr>
        <w:t>博物馆、</w:t>
      </w:r>
      <w:r>
        <w:rPr>
          <w:rFonts w:hint="default" w:ascii="Times New Roman" w:hAnsi="Times New Roman" w:eastAsia="仿宋_GB2312" w:cs="Times New Roman"/>
          <w:color w:val="auto"/>
          <w:spacing w:val="0"/>
          <w:szCs w:val="24"/>
          <w:lang w:eastAsia="zh-CN"/>
        </w:rPr>
        <w:t>民族</w:t>
      </w:r>
      <w:r>
        <w:rPr>
          <w:rFonts w:hint="default" w:ascii="Times New Roman" w:hAnsi="Times New Roman" w:eastAsia="仿宋_GB2312" w:cs="Times New Roman"/>
          <w:color w:val="auto"/>
          <w:spacing w:val="0"/>
          <w:szCs w:val="24"/>
        </w:rPr>
        <w:t>图书馆、文化馆，建立以</w:t>
      </w:r>
      <w:r>
        <w:rPr>
          <w:rFonts w:hint="default" w:ascii="Times New Roman" w:hAnsi="Times New Roman" w:eastAsia="仿宋_GB2312" w:cs="Times New Roman"/>
          <w:color w:val="auto"/>
          <w:spacing w:val="0"/>
          <w:szCs w:val="24"/>
          <w:lang w:eastAsia="zh-CN"/>
        </w:rPr>
        <w:t>县民族</w:t>
      </w:r>
      <w:r>
        <w:rPr>
          <w:rFonts w:hint="default" w:ascii="Times New Roman" w:hAnsi="Times New Roman" w:eastAsia="仿宋_GB2312" w:cs="Times New Roman"/>
          <w:color w:val="auto"/>
          <w:spacing w:val="0"/>
          <w:szCs w:val="24"/>
        </w:rPr>
        <w:t>图书馆、文化馆为总馆，乡镇（街道）综合文化站为分馆的总分馆制建设，扩大</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三馆一站</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文化设施免费开放范围，加快构建覆盖城乡、惠及全民的公共文化服务体系。整合各部门和社会资源推进公共文化服务数字化建设，推动数字文化资源</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进村入户</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。实施文化惠民工程，持续开展农村电影数字放映工程、免费送戏下乡等</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三下乡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惠民活动，开展好文艺辅导、文化遗产保护等活动及培训。建立群众文化需求反馈机制，完善政府购买公共文化服务目录，开展</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菜单式</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订单式</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服务。</w:t>
      </w:r>
    </w:p>
    <w:p w14:paraId="1822706A">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二、健全公共文化广电服务体系</w:t>
      </w:r>
    </w:p>
    <w:p w14:paraId="656F451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color w:val="auto"/>
          <w:spacing w:val="0"/>
        </w:rPr>
      </w:pPr>
      <w:r>
        <w:rPr>
          <w:rFonts w:hint="default" w:ascii="Times New Roman" w:hAnsi="Times New Roman" w:eastAsia="仿宋_GB2312" w:cs="Times New Roman"/>
          <w:color w:val="auto"/>
          <w:spacing w:val="0"/>
          <w:szCs w:val="24"/>
        </w:rPr>
        <w:t>继续加快高清广播电视节目的传输覆盖和入户接收，提升有线电视网络的覆盖率和有线电视网络的双向化改造水平。优化改版新平电视台自办节目，推陈出新，推出深受老百姓喜爱的节目，加快人工智能、大数据在制播体系的应用。推进媒体深度融合，建强用好县级融媒体中心。严格落实广播电视安全播出</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一把手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负责制，强化安全播出及信息安全管理。实施</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互联网+</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公共文化服务行动，健康发展网络文化，鼓励创作新兴媒体传播、格调健康的网络文化作品</w:t>
      </w:r>
      <w:r>
        <w:rPr>
          <w:rFonts w:hint="default" w:ascii="Times New Roman" w:hAnsi="Times New Roman" w:eastAsia="仿宋_GB2312" w:cs="Times New Roman"/>
          <w:color w:val="auto"/>
          <w:spacing w:val="0"/>
        </w:rPr>
        <w:t>。</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2F85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0DA3C1BC">
            <w:pPr>
              <w:pageBreakBefore w:val="0"/>
              <w:widowControl w:val="0"/>
              <w:kinsoku/>
              <w:wordWrap/>
              <w:overflowPunct/>
              <w:topLinePunct w:val="0"/>
              <w:autoSpaceDN/>
              <w:bidi w:val="0"/>
              <w:spacing w:line="500" w:lineRule="exact"/>
              <w:ind w:firstLine="606"/>
              <w:jc w:val="center"/>
              <w:rPr>
                <w:rFonts w:hint="default" w:ascii="Times New Roman" w:hAnsi="Times New Roman" w:eastAsia="仿宋_GB2312" w:cs="Times New Roman"/>
                <w:color w:val="auto"/>
                <w:spacing w:val="0"/>
                <w:sz w:val="28"/>
                <w:szCs w:val="32"/>
                <w:lang w:val="zh-CN" w:bidi="zh-CN"/>
              </w:rPr>
            </w:pPr>
            <w:r>
              <w:rPr>
                <w:rFonts w:hint="default" w:ascii="Times New Roman" w:hAnsi="Times New Roman" w:eastAsia="仿宋_GB2312" w:cs="Times New Roman"/>
                <w:b/>
                <w:bCs/>
                <w:color w:val="auto"/>
                <w:spacing w:val="0"/>
                <w:sz w:val="28"/>
                <w:szCs w:val="32"/>
                <w:lang w:bidi="zh-CN"/>
              </w:rPr>
              <w:t>专栏2</w:t>
            </w:r>
            <w:r>
              <w:rPr>
                <w:rFonts w:hint="default" w:ascii="Times New Roman" w:hAnsi="Times New Roman" w:eastAsia="仿宋_GB2312" w:cs="Times New Roman"/>
                <w:b/>
                <w:bCs/>
                <w:color w:val="auto"/>
                <w:spacing w:val="0"/>
                <w:sz w:val="28"/>
                <w:szCs w:val="32"/>
                <w:lang w:val="en-US" w:bidi="zh-CN"/>
              </w:rPr>
              <w:t>3</w:t>
            </w:r>
            <w:r>
              <w:rPr>
                <w:rFonts w:hint="default" w:ascii="Times New Roman" w:hAnsi="Times New Roman" w:eastAsia="仿宋_GB2312" w:cs="Times New Roman"/>
                <w:b/>
                <w:bCs/>
                <w:color w:val="auto"/>
                <w:spacing w:val="0"/>
                <w:sz w:val="28"/>
                <w:szCs w:val="32"/>
                <w:lang w:bidi="zh-CN"/>
              </w:rPr>
              <w:t xml:space="preserve"> 公共文化服务水平提升重点工程</w:t>
            </w:r>
          </w:p>
        </w:tc>
      </w:tr>
      <w:tr w14:paraId="21D7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6EF99351">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32"/>
                <w:lang w:bidi="zh-CN"/>
              </w:rPr>
            </w:pPr>
            <w:r>
              <w:rPr>
                <w:rFonts w:hint="default" w:ascii="Times New Roman" w:hAnsi="Times New Roman" w:eastAsia="仿宋_GB2312" w:cs="Times New Roman"/>
                <w:b/>
                <w:bCs/>
                <w:color w:val="auto"/>
                <w:spacing w:val="0"/>
                <w:sz w:val="28"/>
                <w:szCs w:val="32"/>
                <w:lang w:bidi="zh-CN"/>
              </w:rPr>
              <w:t>文化服务设施建设工程。</w:t>
            </w:r>
            <w:r>
              <w:rPr>
                <w:rFonts w:hint="default" w:ascii="Times New Roman" w:hAnsi="Times New Roman" w:eastAsia="仿宋_GB2312" w:cs="Times New Roman"/>
                <w:color w:val="auto"/>
                <w:spacing w:val="0"/>
                <w:sz w:val="28"/>
                <w:szCs w:val="32"/>
                <w:lang w:bidi="zh-CN"/>
              </w:rPr>
              <w:t>加快建设县博物馆、民族图书馆、文化馆，新建或提升改造乡镇（街道）文化站，推进村级文化服务中心建设，推动</w:t>
            </w:r>
            <w:r>
              <w:rPr>
                <w:rFonts w:hint="eastAsia" w:eastAsia="仿宋_GB2312" w:cs="Times New Roman"/>
                <w:color w:val="auto"/>
                <w:spacing w:val="0"/>
                <w:sz w:val="28"/>
                <w:szCs w:val="32"/>
                <w:lang w:bidi="zh-CN"/>
              </w:rPr>
              <w:t>“</w:t>
            </w:r>
            <w:r>
              <w:rPr>
                <w:rFonts w:hint="default" w:ascii="Times New Roman" w:hAnsi="Times New Roman" w:eastAsia="仿宋_GB2312" w:cs="Times New Roman"/>
                <w:color w:val="auto"/>
                <w:spacing w:val="0"/>
                <w:sz w:val="28"/>
                <w:szCs w:val="32"/>
                <w:lang w:bidi="zh-CN"/>
              </w:rPr>
              <w:t>三馆一站</w:t>
            </w:r>
            <w:r>
              <w:rPr>
                <w:rFonts w:hint="eastAsia" w:eastAsia="仿宋_GB2312" w:cs="Times New Roman"/>
                <w:color w:val="auto"/>
                <w:spacing w:val="0"/>
                <w:sz w:val="28"/>
                <w:szCs w:val="32"/>
                <w:lang w:bidi="zh-CN"/>
              </w:rPr>
              <w:t>”</w:t>
            </w:r>
            <w:r>
              <w:rPr>
                <w:rFonts w:hint="default" w:ascii="Times New Roman" w:hAnsi="Times New Roman" w:eastAsia="仿宋_GB2312" w:cs="Times New Roman"/>
                <w:color w:val="auto"/>
                <w:spacing w:val="0"/>
                <w:sz w:val="28"/>
                <w:szCs w:val="32"/>
                <w:lang w:bidi="zh-CN"/>
              </w:rPr>
              <w:t>免费开放。</w:t>
            </w:r>
          </w:p>
          <w:p w14:paraId="5D479BBF">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32"/>
                <w:lang w:bidi="zh-CN"/>
              </w:rPr>
            </w:pPr>
            <w:r>
              <w:rPr>
                <w:rFonts w:hint="default" w:ascii="Times New Roman" w:hAnsi="Times New Roman" w:eastAsia="仿宋_GB2312" w:cs="Times New Roman"/>
                <w:b/>
                <w:bCs/>
                <w:color w:val="auto"/>
                <w:spacing w:val="0"/>
                <w:sz w:val="28"/>
                <w:szCs w:val="32"/>
                <w:lang w:bidi="zh-CN"/>
              </w:rPr>
              <w:t>文化惠民工程。</w:t>
            </w:r>
            <w:r>
              <w:rPr>
                <w:rFonts w:hint="default" w:ascii="Times New Roman" w:hAnsi="Times New Roman" w:eastAsia="仿宋_GB2312" w:cs="Times New Roman"/>
                <w:color w:val="auto"/>
                <w:spacing w:val="0"/>
                <w:sz w:val="28"/>
                <w:szCs w:val="32"/>
                <w:lang w:bidi="zh-CN"/>
              </w:rPr>
              <w:t>提升改造戛洒镇乡村文化大院、文化广场和漠沙镇文化传习馆，建设平甸乡磨皮花鼓舞文化广场、水塘镇民族文化广场、古城街道文化活动场所。深入推进群众广场文化活动、民族文化进校园、进社区、进村寨活动。组织举办文化</w:t>
            </w:r>
            <w:r>
              <w:rPr>
                <w:rFonts w:hint="eastAsia" w:eastAsia="仿宋_GB2312" w:cs="Times New Roman"/>
                <w:color w:val="auto"/>
                <w:spacing w:val="0"/>
                <w:sz w:val="28"/>
                <w:szCs w:val="32"/>
                <w:lang w:bidi="zh-CN"/>
              </w:rPr>
              <w:t>“</w:t>
            </w:r>
            <w:r>
              <w:rPr>
                <w:rFonts w:hint="default" w:ascii="Times New Roman" w:hAnsi="Times New Roman" w:eastAsia="仿宋_GB2312" w:cs="Times New Roman"/>
                <w:color w:val="auto"/>
                <w:spacing w:val="0"/>
                <w:sz w:val="28"/>
                <w:szCs w:val="32"/>
                <w:lang w:bidi="zh-CN"/>
              </w:rPr>
              <w:t>三下乡</w:t>
            </w:r>
            <w:r>
              <w:rPr>
                <w:rFonts w:hint="eastAsia" w:eastAsia="仿宋_GB2312" w:cs="Times New Roman"/>
                <w:color w:val="auto"/>
                <w:spacing w:val="0"/>
                <w:sz w:val="28"/>
                <w:szCs w:val="32"/>
                <w:lang w:bidi="zh-CN"/>
              </w:rPr>
              <w:t>”</w:t>
            </w:r>
            <w:r>
              <w:rPr>
                <w:rFonts w:hint="default" w:ascii="Times New Roman" w:hAnsi="Times New Roman" w:eastAsia="仿宋_GB2312" w:cs="Times New Roman"/>
                <w:color w:val="auto"/>
                <w:spacing w:val="0"/>
                <w:sz w:val="28"/>
                <w:szCs w:val="32"/>
                <w:lang w:bidi="zh-CN"/>
              </w:rPr>
              <w:t>、乡村大舞台、文化主题活动等惠民活动。</w:t>
            </w:r>
          </w:p>
          <w:p w14:paraId="0D49CF43">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32"/>
                <w:lang w:val="en-US" w:bidi="zh-CN"/>
              </w:rPr>
            </w:pPr>
            <w:r>
              <w:rPr>
                <w:rFonts w:hint="eastAsia" w:eastAsia="仿宋_GB2312" w:cs="Times New Roman"/>
                <w:b/>
                <w:bCs/>
                <w:color w:val="auto"/>
                <w:spacing w:val="0"/>
                <w:sz w:val="28"/>
                <w:szCs w:val="32"/>
                <w:lang w:val="en-US" w:bidi="zh-CN"/>
              </w:rPr>
              <w:t>实体书店建设工程。</w:t>
            </w:r>
            <w:r>
              <w:rPr>
                <w:rFonts w:hint="eastAsia" w:eastAsia="仿宋_GB2312" w:cs="Times New Roman"/>
                <w:color w:val="auto"/>
                <w:spacing w:val="0"/>
                <w:sz w:val="28"/>
                <w:szCs w:val="32"/>
                <w:lang w:val="en-US" w:bidi="zh-CN"/>
              </w:rPr>
              <w:t>在新平县政府所在地至少建成一个不少于200平方米的实体书店，不断增强实体书店吸引力，提高城镇文化品位。</w:t>
            </w:r>
          </w:p>
        </w:tc>
      </w:tr>
    </w:tbl>
    <w:p w14:paraId="5E91D9EA">
      <w:pPr>
        <w:pStyle w:val="4"/>
        <w:keepNext w:val="0"/>
        <w:keepLines w:val="0"/>
        <w:pageBreakBefore w:val="0"/>
        <w:widowControl w:val="0"/>
        <w:kinsoku/>
        <w:wordWrap/>
        <w:overflowPunct/>
        <w:topLinePunct w:val="0"/>
        <w:autoSpaceDN/>
        <w:bidi w:val="0"/>
        <w:rPr>
          <w:rFonts w:hint="default" w:ascii="Times New Roman" w:hAnsi="Times New Roman" w:eastAsia="方正黑体_GBK" w:cs="Times New Roman"/>
          <w:b w:val="0"/>
          <w:bCs/>
          <w:color w:val="auto"/>
          <w:spacing w:val="0"/>
          <w:szCs w:val="32"/>
        </w:rPr>
      </w:pPr>
      <w:bookmarkStart w:id="149" w:name="_Toc15521"/>
      <w:bookmarkStart w:id="150" w:name="_Toc10153"/>
      <w:r>
        <w:rPr>
          <w:rFonts w:hint="eastAsia" w:ascii="黑体" w:hAnsi="黑体" w:eastAsia="黑体" w:cs="黑体"/>
          <w:b/>
          <w:bCs w:val="0"/>
          <w:color w:val="auto"/>
          <w:spacing w:val="0"/>
          <w:szCs w:val="32"/>
        </w:rPr>
        <w:t xml:space="preserve">第三节 </w:t>
      </w:r>
      <w:r>
        <w:rPr>
          <w:rFonts w:hint="eastAsia" w:ascii="黑体" w:hAnsi="黑体" w:eastAsia="黑体" w:cs="黑体"/>
          <w:b/>
          <w:bCs w:val="0"/>
          <w:color w:val="auto"/>
          <w:spacing w:val="0"/>
          <w:szCs w:val="32"/>
          <w:lang w:val="en-US" w:eastAsia="zh-CN"/>
        </w:rPr>
        <w:t xml:space="preserve"> </w:t>
      </w:r>
      <w:r>
        <w:rPr>
          <w:rFonts w:hint="eastAsia" w:ascii="黑体" w:hAnsi="黑体" w:eastAsia="黑体" w:cs="黑体"/>
          <w:b/>
          <w:bCs w:val="0"/>
          <w:color w:val="auto"/>
          <w:spacing w:val="0"/>
          <w:szCs w:val="32"/>
        </w:rPr>
        <w:t>传承和弘扬优秀传统文化</w:t>
      </w:r>
      <w:bookmarkEnd w:id="149"/>
      <w:bookmarkEnd w:id="150"/>
    </w:p>
    <w:p w14:paraId="55109172">
      <w:pPr>
        <w:ind w:firstLine="640"/>
        <w:rPr>
          <w:rFonts w:hint="default" w:ascii="Times New Roman" w:hAnsi="Times New Roman" w:cs="Times New Roman"/>
          <w:spacing w:val="0"/>
          <w:highlight w:val="none"/>
        </w:rPr>
      </w:pPr>
      <w:r>
        <w:rPr>
          <w:rFonts w:hint="default" w:ascii="Times New Roman" w:hAnsi="Times New Roman" w:cs="Times New Roman"/>
          <w:spacing w:val="0"/>
          <w:highlight w:val="none"/>
          <w:lang w:val="en-US" w:eastAsia="zh-CN"/>
        </w:rPr>
        <w:t>深入挖掘</w:t>
      </w:r>
      <w:r>
        <w:rPr>
          <w:rFonts w:hint="default" w:ascii="Times New Roman" w:hAnsi="Times New Roman" w:cs="Times New Roman"/>
          <w:spacing w:val="0"/>
          <w:highlight w:val="none"/>
        </w:rPr>
        <w:t>民族特色文化底蕴，加强民族文化传承，推进文物、非物质文化遗产的保护传承和活化利用，加强文艺精品创作，传承和弘扬优秀传统文化。</w:t>
      </w:r>
    </w:p>
    <w:p w14:paraId="6D4AB25E">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一、保护传承民族文化</w:t>
      </w:r>
    </w:p>
    <w:p w14:paraId="3184BB9A">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rPr>
        <w:t>建立少数民族文化资源数据库和少数民族语言文字资源数据库，加强以花腰傣为主的少数民族古籍、民族手工、民族歌舞等优秀民族传统文化的抢救、挖掘、整理、研究与出版，助力新平花腰傣之乡美誉。建立非物质文化遗产保护名录体系，实施非物质文化遗产传承发展工程。加强对各级文物的保护修缮，培育一批高素质文物工作专业队伍。以扬武和帽盒山为主，保护滇中滇南思普三地军事代表联席会议旧址，全面展示革命历史红色</w:t>
      </w:r>
      <w:r>
        <w:rPr>
          <w:rFonts w:hint="default" w:ascii="Times New Roman" w:hAnsi="Times New Roman" w:eastAsia="仿宋_GB2312" w:cs="Times New Roman"/>
          <w:color w:val="auto"/>
          <w:spacing w:val="0"/>
          <w:szCs w:val="24"/>
          <w:highlight w:val="none"/>
        </w:rPr>
        <w:t>印迹</w:t>
      </w:r>
      <w:r>
        <w:rPr>
          <w:rFonts w:hint="default" w:ascii="Times New Roman" w:hAnsi="Times New Roman" w:eastAsia="仿宋_GB2312" w:cs="Times New Roman"/>
          <w:color w:val="auto"/>
          <w:spacing w:val="0"/>
          <w:szCs w:val="24"/>
        </w:rPr>
        <w:t>。加快推进戛洒镇大平掌、平甸乡磨皮大寨等特色民族村寨建设，打造一批特色鲜明的农耕文化产业展示区</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示范区。加强村志村史编撰整理，建设优秀乡村文化生产性保护示范基地和保护项目，打造一批民族民俗生态博物馆、专题博物馆</w:t>
      </w:r>
      <w:r>
        <w:rPr>
          <w:rFonts w:hint="default" w:ascii="Times New Roman" w:hAnsi="Times New Roman" w:eastAsia="仿宋_GB2312" w:cs="Times New Roman"/>
          <w:color w:val="auto"/>
          <w:spacing w:val="0"/>
          <w:szCs w:val="24"/>
          <w:lang w:eastAsia="zh-CN"/>
        </w:rPr>
        <w:t>。</w:t>
      </w:r>
    </w:p>
    <w:p w14:paraId="57AF6592">
      <w:pPr>
        <w:keepNext/>
        <w:keepLines/>
        <w:pageBreakBefore w:val="0"/>
        <w:widowControl w:val="0"/>
        <w:tabs>
          <w:tab w:val="center" w:pos="4156"/>
        </w:tabs>
        <w:kinsoku/>
        <w:wordWrap/>
        <w:overflowPunct/>
        <w:topLinePunct w:val="0"/>
        <w:autoSpaceDN/>
        <w:bidi w:val="0"/>
        <w:spacing w:before="60" w:after="60"/>
        <w:ind w:firstLine="687"/>
        <w:outlineLvl w:val="2"/>
        <w:rPr>
          <w:rFonts w:hint="default" w:ascii="Times New Roman" w:hAnsi="Times New Roman" w:eastAsia="方正楷体_GBK" w:cs="Times New Roman"/>
          <w:b/>
          <w:color w:val="auto"/>
          <w:spacing w:val="0"/>
          <w:szCs w:val="22"/>
        </w:rPr>
      </w:pPr>
      <w:r>
        <w:rPr>
          <w:rFonts w:hint="eastAsia" w:ascii="黑体" w:hAnsi="黑体" w:eastAsia="黑体" w:cs="黑体"/>
          <w:b w:val="0"/>
          <w:bCs/>
          <w:color w:val="auto"/>
          <w:spacing w:val="0"/>
          <w:szCs w:val="22"/>
        </w:rPr>
        <w:t>二、大力发展</w:t>
      </w:r>
      <w:r>
        <w:rPr>
          <w:rFonts w:hint="eastAsia" w:ascii="黑体" w:hAnsi="黑体" w:eastAsia="黑体" w:cs="黑体"/>
          <w:b w:val="0"/>
          <w:bCs/>
          <w:color w:val="auto"/>
          <w:spacing w:val="0"/>
          <w:szCs w:val="22"/>
          <w:lang w:val="en-US" w:eastAsia="zh-CN"/>
        </w:rPr>
        <w:t>特色</w:t>
      </w:r>
      <w:r>
        <w:rPr>
          <w:rFonts w:hint="eastAsia" w:ascii="黑体" w:hAnsi="黑体" w:eastAsia="黑体" w:cs="黑体"/>
          <w:b w:val="0"/>
          <w:bCs/>
          <w:color w:val="auto"/>
          <w:spacing w:val="0"/>
          <w:szCs w:val="22"/>
        </w:rPr>
        <w:t>文化产业</w:t>
      </w:r>
    </w:p>
    <w:p w14:paraId="1EC9C2B1">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健全文化发展机制，推动文艺</w:t>
      </w:r>
      <w:r>
        <w:rPr>
          <w:rFonts w:hint="default" w:ascii="Times New Roman" w:hAnsi="Times New Roman" w:eastAsia="仿宋_GB2312" w:cs="Times New Roman"/>
          <w:color w:val="auto"/>
          <w:spacing w:val="0"/>
          <w:szCs w:val="24"/>
          <w:lang w:eastAsia="zh-CN"/>
        </w:rPr>
        <w:t>创作</w:t>
      </w:r>
      <w:r>
        <w:rPr>
          <w:rFonts w:hint="default" w:ascii="Times New Roman" w:hAnsi="Times New Roman" w:eastAsia="仿宋_GB2312" w:cs="Times New Roman"/>
          <w:color w:val="auto"/>
          <w:spacing w:val="0"/>
          <w:szCs w:val="24"/>
        </w:rPr>
        <w:t>、文化传承。突出新平文化底蕴与特色，实施文艺精品工程，支持骨干企业和文艺单位开展《猫猫舞》舞台剧、《喊月亮》情景歌舞剧创作，打造特色文化演艺品牌。探索</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非遗+旅游</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非遗+研学</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开发模式，开发非遗旅游产品，积极开展非物质文化遗产展示。吸引社会力量保护开发村落古</w:t>
      </w:r>
      <w:r>
        <w:rPr>
          <w:rFonts w:hint="default" w:ascii="Times New Roman" w:hAnsi="Times New Roman" w:eastAsia="仿宋_GB2312" w:cs="Times New Roman"/>
          <w:color w:val="auto"/>
          <w:spacing w:val="0"/>
          <w:szCs w:val="24"/>
          <w:lang w:eastAsia="zh-CN"/>
        </w:rPr>
        <w:t>建筑</w:t>
      </w:r>
      <w:r>
        <w:rPr>
          <w:rFonts w:hint="default" w:ascii="Times New Roman" w:hAnsi="Times New Roman" w:eastAsia="仿宋_GB2312" w:cs="Times New Roman"/>
          <w:color w:val="auto"/>
          <w:spacing w:val="0"/>
          <w:szCs w:val="24"/>
        </w:rPr>
        <w:t>，盘活古村落、古民居资源。积极开拓扬武烟盒舞、磨皮花鼓舞、傣族猫猫舞等民俗表演文化市场。加强竹编、土陶、花腰傣刺绣等民族工艺、保护与开发利用。积极参与</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云南省民族艺术之乡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评比。</w:t>
      </w:r>
      <w:r>
        <w:rPr>
          <w:rFonts w:hint="default" w:ascii="Times New Roman" w:hAnsi="Times New Roman" w:eastAsia="仿宋_GB2312" w:cs="Times New Roman"/>
          <w:color w:val="auto"/>
          <w:spacing w:val="0"/>
          <w:szCs w:val="24"/>
          <w:lang w:eastAsia="zh-CN"/>
        </w:rPr>
        <w:t>以市场为导向，创新举办火把节、花街节、沐浴节、服饰节等传统民族节庆活动，</w:t>
      </w:r>
      <w:r>
        <w:rPr>
          <w:rFonts w:hint="default" w:ascii="Times New Roman" w:hAnsi="Times New Roman" w:eastAsia="仿宋_GB2312" w:cs="Times New Roman"/>
          <w:color w:val="auto"/>
          <w:spacing w:val="0"/>
          <w:szCs w:val="24"/>
        </w:rPr>
        <w:t>打造少数民族特色节庆品牌</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建设</w:t>
      </w:r>
      <w:r>
        <w:rPr>
          <w:rFonts w:hint="default" w:ascii="Times New Roman" w:hAnsi="Times New Roman" w:eastAsia="仿宋_GB2312" w:cs="Times New Roman"/>
          <w:color w:val="auto"/>
          <w:spacing w:val="0"/>
          <w:szCs w:val="24"/>
          <w:lang w:eastAsia="zh-CN"/>
        </w:rPr>
        <w:t>平寨、旋涡</w:t>
      </w:r>
      <w:r>
        <w:rPr>
          <w:rFonts w:hint="default" w:ascii="Times New Roman" w:hAnsi="Times New Roman" w:eastAsia="仿宋_GB2312" w:cs="Times New Roman"/>
          <w:color w:val="auto"/>
          <w:spacing w:val="0"/>
          <w:szCs w:val="24"/>
        </w:rPr>
        <w:t>、大沐浴、磨皮、南薅等少数民族特色村寨</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促进民族民间文化与旅游深度融合发展</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创新投融资模式，扶持一批创新力竞争力强的文旅和文创企业，加快发展文化创意设计等新型文化业态，鼓励创作具有新平少数民族文化特色的艺术作品，壮大民族文化产业。</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588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3A128632">
            <w:pPr>
              <w:pageBreakBefore w:val="0"/>
              <w:widowControl w:val="0"/>
              <w:kinsoku/>
              <w:wordWrap/>
              <w:overflowPunct/>
              <w:topLinePunct w:val="0"/>
              <w:autoSpaceDN/>
              <w:bidi w:val="0"/>
              <w:spacing w:line="500" w:lineRule="exact"/>
              <w:ind w:firstLine="0" w:firstLineChars="0"/>
              <w:jc w:val="center"/>
              <w:rPr>
                <w:rFonts w:hint="default" w:ascii="Times New Roman" w:hAnsi="Times New Roman" w:eastAsia="仿宋_GB2312" w:cs="Times New Roman"/>
                <w:color w:val="auto"/>
                <w:spacing w:val="0"/>
                <w:sz w:val="28"/>
                <w:szCs w:val="28"/>
                <w:lang w:val="zh-CN" w:bidi="zh-CN"/>
              </w:rPr>
            </w:pPr>
            <w:r>
              <w:rPr>
                <w:rFonts w:hint="default" w:ascii="Times New Roman" w:hAnsi="Times New Roman" w:eastAsia="仿宋_GB2312" w:cs="Times New Roman"/>
                <w:b/>
                <w:bCs/>
                <w:color w:val="auto"/>
                <w:spacing w:val="0"/>
                <w:sz w:val="28"/>
                <w:szCs w:val="28"/>
                <w:lang w:bidi="zh-CN"/>
              </w:rPr>
              <w:t>专栏2</w:t>
            </w:r>
            <w:r>
              <w:rPr>
                <w:rFonts w:hint="default" w:ascii="Times New Roman" w:hAnsi="Times New Roman" w:eastAsia="仿宋_GB2312" w:cs="Times New Roman"/>
                <w:b/>
                <w:bCs/>
                <w:color w:val="auto"/>
                <w:spacing w:val="0"/>
                <w:sz w:val="28"/>
                <w:szCs w:val="28"/>
                <w:lang w:val="en-US" w:bidi="zh-CN"/>
              </w:rPr>
              <w:t>4</w:t>
            </w:r>
            <w:r>
              <w:rPr>
                <w:rFonts w:hint="default" w:ascii="Times New Roman" w:hAnsi="Times New Roman" w:eastAsia="仿宋_GB2312" w:cs="Times New Roman"/>
                <w:b/>
                <w:bCs/>
                <w:color w:val="auto"/>
                <w:spacing w:val="0"/>
                <w:sz w:val="28"/>
                <w:szCs w:val="28"/>
                <w:lang w:bidi="zh-CN"/>
              </w:rPr>
              <w:t xml:space="preserve">  传承和弘扬优秀传统文化重点工程</w:t>
            </w:r>
          </w:p>
        </w:tc>
      </w:tr>
      <w:tr w14:paraId="2C02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05B40297">
            <w:pPr>
              <w:keepNext w:val="0"/>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非物质文化遗产建设保护工程。</w:t>
            </w:r>
            <w:r>
              <w:rPr>
                <w:rFonts w:hint="default" w:ascii="Times New Roman" w:hAnsi="Times New Roman" w:eastAsia="仿宋_GB2312" w:cs="Times New Roman"/>
                <w:color w:val="auto"/>
                <w:spacing w:val="0"/>
                <w:sz w:val="28"/>
                <w:szCs w:val="28"/>
              </w:rPr>
              <w:t>成立花腰傣刺绣协会和研究中心，建设花腰傣、彝族文化传习所，扶持一批非物质文化传承人。</w:t>
            </w:r>
          </w:p>
          <w:p w14:paraId="5E862495">
            <w:pPr>
              <w:keepNext w:val="0"/>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民族历史文化传承保护工程。</w:t>
            </w:r>
            <w:r>
              <w:rPr>
                <w:rFonts w:hint="default" w:ascii="Times New Roman" w:hAnsi="Times New Roman" w:eastAsia="仿宋_GB2312" w:cs="Times New Roman"/>
                <w:color w:val="auto"/>
                <w:spacing w:val="0"/>
                <w:sz w:val="28"/>
                <w:szCs w:val="28"/>
              </w:rPr>
              <w:t>开展桂山街道省级文化保护单位富春街民居修缮工程；加快建设戛洒镇花腰傣民俗文化传承园；修复和展示</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陇西世族庄园</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雕刻、绘画、书法等传统文化艺术品。</w:t>
            </w:r>
          </w:p>
          <w:p w14:paraId="3D2C7943">
            <w:pPr>
              <w:keepNext w:val="0"/>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传统工艺振兴工程。</w:t>
            </w:r>
            <w:r>
              <w:rPr>
                <w:rFonts w:hint="default" w:ascii="Times New Roman" w:hAnsi="Times New Roman" w:eastAsia="仿宋_GB2312" w:cs="Times New Roman"/>
                <w:color w:val="auto"/>
                <w:spacing w:val="0"/>
                <w:sz w:val="28"/>
                <w:szCs w:val="28"/>
              </w:rPr>
              <w:t>提高花腰傣刺绣等传统工艺产品设计、制作水平，引导竹编、刺绣、土陶、民族服饰、民族玩偶、装饰品、绘画等少数民族手工艺品产业化、规模化发展，振兴民族传统工艺。</w:t>
            </w:r>
          </w:p>
          <w:p w14:paraId="59AFB8DE">
            <w:pPr>
              <w:keepNext w:val="0"/>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民族特色村镇保护与发展工程。</w:t>
            </w:r>
            <w:r>
              <w:rPr>
                <w:rFonts w:hint="default" w:ascii="Times New Roman" w:hAnsi="Times New Roman" w:eastAsia="仿宋_GB2312" w:cs="Times New Roman"/>
                <w:color w:val="auto"/>
                <w:spacing w:val="0"/>
                <w:sz w:val="28"/>
                <w:szCs w:val="28"/>
              </w:rPr>
              <w:t>实施</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拯救老屋</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行动，建设戛洒镇戛洒社区土锅寨小组、省级非遗</w:t>
            </w:r>
            <w:r>
              <w:rPr>
                <w:rFonts w:hint="default" w:ascii="Times New Roman" w:hAnsi="Times New Roman" w:eastAsia="仿宋_GB2312" w:cs="Times New Roman"/>
                <w:color w:val="auto"/>
                <w:spacing w:val="0"/>
                <w:sz w:val="28"/>
                <w:szCs w:val="28"/>
                <w:lang w:eastAsia="zh-CN"/>
              </w:rPr>
              <w:t>平甸乡</w:t>
            </w:r>
            <w:r>
              <w:rPr>
                <w:rFonts w:hint="default" w:ascii="Times New Roman" w:hAnsi="Times New Roman" w:eastAsia="仿宋_GB2312" w:cs="Times New Roman"/>
                <w:color w:val="auto"/>
                <w:spacing w:val="0"/>
                <w:sz w:val="28"/>
                <w:szCs w:val="28"/>
              </w:rPr>
              <w:t>白鹤花棍狮子舞民族特色村寨。</w:t>
            </w:r>
          </w:p>
        </w:tc>
      </w:tr>
    </w:tbl>
    <w:p w14:paraId="74178EA6">
      <w:pPr>
        <w:pageBreakBefore w:val="0"/>
        <w:widowControl w:val="0"/>
        <w:kinsoku/>
        <w:wordWrap/>
        <w:overflowPunct/>
        <w:topLinePunct w:val="0"/>
        <w:autoSpaceDN/>
        <w:bidi w:val="0"/>
        <w:ind w:left="0" w:leftChars="0" w:firstLine="0" w:firstLineChars="0"/>
        <w:jc w:val="center"/>
        <w:rPr>
          <w:rFonts w:hint="default" w:ascii="Times New Roman" w:hAnsi="Times New Roman" w:eastAsia="黑体" w:cs="Times New Roman"/>
          <w:color w:val="auto"/>
          <w:spacing w:val="0"/>
          <w:szCs w:val="48"/>
        </w:rPr>
      </w:pPr>
    </w:p>
    <w:p w14:paraId="5666D9C6">
      <w:pPr>
        <w:pageBreakBefore w:val="0"/>
        <w:widowControl w:val="0"/>
        <w:kinsoku/>
        <w:wordWrap/>
        <w:overflowPunct/>
        <w:topLinePunct w:val="0"/>
        <w:autoSpaceDN/>
        <w:bidi w:val="0"/>
        <w:ind w:left="0" w:leftChars="0" w:firstLine="0" w:firstLineChars="0"/>
        <w:rPr>
          <w:rFonts w:hint="default"/>
          <w:color w:val="auto"/>
          <w:spacing w:val="0"/>
        </w:rPr>
      </w:pPr>
      <w:r>
        <w:rPr>
          <w:rFonts w:hint="default"/>
          <w:color w:val="auto"/>
          <w:spacing w:val="0"/>
        </w:rPr>
        <w:br w:type="page"/>
      </w:r>
    </w:p>
    <w:p w14:paraId="47B4D2CA">
      <w:pPr>
        <w:pStyle w:val="3"/>
        <w:keepNext w:val="0"/>
        <w:keepLines w:val="0"/>
        <w:pageBreakBefore w:val="0"/>
        <w:widowControl w:val="0"/>
        <w:kinsoku/>
        <w:wordWrap/>
        <w:overflowPunct/>
        <w:topLinePunct w:val="0"/>
        <w:autoSpaceDN/>
        <w:bidi w:val="0"/>
        <w:rPr>
          <w:rFonts w:hint="default" w:ascii="Times New Roman" w:hAnsi="Times New Roman" w:eastAsia="方正小标宋简体" w:cs="Times New Roman"/>
          <w:bCs w:val="0"/>
          <w:color w:val="auto"/>
          <w:spacing w:val="0"/>
          <w:kern w:val="2"/>
          <w:sz w:val="36"/>
          <w:szCs w:val="36"/>
        </w:rPr>
      </w:pPr>
      <w:bookmarkStart w:id="151" w:name="_Toc18213"/>
      <w:bookmarkStart w:id="152" w:name="_Toc25097"/>
      <w:bookmarkStart w:id="153" w:name="_Toc23105"/>
      <w:bookmarkStart w:id="154" w:name="_Toc13594"/>
      <w:bookmarkStart w:id="155" w:name="_Toc22496"/>
      <w:bookmarkStart w:id="156" w:name="_Toc10135"/>
      <w:r>
        <w:rPr>
          <w:rFonts w:hint="eastAsia" w:ascii="方正小标宋_GBK" w:hAnsi="方正小标宋_GBK" w:eastAsia="方正小标宋_GBK" w:cs="方正小标宋_GBK"/>
          <w:bCs w:val="0"/>
          <w:color w:val="auto"/>
          <w:spacing w:val="0"/>
          <w:kern w:val="2"/>
          <w:sz w:val="36"/>
          <w:szCs w:val="36"/>
        </w:rPr>
        <w:t>第十</w:t>
      </w:r>
      <w:r>
        <w:rPr>
          <w:rFonts w:hint="eastAsia" w:ascii="方正小标宋_GBK" w:hAnsi="方正小标宋_GBK" w:eastAsia="方正小标宋_GBK" w:cs="方正小标宋_GBK"/>
          <w:bCs w:val="0"/>
          <w:color w:val="auto"/>
          <w:spacing w:val="0"/>
          <w:kern w:val="2"/>
          <w:sz w:val="36"/>
          <w:szCs w:val="36"/>
          <w:lang w:eastAsia="zh-CN"/>
        </w:rPr>
        <w:t>三</w:t>
      </w:r>
      <w:r>
        <w:rPr>
          <w:rFonts w:hint="eastAsia" w:ascii="方正小标宋_GBK" w:hAnsi="方正小标宋_GBK" w:eastAsia="方正小标宋_GBK" w:cs="方正小标宋_GBK"/>
          <w:bCs w:val="0"/>
          <w:color w:val="auto"/>
          <w:spacing w:val="0"/>
          <w:kern w:val="2"/>
          <w:sz w:val="36"/>
          <w:szCs w:val="36"/>
        </w:rPr>
        <w:t xml:space="preserve">章 </w:t>
      </w:r>
      <w:r>
        <w:rPr>
          <w:rFonts w:hint="eastAsia" w:ascii="方正小标宋_GBK" w:hAnsi="方正小标宋_GBK" w:eastAsia="方正小标宋_GBK" w:cs="方正小标宋_GBK"/>
          <w:bCs w:val="0"/>
          <w:color w:val="auto"/>
          <w:spacing w:val="0"/>
          <w:kern w:val="2"/>
          <w:sz w:val="36"/>
          <w:szCs w:val="36"/>
          <w:lang w:val="en-US" w:eastAsia="zh-CN"/>
        </w:rPr>
        <w:t xml:space="preserve"> </w:t>
      </w:r>
      <w:r>
        <w:rPr>
          <w:rFonts w:hint="eastAsia" w:ascii="方正小标宋_GBK" w:hAnsi="方正小标宋_GBK" w:eastAsia="方正小标宋_GBK" w:cs="方正小标宋_GBK"/>
          <w:bCs w:val="0"/>
          <w:color w:val="auto"/>
          <w:spacing w:val="0"/>
          <w:kern w:val="2"/>
          <w:sz w:val="36"/>
          <w:szCs w:val="36"/>
        </w:rPr>
        <w:t>坚持依法行政，展现法治建设新</w:t>
      </w:r>
      <w:r>
        <w:rPr>
          <w:rFonts w:hint="eastAsia" w:ascii="方正小标宋_GBK" w:hAnsi="方正小标宋_GBK" w:eastAsia="方正小标宋_GBK" w:cs="方正小标宋_GBK"/>
          <w:bCs w:val="0"/>
          <w:color w:val="auto"/>
          <w:spacing w:val="0"/>
          <w:kern w:val="2"/>
          <w:sz w:val="36"/>
          <w:szCs w:val="36"/>
          <w:lang w:val="en-US" w:eastAsia="zh-CN"/>
        </w:rPr>
        <w:t>局面</w:t>
      </w:r>
      <w:bookmarkEnd w:id="151"/>
      <w:bookmarkEnd w:id="152"/>
    </w:p>
    <w:p w14:paraId="144335A3">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坚持党的</w:t>
      </w:r>
      <w:r>
        <w:rPr>
          <w:rFonts w:hint="default" w:ascii="Times New Roman" w:hAnsi="Times New Roman" w:eastAsia="仿宋_GB2312" w:cs="Times New Roman"/>
          <w:color w:val="auto"/>
          <w:spacing w:val="0"/>
          <w:szCs w:val="24"/>
          <w:lang w:val="en-US" w:eastAsia="zh-CN"/>
        </w:rPr>
        <w:t>全面</w:t>
      </w:r>
      <w:r>
        <w:rPr>
          <w:rFonts w:hint="default" w:ascii="Times New Roman" w:hAnsi="Times New Roman" w:eastAsia="仿宋_GB2312" w:cs="Times New Roman"/>
          <w:color w:val="auto"/>
          <w:spacing w:val="0"/>
          <w:szCs w:val="24"/>
        </w:rPr>
        <w:t>领导、人民当家作主、依法治县有机统一，把制度优势更好地转化为治理效能，</w:t>
      </w:r>
      <w:r>
        <w:rPr>
          <w:rFonts w:hint="default" w:ascii="Times New Roman" w:hAnsi="Times New Roman" w:eastAsia="仿宋_GB2312" w:cs="Times New Roman"/>
          <w:color w:val="auto"/>
          <w:spacing w:val="0"/>
          <w:szCs w:val="24"/>
          <w:lang w:val="en-US" w:eastAsia="zh-CN"/>
        </w:rPr>
        <w:t>统筹安全与发展，防范和化解影响现代化进程的各种风险，</w:t>
      </w:r>
      <w:r>
        <w:rPr>
          <w:rFonts w:hint="default" w:ascii="Times New Roman" w:hAnsi="Times New Roman" w:eastAsia="仿宋_GB2312" w:cs="Times New Roman"/>
          <w:color w:val="auto"/>
          <w:spacing w:val="0"/>
          <w:szCs w:val="24"/>
        </w:rPr>
        <w:t>推动打造治理</w:t>
      </w:r>
      <w:r>
        <w:rPr>
          <w:rFonts w:hint="default" w:ascii="Times New Roman" w:hAnsi="Times New Roman" w:eastAsia="仿宋_GB2312" w:cs="Times New Roman"/>
          <w:color w:val="auto"/>
          <w:spacing w:val="0"/>
          <w:szCs w:val="24"/>
          <w:lang w:val="en-US" w:eastAsia="zh-CN"/>
        </w:rPr>
        <w:t>体系和治理</w:t>
      </w:r>
      <w:r>
        <w:rPr>
          <w:rFonts w:hint="default" w:ascii="Times New Roman" w:hAnsi="Times New Roman" w:eastAsia="仿宋_GB2312" w:cs="Times New Roman"/>
          <w:color w:val="auto"/>
          <w:spacing w:val="0"/>
          <w:szCs w:val="24"/>
        </w:rPr>
        <w:t>能力现代化、安全和谐</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民族团结进步的新平。</w:t>
      </w:r>
    </w:p>
    <w:p w14:paraId="1CAD2E32">
      <w:pPr>
        <w:pStyle w:val="4"/>
        <w:keepNext w:val="0"/>
        <w:keepLines w:val="0"/>
        <w:pageBreakBefore w:val="0"/>
        <w:widowControl w:val="0"/>
        <w:kinsoku/>
        <w:wordWrap/>
        <w:overflowPunct/>
        <w:topLinePunct w:val="0"/>
        <w:autoSpaceDN/>
        <w:bidi w:val="0"/>
        <w:rPr>
          <w:rFonts w:hint="default" w:ascii="Times New Roman" w:hAnsi="Times New Roman" w:eastAsia="方正黑体_GBK" w:cs="Times New Roman"/>
          <w:b w:val="0"/>
          <w:bCs/>
          <w:color w:val="auto"/>
          <w:spacing w:val="0"/>
          <w:szCs w:val="32"/>
        </w:rPr>
      </w:pPr>
      <w:bookmarkStart w:id="157" w:name="_Toc15160"/>
      <w:bookmarkStart w:id="158" w:name="_Toc10729"/>
      <w:r>
        <w:rPr>
          <w:rFonts w:hint="eastAsia" w:ascii="黑体" w:hAnsi="黑体" w:eastAsia="黑体" w:cs="黑体"/>
          <w:b/>
          <w:bCs w:val="0"/>
          <w:color w:val="auto"/>
          <w:spacing w:val="0"/>
          <w:szCs w:val="32"/>
          <w:lang w:val="en-US" w:eastAsia="zh-CN"/>
        </w:rPr>
        <w:t xml:space="preserve">第一节  </w:t>
      </w:r>
      <w:r>
        <w:rPr>
          <w:rFonts w:hint="eastAsia" w:ascii="黑体" w:hAnsi="黑体" w:eastAsia="黑体" w:cs="黑体"/>
          <w:b/>
          <w:bCs w:val="0"/>
          <w:color w:val="auto"/>
          <w:spacing w:val="0"/>
          <w:szCs w:val="32"/>
        </w:rPr>
        <w:t>推进民主政治建设</w:t>
      </w:r>
      <w:bookmarkEnd w:id="157"/>
      <w:bookmarkEnd w:id="158"/>
    </w:p>
    <w:p w14:paraId="6FFEDB1B">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坚持和完善人民代表大会制度，支持和保证人大及其常委会依法行使职权、开展工作。完善协商民主制度，完善重大决策事项决策前听取政协意见制度，促进协商意见成果转化。促进网络协商民主健康发展。坚持和完善民族区域自治制度。完善民主监督制度，健全民主监督效果评价机制，提高民主监督实效。健全政府内部权力制约机制，加强对权力部门的行政监察和审计监督。加强基层民主建设。健全以职工代表大会为基本形式的企事业单位民主管理制度，保障职工参与管理和监督的民主权利。</w:t>
      </w:r>
    </w:p>
    <w:p w14:paraId="54C2E120">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159" w:name="_Toc8597"/>
      <w:bookmarkStart w:id="160" w:name="_Toc12594"/>
      <w:r>
        <w:rPr>
          <w:rFonts w:hint="eastAsia" w:ascii="黑体" w:hAnsi="黑体" w:eastAsia="黑体" w:cs="黑体"/>
          <w:b/>
          <w:bCs w:val="0"/>
          <w:color w:val="auto"/>
          <w:spacing w:val="0"/>
          <w:szCs w:val="32"/>
          <w:lang w:val="en-US" w:eastAsia="zh-CN"/>
        </w:rPr>
        <w:t>第二节  建设法治新平</w:t>
      </w:r>
      <w:bookmarkEnd w:id="159"/>
      <w:bookmarkEnd w:id="160"/>
    </w:p>
    <w:bookmarkEnd w:id="125"/>
    <w:bookmarkEnd w:id="153"/>
    <w:bookmarkEnd w:id="154"/>
    <w:bookmarkEnd w:id="155"/>
    <w:bookmarkEnd w:id="156"/>
    <w:p w14:paraId="1973F077">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bookmarkStart w:id="161" w:name="_Toc13044"/>
      <w:r>
        <w:rPr>
          <w:rFonts w:hint="default" w:ascii="Times New Roman" w:hAnsi="Times New Roman" w:eastAsia="仿宋_GB2312" w:cs="Times New Roman"/>
          <w:color w:val="auto"/>
          <w:spacing w:val="0"/>
          <w:szCs w:val="24"/>
          <w:lang w:val="en-US" w:eastAsia="zh-CN"/>
        </w:rPr>
        <w:t>深入贯彻习近平法治思想，加强党对法治新平建设的集中统一领导，扎实推进严格执法、公正司法、全民守法，努力建设更高水平的法治新平。</w:t>
      </w:r>
    </w:p>
    <w:p w14:paraId="30398256">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lang w:val="en-US" w:eastAsia="zh-CN"/>
        </w:rPr>
        <w:t>一</w:t>
      </w:r>
      <w:r>
        <w:rPr>
          <w:rFonts w:hint="eastAsia" w:ascii="黑体" w:hAnsi="黑体" w:eastAsia="黑体" w:cs="黑体"/>
          <w:b w:val="0"/>
          <w:bCs/>
          <w:color w:val="auto"/>
          <w:spacing w:val="0"/>
          <w:szCs w:val="22"/>
        </w:rPr>
        <w:t>、</w:t>
      </w:r>
      <w:r>
        <w:rPr>
          <w:rFonts w:hint="eastAsia" w:ascii="黑体" w:hAnsi="黑体" w:eastAsia="黑体" w:cs="黑体"/>
          <w:b w:val="0"/>
          <w:bCs/>
          <w:color w:val="auto"/>
          <w:spacing w:val="0"/>
          <w:szCs w:val="22"/>
          <w:lang w:val="en-US" w:eastAsia="zh-CN"/>
        </w:rPr>
        <w:t>强化行政执法监督</w:t>
      </w:r>
    </w:p>
    <w:p w14:paraId="00113F27">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着力优化政府职责体系，实行政府权责清单制度，确保政府职能优化协同高效，建设服务型政府。深化行政执法体制改革，进一步整合行政执法队伍开展联合执法，加大对关系群众切身利益的重点领域执法力度。完善规范性文件合法性审查和备案工作，严格落实行政执法三项制度，提高行政执法水平。全面推行</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互联网+监管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，完善社会信用体系，建立健全以信用为基础的新型监管机制。</w:t>
      </w:r>
    </w:p>
    <w:p w14:paraId="40568DA4">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二、保证司法公正</w:t>
      </w:r>
    </w:p>
    <w:p w14:paraId="42F161D3">
      <w:pPr>
        <w:pStyle w:val="8"/>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kern w:val="2"/>
          <w:sz w:val="32"/>
          <w:szCs w:val="24"/>
          <w:lang w:val="en-US" w:eastAsia="zh-CN" w:bidi="ar-SA"/>
        </w:rPr>
        <w:t>全面落实司法责任制，坚决排除对司法活动的干预，完善权力运行和监督机制，切实保障公民、法人和其他组织的合法权益。落实司法体制综合配套改革措施，加快推进司法制约监督体系改革和建设，不断深化律师制度改革，加强对司法活动的监督，构建权责一致的司法权力运行新机制。加强法治基础设施建设，推行行政诉讼案件负责人出庭应诉制度，提升行政复议规范化、信息化和队伍专业化水平，提高行政复议办案质量和公信力。</w:t>
      </w:r>
    </w:p>
    <w:p w14:paraId="79E8A4BE">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lang w:val="en-US" w:eastAsia="zh-CN"/>
        </w:rPr>
        <w:t>三</w:t>
      </w:r>
      <w:r>
        <w:rPr>
          <w:rFonts w:hint="eastAsia" w:ascii="黑体" w:hAnsi="黑体" w:eastAsia="黑体" w:cs="黑体"/>
          <w:b w:val="0"/>
          <w:bCs/>
          <w:color w:val="auto"/>
          <w:spacing w:val="0"/>
          <w:szCs w:val="22"/>
        </w:rPr>
        <w:t>、</w:t>
      </w:r>
      <w:r>
        <w:rPr>
          <w:rFonts w:hint="eastAsia" w:ascii="黑体" w:hAnsi="黑体" w:eastAsia="黑体" w:cs="黑体"/>
          <w:b w:val="0"/>
          <w:bCs/>
          <w:color w:val="auto"/>
          <w:spacing w:val="0"/>
          <w:szCs w:val="22"/>
          <w:lang w:val="en-US" w:eastAsia="zh-CN"/>
        </w:rPr>
        <w:t>增强全民守法意识</w:t>
      </w:r>
    </w:p>
    <w:p w14:paraId="572E6A1C">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加强普法宣传，构建社会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大普法</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格局，积极谋划</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八五</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普法，普及</w:t>
      </w:r>
      <w:r>
        <w:rPr>
          <w:rFonts w:hint="eastAsia" w:eastAsia="仿宋_GB2312" w:cs="Times New Roman"/>
          <w:color w:val="auto"/>
          <w:spacing w:val="0"/>
          <w:szCs w:val="24"/>
          <w:lang w:eastAsia="zh-CN"/>
        </w:rPr>
        <w:t>《中华人民共和国宪法》</w:t>
      </w:r>
      <w:r>
        <w:rPr>
          <w:rFonts w:hint="default" w:ascii="Times New Roman" w:hAnsi="Times New Roman" w:eastAsia="仿宋_GB2312" w:cs="Times New Roman"/>
          <w:color w:val="auto"/>
          <w:spacing w:val="0"/>
          <w:szCs w:val="24"/>
        </w:rPr>
        <w:t>、</w:t>
      </w:r>
      <w:r>
        <w:rPr>
          <w:rFonts w:hint="eastAsia" w:eastAsia="仿宋_GB2312" w:cs="Times New Roman"/>
          <w:color w:val="auto"/>
          <w:spacing w:val="0"/>
          <w:szCs w:val="24"/>
          <w:lang w:eastAsia="zh-CN"/>
        </w:rPr>
        <w:t>《中华人民共和国民法典》</w:t>
      </w:r>
      <w:r>
        <w:rPr>
          <w:rFonts w:hint="default" w:ascii="Times New Roman" w:hAnsi="Times New Roman" w:eastAsia="仿宋_GB2312" w:cs="Times New Roman"/>
          <w:color w:val="auto"/>
          <w:spacing w:val="0"/>
          <w:szCs w:val="24"/>
        </w:rPr>
        <w:t>知识，推动全民普法守法成为社会治理的法治基础</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引导全社会办事依法、遇事找法、解决问题用法、化解矛盾靠法。推进覆盖城乡居民的公共法律服务体系建设，为群众提供一站式法律服务。强化</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云南掌上12348</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的宣传力度。持续推进</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一村（社区）一法律顾问</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。开展法治镇（街道）、民主法治村（社区）等创建活动。</w:t>
      </w:r>
    </w:p>
    <w:p w14:paraId="07A53104">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四、推进法治政府建设</w:t>
      </w:r>
    </w:p>
    <w:p w14:paraId="0F18F9E7">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严格执行重大行政决策程序合法性审查机制、重大决策终身责任追究制度，强化对执行情况的督促检查，推动建立健全以政策效果评估为重点的政策评估制度，全面落实法律顾问制度。推进严格规范公正文明执法，构建守责尽责、失责追责的法治政府建设与责任落实工作机制。加快转变政府职能，建设职责明确、依法行政的政府治理体系，不断提高决策科学化、民主化、法治化水平。</w:t>
      </w: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60D8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14E8DCF4">
            <w:pPr>
              <w:pageBreakBefore w:val="0"/>
              <w:widowControl w:val="0"/>
              <w:kinsoku/>
              <w:wordWrap/>
              <w:overflowPunct/>
              <w:topLinePunct w:val="0"/>
              <w:autoSpaceDN/>
              <w:bidi w:val="0"/>
              <w:spacing w:line="500" w:lineRule="exact"/>
              <w:ind w:firstLine="0" w:firstLineChars="0"/>
              <w:jc w:val="center"/>
              <w:rPr>
                <w:rFonts w:hint="default" w:ascii="Times New Roman" w:hAnsi="Times New Roman" w:eastAsia="仿宋_GB2312" w:cs="Times New Roman"/>
                <w:color w:val="auto"/>
                <w:spacing w:val="0"/>
                <w:kern w:val="0"/>
                <w:sz w:val="28"/>
                <w:szCs w:val="32"/>
                <w:lang w:bidi="zh-CN"/>
              </w:rPr>
            </w:pPr>
            <w:r>
              <w:rPr>
                <w:rFonts w:hint="default" w:ascii="Times New Roman" w:hAnsi="Times New Roman" w:eastAsia="仿宋_GB2312" w:cs="Times New Roman"/>
                <w:b/>
                <w:bCs/>
                <w:color w:val="auto"/>
                <w:spacing w:val="0"/>
                <w:kern w:val="0"/>
                <w:sz w:val="28"/>
                <w:szCs w:val="32"/>
                <w:lang w:val="zh-CN" w:bidi="zh-CN"/>
              </w:rPr>
              <w:t>专栏</w:t>
            </w:r>
            <w:r>
              <w:rPr>
                <w:rFonts w:hint="default" w:ascii="Times New Roman" w:hAnsi="Times New Roman" w:eastAsia="仿宋_GB2312" w:cs="Times New Roman"/>
                <w:b/>
                <w:bCs/>
                <w:color w:val="auto"/>
                <w:spacing w:val="0"/>
                <w:kern w:val="0"/>
                <w:sz w:val="28"/>
                <w:szCs w:val="32"/>
                <w:lang w:bidi="zh-CN"/>
              </w:rPr>
              <w:t>2</w:t>
            </w:r>
            <w:r>
              <w:rPr>
                <w:rFonts w:hint="default" w:ascii="Times New Roman" w:hAnsi="Times New Roman" w:eastAsia="仿宋_GB2312" w:cs="Times New Roman"/>
                <w:b/>
                <w:bCs/>
                <w:color w:val="auto"/>
                <w:spacing w:val="0"/>
                <w:kern w:val="0"/>
                <w:sz w:val="28"/>
                <w:szCs w:val="32"/>
                <w:lang w:val="en-US" w:bidi="zh-CN"/>
              </w:rPr>
              <w:t>5</w:t>
            </w:r>
            <w:r>
              <w:rPr>
                <w:rFonts w:hint="default" w:ascii="Times New Roman" w:hAnsi="Times New Roman" w:eastAsia="仿宋_GB2312" w:cs="Times New Roman"/>
                <w:b/>
                <w:bCs/>
                <w:color w:val="auto"/>
                <w:spacing w:val="0"/>
                <w:kern w:val="0"/>
                <w:sz w:val="28"/>
                <w:szCs w:val="32"/>
                <w:lang w:bidi="zh-CN"/>
              </w:rPr>
              <w:t xml:space="preserve"> </w:t>
            </w:r>
            <w:r>
              <w:rPr>
                <w:rFonts w:hint="default" w:ascii="Times New Roman" w:hAnsi="Times New Roman" w:eastAsia="仿宋_GB2312" w:cs="Times New Roman"/>
                <w:b/>
                <w:bCs/>
                <w:color w:val="auto"/>
                <w:spacing w:val="0"/>
                <w:kern w:val="0"/>
                <w:sz w:val="28"/>
                <w:szCs w:val="32"/>
                <w:lang w:val="en-US" w:bidi="zh-CN"/>
              </w:rPr>
              <w:t>法治新平重点</w:t>
            </w:r>
            <w:r>
              <w:rPr>
                <w:rFonts w:hint="default" w:ascii="Times New Roman" w:hAnsi="Times New Roman" w:eastAsia="仿宋_GB2312" w:cs="Times New Roman"/>
                <w:b/>
                <w:bCs/>
                <w:color w:val="auto"/>
                <w:spacing w:val="0"/>
                <w:kern w:val="0"/>
                <w:sz w:val="28"/>
                <w:szCs w:val="32"/>
                <w:lang w:bidi="zh-CN"/>
              </w:rPr>
              <w:t>工程</w:t>
            </w:r>
          </w:p>
        </w:tc>
      </w:tr>
      <w:tr w14:paraId="34A6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06FC3A95">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kern w:val="0"/>
                <w:sz w:val="28"/>
                <w:szCs w:val="32"/>
                <w:lang w:val="zh-CN" w:bidi="zh-CN"/>
              </w:rPr>
            </w:pPr>
            <w:r>
              <w:rPr>
                <w:rFonts w:hint="default" w:ascii="Times New Roman" w:hAnsi="Times New Roman" w:eastAsia="仿宋_GB2312" w:cs="Times New Roman"/>
                <w:b/>
                <w:bCs/>
                <w:color w:val="auto"/>
                <w:spacing w:val="0"/>
                <w:kern w:val="0"/>
                <w:sz w:val="28"/>
                <w:szCs w:val="32"/>
                <w:lang w:val="zh-CN" w:bidi="zh-CN"/>
              </w:rPr>
              <w:t>法治基础设施建设工程。</w:t>
            </w:r>
            <w:r>
              <w:rPr>
                <w:rFonts w:hint="default" w:ascii="Times New Roman" w:hAnsi="Times New Roman" w:eastAsia="仿宋_GB2312" w:cs="Times New Roman"/>
                <w:bCs/>
                <w:color w:val="auto"/>
                <w:spacing w:val="0"/>
                <w:kern w:val="0"/>
                <w:sz w:val="28"/>
                <w:szCs w:val="32"/>
                <w:lang w:val="zh-CN" w:bidi="zh-CN"/>
              </w:rPr>
              <w:t>实施县公安局党群活动中心建设、县法院审判综合楼修缮改造、戛洒、漠沙法庭修缮改造、基层司法所标准化</w:t>
            </w:r>
            <w:r>
              <w:rPr>
                <w:rFonts w:hint="default" w:ascii="Times New Roman" w:hAnsi="Times New Roman" w:eastAsia="仿宋_GB2312" w:cs="Times New Roman"/>
                <w:bCs/>
                <w:color w:val="auto"/>
                <w:spacing w:val="0"/>
                <w:kern w:val="0"/>
                <w:sz w:val="28"/>
                <w:szCs w:val="32"/>
                <w:lang w:val="en-US" w:bidi="zh-CN"/>
              </w:rPr>
              <w:t>建设</w:t>
            </w:r>
            <w:r>
              <w:rPr>
                <w:rFonts w:hint="default" w:ascii="Times New Roman" w:hAnsi="Times New Roman" w:eastAsia="仿宋_GB2312" w:cs="Times New Roman"/>
                <w:bCs/>
                <w:color w:val="auto"/>
                <w:spacing w:val="0"/>
                <w:kern w:val="0"/>
                <w:sz w:val="28"/>
                <w:szCs w:val="32"/>
                <w:lang w:val="zh-CN" w:bidi="zh-CN"/>
              </w:rPr>
              <w:t>等项目，提升司法系统办公基础及信息化水平。</w:t>
            </w:r>
          </w:p>
          <w:p w14:paraId="6A8C276E">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kern w:val="0"/>
                <w:sz w:val="28"/>
                <w:szCs w:val="32"/>
                <w:lang w:val="en-US" w:bidi="zh-CN"/>
              </w:rPr>
            </w:pPr>
            <w:r>
              <w:rPr>
                <w:rFonts w:hint="eastAsia" w:eastAsia="仿宋_GB2312" w:cs="Times New Roman"/>
                <w:b/>
                <w:bCs w:val="0"/>
                <w:color w:val="auto"/>
                <w:spacing w:val="0"/>
                <w:kern w:val="0"/>
                <w:sz w:val="28"/>
                <w:szCs w:val="32"/>
                <w:lang w:val="zh-CN" w:bidi="zh-CN"/>
              </w:rPr>
              <w:t>“</w:t>
            </w:r>
            <w:r>
              <w:rPr>
                <w:rFonts w:hint="default" w:ascii="Times New Roman" w:hAnsi="Times New Roman" w:eastAsia="仿宋_GB2312" w:cs="Times New Roman"/>
                <w:b/>
                <w:bCs w:val="0"/>
                <w:color w:val="auto"/>
                <w:spacing w:val="0"/>
                <w:kern w:val="0"/>
                <w:sz w:val="28"/>
                <w:szCs w:val="32"/>
                <w:lang w:val="zh-CN" w:bidi="zh-CN"/>
              </w:rPr>
              <w:t>八五</w:t>
            </w:r>
            <w:r>
              <w:rPr>
                <w:rFonts w:hint="eastAsia" w:eastAsia="仿宋_GB2312" w:cs="Times New Roman"/>
                <w:b/>
                <w:bCs w:val="0"/>
                <w:color w:val="auto"/>
                <w:spacing w:val="0"/>
                <w:kern w:val="0"/>
                <w:sz w:val="28"/>
                <w:szCs w:val="32"/>
                <w:lang w:val="zh-CN" w:bidi="zh-CN"/>
              </w:rPr>
              <w:t>”</w:t>
            </w:r>
            <w:r>
              <w:rPr>
                <w:rFonts w:hint="default" w:ascii="Times New Roman" w:hAnsi="Times New Roman" w:eastAsia="仿宋_GB2312" w:cs="Times New Roman"/>
                <w:b/>
                <w:bCs w:val="0"/>
                <w:color w:val="auto"/>
                <w:spacing w:val="0"/>
                <w:kern w:val="0"/>
                <w:sz w:val="28"/>
                <w:szCs w:val="32"/>
                <w:lang w:val="zh-CN" w:bidi="zh-CN"/>
              </w:rPr>
              <w:t>普法。</w:t>
            </w:r>
            <w:r>
              <w:rPr>
                <w:rFonts w:hint="default" w:ascii="Times New Roman" w:hAnsi="Times New Roman" w:eastAsia="仿宋_GB2312" w:cs="Times New Roman"/>
                <w:bCs/>
                <w:color w:val="auto"/>
                <w:spacing w:val="0"/>
                <w:kern w:val="0"/>
                <w:sz w:val="28"/>
                <w:szCs w:val="32"/>
                <w:lang w:val="zh-CN" w:bidi="zh-CN"/>
              </w:rPr>
              <w:t>开展法治文化广场、长廊、主题公园等基层法治宣传载体建设，加强农村法治文化阵地建设，实施农村</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highlight w:val="none"/>
                <w:lang w:val="zh-CN" w:bidi="zh-CN"/>
              </w:rPr>
              <w:t>法治宣传</w:t>
            </w:r>
            <w:r>
              <w:rPr>
                <w:rFonts w:hint="default" w:ascii="Times New Roman" w:hAnsi="Times New Roman" w:eastAsia="仿宋_GB2312" w:cs="Times New Roman"/>
                <w:bCs/>
                <w:color w:val="auto"/>
                <w:spacing w:val="0"/>
                <w:kern w:val="0"/>
                <w:sz w:val="28"/>
                <w:szCs w:val="32"/>
                <w:lang w:val="zh-CN" w:bidi="zh-CN"/>
              </w:rPr>
              <w:t>中心户</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和</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法律明白人</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培养工程，开创非公经济组织和社会组织人员法治宣传教育新途径。</w:t>
            </w:r>
          </w:p>
        </w:tc>
      </w:tr>
    </w:tbl>
    <w:p w14:paraId="7C217AE2">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162" w:name="_Toc10510"/>
      <w:bookmarkStart w:id="163" w:name="_Toc14383"/>
      <w:r>
        <w:rPr>
          <w:rFonts w:hint="eastAsia" w:ascii="黑体" w:hAnsi="黑体" w:eastAsia="黑体" w:cs="黑体"/>
          <w:b/>
          <w:bCs w:val="0"/>
          <w:color w:val="auto"/>
          <w:spacing w:val="0"/>
          <w:szCs w:val="32"/>
          <w:lang w:val="en-US" w:eastAsia="zh-CN"/>
        </w:rPr>
        <w:t>第三节  构建社会治理新格局</w:t>
      </w:r>
      <w:bookmarkEnd w:id="162"/>
      <w:bookmarkEnd w:id="163"/>
    </w:p>
    <w:p w14:paraId="67EE94F0">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lang w:val="en-US" w:eastAsia="zh-CN"/>
        </w:rPr>
        <w:t>完</w:t>
      </w:r>
      <w:r>
        <w:rPr>
          <w:rFonts w:hint="default" w:ascii="Times New Roman" w:hAnsi="Times New Roman" w:eastAsia="仿宋_GB2312" w:cs="Times New Roman"/>
          <w:color w:val="auto"/>
          <w:spacing w:val="0"/>
          <w:szCs w:val="24"/>
        </w:rPr>
        <w:t>善党委领导、政府负责、民主协商、社会协同、公众参与、法治保障、科技支撑的社会治理体系，建设人人有责、人人尽责、人人享有的社会治理共同体</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全面构建全民共建</w:t>
      </w:r>
      <w:r>
        <w:rPr>
          <w:rFonts w:hint="default" w:ascii="Times New Roman" w:hAnsi="Times New Roman" w:eastAsia="仿宋_GB2312" w:cs="Times New Roman"/>
          <w:color w:val="auto"/>
          <w:spacing w:val="0"/>
          <w:szCs w:val="24"/>
          <w:lang w:val="en-US" w:eastAsia="zh-CN"/>
        </w:rPr>
        <w:t>共治</w:t>
      </w:r>
      <w:r>
        <w:rPr>
          <w:rFonts w:hint="default" w:ascii="Times New Roman" w:hAnsi="Times New Roman" w:eastAsia="仿宋_GB2312" w:cs="Times New Roman"/>
          <w:color w:val="auto"/>
          <w:spacing w:val="0"/>
          <w:szCs w:val="24"/>
        </w:rPr>
        <w:t>共享社会治理格局。</w:t>
      </w:r>
    </w:p>
    <w:p w14:paraId="0CE06BFA">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一、健全城乡基层治理体系</w:t>
      </w:r>
    </w:p>
    <w:p w14:paraId="4F19E085">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创新基层社会治理体制机制，推动社会治理重心向基层下移。持续深化基层群众自治，依法开展村委会和城市社区换届选举工作，探索建立村级小微权力清单制度。加强便民服务中心和综治维稳信访中心建设，推进县、乡镇（街道）、村（社区）三级基层综合服务管理中心建设，推动</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智慧社区服务平台</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建设，创建治理能力提升示范社区（村）。积极推进基层社会治理创新，推进网格化服务管理</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多网合一</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，完善党组织领导下的群众自治机制，健全村（社区）议事机制，推进基层自治、法治、德治融合发展。深入推进</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三社联动</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，探索将政府公共管理、服务、协调、技术等事务工作，通过委托、购买服务、补贴服务等方式向社会组织转移，推进基层工作减负增效。</w:t>
      </w:r>
    </w:p>
    <w:p w14:paraId="1EB228FD">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二、有效预防和化解社会矛盾</w:t>
      </w:r>
    </w:p>
    <w:p w14:paraId="5BACBB52">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坚持和发展</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枫桥经验</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不断完善矛盾纠纷人民调解、行政调解、司法调解联动工作体系，畅通和规范群众诉求表达、利益协调、权益保障通道。聚焦重点领域，健全动态排查预警机制，更加有效化解社会矛盾纠纷。深入推进诉访分离和依法分类处置信访诉求，持续打好信访矛盾化解攻坚战，强化初信初访办理，深化信访积案化解。加强人民调解手机APP、微信公众号等网络平台运用。加强行业性、专业性人民调解组织建设，推动个人调解工作室建设，构建</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大调解</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工作格局。深入开展矛盾纠纷排查化解工作，调解率达100%，调解成功率达98%以上。</w:t>
      </w:r>
    </w:p>
    <w:p w14:paraId="2A99656B">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三、完善社会治安防控体系</w:t>
      </w:r>
    </w:p>
    <w:p w14:paraId="03BCEA54">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完善社会治安防控体制机制，健全政治安全、经济安全、社会稳定等工作协调机制。立足整体防控、协同防控、精准防控，加快布局道路监控网、街面治安巡逻网等，推动</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雪亮工程</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等建设与运用。强化县、乡镇（街道）、村（社区）三级警力配备，做好警力保障。深入推进扫黑除恶长效长治，推进禁毒人民战争，完善扫黑除恶、禁毒防艾、命案防控工作机制，构建点线面结合、网上网下结合、人防物防技防结合、打防管控结合的立体化智能化治安防控体系。强化底线思维，完善各类风险防范化解机制，大力提升政府处置社会安全突发事件能力。强化预防青少年违法犯罪工作，加强校园及周边综合治理。</w:t>
      </w: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6A4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2B875960">
            <w:pPr>
              <w:pageBreakBefore w:val="0"/>
              <w:widowControl w:val="0"/>
              <w:kinsoku/>
              <w:wordWrap/>
              <w:overflowPunct/>
              <w:topLinePunct w:val="0"/>
              <w:autoSpaceDN/>
              <w:bidi w:val="0"/>
              <w:spacing w:line="500" w:lineRule="exact"/>
              <w:ind w:firstLine="0" w:firstLineChars="0"/>
              <w:jc w:val="center"/>
              <w:rPr>
                <w:rFonts w:hint="default" w:ascii="Times New Roman" w:hAnsi="Times New Roman" w:eastAsia="仿宋_GB2312" w:cs="Times New Roman"/>
                <w:color w:val="auto"/>
                <w:spacing w:val="0"/>
                <w:kern w:val="0"/>
                <w:sz w:val="28"/>
                <w:szCs w:val="32"/>
                <w:lang w:bidi="zh-CN"/>
              </w:rPr>
            </w:pPr>
            <w:r>
              <w:rPr>
                <w:rFonts w:hint="default" w:ascii="Times New Roman" w:hAnsi="Times New Roman" w:eastAsia="仿宋_GB2312" w:cs="Times New Roman"/>
                <w:b/>
                <w:bCs/>
                <w:color w:val="auto"/>
                <w:spacing w:val="0"/>
                <w:kern w:val="0"/>
                <w:sz w:val="28"/>
                <w:szCs w:val="32"/>
                <w:lang w:val="zh-CN" w:bidi="zh-CN"/>
              </w:rPr>
              <w:t>专栏</w:t>
            </w:r>
            <w:r>
              <w:rPr>
                <w:rFonts w:hint="default" w:ascii="Times New Roman" w:hAnsi="Times New Roman" w:eastAsia="仿宋_GB2312" w:cs="Times New Roman"/>
                <w:b/>
                <w:bCs/>
                <w:color w:val="auto"/>
                <w:spacing w:val="0"/>
                <w:kern w:val="0"/>
                <w:sz w:val="28"/>
                <w:szCs w:val="32"/>
                <w:lang w:bidi="zh-CN"/>
              </w:rPr>
              <w:t>2</w:t>
            </w:r>
            <w:r>
              <w:rPr>
                <w:rFonts w:hint="default" w:ascii="Times New Roman" w:hAnsi="Times New Roman" w:eastAsia="仿宋_GB2312" w:cs="Times New Roman"/>
                <w:b/>
                <w:bCs/>
                <w:color w:val="auto"/>
                <w:spacing w:val="0"/>
                <w:kern w:val="0"/>
                <w:sz w:val="28"/>
                <w:szCs w:val="32"/>
                <w:lang w:val="en-US" w:bidi="zh-CN"/>
              </w:rPr>
              <w:t>6</w:t>
            </w:r>
            <w:r>
              <w:rPr>
                <w:rFonts w:hint="default" w:ascii="Times New Roman" w:hAnsi="Times New Roman" w:eastAsia="仿宋_GB2312" w:cs="Times New Roman"/>
                <w:b/>
                <w:bCs/>
                <w:color w:val="auto"/>
                <w:spacing w:val="0"/>
                <w:kern w:val="0"/>
                <w:sz w:val="28"/>
                <w:szCs w:val="32"/>
                <w:lang w:bidi="zh-CN"/>
              </w:rPr>
              <w:t xml:space="preserve"> </w:t>
            </w:r>
            <w:r>
              <w:rPr>
                <w:rFonts w:hint="default" w:ascii="Times New Roman" w:hAnsi="Times New Roman" w:eastAsia="仿宋_GB2312" w:cs="Times New Roman"/>
                <w:b/>
                <w:bCs/>
                <w:color w:val="auto"/>
                <w:spacing w:val="0"/>
                <w:kern w:val="0"/>
                <w:sz w:val="28"/>
                <w:szCs w:val="32"/>
                <w:lang w:val="zh-CN" w:bidi="zh-CN"/>
              </w:rPr>
              <w:t>社会治理</w:t>
            </w:r>
            <w:r>
              <w:rPr>
                <w:rFonts w:hint="default" w:ascii="Times New Roman" w:hAnsi="Times New Roman" w:eastAsia="仿宋_GB2312" w:cs="Times New Roman"/>
                <w:b/>
                <w:bCs/>
                <w:color w:val="auto"/>
                <w:spacing w:val="0"/>
                <w:kern w:val="0"/>
                <w:sz w:val="28"/>
                <w:szCs w:val="32"/>
                <w:lang w:val="en-US" w:bidi="zh-CN"/>
              </w:rPr>
              <w:t>重点</w:t>
            </w:r>
            <w:r>
              <w:rPr>
                <w:rFonts w:hint="default" w:ascii="Times New Roman" w:hAnsi="Times New Roman" w:eastAsia="仿宋_GB2312" w:cs="Times New Roman"/>
                <w:b/>
                <w:bCs/>
                <w:color w:val="auto"/>
                <w:spacing w:val="0"/>
                <w:kern w:val="0"/>
                <w:sz w:val="28"/>
                <w:szCs w:val="32"/>
                <w:lang w:bidi="zh-CN"/>
              </w:rPr>
              <w:t>工程</w:t>
            </w:r>
          </w:p>
        </w:tc>
      </w:tr>
      <w:tr w14:paraId="25C0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6F7E3760">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kern w:val="0"/>
                <w:sz w:val="28"/>
                <w:szCs w:val="32"/>
                <w:lang w:val="zh-CN" w:bidi="zh-CN"/>
              </w:rPr>
            </w:pPr>
            <w:r>
              <w:rPr>
                <w:rFonts w:hint="eastAsia" w:eastAsia="仿宋_GB2312" w:cs="Times New Roman"/>
                <w:b/>
                <w:bCs w:val="0"/>
                <w:color w:val="auto"/>
                <w:spacing w:val="0"/>
                <w:kern w:val="0"/>
                <w:sz w:val="28"/>
                <w:szCs w:val="32"/>
                <w:lang w:val="zh-CN" w:bidi="zh-CN"/>
              </w:rPr>
              <w:t>“</w:t>
            </w:r>
            <w:r>
              <w:rPr>
                <w:rFonts w:hint="default" w:ascii="Times New Roman" w:hAnsi="Times New Roman" w:eastAsia="仿宋_GB2312" w:cs="Times New Roman"/>
                <w:b/>
                <w:bCs w:val="0"/>
                <w:color w:val="auto"/>
                <w:spacing w:val="0"/>
                <w:kern w:val="0"/>
                <w:sz w:val="28"/>
                <w:szCs w:val="32"/>
                <w:lang w:val="zh-CN" w:bidi="zh-CN"/>
              </w:rPr>
              <w:t>智慧社区服务平台</w:t>
            </w:r>
            <w:r>
              <w:rPr>
                <w:rFonts w:hint="eastAsia" w:eastAsia="仿宋_GB2312" w:cs="Times New Roman"/>
                <w:b/>
                <w:bCs w:val="0"/>
                <w:color w:val="auto"/>
                <w:spacing w:val="0"/>
                <w:kern w:val="0"/>
                <w:sz w:val="28"/>
                <w:szCs w:val="32"/>
                <w:lang w:val="zh-CN" w:bidi="zh-CN"/>
              </w:rPr>
              <w:t>”</w:t>
            </w:r>
            <w:r>
              <w:rPr>
                <w:rFonts w:hint="default" w:ascii="Times New Roman" w:hAnsi="Times New Roman" w:eastAsia="仿宋_GB2312" w:cs="Times New Roman"/>
                <w:b/>
                <w:bCs w:val="0"/>
                <w:color w:val="auto"/>
                <w:spacing w:val="0"/>
                <w:kern w:val="0"/>
                <w:sz w:val="28"/>
                <w:szCs w:val="32"/>
                <w:lang w:val="zh-CN" w:bidi="zh-CN"/>
              </w:rPr>
              <w:t>建设</w:t>
            </w:r>
            <w:r>
              <w:rPr>
                <w:rFonts w:hint="default" w:ascii="Times New Roman" w:hAnsi="Times New Roman" w:eastAsia="仿宋_GB2312" w:cs="Times New Roman"/>
                <w:bCs/>
                <w:color w:val="auto"/>
                <w:spacing w:val="0"/>
                <w:kern w:val="0"/>
                <w:sz w:val="28"/>
                <w:szCs w:val="32"/>
                <w:lang w:val="zh-CN" w:bidi="zh-CN"/>
              </w:rPr>
              <w:t>。在全县社区（村）建设部署监控设备、自助终端和其他物联网设备，结合</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一部手机办事通</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推进社区综合管理，实现人、事、物互联互通。</w:t>
            </w:r>
          </w:p>
          <w:p w14:paraId="5290B6E3">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kern w:val="0"/>
                <w:sz w:val="28"/>
                <w:szCs w:val="32"/>
                <w:lang w:val="zh-CN" w:bidi="zh-CN"/>
              </w:rPr>
            </w:pPr>
            <w:r>
              <w:rPr>
                <w:rFonts w:hint="default" w:ascii="Times New Roman" w:hAnsi="Times New Roman" w:eastAsia="仿宋_GB2312" w:cs="Times New Roman"/>
                <w:b/>
                <w:bCs w:val="0"/>
                <w:color w:val="auto"/>
                <w:spacing w:val="0"/>
                <w:kern w:val="0"/>
                <w:sz w:val="28"/>
                <w:szCs w:val="32"/>
                <w:lang w:val="zh-CN" w:bidi="zh-CN"/>
              </w:rPr>
              <w:t>治理能力提升示范社区（村）创建。</w:t>
            </w:r>
            <w:r>
              <w:rPr>
                <w:rFonts w:hint="default" w:ascii="Times New Roman" w:hAnsi="Times New Roman" w:eastAsia="仿宋_GB2312" w:cs="Times New Roman"/>
                <w:bCs/>
                <w:color w:val="auto"/>
                <w:spacing w:val="0"/>
                <w:kern w:val="0"/>
                <w:sz w:val="28"/>
                <w:szCs w:val="32"/>
                <w:lang w:val="zh-CN" w:bidi="zh-CN"/>
              </w:rPr>
              <w:t>以城乡社区服务供给能力、文化引领能力、依法办事能力和矛盾化解能力等为重点，创建治理能力提升示范社区（村）。</w:t>
            </w:r>
          </w:p>
          <w:p w14:paraId="0253FBDD">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kern w:val="0"/>
                <w:sz w:val="28"/>
                <w:szCs w:val="32"/>
                <w:lang w:val="zh-CN" w:bidi="zh-CN"/>
              </w:rPr>
            </w:pPr>
            <w:r>
              <w:rPr>
                <w:rFonts w:hint="default" w:ascii="Times New Roman" w:hAnsi="Times New Roman" w:eastAsia="仿宋_GB2312" w:cs="Times New Roman"/>
                <w:b/>
                <w:color w:val="auto"/>
                <w:spacing w:val="0"/>
                <w:kern w:val="0"/>
                <w:sz w:val="28"/>
                <w:szCs w:val="32"/>
                <w:lang w:val="zh-CN" w:bidi="zh-CN"/>
              </w:rPr>
              <w:t>社会治安防控体系</w:t>
            </w:r>
            <w:r>
              <w:rPr>
                <w:rFonts w:hint="default" w:ascii="Times New Roman" w:hAnsi="Times New Roman" w:eastAsia="仿宋_GB2312" w:cs="Times New Roman"/>
                <w:b/>
                <w:color w:val="auto"/>
                <w:spacing w:val="0"/>
                <w:kern w:val="0"/>
                <w:sz w:val="28"/>
                <w:szCs w:val="32"/>
                <w:lang w:val="en-US" w:bidi="zh-CN"/>
              </w:rPr>
              <w:t>建设</w:t>
            </w:r>
            <w:r>
              <w:rPr>
                <w:rFonts w:hint="default" w:ascii="Times New Roman" w:hAnsi="Times New Roman" w:eastAsia="仿宋_GB2312" w:cs="Times New Roman"/>
                <w:b/>
                <w:color w:val="auto"/>
                <w:spacing w:val="0"/>
                <w:kern w:val="0"/>
                <w:sz w:val="28"/>
                <w:szCs w:val="32"/>
                <w:lang w:val="zh-CN" w:bidi="zh-CN"/>
              </w:rPr>
              <w:t>工程。</w:t>
            </w:r>
            <w:r>
              <w:rPr>
                <w:rFonts w:hint="default" w:ascii="Times New Roman" w:hAnsi="Times New Roman" w:eastAsia="仿宋_GB2312" w:cs="Times New Roman"/>
                <w:bCs/>
                <w:color w:val="auto"/>
                <w:spacing w:val="0"/>
                <w:kern w:val="0"/>
                <w:sz w:val="28"/>
                <w:szCs w:val="32"/>
                <w:lang w:val="zh-CN" w:bidi="zh-CN"/>
              </w:rPr>
              <w:t>实施者竜派出所、水塘派出所等办公业务用房新改建项目，改善基层执法机构办公设施。实施县公安检查站、县公安装备建设项目，提高执法装备水平。实施公安信息化建设、公安执法办案场所升级改造、交警5G执法记录仪设备及车载前端云台建设项目、</w:t>
            </w:r>
            <w:r>
              <w:rPr>
                <w:rFonts w:hint="default" w:ascii="Times New Roman" w:hAnsi="Times New Roman" w:eastAsia="仿宋_GB2312" w:cs="Times New Roman"/>
                <w:bCs/>
                <w:color w:val="auto"/>
                <w:spacing w:val="0"/>
                <w:kern w:val="0"/>
                <w:sz w:val="28"/>
                <w:szCs w:val="32"/>
                <w:highlight w:val="none"/>
                <w:lang w:val="zh-CN" w:bidi="zh-CN"/>
              </w:rPr>
              <w:t>县际</w:t>
            </w:r>
            <w:r>
              <w:rPr>
                <w:rFonts w:hint="default" w:ascii="Times New Roman" w:hAnsi="Times New Roman" w:eastAsia="仿宋_GB2312" w:cs="Times New Roman"/>
                <w:bCs/>
                <w:color w:val="auto"/>
                <w:spacing w:val="0"/>
                <w:kern w:val="0"/>
                <w:sz w:val="28"/>
                <w:szCs w:val="32"/>
                <w:lang w:val="zh-CN" w:bidi="zh-CN"/>
              </w:rPr>
              <w:t>卡口、乡镇交界等卡口建设、县公安局交警大队智能化综合执法站点建设等项目，推动数据警务、智能公安建设提档升级。</w:t>
            </w:r>
          </w:p>
          <w:p w14:paraId="514BF4B6">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kern w:val="0"/>
                <w:sz w:val="28"/>
                <w:szCs w:val="32"/>
                <w:lang w:val="en-US" w:bidi="zh-CN"/>
              </w:rPr>
            </w:pPr>
            <w:r>
              <w:rPr>
                <w:rFonts w:hint="default" w:ascii="Times New Roman" w:hAnsi="Times New Roman" w:eastAsia="仿宋_GB2312" w:cs="Times New Roman"/>
                <w:b/>
                <w:bCs w:val="0"/>
                <w:color w:val="auto"/>
                <w:spacing w:val="0"/>
                <w:kern w:val="0"/>
                <w:sz w:val="28"/>
                <w:szCs w:val="32"/>
                <w:lang w:val="en-US" w:bidi="zh-CN"/>
              </w:rPr>
              <w:t>社会心理服务体系建设工程。</w:t>
            </w:r>
            <w:r>
              <w:rPr>
                <w:rFonts w:hint="default" w:ascii="Times New Roman" w:hAnsi="Times New Roman" w:eastAsia="仿宋_GB2312" w:cs="Times New Roman"/>
                <w:bCs/>
                <w:color w:val="auto"/>
                <w:spacing w:val="0"/>
                <w:kern w:val="0"/>
                <w:sz w:val="28"/>
                <w:szCs w:val="32"/>
                <w:lang w:bidi="zh-CN"/>
              </w:rPr>
              <w:t>依托村（社区）综治中心等场所设立心理咨询室或社会工作室，为村（社区）群众提供心理健康服务。在中小学普遍设立心理辅导室，配备专职或兼职心理健康教育教师。推动社会心理服务专业机构为大众提供专业化、规范化的心理健康服务。健全心理健康科普宣传网络，完善个人心理医疗服务体系和特殊人群专业心理疏导矫治救助体系。</w:t>
            </w:r>
          </w:p>
        </w:tc>
      </w:tr>
    </w:tbl>
    <w:p w14:paraId="2EC73B1B">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164" w:name="_Toc8963"/>
      <w:bookmarkStart w:id="165" w:name="_Toc22784"/>
      <w:r>
        <w:rPr>
          <w:rFonts w:hint="eastAsia" w:ascii="黑体" w:hAnsi="黑体" w:eastAsia="黑体" w:cs="黑体"/>
          <w:b/>
          <w:bCs w:val="0"/>
          <w:color w:val="auto"/>
          <w:spacing w:val="0"/>
          <w:szCs w:val="32"/>
          <w:lang w:val="en-US" w:eastAsia="zh-CN"/>
        </w:rPr>
        <w:t>第四节  保障人民生命安全</w:t>
      </w:r>
      <w:bookmarkEnd w:id="164"/>
      <w:bookmarkEnd w:id="165"/>
    </w:p>
    <w:p w14:paraId="0E2903DE">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坚持人民至上、生命至上，贯彻落实</w:t>
      </w:r>
      <w:r>
        <w:rPr>
          <w:rFonts w:hint="eastAsia" w:eastAsia="仿宋_GB2312" w:cs="Times New Roman"/>
          <w:color w:val="auto"/>
          <w:spacing w:val="0"/>
          <w:szCs w:val="24"/>
          <w:lang w:val="en-US" w:eastAsia="zh-CN"/>
        </w:rPr>
        <w:t>习近平总书记关于总体国家安全观重要论述</w:t>
      </w:r>
      <w:r>
        <w:rPr>
          <w:rFonts w:hint="default" w:ascii="Times New Roman" w:hAnsi="Times New Roman" w:eastAsia="仿宋_GB2312" w:cs="Times New Roman"/>
          <w:color w:val="auto"/>
          <w:spacing w:val="0"/>
          <w:szCs w:val="24"/>
          <w:lang w:val="en-US" w:eastAsia="zh-CN"/>
        </w:rPr>
        <w:t>，建成覆盖应急管理全过程、全社会共同参与的突发事件应急管理体系，创造安全发展的环境。</w:t>
      </w:r>
    </w:p>
    <w:p w14:paraId="48A03C1C">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一、完善应急管理体系</w:t>
      </w:r>
    </w:p>
    <w:p w14:paraId="65834180">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建设应急指挥中心，实现重特大自然灾害事件、事故灾难、传染病疫情、群体性事件应急处置的统一指挥和协调。进一步完善应急管理机构，建设新平县突发事件预警信息发布系统平台，完善以县应急办为枢纽，连通各乡镇（街道），覆盖全县的监测预警体系、信息体系、指挥体系。建立健全舆情回应制度、突发生产安全事故和自然灾害应对新闻处置工作联席会议制度，及时回应社会关切。</w:t>
      </w:r>
    </w:p>
    <w:p w14:paraId="23530347">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二、防范重大安全风险</w:t>
      </w:r>
    </w:p>
    <w:p w14:paraId="29F0EAD4">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落实安全生产责任制，织密全方位立体化的公共安全网，坚决遏制重特大安全事故。开展安全</w:t>
      </w:r>
      <w:r>
        <w:rPr>
          <w:rFonts w:hint="default" w:ascii="Times New Roman" w:hAnsi="Times New Roman" w:eastAsia="仿宋_GB2312" w:cs="Times New Roman"/>
          <w:color w:val="auto"/>
          <w:spacing w:val="0"/>
          <w:szCs w:val="24"/>
          <w:lang w:eastAsia="zh-CN"/>
        </w:rPr>
        <w:t>专项整治</w:t>
      </w:r>
      <w:r>
        <w:rPr>
          <w:rFonts w:hint="default" w:ascii="Times New Roman" w:hAnsi="Times New Roman" w:eastAsia="仿宋_GB2312" w:cs="Times New Roman"/>
          <w:color w:val="auto"/>
          <w:spacing w:val="0"/>
          <w:szCs w:val="24"/>
        </w:rPr>
        <w:t>三年行动计划，深化重点行业和领域专项整治。实施公共基础设施安全加固工程，推进各类应急避难场所建设。强化道路交通安全防控体系和公路安全生命防护工程建设。深入推进药品安全治理行动，强化药品全生命周期监管和新生业态监管。落实外防输入、内防反弹措施，推动疫情防控常态化。开展公共安全知识普及，提升公众突发事件防范意识和自救互救能力。推进城市安全发展，</w:t>
      </w:r>
      <w:r>
        <w:rPr>
          <w:rFonts w:hint="default" w:ascii="Times New Roman" w:hAnsi="Times New Roman" w:eastAsia="仿宋_GB2312" w:cs="Times New Roman"/>
          <w:color w:val="auto"/>
          <w:spacing w:val="0"/>
          <w:szCs w:val="24"/>
          <w:lang w:eastAsia="zh-CN"/>
        </w:rPr>
        <w:t>建设</w:t>
      </w:r>
      <w:r>
        <w:rPr>
          <w:rFonts w:hint="default" w:ascii="Times New Roman" w:hAnsi="Times New Roman" w:eastAsia="仿宋_GB2312" w:cs="Times New Roman"/>
          <w:color w:val="auto"/>
          <w:spacing w:val="0"/>
          <w:szCs w:val="24"/>
          <w:lang w:val="en-US" w:eastAsia="zh-CN"/>
        </w:rPr>
        <w:t>县级</w:t>
      </w:r>
      <w:r>
        <w:rPr>
          <w:rFonts w:hint="default" w:ascii="Times New Roman" w:hAnsi="Times New Roman" w:eastAsia="仿宋_GB2312" w:cs="Times New Roman"/>
          <w:color w:val="auto"/>
          <w:spacing w:val="0"/>
          <w:szCs w:val="24"/>
          <w:lang w:eastAsia="zh-CN"/>
        </w:rPr>
        <w:t>应急科普教育基地、</w:t>
      </w:r>
      <w:r>
        <w:rPr>
          <w:rFonts w:hint="default" w:ascii="Times New Roman" w:hAnsi="Times New Roman" w:eastAsia="仿宋_GB2312" w:cs="Times New Roman"/>
          <w:color w:val="auto"/>
          <w:spacing w:val="0"/>
          <w:szCs w:val="24"/>
          <w:lang w:val="en-US" w:eastAsia="zh-CN"/>
        </w:rPr>
        <w:t>有消防科普馆（室）的消防安全示范学校。</w:t>
      </w:r>
      <w:r>
        <w:rPr>
          <w:rFonts w:hint="default" w:ascii="Times New Roman" w:hAnsi="Times New Roman" w:eastAsia="仿宋_GB2312" w:cs="Times New Roman"/>
          <w:color w:val="auto"/>
          <w:spacing w:val="0"/>
          <w:szCs w:val="24"/>
        </w:rPr>
        <w:t>力争桂山街道、古城街道建成安全发展示范街道，各乡镇（街道）至少建成1个安全发展示范村（社区）。</w:t>
      </w:r>
    </w:p>
    <w:p w14:paraId="49E20A29">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三、提高防灾减灾救灾能力</w:t>
      </w:r>
    </w:p>
    <w:p w14:paraId="6229D749">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建设新平县应急管理平台，提升</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互联网+</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在应急平台中的应用。推动地震监测台站标准化建设，优化台网布局，提升监测质量。加强中小尺度气象灾害监测系统建设，实施10个不达标人影作业点标准化改建，增强气象灾害防御能力。建立应急物资监测网络、综合管理调度系统，完善应急物资配送体系。</w:t>
      </w:r>
      <w:r>
        <w:rPr>
          <w:rFonts w:hint="default" w:ascii="Times New Roman" w:hAnsi="Times New Roman" w:eastAsia="仿宋_GB2312" w:cs="Times New Roman"/>
          <w:color w:val="auto"/>
          <w:spacing w:val="0"/>
          <w:szCs w:val="24"/>
          <w:lang w:eastAsia="zh-CN"/>
        </w:rPr>
        <w:t>建设全国领先、全省一流的山岳救援训练基地，培养专业救援队伍</w:t>
      </w:r>
      <w:r>
        <w:rPr>
          <w:rFonts w:hint="default" w:ascii="Times New Roman" w:hAnsi="Times New Roman" w:eastAsia="仿宋_GB2312" w:cs="Times New Roman"/>
          <w:color w:val="auto"/>
          <w:spacing w:val="0"/>
          <w:szCs w:val="24"/>
        </w:rPr>
        <w:t>，提高队伍综合应急救援能力。发展灾害信息员、气象信息员、群测群防员等应急信息员队伍，鼓励</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一员多职</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。认真落实领导干部现场带班和关键岗位24小时值班制度，加强极端天气、火情、雨情、震情等自然灾害的监测分析和会商研判。加强应急预案管理，健全应急预案体系，积极开展多灾种综合性演练。</w:t>
      </w: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7CE3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6E324456">
            <w:pPr>
              <w:pageBreakBefore w:val="0"/>
              <w:widowControl w:val="0"/>
              <w:kinsoku/>
              <w:wordWrap/>
              <w:overflowPunct/>
              <w:topLinePunct w:val="0"/>
              <w:autoSpaceDN/>
              <w:bidi w:val="0"/>
              <w:spacing w:line="500" w:lineRule="exact"/>
              <w:ind w:firstLine="0" w:firstLineChars="0"/>
              <w:jc w:val="center"/>
              <w:rPr>
                <w:rFonts w:hint="default" w:ascii="Times New Roman" w:hAnsi="Times New Roman" w:eastAsia="仿宋_GB2312" w:cs="Times New Roman"/>
                <w:color w:val="auto"/>
                <w:spacing w:val="0"/>
                <w:kern w:val="0"/>
                <w:sz w:val="28"/>
                <w:szCs w:val="32"/>
                <w:lang w:val="zh-CN" w:bidi="zh-CN"/>
              </w:rPr>
            </w:pPr>
            <w:r>
              <w:rPr>
                <w:rFonts w:hint="default" w:ascii="Times New Roman" w:hAnsi="Times New Roman" w:eastAsia="仿宋_GB2312" w:cs="Times New Roman"/>
                <w:b/>
                <w:bCs/>
                <w:color w:val="auto"/>
                <w:spacing w:val="0"/>
                <w:kern w:val="0"/>
                <w:sz w:val="28"/>
                <w:szCs w:val="32"/>
                <w:lang w:val="zh-CN" w:bidi="zh-CN"/>
              </w:rPr>
              <w:t>专栏</w:t>
            </w:r>
            <w:r>
              <w:rPr>
                <w:rFonts w:hint="default" w:ascii="Times New Roman" w:hAnsi="Times New Roman" w:eastAsia="仿宋_GB2312" w:cs="Times New Roman"/>
                <w:b/>
                <w:bCs/>
                <w:color w:val="auto"/>
                <w:spacing w:val="0"/>
                <w:kern w:val="0"/>
                <w:sz w:val="28"/>
                <w:szCs w:val="32"/>
                <w:lang w:bidi="zh-CN"/>
              </w:rPr>
              <w:t>2</w:t>
            </w:r>
            <w:r>
              <w:rPr>
                <w:rFonts w:hint="default" w:ascii="Times New Roman" w:hAnsi="Times New Roman" w:eastAsia="仿宋_GB2312" w:cs="Times New Roman"/>
                <w:b/>
                <w:bCs/>
                <w:color w:val="auto"/>
                <w:spacing w:val="0"/>
                <w:kern w:val="0"/>
                <w:sz w:val="28"/>
                <w:szCs w:val="32"/>
                <w:lang w:val="en-US" w:bidi="zh-CN"/>
              </w:rPr>
              <w:t>7</w:t>
            </w:r>
            <w:r>
              <w:rPr>
                <w:rFonts w:hint="default" w:ascii="Times New Roman" w:hAnsi="Times New Roman" w:eastAsia="仿宋_GB2312" w:cs="Times New Roman"/>
                <w:b/>
                <w:bCs/>
                <w:color w:val="auto"/>
                <w:spacing w:val="0"/>
                <w:kern w:val="0"/>
                <w:sz w:val="28"/>
                <w:szCs w:val="32"/>
                <w:lang w:bidi="zh-CN"/>
              </w:rPr>
              <w:t xml:space="preserve"> </w:t>
            </w:r>
            <w:r>
              <w:rPr>
                <w:rFonts w:hint="default" w:ascii="Times New Roman" w:hAnsi="Times New Roman" w:eastAsia="仿宋_GB2312" w:cs="Times New Roman"/>
                <w:b/>
                <w:bCs/>
                <w:color w:val="auto"/>
                <w:spacing w:val="0"/>
                <w:kern w:val="0"/>
                <w:sz w:val="28"/>
                <w:szCs w:val="32"/>
                <w:lang w:val="zh-CN" w:bidi="zh-CN"/>
              </w:rPr>
              <w:t xml:space="preserve"> 应急管理体系建设</w:t>
            </w:r>
            <w:r>
              <w:rPr>
                <w:rFonts w:hint="default" w:ascii="Times New Roman" w:hAnsi="Times New Roman" w:eastAsia="仿宋_GB2312" w:cs="Times New Roman"/>
                <w:b/>
                <w:bCs/>
                <w:color w:val="auto"/>
                <w:spacing w:val="0"/>
                <w:kern w:val="0"/>
                <w:sz w:val="28"/>
                <w:szCs w:val="32"/>
                <w:lang w:val="en-US" w:bidi="zh-CN"/>
              </w:rPr>
              <w:t>重点</w:t>
            </w:r>
            <w:r>
              <w:rPr>
                <w:rFonts w:hint="default" w:ascii="Times New Roman" w:hAnsi="Times New Roman" w:eastAsia="仿宋_GB2312" w:cs="Times New Roman"/>
                <w:b/>
                <w:bCs/>
                <w:color w:val="auto"/>
                <w:spacing w:val="0"/>
                <w:kern w:val="0"/>
                <w:sz w:val="28"/>
                <w:szCs w:val="32"/>
                <w:lang w:val="zh-CN" w:bidi="zh-CN"/>
              </w:rPr>
              <w:t>工程</w:t>
            </w:r>
          </w:p>
        </w:tc>
      </w:tr>
      <w:tr w14:paraId="7C67F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5E0A90DE">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rPr>
            </w:pPr>
            <w:r>
              <w:rPr>
                <w:rFonts w:hint="default" w:ascii="Times New Roman" w:hAnsi="Times New Roman" w:eastAsia="仿宋_GB2312" w:cs="Times New Roman"/>
                <w:b/>
                <w:bCs/>
                <w:color w:val="auto"/>
                <w:spacing w:val="0"/>
                <w:kern w:val="0"/>
                <w:sz w:val="28"/>
                <w:szCs w:val="32"/>
                <w:lang w:val="zh-CN" w:bidi="zh-CN"/>
              </w:rPr>
              <w:t>应急管理基础能力建设。</w:t>
            </w:r>
            <w:r>
              <w:rPr>
                <w:rFonts w:hint="default" w:ascii="Times New Roman" w:hAnsi="Times New Roman" w:eastAsia="仿宋_GB2312" w:cs="Times New Roman"/>
                <w:bCs/>
                <w:color w:val="auto"/>
                <w:spacing w:val="0"/>
                <w:kern w:val="0"/>
                <w:sz w:val="28"/>
                <w:szCs w:val="32"/>
                <w:lang w:val="zh-CN" w:bidi="zh-CN"/>
              </w:rPr>
              <w:t>建立完善重大风险隐患数据库，对全县突发事件风险进行网格化管理。实施林草数据化系统建设、森林草原防火基础设施建设等项目，提高有害生物防治及森林防火能力。实施地震烈度速报与预警工程观测台站加密建设、</w:t>
            </w:r>
            <w:r>
              <w:rPr>
                <w:rFonts w:hint="default" w:ascii="Times New Roman" w:hAnsi="Times New Roman" w:eastAsia="仿宋_GB2312" w:cs="Times New Roman"/>
                <w:bCs/>
                <w:color w:val="auto"/>
                <w:spacing w:val="0"/>
                <w:kern w:val="0"/>
                <w:sz w:val="28"/>
                <w:szCs w:val="32"/>
                <w:lang w:val="en-US" w:bidi="zh-CN"/>
              </w:rPr>
              <w:t>地震灾害风险普查工作等，提升</w:t>
            </w:r>
            <w:r>
              <w:rPr>
                <w:rFonts w:hint="default" w:ascii="Times New Roman" w:hAnsi="Times New Roman" w:eastAsia="仿宋_GB2312" w:cs="Times New Roman"/>
                <w:bCs/>
                <w:color w:val="auto"/>
                <w:spacing w:val="0"/>
                <w:kern w:val="0"/>
                <w:sz w:val="28"/>
                <w:szCs w:val="32"/>
                <w:lang w:val="zh-CN" w:bidi="zh-CN"/>
              </w:rPr>
              <w:t>地震预警及监测能力</w:t>
            </w:r>
            <w:r>
              <w:rPr>
                <w:rFonts w:hint="default" w:ascii="Times New Roman" w:hAnsi="Times New Roman" w:eastAsia="仿宋_GB2312" w:cs="Times New Roman"/>
                <w:bCs/>
                <w:color w:val="auto"/>
                <w:spacing w:val="0"/>
                <w:kern w:val="0"/>
                <w:sz w:val="28"/>
                <w:szCs w:val="32"/>
                <w:lang w:val="en-US" w:bidi="zh-CN"/>
              </w:rPr>
              <w:t>和抵御地震灾害的综合防范能力。</w:t>
            </w:r>
          </w:p>
          <w:p w14:paraId="71D1DC89">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
                <w:bCs/>
                <w:color w:val="auto"/>
                <w:spacing w:val="0"/>
                <w:kern w:val="0"/>
                <w:sz w:val="28"/>
                <w:szCs w:val="32"/>
                <w:lang w:val="zh-CN" w:bidi="zh-CN"/>
              </w:rPr>
            </w:pPr>
            <w:r>
              <w:rPr>
                <w:rFonts w:hint="default" w:ascii="Times New Roman" w:hAnsi="Times New Roman" w:eastAsia="仿宋_GB2312" w:cs="Times New Roman"/>
                <w:b/>
                <w:bCs/>
                <w:color w:val="auto"/>
                <w:spacing w:val="0"/>
                <w:kern w:val="0"/>
                <w:sz w:val="28"/>
                <w:szCs w:val="32"/>
                <w:lang w:val="zh-CN" w:bidi="zh-CN"/>
              </w:rPr>
              <w:t>应急广播体系建设工程。</w:t>
            </w:r>
            <w:r>
              <w:rPr>
                <w:rFonts w:hint="default" w:ascii="Times New Roman" w:hAnsi="Times New Roman" w:eastAsia="仿宋_GB2312" w:cs="Times New Roman"/>
                <w:b w:val="0"/>
                <w:bCs w:val="0"/>
                <w:color w:val="auto"/>
                <w:spacing w:val="0"/>
                <w:kern w:val="0"/>
                <w:sz w:val="28"/>
                <w:szCs w:val="32"/>
                <w:lang w:val="zh-CN" w:bidi="zh-CN"/>
              </w:rPr>
              <w:t>建立县、乡镇（</w:t>
            </w:r>
            <w:r>
              <w:rPr>
                <w:rFonts w:hint="default" w:ascii="Times New Roman" w:hAnsi="Times New Roman" w:eastAsia="仿宋_GB2312" w:cs="Times New Roman"/>
                <w:b w:val="0"/>
                <w:bCs w:val="0"/>
                <w:color w:val="auto"/>
                <w:spacing w:val="0"/>
                <w:kern w:val="0"/>
                <w:sz w:val="28"/>
                <w:szCs w:val="32"/>
                <w:lang w:val="en-US" w:bidi="zh-CN"/>
              </w:rPr>
              <w:t>街道</w:t>
            </w:r>
            <w:r>
              <w:rPr>
                <w:rFonts w:hint="default" w:ascii="Times New Roman" w:hAnsi="Times New Roman" w:eastAsia="仿宋_GB2312" w:cs="Times New Roman"/>
                <w:b w:val="0"/>
                <w:bCs w:val="0"/>
                <w:color w:val="auto"/>
                <w:spacing w:val="0"/>
                <w:kern w:val="0"/>
                <w:sz w:val="28"/>
                <w:szCs w:val="32"/>
                <w:lang w:val="zh-CN" w:bidi="zh-CN"/>
              </w:rPr>
              <w:t>）、村、组统一协调、上下贯通、可管可控、综合覆盖的应急广播体系。</w:t>
            </w:r>
          </w:p>
          <w:p w14:paraId="5CFC38A0">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kern w:val="0"/>
                <w:sz w:val="28"/>
                <w:szCs w:val="32"/>
                <w:lang w:val="zh-CN" w:bidi="zh-CN"/>
              </w:rPr>
            </w:pPr>
            <w:r>
              <w:rPr>
                <w:rFonts w:hint="default" w:ascii="Times New Roman" w:hAnsi="Times New Roman" w:eastAsia="仿宋_GB2312" w:cs="Times New Roman"/>
                <w:b/>
                <w:bCs/>
                <w:color w:val="auto"/>
                <w:spacing w:val="0"/>
                <w:kern w:val="0"/>
                <w:sz w:val="28"/>
                <w:szCs w:val="32"/>
                <w:lang w:val="zh-CN" w:bidi="zh-CN"/>
              </w:rPr>
              <w:t>应急救援专业队伍建设。</w:t>
            </w:r>
            <w:r>
              <w:rPr>
                <w:rFonts w:hint="default" w:ascii="Times New Roman" w:hAnsi="Times New Roman" w:eastAsia="仿宋_GB2312" w:cs="Times New Roman"/>
                <w:b w:val="0"/>
                <w:bCs w:val="0"/>
                <w:color w:val="auto"/>
                <w:spacing w:val="0"/>
                <w:kern w:val="0"/>
                <w:sz w:val="28"/>
                <w:szCs w:val="32"/>
                <w:lang w:val="en-US" w:bidi="zh-CN"/>
              </w:rPr>
              <w:t>推进</w:t>
            </w:r>
            <w:r>
              <w:rPr>
                <w:rFonts w:hint="default" w:ascii="Times New Roman" w:hAnsi="Times New Roman" w:eastAsia="仿宋_GB2312" w:cs="Times New Roman"/>
                <w:b w:val="0"/>
                <w:bCs w:val="0"/>
                <w:color w:val="auto"/>
                <w:spacing w:val="0"/>
                <w:kern w:val="0"/>
                <w:sz w:val="28"/>
                <w:szCs w:val="32"/>
                <w:lang w:val="zh-CN" w:bidi="zh-CN"/>
              </w:rPr>
              <w:t>应急救援中心、消防救援大队指挥中心</w:t>
            </w:r>
            <w:r>
              <w:rPr>
                <w:rFonts w:hint="default" w:ascii="Times New Roman" w:hAnsi="Times New Roman" w:eastAsia="仿宋_GB2312" w:cs="Times New Roman"/>
                <w:b w:val="0"/>
                <w:bCs w:val="0"/>
                <w:color w:val="auto"/>
                <w:spacing w:val="0"/>
                <w:kern w:val="0"/>
                <w:sz w:val="28"/>
                <w:szCs w:val="32"/>
                <w:lang w:val="en-US" w:bidi="zh-CN"/>
              </w:rPr>
              <w:t>等</w:t>
            </w:r>
            <w:r>
              <w:rPr>
                <w:rFonts w:hint="default" w:ascii="Times New Roman" w:hAnsi="Times New Roman" w:eastAsia="仿宋_GB2312" w:cs="Times New Roman"/>
                <w:b w:val="0"/>
                <w:bCs w:val="0"/>
                <w:color w:val="auto"/>
                <w:spacing w:val="0"/>
                <w:kern w:val="0"/>
                <w:sz w:val="28"/>
                <w:szCs w:val="32"/>
                <w:lang w:val="zh-CN" w:bidi="zh-CN"/>
              </w:rPr>
              <w:t>建设，针对县域主要灾害类型，建立地质（地震）、水域（抗洪）、山岳（陆搜）</w:t>
            </w:r>
            <w:r>
              <w:rPr>
                <w:rFonts w:hint="default" w:ascii="Times New Roman" w:hAnsi="Times New Roman" w:eastAsia="仿宋_GB2312" w:cs="Times New Roman"/>
                <w:b w:val="0"/>
                <w:bCs w:val="0"/>
                <w:color w:val="auto"/>
                <w:spacing w:val="0"/>
                <w:kern w:val="0"/>
                <w:sz w:val="28"/>
                <w:szCs w:val="32"/>
                <w:lang w:val="zh-CN" w:eastAsia="zh-CN" w:bidi="zh-CN"/>
              </w:rPr>
              <w:t>专业救援队伍，建设乡（镇）政府专职消防站。</w:t>
            </w:r>
          </w:p>
        </w:tc>
      </w:tr>
    </w:tbl>
    <w:p w14:paraId="134C6382">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166" w:name="_Toc29582"/>
      <w:bookmarkStart w:id="167" w:name="_Toc135"/>
      <w:r>
        <w:rPr>
          <w:rFonts w:hint="eastAsia" w:ascii="黑体" w:hAnsi="黑体" w:eastAsia="黑体" w:cs="黑体"/>
          <w:b/>
          <w:bCs w:val="0"/>
          <w:color w:val="auto"/>
          <w:spacing w:val="0"/>
          <w:szCs w:val="32"/>
          <w:lang w:val="en-US" w:eastAsia="zh-CN"/>
        </w:rPr>
        <w:t>第五节  深化民族团结进步示范</w:t>
      </w:r>
      <w:bookmarkEnd w:id="166"/>
      <w:bookmarkEnd w:id="167"/>
    </w:p>
    <w:p w14:paraId="6BE8C92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color w:val="auto"/>
          <w:spacing w:val="0"/>
          <w:lang w:val="en-US" w:eastAsia="zh-CN"/>
        </w:rPr>
      </w:pPr>
      <w:r>
        <w:rPr>
          <w:rFonts w:hint="default" w:ascii="Times New Roman" w:hAnsi="Times New Roman" w:eastAsia="仿宋_GB2312" w:cs="Times New Roman"/>
          <w:color w:val="auto"/>
          <w:spacing w:val="0"/>
          <w:szCs w:val="24"/>
        </w:rPr>
        <w:t>贯彻党的民族政策和民族区域自治制度，铸牢中华民族共同体意识，全面深入持久开展民族团结进步示范，坚持共同团结奋斗、共同繁荣发展，谱写民族团结进步新篇章。</w:t>
      </w:r>
    </w:p>
    <w:p w14:paraId="1C83E6A6">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一、铸牢中华民族共同体意识</w:t>
      </w:r>
    </w:p>
    <w:p w14:paraId="6217CE7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紧扣</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中华民族一家亲，同心共筑中国梦</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总目标，深入开展中国特色社会主义和中国梦宣传教育，引导各族群众牢固树立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三个离不开</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思想，不断夯实</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五个认同</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的思想根基。加强中华民族共同体意识教育，树立正确的国家观、民族观、宗教观、历史观、文化观。将民族团结教育贯穿于全县国民教育全过程，大力开展形式多样的民族团结进步主题教育和社会实践活动，促进各民族交往交流交融。</w:t>
      </w:r>
    </w:p>
    <w:p w14:paraId="59856532">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二、深入开展民族团结进步创建</w:t>
      </w:r>
    </w:p>
    <w:p w14:paraId="59F25F2A">
      <w:pPr>
        <w:rPr>
          <w:rFonts w:hint="default"/>
        </w:rPr>
      </w:pPr>
      <w:r>
        <w:rPr>
          <w:rFonts w:hint="default" w:ascii="Times New Roman" w:hAnsi="Times New Roman" w:eastAsia="仿宋_GB2312" w:cs="Times New Roman"/>
          <w:color w:val="auto"/>
          <w:spacing w:val="0"/>
          <w:szCs w:val="24"/>
        </w:rPr>
        <w:t>持续巩固拓展民族团结进步创建主阵地、主渠道，</w:t>
      </w:r>
      <w:r>
        <w:rPr>
          <w:rFonts w:hint="default" w:ascii="Times New Roman" w:hAnsi="Times New Roman" w:eastAsia="仿宋_GB2312" w:cs="Times New Roman"/>
          <w:color w:val="auto"/>
          <w:spacing w:val="0"/>
          <w:szCs w:val="24"/>
          <w:lang w:val="en-US" w:eastAsia="zh-CN"/>
        </w:rPr>
        <w:t>健全民族团结进步创建工作机制，</w:t>
      </w:r>
      <w:r>
        <w:rPr>
          <w:rFonts w:hint="eastAsia" w:eastAsia="仿宋_GB2312" w:cs="Times New Roman"/>
          <w:color w:val="auto"/>
          <w:spacing w:val="0"/>
          <w:szCs w:val="24"/>
          <w:lang w:val="en-US" w:eastAsia="zh-CN"/>
        </w:rPr>
        <w:t>持续开展民族团结进步</w:t>
      </w:r>
      <w:r>
        <w:rPr>
          <w:rFonts w:hint="default" w:ascii="Times New Roman" w:hAnsi="Times New Roman" w:eastAsia="仿宋_GB2312" w:cs="Times New Roman"/>
          <w:color w:val="auto"/>
          <w:spacing w:val="0"/>
          <w:szCs w:val="24"/>
          <w:lang w:val="en-US" w:eastAsia="zh-CN"/>
        </w:rPr>
        <w:t>示范创建，深化落实民族团结进步创建</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八进</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措施，扎实开展</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互联网+民族团结进步</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rPr>
        <w:t>推进县、乡、村三级联创，</w:t>
      </w:r>
      <w:r>
        <w:rPr>
          <w:rFonts w:hint="default" w:ascii="Times New Roman" w:hAnsi="Times New Roman" w:eastAsia="仿宋_GB2312" w:cs="Times New Roman"/>
          <w:color w:val="auto"/>
          <w:spacing w:val="0"/>
          <w:szCs w:val="24"/>
          <w:lang w:val="en-US" w:eastAsia="zh-CN"/>
        </w:rPr>
        <w:t>提升创建水平。深入实施民生改善工程，加快补齐民族地区民生短板，推动少数民族社会事业发展。</w:t>
      </w:r>
      <w:r>
        <w:rPr>
          <w:rFonts w:hint="default" w:ascii="Times New Roman" w:hAnsi="Times New Roman" w:eastAsia="仿宋_GB2312" w:cs="Times New Roman"/>
          <w:color w:val="auto"/>
          <w:spacing w:val="0"/>
          <w:szCs w:val="24"/>
        </w:rPr>
        <w:t>总结民族团结进步创建经验，深入挖掘、提炼先进典型和事迹，加大宣传报道力度，讲好新平民族团结进步好声音、好故事。</w:t>
      </w:r>
    </w:p>
    <w:p w14:paraId="04E7541F">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168" w:name="_Toc10767"/>
      <w:bookmarkStart w:id="169" w:name="_Toc14341"/>
      <w:r>
        <w:rPr>
          <w:rFonts w:hint="eastAsia" w:ascii="黑体" w:hAnsi="黑体" w:eastAsia="黑体" w:cs="黑体"/>
          <w:b/>
          <w:bCs w:val="0"/>
          <w:color w:val="auto"/>
          <w:spacing w:val="0"/>
          <w:szCs w:val="32"/>
          <w:lang w:val="en-US" w:eastAsia="zh-CN"/>
        </w:rPr>
        <w:t>第六节  着眼军民融合发展推动国防后备力量建设</w:t>
      </w:r>
      <w:bookmarkEnd w:id="168"/>
      <w:bookmarkEnd w:id="169"/>
    </w:p>
    <w:p w14:paraId="0569E447">
      <w:pPr>
        <w:pageBreakBefore w:val="0"/>
        <w:widowControl w:val="0"/>
        <w:numPr>
          <w:ilvl w:val="0"/>
          <w:numId w:val="0"/>
        </w:numPr>
        <w:kinsoku/>
        <w:wordWrap/>
        <w:overflowPunct/>
        <w:topLinePunct w:val="0"/>
        <w:autoSpaceDN/>
        <w:bidi w:val="0"/>
        <w:ind w:firstLine="640" w:firstLineChars="200"/>
        <w:rPr>
          <w:rFonts w:hint="default" w:ascii="Times New Roman" w:hAnsi="Times New Roman" w:eastAsia="仿宋_GB2312" w:cs="Times New Roman"/>
          <w:color w:val="auto"/>
          <w:spacing w:val="0"/>
          <w:lang w:val="en-US" w:eastAsia="zh-CN"/>
        </w:rPr>
      </w:pPr>
      <w:r>
        <w:rPr>
          <w:rFonts w:hint="default" w:ascii="Times New Roman" w:hAnsi="Times New Roman" w:eastAsia="仿宋_GB2312" w:cs="Times New Roman"/>
          <w:color w:val="auto"/>
          <w:spacing w:val="0"/>
          <w:lang w:val="en-US" w:eastAsia="zh-CN"/>
        </w:rPr>
        <w:t>紧紧抓牢军民深度融合国家战略重要机遇，以</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军转民</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民参军</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为突破口，</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筑巢引凤</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建好军民融合产业大平台，进一步推动新平与央企、军工企业的交流合作，促进军工技术落地转化，鼓励本地企业开辟军品市场，加快推进军民两用技术协同创新和军民融合产业集聚提升，推动我县产业转型升级、创新发展，形成全要素、多领域、高效益的军民深度融合发展格局。完善军地资源优化配置、合理共享、平战结合的体制体系和运行机制，将新平国防建设和经济社会发展战略紧密结合，进一步完善国防动员体系，深化国防教育，做好</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双拥</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工作，深化军地资源共享和双向支撑拉动，促进军民融合深度发展，不断提高新平国防后备力量建设质量效益。</w:t>
      </w:r>
    </w:p>
    <w:p w14:paraId="0FF7091D">
      <w:pPr>
        <w:pageBreakBefore w:val="0"/>
        <w:widowControl w:val="0"/>
        <w:kinsoku/>
        <w:wordWrap/>
        <w:overflowPunct/>
        <w:topLinePunct w:val="0"/>
        <w:autoSpaceDN/>
        <w:bidi w:val="0"/>
        <w:ind w:left="0" w:leftChars="0" w:firstLine="0" w:firstLineChars="0"/>
        <w:rPr>
          <w:color w:val="auto"/>
          <w:spacing w:val="0"/>
        </w:rPr>
      </w:pPr>
      <w:r>
        <w:rPr>
          <w:color w:val="auto"/>
          <w:spacing w:val="0"/>
        </w:rPr>
        <w:br w:type="page"/>
      </w:r>
    </w:p>
    <w:p w14:paraId="75B69A84">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bCs w:val="0"/>
          <w:color w:val="auto"/>
          <w:spacing w:val="0"/>
          <w:kern w:val="2"/>
          <w:sz w:val="36"/>
          <w:szCs w:val="36"/>
        </w:rPr>
      </w:pPr>
      <w:bookmarkStart w:id="170" w:name="_Toc14992"/>
      <w:bookmarkStart w:id="171" w:name="_Toc19661"/>
      <w:r>
        <w:rPr>
          <w:rFonts w:hint="eastAsia" w:ascii="方正小标宋_GBK" w:hAnsi="方正小标宋_GBK" w:eastAsia="方正小标宋_GBK" w:cs="方正小标宋_GBK"/>
          <w:bCs w:val="0"/>
          <w:color w:val="auto"/>
          <w:spacing w:val="0"/>
          <w:kern w:val="2"/>
          <w:sz w:val="36"/>
          <w:szCs w:val="36"/>
        </w:rPr>
        <w:t>第十</w:t>
      </w:r>
      <w:r>
        <w:rPr>
          <w:rFonts w:hint="eastAsia" w:ascii="方正小标宋_GBK" w:hAnsi="方正小标宋_GBK" w:eastAsia="方正小标宋_GBK" w:cs="方正小标宋_GBK"/>
          <w:bCs w:val="0"/>
          <w:color w:val="auto"/>
          <w:spacing w:val="0"/>
          <w:kern w:val="2"/>
          <w:sz w:val="36"/>
          <w:szCs w:val="36"/>
          <w:lang w:eastAsia="zh-CN"/>
        </w:rPr>
        <w:t>四</w:t>
      </w:r>
      <w:r>
        <w:rPr>
          <w:rFonts w:hint="eastAsia" w:ascii="方正小标宋_GBK" w:hAnsi="方正小标宋_GBK" w:eastAsia="方正小标宋_GBK" w:cs="方正小标宋_GBK"/>
          <w:bCs w:val="0"/>
          <w:color w:val="auto"/>
          <w:spacing w:val="0"/>
          <w:kern w:val="2"/>
          <w:sz w:val="36"/>
          <w:szCs w:val="36"/>
        </w:rPr>
        <w:t>章  保障措施</w:t>
      </w:r>
      <w:bookmarkEnd w:id="161"/>
      <w:bookmarkEnd w:id="170"/>
      <w:bookmarkEnd w:id="171"/>
    </w:p>
    <w:p w14:paraId="59027610">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t>实现</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十四五</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规划和</w:t>
      </w:r>
      <w:r>
        <w:rPr>
          <w:rFonts w:hint="default" w:ascii="Times New Roman" w:hAnsi="Times New Roman" w:eastAsia="仿宋_GB2312" w:cs="Times New Roman"/>
          <w:color w:val="auto"/>
          <w:spacing w:val="0"/>
          <w:szCs w:val="24"/>
        </w:rPr>
        <w:t>二〇三五年</w:t>
      </w:r>
      <w:r>
        <w:rPr>
          <w:rFonts w:hint="default" w:ascii="Times New Roman" w:hAnsi="Times New Roman" w:eastAsia="仿宋_GB2312" w:cs="Times New Roman"/>
          <w:color w:val="auto"/>
          <w:spacing w:val="0"/>
          <w:szCs w:val="24"/>
          <w:lang w:eastAsia="zh-CN"/>
        </w:rPr>
        <w:t>远景目标，必须强化组织领导，充分调动一切积极因素，广泛团结一切可以团结的力量，形成推动发展的强大合力。</w:t>
      </w:r>
    </w:p>
    <w:p w14:paraId="29073F73">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72" w:name="_Toc22894"/>
      <w:bookmarkStart w:id="173" w:name="_Toc6814"/>
      <w:bookmarkStart w:id="174" w:name="_Toc27967"/>
      <w:r>
        <w:rPr>
          <w:rFonts w:hint="eastAsia" w:ascii="黑体" w:hAnsi="黑体" w:eastAsia="黑体" w:cs="黑体"/>
          <w:b/>
          <w:bCs w:val="0"/>
          <w:color w:val="auto"/>
          <w:spacing w:val="0"/>
          <w:szCs w:val="32"/>
          <w:lang w:eastAsia="zh-CN"/>
        </w:rPr>
        <w:t>第一节</w:t>
      </w:r>
      <w:r>
        <w:rPr>
          <w:rFonts w:hint="eastAsia" w:ascii="黑体" w:hAnsi="黑体" w:eastAsia="黑体" w:cs="黑体"/>
          <w:b/>
          <w:bCs w:val="0"/>
          <w:color w:val="auto"/>
          <w:spacing w:val="0"/>
          <w:szCs w:val="32"/>
          <w:lang w:val="en-US" w:eastAsia="zh-CN"/>
        </w:rPr>
        <w:t xml:space="preserve">  </w:t>
      </w:r>
      <w:r>
        <w:rPr>
          <w:rFonts w:hint="eastAsia" w:ascii="黑体" w:hAnsi="黑体" w:eastAsia="黑体" w:cs="黑体"/>
          <w:b/>
          <w:bCs w:val="0"/>
          <w:color w:val="auto"/>
          <w:spacing w:val="0"/>
          <w:szCs w:val="32"/>
        </w:rPr>
        <w:t>加强党对一切工作的领导</w:t>
      </w:r>
      <w:bookmarkEnd w:id="172"/>
      <w:bookmarkEnd w:id="173"/>
    </w:p>
    <w:p w14:paraId="1C922E98">
      <w:pPr>
        <w:pageBreakBefore w:val="0"/>
        <w:widowControl w:val="0"/>
        <w:kinsoku/>
        <w:wordWrap/>
        <w:overflowPunct/>
        <w:topLinePunct w:val="0"/>
        <w:autoSpaceDE/>
        <w:autoSpaceDN/>
        <w:bidi w:val="0"/>
        <w:adjustRightInd/>
        <w:snapToGrid/>
        <w:spacing w:before="0" w:after="0" w:line="560" w:lineRule="exact"/>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lang w:eastAsia="zh-CN"/>
        </w:rPr>
        <w:t>认真贯彻新时代党的建设总要求，以党的政治建设为统领，增强</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四个意识</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、坚定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四个自信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、做到</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两个维护</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坚决贯彻执行党的地方委员会工作条例等党内法规制度，推进制度治党、依规治党，不断提高党把方向、管大局、作决策、保落实的能力。推动党领导经济工作的制度化、规范化、程序化。把贯彻落实中央和省决策部署，作为重要的政治纪律来遵守和执行，强化督查考核。建立健全推动高质量发展的指标体系、政策体系、考评体系等，改进政绩考核方式。健全完善党委研究经济社会发展战略、定期分析经济社会形势、研究重大政策决策的工作机制，完善决策咨询体系，加强调查研究，提高科学决策水平。全面贯彻新时代党的组织路线，以提升组织力为重点，落实好干部标准，拓宽选人用人视野，提高选人用人质量。强化对敢担当善作为干部的激励保护，营造良好干事创业氛围。坚持党管人才，完善人才工作体系，培养引进一批德才兼备的高素质人才。树牢大抓基层的鲜明导向，健全完善上下贯通、执行有力的组织体系，分类别分领域抓好农村、城市、机关、国</w:t>
      </w:r>
      <w:r>
        <w:rPr>
          <w:rFonts w:hint="default" w:ascii="Times New Roman" w:hAnsi="Times New Roman" w:eastAsia="仿宋_GB2312" w:cs="Times New Roman"/>
          <w:color w:val="auto"/>
          <w:spacing w:val="0"/>
        </w:rPr>
        <w:t>有企业、学校、医院、非公有制企业和社会组织党的建设。</w:t>
      </w:r>
    </w:p>
    <w:p w14:paraId="04963CDE">
      <w:pPr>
        <w:rPr>
          <w:rFonts w:hint="eastAsia" w:ascii="黑体" w:hAnsi="黑体" w:eastAsia="黑体" w:cs="黑体"/>
          <w:b/>
          <w:bCs w:val="0"/>
          <w:color w:val="auto"/>
          <w:spacing w:val="0"/>
          <w:szCs w:val="32"/>
          <w:lang w:eastAsia="zh-CN"/>
        </w:rPr>
      </w:pPr>
      <w:r>
        <w:rPr>
          <w:rFonts w:hint="eastAsia" w:ascii="黑体" w:hAnsi="黑体" w:eastAsia="黑体" w:cs="黑体"/>
          <w:b/>
          <w:bCs w:val="0"/>
          <w:color w:val="auto"/>
          <w:spacing w:val="0"/>
          <w:szCs w:val="32"/>
          <w:lang w:eastAsia="zh-CN"/>
        </w:rPr>
        <w:br w:type="page"/>
      </w:r>
    </w:p>
    <w:p w14:paraId="1C1CA470">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eastAsia="zh-CN"/>
        </w:rPr>
      </w:pPr>
      <w:bookmarkStart w:id="175" w:name="_Toc13472"/>
      <w:bookmarkStart w:id="176" w:name="_Toc25761"/>
      <w:r>
        <w:rPr>
          <w:rFonts w:hint="eastAsia" w:ascii="黑体" w:hAnsi="黑体" w:eastAsia="黑体" w:cs="黑体"/>
          <w:b/>
          <w:bCs w:val="0"/>
          <w:color w:val="auto"/>
          <w:spacing w:val="0"/>
          <w:szCs w:val="32"/>
          <w:lang w:eastAsia="zh-CN"/>
        </w:rPr>
        <w:t>第二节  充分发挥规划引领作用</w:t>
      </w:r>
      <w:bookmarkEnd w:id="174"/>
      <w:bookmarkEnd w:id="175"/>
      <w:bookmarkEnd w:id="176"/>
    </w:p>
    <w:p w14:paraId="10480C73">
      <w:pPr>
        <w:keepNext/>
        <w:keepLines/>
        <w:pageBreakBefore w:val="0"/>
        <w:widowControl w:val="0"/>
        <w:tabs>
          <w:tab w:val="center" w:pos="4156"/>
        </w:tabs>
        <w:kinsoku/>
        <w:wordWrap/>
        <w:overflowPunct/>
        <w:topLinePunct w:val="0"/>
        <w:autoSpaceDN/>
        <w:bidi w:val="0"/>
        <w:spacing w:before="60" w:after="60"/>
        <w:ind w:firstLine="687"/>
        <w:outlineLvl w:val="2"/>
        <w:rPr>
          <w:rFonts w:hint="default" w:ascii="Times New Roman" w:hAnsi="Times New Roman" w:eastAsia="方正楷体_GBK" w:cs="Times New Roman"/>
          <w:b/>
          <w:color w:val="auto"/>
          <w:spacing w:val="0"/>
          <w:szCs w:val="22"/>
        </w:rPr>
      </w:pPr>
      <w:r>
        <w:rPr>
          <w:rFonts w:hint="eastAsia" w:ascii="黑体" w:hAnsi="黑体" w:eastAsia="黑体" w:cs="黑体"/>
          <w:b w:val="0"/>
          <w:bCs/>
          <w:color w:val="auto"/>
          <w:spacing w:val="0"/>
          <w:szCs w:val="22"/>
        </w:rPr>
        <w:t>一、建立完善规划体系</w:t>
      </w:r>
    </w:p>
    <w:p w14:paraId="4A380996">
      <w:pPr>
        <w:pStyle w:val="2"/>
        <w:pageBreakBefore w:val="0"/>
        <w:widowControl w:val="0"/>
        <w:kinsoku/>
        <w:wordWrap/>
        <w:overflowPunct/>
        <w:topLinePunct w:val="0"/>
        <w:autoSpaceDE/>
        <w:autoSpaceDN/>
        <w:bidi w:val="0"/>
        <w:adjustRightInd/>
        <w:snapToGrid/>
        <w:spacing w:after="0" w:line="560" w:lineRule="exact"/>
        <w:ind w:firstLine="640"/>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建立以国民经济和社会发展规划为统领，国土空间规划为基础，专项规划、区域规划为支撑的统一规划体系并监督实施，强化规划纲要的引领作用，加强与国家、省、市行业部门规划紧密衔接，加快编制实施国土空间规划、重点专项规划，明确各领域的发展目标、重点任务和政策措施，确保规划纲要目标如期实现。</w:t>
      </w:r>
    </w:p>
    <w:p w14:paraId="3951CA0A">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二、建立完善科学决策体系</w:t>
      </w:r>
    </w:p>
    <w:p w14:paraId="463821C3">
      <w:pPr>
        <w:pStyle w:val="2"/>
        <w:pageBreakBefore w:val="0"/>
        <w:widowControl w:val="0"/>
        <w:kinsoku/>
        <w:wordWrap/>
        <w:overflowPunct/>
        <w:topLinePunct w:val="0"/>
        <w:autoSpaceDE/>
        <w:autoSpaceDN/>
        <w:bidi w:val="0"/>
        <w:adjustRightInd/>
        <w:snapToGrid/>
        <w:spacing w:after="0" w:line="560" w:lineRule="exact"/>
        <w:ind w:firstLine="640"/>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根据《纲要》强化政策导向，加强和完善宏观调控政策，把握重点领域和关键环节，研究制定和深化落实相关配套政策。聚焦重点产业发展、社会民生福祉、城乡融合发展、生态文明建设等重点领域，综合运用规划、财政、金融等经济手段，发挥信贷、物价、税收等经济杠杆作用，解决阻碍经济社会发展的主要矛盾。</w:t>
      </w:r>
      <w:bookmarkStart w:id="177" w:name="_Toc26824"/>
    </w:p>
    <w:p w14:paraId="03B03385">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eastAsia="zh-CN"/>
        </w:rPr>
      </w:pPr>
      <w:bookmarkStart w:id="178" w:name="_Toc9325"/>
      <w:bookmarkStart w:id="179" w:name="_Toc16597"/>
      <w:r>
        <w:rPr>
          <w:rFonts w:hint="eastAsia" w:ascii="黑体" w:hAnsi="黑体" w:eastAsia="黑体" w:cs="黑体"/>
          <w:b/>
          <w:bCs w:val="0"/>
          <w:color w:val="auto"/>
          <w:spacing w:val="0"/>
          <w:szCs w:val="32"/>
          <w:lang w:eastAsia="zh-CN"/>
        </w:rPr>
        <w:t>第三节  建立健全纲要实施机制</w:t>
      </w:r>
      <w:bookmarkEnd w:id="177"/>
      <w:bookmarkEnd w:id="178"/>
      <w:bookmarkEnd w:id="179"/>
    </w:p>
    <w:p w14:paraId="743B660A">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一、强化组织保障</w:t>
      </w:r>
    </w:p>
    <w:p w14:paraId="16726020">
      <w:pPr>
        <w:pStyle w:val="2"/>
        <w:pageBreakBefore w:val="0"/>
        <w:widowControl w:val="0"/>
        <w:kinsoku/>
        <w:wordWrap/>
        <w:overflowPunct/>
        <w:topLinePunct w:val="0"/>
        <w:autoSpaceDE/>
        <w:autoSpaceDN/>
        <w:bidi w:val="0"/>
        <w:adjustRightInd/>
        <w:snapToGrid/>
        <w:spacing w:after="0" w:line="560" w:lineRule="exact"/>
        <w:ind w:firstLine="640"/>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强化组织领导，强化制度、规划和政策的综合协调，促进规划联动，统筹推进纲要实施。建立党委领导、政府主抓、人大政协监督、部门各司其职、群众和社会各界积极参与的纲要实施工作机制。各乡镇（街道）、各部门要明确时间进度安排，层层分解任务，全面推进《纲要》实施。</w:t>
      </w:r>
    </w:p>
    <w:p w14:paraId="7E46981E">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二、明确实施责任</w:t>
      </w:r>
    </w:p>
    <w:p w14:paraId="149B7051">
      <w:pPr>
        <w:pStyle w:val="2"/>
        <w:pageBreakBefore w:val="0"/>
        <w:widowControl w:val="0"/>
        <w:kinsoku/>
        <w:wordWrap/>
        <w:overflowPunct/>
        <w:topLinePunct w:val="0"/>
        <w:autoSpaceDE/>
        <w:autoSpaceDN/>
        <w:bidi w:val="0"/>
        <w:adjustRightInd/>
        <w:snapToGrid/>
        <w:spacing w:after="0" w:line="540" w:lineRule="exact"/>
        <w:ind w:firstLine="640"/>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县直有关部门是县级重点专项规划、国土空间规划编制和实施的责任主体，要加强沟通，紧密合作，形成合力。县发展和改革局在编制国民经济和社会发展年度计划中要将纲要所确定的目标任务分解落实到具体计划中，形成以年度计划推动纲要实施的机制，同时做好纲要实施的年度监测和中期评估工作。</w:t>
      </w:r>
      <w:bookmarkStart w:id="180" w:name="_Toc4577"/>
    </w:p>
    <w:p w14:paraId="79CAA763">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b/>
          <w:bCs w:val="0"/>
          <w:color w:val="auto"/>
          <w:spacing w:val="0"/>
          <w:szCs w:val="32"/>
          <w:lang w:eastAsia="zh-CN"/>
        </w:rPr>
      </w:pPr>
      <w:bookmarkStart w:id="181" w:name="_Toc763"/>
      <w:bookmarkStart w:id="182" w:name="_Toc21312"/>
      <w:r>
        <w:rPr>
          <w:rFonts w:hint="eastAsia" w:ascii="黑体" w:hAnsi="黑体" w:eastAsia="黑体" w:cs="黑体"/>
          <w:b/>
          <w:bCs w:val="0"/>
          <w:color w:val="auto"/>
          <w:spacing w:val="0"/>
          <w:szCs w:val="32"/>
          <w:lang w:eastAsia="zh-CN"/>
        </w:rPr>
        <w:t>第四节  强化纲要实施保障</w:t>
      </w:r>
      <w:bookmarkEnd w:id="180"/>
      <w:bookmarkEnd w:id="181"/>
      <w:bookmarkEnd w:id="182"/>
    </w:p>
    <w:p w14:paraId="6F0D5F0D">
      <w:pPr>
        <w:keepNext/>
        <w:keepLines/>
        <w:pageBreakBefore w:val="0"/>
        <w:widowControl w:val="0"/>
        <w:tabs>
          <w:tab w:val="center" w:pos="4156"/>
        </w:tabs>
        <w:kinsoku/>
        <w:wordWrap/>
        <w:overflowPunct/>
        <w:topLinePunct w:val="0"/>
        <w:autoSpaceDE/>
        <w:autoSpaceDN/>
        <w:bidi w:val="0"/>
        <w:adjustRightInd/>
        <w:snapToGrid/>
        <w:spacing w:before="60" w:after="60" w:line="540" w:lineRule="exact"/>
        <w:ind w:firstLine="687"/>
        <w:textAlignment w:val="auto"/>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一、强化政策保障</w:t>
      </w:r>
    </w:p>
    <w:p w14:paraId="6D288E94">
      <w:pPr>
        <w:pStyle w:val="2"/>
        <w:pageBreakBefore w:val="0"/>
        <w:widowControl w:val="0"/>
        <w:kinsoku/>
        <w:wordWrap/>
        <w:overflowPunct/>
        <w:topLinePunct w:val="0"/>
        <w:autoSpaceDE/>
        <w:autoSpaceDN/>
        <w:bidi w:val="0"/>
        <w:adjustRightInd/>
        <w:snapToGrid/>
        <w:spacing w:after="0" w:line="540" w:lineRule="exact"/>
        <w:ind w:firstLine="640"/>
        <w:textAlignment w:val="auto"/>
        <w:rPr>
          <w:rFonts w:hint="default" w:ascii="Times New Roman" w:hAnsi="Times New Roman" w:eastAsia="方正仿宋_GBK"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围绕《纲要》提出的发展目标，着眼于解决当前阻碍新平县国民经济和社会发展的关键问题，强化政策导向，制定和完善一批支撑政策，在财税、金融、土地、环保、投资、产业、改革、开放、人才、民生方面加大政策引导支持力度。严格政策出台有关规定和程序，加强各项政策间的衔接协调和配合，形成政策合力，保障纲要实施取得实效。</w:t>
      </w:r>
    </w:p>
    <w:p w14:paraId="7FC9DE2B">
      <w:pPr>
        <w:keepNext/>
        <w:keepLines/>
        <w:pageBreakBefore w:val="0"/>
        <w:widowControl w:val="0"/>
        <w:tabs>
          <w:tab w:val="center" w:pos="4156"/>
        </w:tabs>
        <w:kinsoku/>
        <w:wordWrap/>
        <w:overflowPunct/>
        <w:topLinePunct w:val="0"/>
        <w:autoSpaceDE/>
        <w:autoSpaceDN/>
        <w:bidi w:val="0"/>
        <w:adjustRightInd/>
        <w:snapToGrid/>
        <w:spacing w:before="60" w:after="60" w:line="540" w:lineRule="exact"/>
        <w:ind w:firstLine="687"/>
        <w:textAlignment w:val="auto"/>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二、突出项目支撑</w:t>
      </w:r>
    </w:p>
    <w:p w14:paraId="222D23B0">
      <w:pPr>
        <w:pStyle w:val="2"/>
        <w:pageBreakBefore w:val="0"/>
        <w:widowControl w:val="0"/>
        <w:kinsoku/>
        <w:wordWrap/>
        <w:overflowPunct/>
        <w:topLinePunct w:val="0"/>
        <w:autoSpaceDE/>
        <w:autoSpaceDN/>
        <w:bidi w:val="0"/>
        <w:adjustRightInd/>
        <w:snapToGrid/>
        <w:spacing w:after="0" w:line="540" w:lineRule="exact"/>
        <w:ind w:firstLine="640"/>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按照</w:t>
      </w:r>
      <w:r>
        <w:rPr>
          <w:rFonts w:hint="eastAsia" w:eastAsia="仿宋_GB2312" w:cs="Times New Roman"/>
          <w:color w:val="auto"/>
          <w:spacing w:val="0"/>
          <w:kern w:val="2"/>
          <w:sz w:val="32"/>
          <w:szCs w:val="24"/>
          <w:lang w:val="en-US" w:eastAsia="zh-CN" w:bidi="ar-SA"/>
        </w:rPr>
        <w:t>“</w:t>
      </w:r>
      <w:r>
        <w:rPr>
          <w:rFonts w:hint="default" w:ascii="Times New Roman" w:hAnsi="Times New Roman" w:eastAsia="仿宋_GB2312" w:cs="Times New Roman"/>
          <w:color w:val="auto"/>
          <w:spacing w:val="0"/>
          <w:kern w:val="2"/>
          <w:sz w:val="32"/>
          <w:szCs w:val="24"/>
          <w:lang w:val="en-US" w:eastAsia="zh-CN" w:bidi="ar-SA"/>
        </w:rPr>
        <w:t>谋划一批、储备一批、建设一批、竣工一批</w:t>
      </w:r>
      <w:r>
        <w:rPr>
          <w:rFonts w:hint="eastAsia" w:eastAsia="仿宋_GB2312" w:cs="Times New Roman"/>
          <w:color w:val="auto"/>
          <w:spacing w:val="0"/>
          <w:kern w:val="2"/>
          <w:sz w:val="32"/>
          <w:szCs w:val="24"/>
          <w:lang w:val="en-US" w:eastAsia="zh-CN" w:bidi="ar-SA"/>
        </w:rPr>
        <w:t>”</w:t>
      </w:r>
      <w:r>
        <w:rPr>
          <w:rFonts w:hint="default" w:ascii="Times New Roman" w:hAnsi="Times New Roman" w:eastAsia="仿宋_GB2312" w:cs="Times New Roman"/>
          <w:color w:val="auto"/>
          <w:spacing w:val="0"/>
          <w:kern w:val="2"/>
          <w:sz w:val="32"/>
          <w:szCs w:val="24"/>
          <w:lang w:val="en-US" w:eastAsia="zh-CN" w:bidi="ar-SA"/>
        </w:rPr>
        <w:t>的要求，突出社会民生、基础设施、城市建设、生态环保、重点产业，精心谋划论证和建立重点项目库，争取更多的项目列入国家和省重点项目建设计划。对重大项目建设实行</w:t>
      </w:r>
      <w:r>
        <w:rPr>
          <w:rFonts w:hint="eastAsia" w:eastAsia="仿宋_GB2312" w:cs="Times New Roman"/>
          <w:color w:val="auto"/>
          <w:spacing w:val="0"/>
          <w:kern w:val="2"/>
          <w:sz w:val="32"/>
          <w:szCs w:val="24"/>
          <w:lang w:val="en-US" w:eastAsia="zh-CN" w:bidi="ar-SA"/>
        </w:rPr>
        <w:t>“</w:t>
      </w:r>
      <w:r>
        <w:rPr>
          <w:rFonts w:hint="default" w:ascii="Times New Roman" w:hAnsi="Times New Roman" w:eastAsia="仿宋_GB2312" w:cs="Times New Roman"/>
          <w:color w:val="auto"/>
          <w:spacing w:val="0"/>
          <w:kern w:val="2"/>
          <w:sz w:val="32"/>
          <w:szCs w:val="24"/>
          <w:lang w:val="en-US" w:eastAsia="zh-CN" w:bidi="ar-SA"/>
        </w:rPr>
        <w:t>一对一</w:t>
      </w:r>
      <w:r>
        <w:rPr>
          <w:rFonts w:hint="eastAsia" w:eastAsia="仿宋_GB2312" w:cs="Times New Roman"/>
          <w:color w:val="auto"/>
          <w:spacing w:val="0"/>
          <w:kern w:val="2"/>
          <w:sz w:val="32"/>
          <w:szCs w:val="24"/>
          <w:lang w:val="en-US" w:eastAsia="zh-CN" w:bidi="ar-SA"/>
        </w:rPr>
        <w:t>”</w:t>
      </w:r>
      <w:r>
        <w:rPr>
          <w:rFonts w:hint="default" w:ascii="Times New Roman" w:hAnsi="Times New Roman" w:eastAsia="仿宋_GB2312" w:cs="Times New Roman"/>
          <w:color w:val="auto"/>
          <w:spacing w:val="0"/>
          <w:kern w:val="2"/>
          <w:sz w:val="32"/>
          <w:szCs w:val="24"/>
          <w:lang w:val="en-US" w:eastAsia="zh-CN" w:bidi="ar-SA"/>
        </w:rPr>
        <w:t>服务，实行</w:t>
      </w:r>
      <w:r>
        <w:rPr>
          <w:rFonts w:hint="eastAsia" w:eastAsia="仿宋_GB2312" w:cs="Times New Roman"/>
          <w:color w:val="auto"/>
          <w:spacing w:val="0"/>
          <w:kern w:val="2"/>
          <w:sz w:val="32"/>
          <w:szCs w:val="24"/>
          <w:lang w:val="en-US" w:eastAsia="zh-CN" w:bidi="ar-SA"/>
        </w:rPr>
        <w:t>“</w:t>
      </w:r>
      <w:r>
        <w:rPr>
          <w:rFonts w:hint="default" w:ascii="Times New Roman" w:hAnsi="Times New Roman" w:eastAsia="仿宋_GB2312" w:cs="Times New Roman"/>
          <w:color w:val="auto"/>
          <w:spacing w:val="0"/>
          <w:kern w:val="2"/>
          <w:sz w:val="32"/>
          <w:szCs w:val="24"/>
          <w:lang w:val="en-US" w:eastAsia="zh-CN" w:bidi="ar-SA"/>
        </w:rPr>
        <w:t>一事一议</w:t>
      </w:r>
      <w:r>
        <w:rPr>
          <w:rFonts w:hint="eastAsia" w:eastAsia="仿宋_GB2312" w:cs="Times New Roman"/>
          <w:color w:val="auto"/>
          <w:spacing w:val="0"/>
          <w:kern w:val="2"/>
          <w:sz w:val="32"/>
          <w:szCs w:val="24"/>
          <w:lang w:val="en-US" w:eastAsia="zh-CN" w:bidi="ar-SA"/>
        </w:rPr>
        <w:t>”</w:t>
      </w:r>
      <w:r>
        <w:rPr>
          <w:rFonts w:hint="default" w:ascii="Times New Roman" w:hAnsi="Times New Roman" w:eastAsia="仿宋_GB2312" w:cs="Times New Roman"/>
          <w:color w:val="auto"/>
          <w:spacing w:val="0"/>
          <w:kern w:val="2"/>
          <w:sz w:val="32"/>
          <w:szCs w:val="24"/>
          <w:lang w:val="en-US" w:eastAsia="zh-CN" w:bidi="ar-SA"/>
        </w:rPr>
        <w:t>，予以重点扶持。加大项目前期经费投入，在政策、要素、服务、保障等方面综合施策、精准发力。严格落实前期工作责任制，深化项目审批制度改革，实行挂图作战、倒排工期，推动项目落地见效。支持产业项目融资，加强信用、担保体系建设，建立风险补偿和奖励机制，提高项目融资能力。加大产业项目招商力度，积极引进国内外知名企业，组织各主管部门及相关企业到发达地区进行产业项目专题推介。</w:t>
      </w:r>
      <w:bookmarkStart w:id="183" w:name="_Toc12975"/>
    </w:p>
    <w:p w14:paraId="205F305C">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b/>
          <w:bCs w:val="0"/>
          <w:color w:val="auto"/>
          <w:spacing w:val="0"/>
          <w:szCs w:val="32"/>
          <w:lang w:eastAsia="zh-CN"/>
        </w:rPr>
      </w:pPr>
      <w:bookmarkStart w:id="184" w:name="_Toc1432"/>
      <w:bookmarkStart w:id="185" w:name="_Toc26399"/>
      <w:r>
        <w:rPr>
          <w:rFonts w:hint="eastAsia" w:ascii="黑体" w:hAnsi="黑体" w:eastAsia="黑体" w:cs="黑体"/>
          <w:b/>
          <w:bCs w:val="0"/>
          <w:color w:val="auto"/>
          <w:spacing w:val="0"/>
          <w:szCs w:val="32"/>
          <w:lang w:eastAsia="zh-CN"/>
        </w:rPr>
        <w:t>第五节  加强规划监测评估</w:t>
      </w:r>
      <w:bookmarkEnd w:id="183"/>
      <w:bookmarkEnd w:id="184"/>
      <w:bookmarkEnd w:id="185"/>
    </w:p>
    <w:p w14:paraId="54C4B671">
      <w:pPr>
        <w:keepNext/>
        <w:keepLines/>
        <w:pageBreakBefore w:val="0"/>
        <w:widowControl w:val="0"/>
        <w:tabs>
          <w:tab w:val="center" w:pos="4156"/>
        </w:tabs>
        <w:kinsoku/>
        <w:wordWrap/>
        <w:overflowPunct/>
        <w:topLinePunct w:val="0"/>
        <w:autoSpaceDE/>
        <w:autoSpaceDN/>
        <w:bidi w:val="0"/>
        <w:adjustRightInd/>
        <w:snapToGrid/>
        <w:spacing w:before="60" w:after="60" w:line="540" w:lineRule="exact"/>
        <w:ind w:firstLine="687"/>
        <w:textAlignment w:val="auto"/>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一、落实监测监督制度</w:t>
      </w:r>
    </w:p>
    <w:p w14:paraId="25DB89AD">
      <w:pPr>
        <w:pStyle w:val="2"/>
        <w:pageBreakBefore w:val="0"/>
        <w:widowControl w:val="0"/>
        <w:kinsoku/>
        <w:wordWrap/>
        <w:overflowPunct/>
        <w:topLinePunct w:val="0"/>
        <w:autoSpaceDE/>
        <w:autoSpaceDN/>
        <w:bidi w:val="0"/>
        <w:adjustRightInd/>
        <w:snapToGrid/>
        <w:spacing w:after="0" w:line="540" w:lineRule="exact"/>
        <w:ind w:firstLine="640"/>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全县各级各部门要对《纲要》所确定的发展目标、重点任务、重大项目的落实情况进行跟踪分析，加强对纲要实施情况的跟踪分析，特别要对重要发展目标进行监测，对重点任务落实情况进行分析，对重大项目进展情况进行跟踪。建立健全坚持重大事项报告制度，及时就《纲要》实施情况向县委报告，并自觉接受县人大及其常务委员会的监督检查。县发展和改革局受县人民政府委托，并按照相关规定，统筹做好《纲要》实施的中期评估，依照各级人民代表大会常务委员会监督法的规定，按时提请县人大常委会审议中期评估报告。同时，各行业主管部门对重点专项规划同步进行中期评估，并将中期评估情况向县发展和改革局报备。</w:t>
      </w:r>
    </w:p>
    <w:p w14:paraId="50E0BB4B">
      <w:pPr>
        <w:keepNext/>
        <w:keepLines/>
        <w:pageBreakBefore w:val="0"/>
        <w:widowControl w:val="0"/>
        <w:tabs>
          <w:tab w:val="center" w:pos="4156"/>
        </w:tabs>
        <w:kinsoku/>
        <w:wordWrap/>
        <w:overflowPunct/>
        <w:topLinePunct w:val="0"/>
        <w:autoSpaceDE/>
        <w:autoSpaceDN/>
        <w:bidi w:val="0"/>
        <w:adjustRightInd/>
        <w:snapToGrid/>
        <w:spacing w:before="60" w:after="60" w:line="540" w:lineRule="exact"/>
        <w:ind w:firstLine="687"/>
        <w:textAlignment w:val="auto"/>
        <w:outlineLvl w:val="2"/>
        <w:rPr>
          <w:rFonts w:hint="default" w:ascii="Times New Roman" w:hAnsi="Times New Roman" w:eastAsia="方正楷体_GBK" w:cs="Times New Roman"/>
          <w:b/>
          <w:color w:val="auto"/>
          <w:spacing w:val="0"/>
          <w:szCs w:val="22"/>
        </w:rPr>
      </w:pPr>
      <w:r>
        <w:rPr>
          <w:rFonts w:hint="eastAsia" w:ascii="黑体" w:hAnsi="黑体" w:eastAsia="黑体" w:cs="黑体"/>
          <w:b w:val="0"/>
          <w:bCs/>
          <w:color w:val="auto"/>
          <w:spacing w:val="0"/>
          <w:szCs w:val="22"/>
        </w:rPr>
        <w:t>二、完善修订机制及绩效考核</w:t>
      </w:r>
    </w:p>
    <w:p w14:paraId="0511A010">
      <w:pPr>
        <w:pStyle w:val="2"/>
        <w:pageBreakBefore w:val="0"/>
        <w:widowControl w:val="0"/>
        <w:kinsoku/>
        <w:wordWrap/>
        <w:overflowPunct/>
        <w:topLinePunct w:val="0"/>
        <w:autoSpaceDE/>
        <w:autoSpaceDN/>
        <w:bidi w:val="0"/>
        <w:adjustRightInd/>
        <w:snapToGrid/>
        <w:spacing w:after="0" w:line="540" w:lineRule="exact"/>
        <w:ind w:firstLine="640"/>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当发展环境发生重大变化或其他重要原因，造成实际经济运行、社会发展与规划目标发生较大偏离，或因国家调整相关指标等原因，需要对《纲要》进行修订或调整时，由县人民政府提出方案，报县人大常务委员会审议批准。同时，建立有利于推进纲要实施的体制机制和绩效评估体系，将《纲要》所确定的主要目标、重点任务按年度分解落实，作为年度综合考核的主要内容。加大督查考核，倒逼目标责任，为《纲要》的实施提供有力保障。</w:t>
      </w:r>
    </w:p>
    <w:p w14:paraId="2679D4DF">
      <w:pPr>
        <w:pageBreakBefore w:val="0"/>
        <w:widowControl w:val="0"/>
        <w:kinsoku/>
        <w:wordWrap/>
        <w:overflowPunct/>
        <w:topLinePunct w:val="0"/>
        <w:autoSpaceDN/>
        <w:bidi w:val="0"/>
        <w:rPr>
          <w:color w:val="auto"/>
          <w:spacing w:val="0"/>
        </w:rPr>
      </w:pPr>
      <w:r>
        <w:rPr>
          <w:color w:val="auto"/>
          <w:spacing w:val="0"/>
        </w:rPr>
        <w:br w:type="page"/>
      </w:r>
    </w:p>
    <w:p w14:paraId="27A5698F">
      <w:pPr>
        <w:pageBreakBefore w:val="0"/>
        <w:widowControl w:val="0"/>
        <w:kinsoku/>
        <w:wordWrap/>
        <w:overflowPunct/>
        <w:topLinePunct w:val="0"/>
        <w:autoSpaceDN/>
        <w:bidi w:val="0"/>
        <w:ind w:left="0" w:leftChars="0" w:firstLine="0" w:firstLineChars="0"/>
        <w:jc w:val="center"/>
        <w:rPr>
          <w:rFonts w:hint="default" w:ascii="Times New Roman" w:hAnsi="Times New Roman" w:eastAsia="方正小标宋_GBK" w:cs="Times New Roman"/>
          <w:color w:val="auto"/>
          <w:spacing w:val="0"/>
          <w:sz w:val="44"/>
          <w:szCs w:val="44"/>
          <w:lang w:val="en-US" w:eastAsia="zh-CN"/>
        </w:rPr>
      </w:pPr>
    </w:p>
    <w:p w14:paraId="35641E6E">
      <w:pPr>
        <w:pageBreakBefore w:val="0"/>
        <w:widowControl w:val="0"/>
        <w:kinsoku/>
        <w:wordWrap/>
        <w:overflowPunct/>
        <w:topLinePunct w:val="0"/>
        <w:autoSpaceDN/>
        <w:bidi w:val="0"/>
        <w:ind w:left="0" w:leftChars="0" w:firstLine="0" w:firstLineChars="0"/>
        <w:jc w:val="center"/>
        <w:rPr>
          <w:rFonts w:hint="eastAsia" w:ascii="仿宋_GB2312" w:hAnsi="仿宋_GB2312" w:eastAsia="仿宋_GB2312" w:cs="仿宋_GB2312"/>
          <w:color w:val="auto"/>
          <w:spacing w:val="0"/>
          <w:sz w:val="44"/>
          <w:szCs w:val="44"/>
          <w:lang w:val="en-US" w:eastAsia="zh-CN"/>
        </w:rPr>
      </w:pPr>
      <w:r>
        <w:rPr>
          <w:rFonts w:hint="eastAsia" w:ascii="仿宋_GB2312" w:hAnsi="仿宋_GB2312" w:eastAsia="仿宋_GB2312" w:cs="仿宋_GB2312"/>
          <w:color w:val="auto"/>
          <w:spacing w:val="0"/>
          <w:sz w:val="44"/>
          <w:szCs w:val="44"/>
          <w:lang w:val="en-US" w:eastAsia="zh-CN"/>
        </w:rPr>
        <w:t>图纸目录</w:t>
      </w:r>
    </w:p>
    <w:p w14:paraId="1243CAD7">
      <w:pPr>
        <w:pageBreakBefore w:val="0"/>
        <w:widowControl w:val="0"/>
        <w:kinsoku/>
        <w:wordWrap/>
        <w:overflowPunct/>
        <w:topLinePunct w:val="0"/>
        <w:autoSpaceDN/>
        <w:bidi w:val="0"/>
        <w:rPr>
          <w:rFonts w:hint="default"/>
          <w:color w:val="auto"/>
          <w:spacing w:val="0"/>
          <w:lang w:val="en-US" w:eastAsia="zh-CN"/>
        </w:rPr>
      </w:pPr>
    </w:p>
    <w:p w14:paraId="616715EA">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lang w:val="en-US" w:eastAsia="zh-CN"/>
        </w:rPr>
        <w:t xml:space="preserve">01 </w:t>
      </w:r>
      <w:r>
        <w:rPr>
          <w:rFonts w:hint="default" w:ascii="Times New Roman" w:hAnsi="Times New Roman" w:eastAsia="仿宋_GB2312" w:cs="Times New Roman"/>
          <w:color w:val="auto"/>
          <w:spacing w:val="0"/>
        </w:rPr>
        <w:t>新平地理位置分析图</w:t>
      </w:r>
    </w:p>
    <w:p w14:paraId="755D248E">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02 新平交通区位分析图</w:t>
      </w:r>
    </w:p>
    <w:p w14:paraId="740B0D64">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03 新平空间布局规划图</w:t>
      </w:r>
    </w:p>
    <w:p w14:paraId="05B90FB4">
      <w:pPr>
        <w:pageBreakBefore w:val="0"/>
        <w:widowControl w:val="0"/>
        <w:kinsoku/>
        <w:wordWrap/>
        <w:overflowPunct/>
        <w:topLinePunct w:val="0"/>
        <w:autoSpaceDN/>
        <w:bidi w:val="0"/>
        <w:rPr>
          <w:rFonts w:hint="eastAsia" w:eastAsia="仿宋_GB2312" w:cs="Times New Roman"/>
          <w:color w:val="auto"/>
          <w:spacing w:val="0"/>
          <w:lang w:eastAsia="zh-CN"/>
        </w:rPr>
      </w:pPr>
      <w:r>
        <w:rPr>
          <w:rFonts w:hint="default" w:ascii="Times New Roman" w:hAnsi="Times New Roman" w:eastAsia="仿宋_GB2312" w:cs="Times New Roman"/>
          <w:color w:val="auto"/>
          <w:spacing w:val="0"/>
        </w:rPr>
        <w:t>04 新平</w:t>
      </w:r>
      <w:r>
        <w:rPr>
          <w:rFonts w:hint="eastAsia" w:eastAsia="仿宋_GB2312" w:cs="Times New Roman"/>
          <w:color w:val="auto"/>
          <w:spacing w:val="0"/>
          <w:lang w:eastAsia="zh-CN"/>
        </w:rPr>
        <w:t>永久基本农田示意图</w:t>
      </w:r>
    </w:p>
    <w:p w14:paraId="7CEEE2C8">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05 新平农业产业布局图</w:t>
      </w:r>
    </w:p>
    <w:p w14:paraId="10E4FDBB">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06 新平县域旅游规划图</w:t>
      </w:r>
    </w:p>
    <w:p w14:paraId="4088454A">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07 新平县生态保护红线示意图</w:t>
      </w:r>
    </w:p>
    <w:p w14:paraId="773FE7FE">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08 新平县综合交通体系规划图</w:t>
      </w:r>
    </w:p>
    <w:p w14:paraId="78AEAB89">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p>
    <w:p w14:paraId="3A755F5E">
      <w:pPr>
        <w:pageBreakBefore w:val="0"/>
        <w:widowControl w:val="0"/>
        <w:kinsoku/>
        <w:wordWrap/>
        <w:overflowPunct/>
        <w:topLinePunct w:val="0"/>
        <w:autoSpaceDN/>
        <w:bidi w:val="0"/>
        <w:rPr>
          <w:rFonts w:hint="default" w:ascii="Times New Roman" w:hAnsi="Times New Roman" w:eastAsia="仿宋_GB2312" w:cs="Times New Roman"/>
          <w:color w:val="auto"/>
          <w:spacing w:val="0"/>
        </w:rPr>
        <w:sectPr>
          <w:footerReference r:id="rId9" w:type="default"/>
          <w:pgSz w:w="11906" w:h="16838"/>
          <w:pgMar w:top="1440" w:right="1587" w:bottom="1440" w:left="1587"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6A45D3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pacing w:val="0"/>
        </w:rPr>
      </w:pPr>
      <w:r>
        <w:rPr>
          <w:color w:val="auto"/>
          <w:spacing w:val="0"/>
        </w:rPr>
        <w:drawing>
          <wp:inline distT="0" distB="0" distL="114300" distR="114300">
            <wp:extent cx="12459970" cy="8810625"/>
            <wp:effectExtent l="0" t="0" r="17780" b="9525"/>
            <wp:docPr id="12" name="图片 12" descr="新平规划-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新平规划-125"/>
                    <pic:cNvPicPr>
                      <a:picLocks noChangeAspect="1"/>
                    </pic:cNvPicPr>
                  </pic:nvPicPr>
                  <pic:blipFill>
                    <a:blip r:embed="rId12"/>
                    <a:stretch>
                      <a:fillRect/>
                    </a:stretch>
                  </pic:blipFill>
                  <pic:spPr>
                    <a:xfrm>
                      <a:off x="0" y="0"/>
                      <a:ext cx="12459970" cy="8810625"/>
                    </a:xfrm>
                    <a:prstGeom prst="rect">
                      <a:avLst/>
                    </a:prstGeom>
                  </pic:spPr>
                </pic:pic>
              </a:graphicData>
            </a:graphic>
          </wp:inline>
        </w:drawing>
      </w:r>
      <w:r>
        <w:rPr>
          <w:color w:val="auto"/>
          <w:spacing w:val="0"/>
        </w:rPr>
        <w:drawing>
          <wp:inline distT="0" distB="0" distL="114300" distR="114300">
            <wp:extent cx="12459970" cy="8810625"/>
            <wp:effectExtent l="0" t="0" r="17780" b="9525"/>
            <wp:docPr id="11" name="图片 11" descr="新平规划-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新平规划-126"/>
                    <pic:cNvPicPr>
                      <a:picLocks noChangeAspect="1"/>
                    </pic:cNvPicPr>
                  </pic:nvPicPr>
                  <pic:blipFill>
                    <a:blip r:embed="rId13"/>
                    <a:stretch>
                      <a:fillRect/>
                    </a:stretch>
                  </pic:blipFill>
                  <pic:spPr>
                    <a:xfrm>
                      <a:off x="0" y="0"/>
                      <a:ext cx="12459970" cy="8810625"/>
                    </a:xfrm>
                    <a:prstGeom prst="rect">
                      <a:avLst/>
                    </a:prstGeom>
                  </pic:spPr>
                </pic:pic>
              </a:graphicData>
            </a:graphic>
          </wp:inline>
        </w:drawing>
      </w:r>
    </w:p>
    <w:p w14:paraId="4C1EE55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pacing w:val="0"/>
        </w:rPr>
      </w:pPr>
      <w:r>
        <w:rPr>
          <w:color w:val="auto"/>
          <w:spacing w:val="0"/>
        </w:rPr>
        <w:drawing>
          <wp:inline distT="0" distB="0" distL="114300" distR="114300">
            <wp:extent cx="12458700" cy="8810625"/>
            <wp:effectExtent l="0" t="0" r="0" b="9525"/>
            <wp:docPr id="13" name="图片 13" descr="新平空间布局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新平空间布局规划图"/>
                    <pic:cNvPicPr>
                      <a:picLocks noChangeAspect="1"/>
                    </pic:cNvPicPr>
                  </pic:nvPicPr>
                  <pic:blipFill>
                    <a:blip r:embed="rId14"/>
                    <a:stretch>
                      <a:fillRect/>
                    </a:stretch>
                  </pic:blipFill>
                  <pic:spPr>
                    <a:xfrm>
                      <a:off x="0" y="0"/>
                      <a:ext cx="12458700" cy="8810625"/>
                    </a:xfrm>
                    <a:prstGeom prst="rect">
                      <a:avLst/>
                    </a:prstGeom>
                  </pic:spPr>
                </pic:pic>
              </a:graphicData>
            </a:graphic>
          </wp:inline>
        </w:drawing>
      </w:r>
      <w:r>
        <w:rPr>
          <w:color w:val="auto"/>
          <w:spacing w:val="0"/>
        </w:rPr>
        <w:drawing>
          <wp:inline distT="0" distB="0" distL="114300" distR="114300">
            <wp:extent cx="12459970" cy="8810625"/>
            <wp:effectExtent l="0" t="0" r="17780" b="9525"/>
            <wp:docPr id="9" name="图片 9" descr="新平规划-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新平规划-128"/>
                    <pic:cNvPicPr>
                      <a:picLocks noChangeAspect="1"/>
                    </pic:cNvPicPr>
                  </pic:nvPicPr>
                  <pic:blipFill>
                    <a:blip r:embed="rId15"/>
                    <a:stretch>
                      <a:fillRect/>
                    </a:stretch>
                  </pic:blipFill>
                  <pic:spPr>
                    <a:xfrm>
                      <a:off x="0" y="0"/>
                      <a:ext cx="12459970" cy="8810625"/>
                    </a:xfrm>
                    <a:prstGeom prst="rect">
                      <a:avLst/>
                    </a:prstGeom>
                  </pic:spPr>
                </pic:pic>
              </a:graphicData>
            </a:graphic>
          </wp:inline>
        </w:drawing>
      </w:r>
      <w:r>
        <w:rPr>
          <w:color w:val="auto"/>
          <w:spacing w:val="0"/>
        </w:rPr>
        <w:drawing>
          <wp:inline distT="0" distB="0" distL="114300" distR="114300">
            <wp:extent cx="12459970" cy="8810625"/>
            <wp:effectExtent l="0" t="0" r="17780" b="9525"/>
            <wp:docPr id="8" name="图片 8" descr="新平规划-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新平规划-129"/>
                    <pic:cNvPicPr>
                      <a:picLocks noChangeAspect="1"/>
                    </pic:cNvPicPr>
                  </pic:nvPicPr>
                  <pic:blipFill>
                    <a:blip r:embed="rId16"/>
                    <a:stretch>
                      <a:fillRect/>
                    </a:stretch>
                  </pic:blipFill>
                  <pic:spPr>
                    <a:xfrm>
                      <a:off x="0" y="0"/>
                      <a:ext cx="12459970" cy="8810625"/>
                    </a:xfrm>
                    <a:prstGeom prst="rect">
                      <a:avLst/>
                    </a:prstGeom>
                  </pic:spPr>
                </pic:pic>
              </a:graphicData>
            </a:graphic>
          </wp:inline>
        </w:drawing>
      </w:r>
      <w:r>
        <w:rPr>
          <w:color w:val="auto"/>
          <w:spacing w:val="0"/>
        </w:rPr>
        <w:drawing>
          <wp:inline distT="0" distB="0" distL="114300" distR="114300">
            <wp:extent cx="12459970" cy="8810625"/>
            <wp:effectExtent l="0" t="0" r="17780" b="9525"/>
            <wp:docPr id="7" name="图片 7" descr="新平规划-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新平规划-130"/>
                    <pic:cNvPicPr>
                      <a:picLocks noChangeAspect="1"/>
                    </pic:cNvPicPr>
                  </pic:nvPicPr>
                  <pic:blipFill>
                    <a:blip r:embed="rId17"/>
                    <a:stretch>
                      <a:fillRect/>
                    </a:stretch>
                  </pic:blipFill>
                  <pic:spPr>
                    <a:xfrm>
                      <a:off x="0" y="0"/>
                      <a:ext cx="12459970" cy="8810625"/>
                    </a:xfrm>
                    <a:prstGeom prst="rect">
                      <a:avLst/>
                    </a:prstGeom>
                  </pic:spPr>
                </pic:pic>
              </a:graphicData>
            </a:graphic>
          </wp:inline>
        </w:drawing>
      </w:r>
      <w:r>
        <w:rPr>
          <w:color w:val="auto"/>
          <w:spacing w:val="0"/>
        </w:rPr>
        <w:drawing>
          <wp:inline distT="0" distB="0" distL="114300" distR="114300">
            <wp:extent cx="12459970" cy="8810625"/>
            <wp:effectExtent l="0" t="0" r="17780" b="9525"/>
            <wp:docPr id="6" name="图片 6" descr="新平规划-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新平规划-131"/>
                    <pic:cNvPicPr>
                      <a:picLocks noChangeAspect="1"/>
                    </pic:cNvPicPr>
                  </pic:nvPicPr>
                  <pic:blipFill>
                    <a:blip r:embed="rId18"/>
                    <a:stretch>
                      <a:fillRect/>
                    </a:stretch>
                  </pic:blipFill>
                  <pic:spPr>
                    <a:xfrm>
                      <a:off x="0" y="0"/>
                      <a:ext cx="12459970" cy="8810625"/>
                    </a:xfrm>
                    <a:prstGeom prst="rect">
                      <a:avLst/>
                    </a:prstGeom>
                  </pic:spPr>
                </pic:pic>
              </a:graphicData>
            </a:graphic>
          </wp:inline>
        </w:drawing>
      </w:r>
    </w:p>
    <w:p w14:paraId="74C63365">
      <w:pPr>
        <w:pStyle w:val="5"/>
        <w:pageBreakBefore w:val="0"/>
        <w:widowControl w:val="0"/>
        <w:kinsoku/>
        <w:wordWrap/>
        <w:overflowPunct/>
        <w:topLinePunct w:val="0"/>
        <w:autoSpaceDN/>
        <w:bidi w:val="0"/>
        <w:spacing w:line="360" w:lineRule="auto"/>
        <w:jc w:val="center"/>
        <w:rPr>
          <w:rFonts w:hint="default" w:ascii="Times New Roman" w:hAnsi="Times New Roman" w:eastAsia="宋体"/>
          <w:color w:val="auto"/>
          <w:spacing w:val="0"/>
          <w:lang w:eastAsia="zh-CN"/>
        </w:rPr>
        <w:sectPr>
          <w:pgSz w:w="23811" w:h="16838" w:orient="landscape"/>
          <w:pgMar w:top="567" w:right="567" w:bottom="567" w:left="567" w:header="851" w:footer="992" w:gutter="0"/>
          <w:pgBorders>
            <w:top w:val="none" w:sz="0" w:space="0"/>
            <w:left w:val="none" w:sz="0" w:space="0"/>
            <w:bottom w:val="none" w:sz="0" w:space="0"/>
            <w:right w:val="none" w:sz="0" w:space="0"/>
          </w:pgBorders>
          <w:pgNumType w:fmt="decimal"/>
          <w:cols w:space="0" w:num="1"/>
          <w:rtlGutter w:val="0"/>
          <w:docGrid w:type="lines" w:linePitch="436" w:charSpace="0"/>
        </w:sectPr>
      </w:pPr>
      <w:r>
        <w:rPr>
          <w:rFonts w:hint="default" w:ascii="Times New Roman" w:hAnsi="Times New Roman" w:eastAsia="宋体"/>
          <w:color w:val="auto"/>
          <w:spacing w:val="0"/>
          <w:lang w:eastAsia="zh-CN"/>
        </w:rPr>
        <w:drawing>
          <wp:inline distT="0" distB="0" distL="114300" distR="114300">
            <wp:extent cx="12458700" cy="8810625"/>
            <wp:effectExtent l="0" t="0" r="0" b="9525"/>
            <wp:docPr id="4" name="图片 4" descr="新平县交通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新平县交通1.11"/>
                    <pic:cNvPicPr>
                      <a:picLocks noChangeAspect="1"/>
                    </pic:cNvPicPr>
                  </pic:nvPicPr>
                  <pic:blipFill>
                    <a:blip r:embed="rId19"/>
                    <a:stretch>
                      <a:fillRect/>
                    </a:stretch>
                  </pic:blipFill>
                  <pic:spPr>
                    <a:xfrm>
                      <a:off x="0" y="0"/>
                      <a:ext cx="12458700" cy="8810625"/>
                    </a:xfrm>
                    <a:prstGeom prst="rect">
                      <a:avLst/>
                    </a:prstGeom>
                  </pic:spPr>
                </pic:pic>
              </a:graphicData>
            </a:graphic>
          </wp:inline>
        </w:drawing>
      </w:r>
    </w:p>
    <w:tbl>
      <w:tblPr>
        <w:tblStyle w:val="20"/>
        <w:tblW w:w="11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071"/>
      </w:tblGrid>
      <w:tr w14:paraId="0015E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4" w:hRule="atLeast"/>
          <w:jc w:val="center"/>
        </w:trPr>
        <w:tc>
          <w:tcPr>
            <w:tcW w:w="11071" w:type="dxa"/>
            <w:tcBorders>
              <w:top w:val="nil"/>
              <w:left w:val="nil"/>
              <w:bottom w:val="nil"/>
              <w:right w:val="nil"/>
            </w:tcBorders>
            <w:shd w:val="clear" w:color="auto" w:fill="auto"/>
            <w:vAlign w:val="center"/>
          </w:tcPr>
          <w:p w14:paraId="736506FD">
            <w:pPr>
              <w:keepNext w:val="0"/>
              <w:keepLines w:val="0"/>
              <w:widowControl/>
              <w:suppressLineNumbers w:val="0"/>
              <w:snapToGrid w:val="0"/>
              <w:spacing w:line="400" w:lineRule="exact"/>
              <w:ind w:firstLine="0" w:firstLineChars="0"/>
              <w:jc w:val="center"/>
              <w:textAlignment w:val="center"/>
              <w:rPr>
                <w:rFonts w:hint="eastAsia" w:ascii="方正小标宋_GBK" w:hAnsi="方正小标宋_GBK" w:eastAsia="方正小标宋_GBK" w:cs="方正小标宋_GBK"/>
                <w:i w:val="0"/>
                <w:iCs w:val="0"/>
                <w:color w:val="000000"/>
                <w:spacing w:val="11"/>
                <w:kern w:val="0"/>
                <w:sz w:val="36"/>
                <w:szCs w:val="36"/>
                <w:u w:val="none"/>
                <w:lang w:val="en-US" w:eastAsia="zh-CN" w:bidi="ar"/>
              </w:rPr>
            </w:pPr>
            <w:r>
              <w:rPr>
                <w:rFonts w:hint="eastAsia" w:ascii="方正小标宋_GBK" w:hAnsi="方正小标宋_GBK" w:eastAsia="方正小标宋_GBK" w:cs="方正小标宋_GBK"/>
                <w:i w:val="0"/>
                <w:iCs w:val="0"/>
                <w:color w:val="000000"/>
                <w:spacing w:val="11"/>
                <w:kern w:val="0"/>
                <w:sz w:val="36"/>
                <w:szCs w:val="36"/>
                <w:u w:val="none"/>
                <w:lang w:val="en-US" w:eastAsia="zh-CN" w:bidi="ar"/>
              </w:rPr>
              <w:t>新平彝族傣族自治县国民经济和社会发展</w:t>
            </w:r>
          </w:p>
          <w:p w14:paraId="2F23530E">
            <w:pPr>
              <w:keepNext w:val="0"/>
              <w:keepLines w:val="0"/>
              <w:widowControl/>
              <w:suppressLineNumbers w:val="0"/>
              <w:snapToGrid w:val="0"/>
              <w:spacing w:line="400" w:lineRule="exact"/>
              <w:ind w:firstLine="0" w:firstLineChars="0"/>
              <w:jc w:val="center"/>
              <w:textAlignment w:val="center"/>
              <w:rPr>
                <w:rFonts w:ascii="方正小标宋_GBK" w:hAnsi="方正小标宋_GBK" w:eastAsia="方正小标宋_GBK" w:cs="方正小标宋_GBK"/>
                <w:i w:val="0"/>
                <w:iCs w:val="0"/>
                <w:color w:val="000000"/>
                <w:sz w:val="52"/>
                <w:szCs w:val="52"/>
                <w:u w:val="none"/>
              </w:rPr>
            </w:pPr>
            <w:r>
              <w:rPr>
                <w:rFonts w:hint="eastAsia" w:ascii="方正小标宋_GBK" w:hAnsi="方正小标宋_GBK" w:eastAsia="方正小标宋_GBK" w:cs="方正小标宋_GBK"/>
                <w:i w:val="0"/>
                <w:iCs w:val="0"/>
                <w:color w:val="000000"/>
                <w:spacing w:val="11"/>
                <w:kern w:val="0"/>
                <w:sz w:val="36"/>
                <w:szCs w:val="36"/>
                <w:u w:val="none"/>
                <w:lang w:val="en-US" w:eastAsia="zh-CN" w:bidi="ar"/>
              </w:rPr>
              <w:t>第十四个五年规划建设项目表说明</w:t>
            </w:r>
          </w:p>
        </w:tc>
      </w:tr>
      <w:tr w14:paraId="68026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1071" w:type="dxa"/>
            <w:vMerge w:val="restart"/>
            <w:tcBorders>
              <w:top w:val="nil"/>
              <w:left w:val="nil"/>
              <w:bottom w:val="nil"/>
              <w:right w:val="nil"/>
            </w:tcBorders>
            <w:shd w:val="clear" w:color="auto" w:fill="auto"/>
            <w:vAlign w:val="center"/>
          </w:tcPr>
          <w:p w14:paraId="0DAA2185">
            <w:pPr>
              <w:keepNext w:val="0"/>
              <w:keepLines w:val="0"/>
              <w:widowControl/>
              <w:suppressLineNumbers w:val="0"/>
              <w:snapToGrid w:val="0"/>
              <w:spacing w:line="400" w:lineRule="exact"/>
              <w:jc w:val="both"/>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spacing w:val="11"/>
                <w:kern w:val="0"/>
                <w:sz w:val="28"/>
                <w:szCs w:val="28"/>
                <w:u w:val="none"/>
                <w:lang w:val="en-US" w:eastAsia="zh-CN" w:bidi="ar"/>
              </w:rPr>
              <w:t>新平县“十四五”规划建设项目涵盖经济和社会发展各领域，是“十四五”期间县委、县政府决策实施项目建设的重要参考，同时也是土地、环评、水保等各项行政许可的依据，项目建设立项审批的依据，项目建设来源的依据，向上争取项目建设资金的重要依据。</w:t>
            </w:r>
          </w:p>
        </w:tc>
      </w:tr>
      <w:tr w14:paraId="66A88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1071" w:type="dxa"/>
            <w:vMerge w:val="continue"/>
            <w:tcBorders>
              <w:top w:val="nil"/>
              <w:left w:val="nil"/>
              <w:bottom w:val="nil"/>
              <w:right w:val="nil"/>
            </w:tcBorders>
            <w:shd w:val="clear" w:color="auto" w:fill="auto"/>
            <w:vAlign w:val="center"/>
          </w:tcPr>
          <w:p w14:paraId="034CF25D">
            <w:pPr>
              <w:snapToGrid w:val="0"/>
              <w:spacing w:line="400" w:lineRule="exact"/>
              <w:jc w:val="both"/>
              <w:rPr>
                <w:rFonts w:hint="eastAsia" w:ascii="宋体" w:hAnsi="宋体" w:eastAsia="宋体" w:cs="宋体"/>
                <w:i w:val="0"/>
                <w:iCs w:val="0"/>
                <w:color w:val="000000"/>
                <w:sz w:val="28"/>
                <w:szCs w:val="28"/>
                <w:u w:val="none"/>
              </w:rPr>
            </w:pPr>
          </w:p>
        </w:tc>
      </w:tr>
      <w:tr w14:paraId="714AE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1071" w:type="dxa"/>
            <w:vMerge w:val="restart"/>
            <w:tcBorders>
              <w:top w:val="nil"/>
              <w:left w:val="nil"/>
              <w:bottom w:val="nil"/>
              <w:right w:val="nil"/>
            </w:tcBorders>
            <w:shd w:val="clear" w:color="auto" w:fill="auto"/>
            <w:vAlign w:val="center"/>
          </w:tcPr>
          <w:p w14:paraId="25191463">
            <w:pPr>
              <w:keepNext w:val="0"/>
              <w:keepLines w:val="0"/>
              <w:widowControl/>
              <w:suppressLineNumbers w:val="0"/>
              <w:snapToGrid w:val="0"/>
              <w:spacing w:line="400" w:lineRule="exact"/>
              <w:jc w:val="both"/>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spacing w:val="11"/>
                <w:kern w:val="0"/>
                <w:sz w:val="28"/>
                <w:szCs w:val="28"/>
                <w:u w:val="none"/>
                <w:lang w:val="en-US" w:eastAsia="zh-CN" w:bidi="ar"/>
              </w:rPr>
              <w:t>新平县“十四五”规划建设项目历经各乡镇街道、县直各部门征集、整理、会审，反复征求意见等多环节、多过程，凝聚着全县各族人民的智慧和力量，担负着新平县高质量发展的动力和支撑，承载着全县人民向往美好生活的追求和期盼。</w:t>
            </w:r>
          </w:p>
        </w:tc>
      </w:tr>
      <w:tr w14:paraId="32DD5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1071" w:type="dxa"/>
            <w:vMerge w:val="continue"/>
            <w:tcBorders>
              <w:top w:val="nil"/>
              <w:left w:val="nil"/>
              <w:bottom w:val="nil"/>
              <w:right w:val="nil"/>
            </w:tcBorders>
            <w:shd w:val="clear" w:color="auto" w:fill="auto"/>
            <w:vAlign w:val="center"/>
          </w:tcPr>
          <w:p w14:paraId="4FFBA9A2">
            <w:pPr>
              <w:snapToGrid w:val="0"/>
              <w:spacing w:line="400" w:lineRule="exact"/>
              <w:jc w:val="both"/>
              <w:rPr>
                <w:rFonts w:hint="eastAsia" w:ascii="宋体" w:hAnsi="宋体" w:eastAsia="宋体" w:cs="宋体"/>
                <w:i w:val="0"/>
                <w:iCs w:val="0"/>
                <w:color w:val="000000"/>
                <w:sz w:val="28"/>
                <w:szCs w:val="28"/>
                <w:u w:val="none"/>
              </w:rPr>
            </w:pPr>
          </w:p>
        </w:tc>
      </w:tr>
      <w:tr w14:paraId="1EA2B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1071" w:type="dxa"/>
            <w:vMerge w:val="restart"/>
            <w:tcBorders>
              <w:top w:val="nil"/>
              <w:left w:val="nil"/>
              <w:bottom w:val="nil"/>
              <w:right w:val="nil"/>
            </w:tcBorders>
            <w:shd w:val="clear" w:color="auto" w:fill="auto"/>
            <w:vAlign w:val="center"/>
          </w:tcPr>
          <w:p w14:paraId="0DEEC19B">
            <w:pPr>
              <w:keepNext w:val="0"/>
              <w:keepLines w:val="0"/>
              <w:widowControl/>
              <w:suppressLineNumbers w:val="0"/>
              <w:snapToGrid w:val="0"/>
              <w:spacing w:line="400" w:lineRule="exact"/>
              <w:jc w:val="both"/>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spacing w:val="11"/>
                <w:kern w:val="0"/>
                <w:sz w:val="28"/>
                <w:szCs w:val="28"/>
                <w:u w:val="none"/>
                <w:lang w:val="en-US" w:eastAsia="zh-CN" w:bidi="ar"/>
              </w:rPr>
              <w:t>新平县“十四五”规划建设项目共有733项，总投资2349.88亿元，“十四五”期间规划投资1538.68亿元。其中2021年规划投资225.37亿元，2022年规划投资333.38亿元，2023年规划投资415.68亿元，2024年规划投资291.87亿元，2025年规划投资272.68亿元。</w:t>
            </w:r>
          </w:p>
        </w:tc>
      </w:tr>
      <w:tr w14:paraId="79925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1071" w:type="dxa"/>
            <w:vMerge w:val="continue"/>
            <w:tcBorders>
              <w:top w:val="nil"/>
              <w:left w:val="nil"/>
              <w:bottom w:val="nil"/>
              <w:right w:val="nil"/>
            </w:tcBorders>
            <w:shd w:val="clear" w:color="auto" w:fill="auto"/>
            <w:vAlign w:val="center"/>
          </w:tcPr>
          <w:p w14:paraId="3BF93835">
            <w:pPr>
              <w:snapToGrid w:val="0"/>
              <w:spacing w:line="400" w:lineRule="exact"/>
              <w:jc w:val="both"/>
              <w:rPr>
                <w:rFonts w:hint="eastAsia" w:ascii="宋体" w:hAnsi="宋体" w:eastAsia="宋体" w:cs="宋体"/>
                <w:i w:val="0"/>
                <w:iCs w:val="0"/>
                <w:color w:val="000000"/>
                <w:sz w:val="28"/>
                <w:szCs w:val="28"/>
                <w:u w:val="none"/>
              </w:rPr>
            </w:pPr>
          </w:p>
        </w:tc>
      </w:tr>
      <w:tr w14:paraId="79516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 w:hRule="atLeast"/>
          <w:jc w:val="center"/>
        </w:trPr>
        <w:tc>
          <w:tcPr>
            <w:tcW w:w="11071" w:type="dxa"/>
            <w:vMerge w:val="restart"/>
            <w:tcBorders>
              <w:top w:val="nil"/>
              <w:left w:val="nil"/>
              <w:bottom w:val="nil"/>
              <w:right w:val="nil"/>
            </w:tcBorders>
            <w:shd w:val="clear" w:color="auto" w:fill="auto"/>
            <w:vAlign w:val="center"/>
          </w:tcPr>
          <w:p w14:paraId="00D4F150">
            <w:pPr>
              <w:keepNext w:val="0"/>
              <w:keepLines w:val="0"/>
              <w:widowControl/>
              <w:suppressLineNumbers w:val="0"/>
              <w:snapToGrid w:val="0"/>
              <w:spacing w:line="400" w:lineRule="exact"/>
              <w:jc w:val="both"/>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spacing w:val="11"/>
                <w:kern w:val="0"/>
                <w:sz w:val="28"/>
                <w:szCs w:val="28"/>
                <w:u w:val="none"/>
                <w:lang w:val="en-US" w:eastAsia="zh-CN" w:bidi="ar"/>
              </w:rPr>
              <w:t>新平县“十四五”规划建设项目按十大行业分类。农业97项，总投资159.66亿元，“十四五”规划投资154.06亿元，占规划投资比重10.01%；工业79项，总投资324.60亿元，“十四五”规划投资260.00亿元，占规划投资比重16.64%；房地产业47项，总投资142.70亿元，“十四五”规划投资138.41亿元，占规划投资比重9.00%；水利业90项，总投资62.51亿元，“十四五”规划投资62.43亿元，占规划投资比重4.06%；综合交通51项，总投资138.12亿元，“十四五”规划投资666.97亿元，占规划投资比重43.35%；教育业35项，总投资12.24亿元，“十四五”规划投资10.70亿元，占规划投资比重0.70%；卫生计生29项，总投资18.84亿元，“十四五”规划投资17.69亿元，占规划投资比重1.45%；公共设施管理业216项，总投资80.16亿元，“十四五”规划投资73.03亿元，占规划投资比重4.75%；旅游业61项，总投资102.38亿元，“十四五”规划投资93.83亿元，占规划投资比重6.10%；仓储冷链物流业28项，总投资65.62亿元，“十四五”规划投资65.56亿元，占规划投资比重4.26%。</w:t>
            </w:r>
          </w:p>
        </w:tc>
      </w:tr>
      <w:tr w14:paraId="2297C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1071" w:type="dxa"/>
            <w:vMerge w:val="continue"/>
            <w:tcBorders>
              <w:top w:val="nil"/>
              <w:left w:val="nil"/>
              <w:bottom w:val="nil"/>
              <w:right w:val="nil"/>
            </w:tcBorders>
            <w:shd w:val="clear" w:color="auto" w:fill="auto"/>
            <w:vAlign w:val="center"/>
          </w:tcPr>
          <w:p w14:paraId="53B3EF4F">
            <w:pPr>
              <w:snapToGrid w:val="0"/>
              <w:spacing w:line="400" w:lineRule="exact"/>
              <w:jc w:val="both"/>
              <w:rPr>
                <w:rFonts w:hint="eastAsia" w:ascii="宋体" w:hAnsi="宋体" w:eastAsia="宋体" w:cs="宋体"/>
                <w:i w:val="0"/>
                <w:iCs w:val="0"/>
                <w:color w:val="000000"/>
                <w:sz w:val="28"/>
                <w:szCs w:val="28"/>
                <w:u w:val="none"/>
              </w:rPr>
            </w:pPr>
          </w:p>
        </w:tc>
      </w:tr>
      <w:tr w14:paraId="7F182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1071" w:type="dxa"/>
            <w:vMerge w:val="continue"/>
            <w:tcBorders>
              <w:top w:val="nil"/>
              <w:left w:val="nil"/>
              <w:bottom w:val="nil"/>
              <w:right w:val="nil"/>
            </w:tcBorders>
            <w:shd w:val="clear" w:color="auto" w:fill="auto"/>
            <w:vAlign w:val="center"/>
          </w:tcPr>
          <w:p w14:paraId="112B821B">
            <w:pPr>
              <w:snapToGrid w:val="0"/>
              <w:spacing w:line="400" w:lineRule="exact"/>
              <w:jc w:val="both"/>
              <w:rPr>
                <w:rFonts w:hint="eastAsia" w:ascii="宋体" w:hAnsi="宋体" w:eastAsia="宋体" w:cs="宋体"/>
                <w:i w:val="0"/>
                <w:iCs w:val="0"/>
                <w:color w:val="000000"/>
                <w:sz w:val="28"/>
                <w:szCs w:val="28"/>
                <w:u w:val="none"/>
              </w:rPr>
            </w:pPr>
          </w:p>
        </w:tc>
      </w:tr>
      <w:tr w14:paraId="4E5E4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1071" w:type="dxa"/>
            <w:vMerge w:val="continue"/>
            <w:tcBorders>
              <w:top w:val="nil"/>
              <w:left w:val="nil"/>
              <w:bottom w:val="nil"/>
              <w:right w:val="nil"/>
            </w:tcBorders>
            <w:shd w:val="clear" w:color="auto" w:fill="auto"/>
            <w:vAlign w:val="center"/>
          </w:tcPr>
          <w:p w14:paraId="3867B588">
            <w:pPr>
              <w:snapToGrid w:val="0"/>
              <w:spacing w:line="400" w:lineRule="exact"/>
              <w:jc w:val="both"/>
              <w:rPr>
                <w:rFonts w:hint="eastAsia" w:ascii="宋体" w:hAnsi="宋体" w:eastAsia="宋体" w:cs="宋体"/>
                <w:i w:val="0"/>
                <w:iCs w:val="0"/>
                <w:color w:val="000000"/>
                <w:sz w:val="28"/>
                <w:szCs w:val="28"/>
                <w:u w:val="none"/>
              </w:rPr>
            </w:pPr>
          </w:p>
        </w:tc>
      </w:tr>
      <w:tr w14:paraId="5DE87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11071" w:type="dxa"/>
            <w:vMerge w:val="continue"/>
            <w:tcBorders>
              <w:top w:val="nil"/>
              <w:left w:val="nil"/>
              <w:bottom w:val="nil"/>
              <w:right w:val="nil"/>
            </w:tcBorders>
            <w:shd w:val="clear" w:color="auto" w:fill="auto"/>
            <w:vAlign w:val="center"/>
          </w:tcPr>
          <w:p w14:paraId="47169FCD">
            <w:pPr>
              <w:snapToGrid w:val="0"/>
              <w:spacing w:line="400" w:lineRule="exact"/>
              <w:jc w:val="both"/>
              <w:rPr>
                <w:rFonts w:hint="eastAsia" w:ascii="宋体" w:hAnsi="宋体" w:eastAsia="宋体" w:cs="宋体"/>
                <w:i w:val="0"/>
                <w:iCs w:val="0"/>
                <w:color w:val="000000"/>
                <w:sz w:val="28"/>
                <w:szCs w:val="28"/>
                <w:u w:val="none"/>
              </w:rPr>
            </w:pPr>
          </w:p>
        </w:tc>
      </w:tr>
      <w:tr w14:paraId="40ADB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11071" w:type="dxa"/>
            <w:vMerge w:val="restart"/>
            <w:tcBorders>
              <w:top w:val="nil"/>
              <w:left w:val="nil"/>
              <w:bottom w:val="nil"/>
              <w:right w:val="nil"/>
            </w:tcBorders>
            <w:shd w:val="clear" w:color="auto" w:fill="auto"/>
            <w:vAlign w:val="center"/>
          </w:tcPr>
          <w:p w14:paraId="4B4BFC45">
            <w:pPr>
              <w:keepNext w:val="0"/>
              <w:keepLines w:val="0"/>
              <w:widowControl/>
              <w:suppressLineNumbers w:val="0"/>
              <w:snapToGrid w:val="0"/>
              <w:spacing w:line="400" w:lineRule="exact"/>
              <w:jc w:val="both"/>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spacing w:val="11"/>
                <w:kern w:val="0"/>
                <w:sz w:val="28"/>
                <w:szCs w:val="28"/>
                <w:u w:val="none"/>
                <w:lang w:val="en-US" w:eastAsia="zh-CN" w:bidi="ar"/>
              </w:rPr>
              <w:t>新平县“十四五”规划建设项目共有33个行业主管部门报送项目，乡镇街道报送的项目已融入到县级行业主管部门报送项目中。从国家重点支持的“两新一重”建设项目看，新型城镇化建设项目421项，总投资1648.8亿元，“十四五”规划投资923.1亿元；新型基础设施建设项目70项，总投资224.6亿元，“十四五”规划投资65.4亿元；交通水利为主重大建设项目146项，总投资1444.2亿元，“十四五”规划投资730亿元。</w:t>
            </w:r>
          </w:p>
        </w:tc>
      </w:tr>
      <w:tr w14:paraId="0B87D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1071" w:type="dxa"/>
            <w:vMerge w:val="continue"/>
            <w:tcBorders>
              <w:top w:val="nil"/>
              <w:left w:val="nil"/>
              <w:bottom w:val="nil"/>
              <w:right w:val="nil"/>
            </w:tcBorders>
            <w:shd w:val="clear" w:color="auto" w:fill="auto"/>
            <w:vAlign w:val="center"/>
          </w:tcPr>
          <w:p w14:paraId="736C8BD3">
            <w:pPr>
              <w:snapToGrid w:val="0"/>
              <w:jc w:val="both"/>
              <w:rPr>
                <w:rFonts w:hint="eastAsia" w:ascii="宋体" w:hAnsi="宋体" w:eastAsia="宋体" w:cs="宋体"/>
                <w:i w:val="0"/>
                <w:iCs w:val="0"/>
                <w:color w:val="000000"/>
                <w:sz w:val="28"/>
                <w:szCs w:val="28"/>
                <w:u w:val="none"/>
              </w:rPr>
            </w:pPr>
          </w:p>
        </w:tc>
      </w:tr>
      <w:tr w14:paraId="552CB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1071" w:type="dxa"/>
            <w:vMerge w:val="continue"/>
            <w:tcBorders>
              <w:top w:val="nil"/>
              <w:left w:val="nil"/>
              <w:bottom w:val="nil"/>
              <w:right w:val="nil"/>
            </w:tcBorders>
            <w:shd w:val="clear" w:color="auto" w:fill="auto"/>
            <w:vAlign w:val="center"/>
          </w:tcPr>
          <w:p w14:paraId="6965FE14">
            <w:pPr>
              <w:snapToGrid w:val="0"/>
              <w:jc w:val="both"/>
              <w:rPr>
                <w:rFonts w:hint="eastAsia" w:ascii="宋体" w:hAnsi="宋体" w:eastAsia="宋体" w:cs="宋体"/>
                <w:i w:val="0"/>
                <w:iCs w:val="0"/>
                <w:color w:val="000000"/>
                <w:sz w:val="28"/>
                <w:szCs w:val="28"/>
                <w:u w:val="none"/>
              </w:rPr>
            </w:pPr>
          </w:p>
        </w:tc>
      </w:tr>
    </w:tbl>
    <w:p w14:paraId="773DC5B8">
      <w:pPr>
        <w:rPr>
          <w:rFonts w:hint="default"/>
          <w:sz w:val="28"/>
          <w:szCs w:val="28"/>
          <w:lang w:eastAsia="zh-CN"/>
        </w:rPr>
      </w:pPr>
    </w:p>
    <w:sectPr>
      <w:pgSz w:w="11906" w:h="16838"/>
      <w:pgMar w:top="567" w:right="567" w:bottom="567" w:left="567" w:header="851" w:footer="992" w:gutter="0"/>
      <w:pgBorders>
        <w:top w:val="none" w:sz="0" w:space="0"/>
        <w:left w:val="none" w:sz="0" w:space="0"/>
        <w:bottom w:val="none" w:sz="0" w:space="0"/>
        <w:right w:val="none" w:sz="0" w:space="0"/>
      </w:pgBorders>
      <w:pgNumType w:fmt="decimal"/>
      <w:cols w:space="0" w:num="1"/>
      <w:rtlGutter w:val="0"/>
      <w:docGrid w:type="lines" w:linePitch="43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84"/>
      </w:pPr>
      <w:r>
        <w:separator/>
      </w:r>
    </w:p>
  </w:endnote>
  <w:endnote w:type="continuationSeparator" w:id="1">
    <w:p>
      <w:pPr>
        <w:spacing w:line="240" w:lineRule="auto"/>
        <w:ind w:firstLine="68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script"/>
    <w:pitch w:val="default"/>
    <w:sig w:usb0="A00002BF" w:usb1="38CF7CFA" w:usb2="00082016" w:usb3="00000000" w:csb0="00040001" w:csb1="00000000"/>
  </w:font>
  <w:font w:name="FZFSK--GBK1-0">
    <w:altName w:val="Times New Roman"/>
    <w:panose1 w:val="00000000000000000000"/>
    <w:charset w:val="00"/>
    <w:family w:val="roman"/>
    <w:pitch w:val="default"/>
    <w:sig w:usb0="00000000" w:usb1="00000000" w:usb2="00000000" w:usb3="00000000" w:csb0="00000000"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roman"/>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B98C1">
    <w:pPr>
      <w:pStyle w:val="1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B8964">
    <w:pPr>
      <w:pStyle w:val="1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DF4F96">
                          <w:pPr>
                            <w:pStyle w:val="12"/>
                            <w:ind w:firstLine="604"/>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114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8DF4F96">
                    <w:pPr>
                      <w:pStyle w:val="12"/>
                      <w:ind w:firstLine="604"/>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114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5A342">
    <w:pPr>
      <w:pStyle w:val="12"/>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723E0">
                          <w:pPr>
                            <w:pStyle w:val="12"/>
                            <w:ind w:left="0" w:leftChars="0" w:firstLine="0" w:firstLineChars="0"/>
                            <w:rPr>
                              <w:rFonts w:hint="eastAsia" w:eastAsia="方正仿宋_GBK"/>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VI</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11723E0">
                    <w:pPr>
                      <w:pStyle w:val="12"/>
                      <w:ind w:left="0" w:leftChars="0" w:firstLine="0" w:firstLineChars="0"/>
                      <w:rPr>
                        <w:rFonts w:hint="eastAsia" w:eastAsia="方正仿宋_GBK"/>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VI</w:t>
                    </w:r>
                    <w:r>
                      <w:rPr>
                        <w:rFonts w:hint="eastAsia" w:ascii="宋体" w:hAnsi="宋体" w:eastAsia="宋体" w:cs="宋体"/>
                        <w:sz w:val="28"/>
                        <w:szCs w:val="28"/>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84"/>
      </w:pPr>
      <w:r>
        <w:separator/>
      </w:r>
    </w:p>
  </w:footnote>
  <w:footnote w:type="continuationSeparator" w:id="1">
    <w:p>
      <w:pPr>
        <w:spacing w:line="240" w:lineRule="auto"/>
        <w:ind w:firstLine="684"/>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48798">
    <w:pPr>
      <w:ind w:left="0" w:leftChars="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9361D">
    <w:pPr>
      <w:ind w:left="0" w:leftChars="0" w:firstLine="0" w:firstLineChars="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218"/>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iM2FlZGE1NDU2MDZkMmIyNDdmM2MxMzE0MDk0N2YifQ=="/>
    <w:docVar w:name="KSO_WPS_MARK_KEY" w:val="576ecb32-4e31-41da-a3ae-fba18b7ee82e"/>
  </w:docVars>
  <w:rsids>
    <w:rsidRoot w:val="00172A27"/>
    <w:rsid w:val="000B7B47"/>
    <w:rsid w:val="001962E3"/>
    <w:rsid w:val="001B77C5"/>
    <w:rsid w:val="001D330C"/>
    <w:rsid w:val="0024291A"/>
    <w:rsid w:val="002556D5"/>
    <w:rsid w:val="003C24A2"/>
    <w:rsid w:val="003F2CA1"/>
    <w:rsid w:val="00516E08"/>
    <w:rsid w:val="005321E3"/>
    <w:rsid w:val="0055335F"/>
    <w:rsid w:val="00670F07"/>
    <w:rsid w:val="00673248"/>
    <w:rsid w:val="0068281F"/>
    <w:rsid w:val="00707D44"/>
    <w:rsid w:val="007D4B96"/>
    <w:rsid w:val="008319E1"/>
    <w:rsid w:val="008636EF"/>
    <w:rsid w:val="00871132"/>
    <w:rsid w:val="00937790"/>
    <w:rsid w:val="00941D7B"/>
    <w:rsid w:val="0095408A"/>
    <w:rsid w:val="009B57D9"/>
    <w:rsid w:val="009E5591"/>
    <w:rsid w:val="00A01574"/>
    <w:rsid w:val="00A86BE5"/>
    <w:rsid w:val="00AE34B8"/>
    <w:rsid w:val="00B17083"/>
    <w:rsid w:val="00B97919"/>
    <w:rsid w:val="00C0070F"/>
    <w:rsid w:val="00C071CD"/>
    <w:rsid w:val="00C21724"/>
    <w:rsid w:val="00C41E8D"/>
    <w:rsid w:val="00C81CB2"/>
    <w:rsid w:val="00CB643C"/>
    <w:rsid w:val="00D01921"/>
    <w:rsid w:val="00D82865"/>
    <w:rsid w:val="00DC70D2"/>
    <w:rsid w:val="00E07D22"/>
    <w:rsid w:val="00E9706E"/>
    <w:rsid w:val="00EA696F"/>
    <w:rsid w:val="00EF600A"/>
    <w:rsid w:val="011F6787"/>
    <w:rsid w:val="013D2EA5"/>
    <w:rsid w:val="014E0E32"/>
    <w:rsid w:val="016E0CF9"/>
    <w:rsid w:val="01A86554"/>
    <w:rsid w:val="020A7943"/>
    <w:rsid w:val="0212330A"/>
    <w:rsid w:val="02365EB4"/>
    <w:rsid w:val="02411D23"/>
    <w:rsid w:val="026022E5"/>
    <w:rsid w:val="029A7BA9"/>
    <w:rsid w:val="029E7C24"/>
    <w:rsid w:val="02BA727A"/>
    <w:rsid w:val="02C8040B"/>
    <w:rsid w:val="02F63474"/>
    <w:rsid w:val="03253DE2"/>
    <w:rsid w:val="034321C1"/>
    <w:rsid w:val="035D3547"/>
    <w:rsid w:val="039D462A"/>
    <w:rsid w:val="03A67299"/>
    <w:rsid w:val="03F30496"/>
    <w:rsid w:val="03F60DC4"/>
    <w:rsid w:val="03FB776D"/>
    <w:rsid w:val="040F70EA"/>
    <w:rsid w:val="04384E64"/>
    <w:rsid w:val="044A3EF5"/>
    <w:rsid w:val="045977F1"/>
    <w:rsid w:val="046F2B27"/>
    <w:rsid w:val="04B4126E"/>
    <w:rsid w:val="04EF7711"/>
    <w:rsid w:val="050300BD"/>
    <w:rsid w:val="050C2C59"/>
    <w:rsid w:val="0522345C"/>
    <w:rsid w:val="053B6BA8"/>
    <w:rsid w:val="058B63EA"/>
    <w:rsid w:val="05B704D5"/>
    <w:rsid w:val="05D07669"/>
    <w:rsid w:val="06091DE7"/>
    <w:rsid w:val="061D3A14"/>
    <w:rsid w:val="062B5A25"/>
    <w:rsid w:val="06577D22"/>
    <w:rsid w:val="0675417B"/>
    <w:rsid w:val="069A4442"/>
    <w:rsid w:val="0700683C"/>
    <w:rsid w:val="073B7FA3"/>
    <w:rsid w:val="07550E14"/>
    <w:rsid w:val="0775447D"/>
    <w:rsid w:val="08100C02"/>
    <w:rsid w:val="081757FB"/>
    <w:rsid w:val="083F7733"/>
    <w:rsid w:val="0852398B"/>
    <w:rsid w:val="09142ADD"/>
    <w:rsid w:val="095F4204"/>
    <w:rsid w:val="09741C94"/>
    <w:rsid w:val="09C05CDA"/>
    <w:rsid w:val="09EC3F35"/>
    <w:rsid w:val="09F17B68"/>
    <w:rsid w:val="0A131004"/>
    <w:rsid w:val="0A196182"/>
    <w:rsid w:val="0A361AAD"/>
    <w:rsid w:val="0A461758"/>
    <w:rsid w:val="0A4A054A"/>
    <w:rsid w:val="0A61613A"/>
    <w:rsid w:val="0AA1720E"/>
    <w:rsid w:val="0AA469B6"/>
    <w:rsid w:val="0AA86D84"/>
    <w:rsid w:val="0ABC0AB5"/>
    <w:rsid w:val="0AFB7780"/>
    <w:rsid w:val="0B52009E"/>
    <w:rsid w:val="0B54031E"/>
    <w:rsid w:val="0B541430"/>
    <w:rsid w:val="0B5571CD"/>
    <w:rsid w:val="0B577A25"/>
    <w:rsid w:val="0B5A6260"/>
    <w:rsid w:val="0B626407"/>
    <w:rsid w:val="0B7A2C7A"/>
    <w:rsid w:val="0B7B617A"/>
    <w:rsid w:val="0B8B271F"/>
    <w:rsid w:val="0B9A54D2"/>
    <w:rsid w:val="0BB2660D"/>
    <w:rsid w:val="0BB84C0F"/>
    <w:rsid w:val="0BBF3C2B"/>
    <w:rsid w:val="0BC03CE7"/>
    <w:rsid w:val="0C222743"/>
    <w:rsid w:val="0C6956D8"/>
    <w:rsid w:val="0C6B25B0"/>
    <w:rsid w:val="0C9477B7"/>
    <w:rsid w:val="0CB516FD"/>
    <w:rsid w:val="0CD273E7"/>
    <w:rsid w:val="0CF13242"/>
    <w:rsid w:val="0CFD7801"/>
    <w:rsid w:val="0D0E7222"/>
    <w:rsid w:val="0D11287B"/>
    <w:rsid w:val="0D1440C8"/>
    <w:rsid w:val="0D1B6FB2"/>
    <w:rsid w:val="0DAF0602"/>
    <w:rsid w:val="0DBF1075"/>
    <w:rsid w:val="0DDE6DEE"/>
    <w:rsid w:val="0DE40A06"/>
    <w:rsid w:val="0DF00111"/>
    <w:rsid w:val="0E01212B"/>
    <w:rsid w:val="0E242D31"/>
    <w:rsid w:val="0E313AFA"/>
    <w:rsid w:val="0E625B8E"/>
    <w:rsid w:val="0E7234A3"/>
    <w:rsid w:val="0E7E3383"/>
    <w:rsid w:val="0E89029A"/>
    <w:rsid w:val="0ED96CDD"/>
    <w:rsid w:val="0F3C2AC0"/>
    <w:rsid w:val="0F456695"/>
    <w:rsid w:val="0F4F3F5A"/>
    <w:rsid w:val="0F8115A1"/>
    <w:rsid w:val="0FE644A0"/>
    <w:rsid w:val="0FF36A18"/>
    <w:rsid w:val="10034149"/>
    <w:rsid w:val="10233C6C"/>
    <w:rsid w:val="10362863"/>
    <w:rsid w:val="103C0B18"/>
    <w:rsid w:val="105A00AB"/>
    <w:rsid w:val="10616654"/>
    <w:rsid w:val="1075339D"/>
    <w:rsid w:val="1080251B"/>
    <w:rsid w:val="108914BF"/>
    <w:rsid w:val="10A53406"/>
    <w:rsid w:val="10F10D09"/>
    <w:rsid w:val="110D3C5E"/>
    <w:rsid w:val="115D296E"/>
    <w:rsid w:val="11777508"/>
    <w:rsid w:val="11C74BF1"/>
    <w:rsid w:val="11DC361A"/>
    <w:rsid w:val="12763C3E"/>
    <w:rsid w:val="12921B2A"/>
    <w:rsid w:val="129357F3"/>
    <w:rsid w:val="12E3579D"/>
    <w:rsid w:val="12E75D2E"/>
    <w:rsid w:val="12FB772D"/>
    <w:rsid w:val="135C1F8E"/>
    <w:rsid w:val="1369513B"/>
    <w:rsid w:val="138375FA"/>
    <w:rsid w:val="138401A3"/>
    <w:rsid w:val="13B24694"/>
    <w:rsid w:val="13BD3DE6"/>
    <w:rsid w:val="13C61D63"/>
    <w:rsid w:val="13CE7899"/>
    <w:rsid w:val="13D3467D"/>
    <w:rsid w:val="13DA4B02"/>
    <w:rsid w:val="13F52489"/>
    <w:rsid w:val="141B564F"/>
    <w:rsid w:val="142A06CC"/>
    <w:rsid w:val="142E65C5"/>
    <w:rsid w:val="14656F9B"/>
    <w:rsid w:val="14681484"/>
    <w:rsid w:val="14722A1A"/>
    <w:rsid w:val="15427EEA"/>
    <w:rsid w:val="154D44AB"/>
    <w:rsid w:val="15882649"/>
    <w:rsid w:val="15A22D8C"/>
    <w:rsid w:val="15C96D70"/>
    <w:rsid w:val="15CB4F76"/>
    <w:rsid w:val="1603314B"/>
    <w:rsid w:val="160704EB"/>
    <w:rsid w:val="1618471E"/>
    <w:rsid w:val="164A7CFE"/>
    <w:rsid w:val="1675549A"/>
    <w:rsid w:val="17076CC9"/>
    <w:rsid w:val="170F620F"/>
    <w:rsid w:val="171437D4"/>
    <w:rsid w:val="17194807"/>
    <w:rsid w:val="17402868"/>
    <w:rsid w:val="17463DE0"/>
    <w:rsid w:val="174B4E2F"/>
    <w:rsid w:val="17544559"/>
    <w:rsid w:val="175A023F"/>
    <w:rsid w:val="17945667"/>
    <w:rsid w:val="17A61396"/>
    <w:rsid w:val="17CE7E68"/>
    <w:rsid w:val="17E61F65"/>
    <w:rsid w:val="180F3294"/>
    <w:rsid w:val="183C6F5A"/>
    <w:rsid w:val="1865336B"/>
    <w:rsid w:val="18BE6C53"/>
    <w:rsid w:val="18C42378"/>
    <w:rsid w:val="18D43214"/>
    <w:rsid w:val="18E91327"/>
    <w:rsid w:val="18F67BBB"/>
    <w:rsid w:val="19043B6E"/>
    <w:rsid w:val="1908276C"/>
    <w:rsid w:val="193D5D96"/>
    <w:rsid w:val="194327E1"/>
    <w:rsid w:val="195E0F46"/>
    <w:rsid w:val="1981232B"/>
    <w:rsid w:val="199B69BB"/>
    <w:rsid w:val="19A058BB"/>
    <w:rsid w:val="19AC2CE7"/>
    <w:rsid w:val="1A023E03"/>
    <w:rsid w:val="1A075BD1"/>
    <w:rsid w:val="1A1C5A8B"/>
    <w:rsid w:val="1A463069"/>
    <w:rsid w:val="1A4D4F81"/>
    <w:rsid w:val="1A664D86"/>
    <w:rsid w:val="1A84050C"/>
    <w:rsid w:val="1A9739A2"/>
    <w:rsid w:val="1AAB01FA"/>
    <w:rsid w:val="1B3C3BEA"/>
    <w:rsid w:val="1B447CB2"/>
    <w:rsid w:val="1B816781"/>
    <w:rsid w:val="1B903ACB"/>
    <w:rsid w:val="1BA426D1"/>
    <w:rsid w:val="1BC010D0"/>
    <w:rsid w:val="1BC87158"/>
    <w:rsid w:val="1BD869AF"/>
    <w:rsid w:val="1BDB2996"/>
    <w:rsid w:val="1BEC4A1F"/>
    <w:rsid w:val="1BF242BB"/>
    <w:rsid w:val="1BFD6E3E"/>
    <w:rsid w:val="1C057AEC"/>
    <w:rsid w:val="1C397A5E"/>
    <w:rsid w:val="1CBD47EE"/>
    <w:rsid w:val="1CBE67BF"/>
    <w:rsid w:val="1CCD0ED1"/>
    <w:rsid w:val="1CDF44B5"/>
    <w:rsid w:val="1D6D4765"/>
    <w:rsid w:val="1D8C690C"/>
    <w:rsid w:val="1D8F5B3B"/>
    <w:rsid w:val="1DBD4DDC"/>
    <w:rsid w:val="1DDD5881"/>
    <w:rsid w:val="1DFD5E7C"/>
    <w:rsid w:val="1E084DD8"/>
    <w:rsid w:val="1E0F5A12"/>
    <w:rsid w:val="1E12282F"/>
    <w:rsid w:val="1E3C51F1"/>
    <w:rsid w:val="1E406765"/>
    <w:rsid w:val="1E8B53BB"/>
    <w:rsid w:val="1EB4203F"/>
    <w:rsid w:val="1ED352A5"/>
    <w:rsid w:val="1EE50C36"/>
    <w:rsid w:val="1EE934D9"/>
    <w:rsid w:val="1F144FCE"/>
    <w:rsid w:val="1F1816A3"/>
    <w:rsid w:val="1F23214D"/>
    <w:rsid w:val="1F392440"/>
    <w:rsid w:val="1F5B1A58"/>
    <w:rsid w:val="1F7B0CF5"/>
    <w:rsid w:val="1FAF2868"/>
    <w:rsid w:val="1FDB7E5E"/>
    <w:rsid w:val="1FF73CD4"/>
    <w:rsid w:val="1FF96262"/>
    <w:rsid w:val="1FFC764D"/>
    <w:rsid w:val="20013CB6"/>
    <w:rsid w:val="203358B2"/>
    <w:rsid w:val="205965A8"/>
    <w:rsid w:val="20604804"/>
    <w:rsid w:val="209A3D1D"/>
    <w:rsid w:val="20AD7BEF"/>
    <w:rsid w:val="20FE215C"/>
    <w:rsid w:val="211263AC"/>
    <w:rsid w:val="214F42F1"/>
    <w:rsid w:val="21841E52"/>
    <w:rsid w:val="218C1EA9"/>
    <w:rsid w:val="21C711AF"/>
    <w:rsid w:val="21E86762"/>
    <w:rsid w:val="220441BA"/>
    <w:rsid w:val="222745A4"/>
    <w:rsid w:val="22441707"/>
    <w:rsid w:val="22513D4D"/>
    <w:rsid w:val="225D07E0"/>
    <w:rsid w:val="22660FA2"/>
    <w:rsid w:val="22922989"/>
    <w:rsid w:val="229421D5"/>
    <w:rsid w:val="229926CD"/>
    <w:rsid w:val="229F0DB8"/>
    <w:rsid w:val="22D218AE"/>
    <w:rsid w:val="23016DB3"/>
    <w:rsid w:val="23112A8F"/>
    <w:rsid w:val="231146CC"/>
    <w:rsid w:val="23255777"/>
    <w:rsid w:val="233630EC"/>
    <w:rsid w:val="23381E71"/>
    <w:rsid w:val="236D3AAC"/>
    <w:rsid w:val="238E7FC8"/>
    <w:rsid w:val="2392029C"/>
    <w:rsid w:val="239C417D"/>
    <w:rsid w:val="23AE498F"/>
    <w:rsid w:val="23AE5686"/>
    <w:rsid w:val="23B77ACD"/>
    <w:rsid w:val="245E3207"/>
    <w:rsid w:val="24757AAE"/>
    <w:rsid w:val="24CC2751"/>
    <w:rsid w:val="24E20A8D"/>
    <w:rsid w:val="24E925F6"/>
    <w:rsid w:val="24F87630"/>
    <w:rsid w:val="252C16C9"/>
    <w:rsid w:val="25403961"/>
    <w:rsid w:val="254610A8"/>
    <w:rsid w:val="257411EA"/>
    <w:rsid w:val="25897694"/>
    <w:rsid w:val="258E2E5C"/>
    <w:rsid w:val="25EA1C51"/>
    <w:rsid w:val="26111412"/>
    <w:rsid w:val="26127922"/>
    <w:rsid w:val="26136ED3"/>
    <w:rsid w:val="26190863"/>
    <w:rsid w:val="269307DB"/>
    <w:rsid w:val="26AD64DD"/>
    <w:rsid w:val="26B977FD"/>
    <w:rsid w:val="26CF76F7"/>
    <w:rsid w:val="26EF2F13"/>
    <w:rsid w:val="26FC3803"/>
    <w:rsid w:val="271763DE"/>
    <w:rsid w:val="27773A26"/>
    <w:rsid w:val="27B9495F"/>
    <w:rsid w:val="27F7567F"/>
    <w:rsid w:val="28046CBD"/>
    <w:rsid w:val="286D4461"/>
    <w:rsid w:val="287220AF"/>
    <w:rsid w:val="28913C8A"/>
    <w:rsid w:val="28A70CA9"/>
    <w:rsid w:val="28B41F9D"/>
    <w:rsid w:val="28B63E5D"/>
    <w:rsid w:val="28D0046B"/>
    <w:rsid w:val="28F00ECE"/>
    <w:rsid w:val="292530C6"/>
    <w:rsid w:val="29354490"/>
    <w:rsid w:val="293B66BF"/>
    <w:rsid w:val="293D7AB6"/>
    <w:rsid w:val="296E13CE"/>
    <w:rsid w:val="298059A0"/>
    <w:rsid w:val="299B60B0"/>
    <w:rsid w:val="299B6B63"/>
    <w:rsid w:val="2A235DAF"/>
    <w:rsid w:val="2A3A222C"/>
    <w:rsid w:val="2A4C76C7"/>
    <w:rsid w:val="2A614367"/>
    <w:rsid w:val="2A6B1998"/>
    <w:rsid w:val="2A8901E9"/>
    <w:rsid w:val="2A8A6A7A"/>
    <w:rsid w:val="2A910D69"/>
    <w:rsid w:val="2AB47532"/>
    <w:rsid w:val="2ACB1F44"/>
    <w:rsid w:val="2AD66DA5"/>
    <w:rsid w:val="2B413075"/>
    <w:rsid w:val="2B56754D"/>
    <w:rsid w:val="2B5D2E23"/>
    <w:rsid w:val="2B643576"/>
    <w:rsid w:val="2B706121"/>
    <w:rsid w:val="2B904578"/>
    <w:rsid w:val="2BC5496C"/>
    <w:rsid w:val="2BF23C42"/>
    <w:rsid w:val="2C0A1EF1"/>
    <w:rsid w:val="2C1222BD"/>
    <w:rsid w:val="2C2321AF"/>
    <w:rsid w:val="2C320024"/>
    <w:rsid w:val="2C375ECA"/>
    <w:rsid w:val="2C722B3B"/>
    <w:rsid w:val="2C772EA2"/>
    <w:rsid w:val="2CAD6175"/>
    <w:rsid w:val="2D04025E"/>
    <w:rsid w:val="2D0C29B0"/>
    <w:rsid w:val="2D0E3162"/>
    <w:rsid w:val="2D260DDF"/>
    <w:rsid w:val="2D3855CA"/>
    <w:rsid w:val="2D6954C2"/>
    <w:rsid w:val="2DDA4D45"/>
    <w:rsid w:val="2DDA5F38"/>
    <w:rsid w:val="2DED119A"/>
    <w:rsid w:val="2E040B6E"/>
    <w:rsid w:val="2E1239BD"/>
    <w:rsid w:val="2E291C63"/>
    <w:rsid w:val="2E32783C"/>
    <w:rsid w:val="2E3534A2"/>
    <w:rsid w:val="2E787496"/>
    <w:rsid w:val="2E8440C1"/>
    <w:rsid w:val="2E8D6EEC"/>
    <w:rsid w:val="2E9968EF"/>
    <w:rsid w:val="2EBE5A94"/>
    <w:rsid w:val="2EC35E96"/>
    <w:rsid w:val="2EC63AD9"/>
    <w:rsid w:val="2ECB7B2E"/>
    <w:rsid w:val="2EFB1D5E"/>
    <w:rsid w:val="2F161931"/>
    <w:rsid w:val="2F1A59E5"/>
    <w:rsid w:val="2F430828"/>
    <w:rsid w:val="2F440CA5"/>
    <w:rsid w:val="2FBE0F12"/>
    <w:rsid w:val="2FCA75C3"/>
    <w:rsid w:val="2FDA7C1F"/>
    <w:rsid w:val="2FFA0C5A"/>
    <w:rsid w:val="30007707"/>
    <w:rsid w:val="3030340C"/>
    <w:rsid w:val="30731A4D"/>
    <w:rsid w:val="30750D87"/>
    <w:rsid w:val="30986DC7"/>
    <w:rsid w:val="30B5307E"/>
    <w:rsid w:val="30B57470"/>
    <w:rsid w:val="30BE57ED"/>
    <w:rsid w:val="30C4388C"/>
    <w:rsid w:val="31185E89"/>
    <w:rsid w:val="314E7132"/>
    <w:rsid w:val="315F49F5"/>
    <w:rsid w:val="31645593"/>
    <w:rsid w:val="31747F72"/>
    <w:rsid w:val="318A50AB"/>
    <w:rsid w:val="319D0264"/>
    <w:rsid w:val="319D4CC9"/>
    <w:rsid w:val="31F04F7E"/>
    <w:rsid w:val="321E3D26"/>
    <w:rsid w:val="32236BBC"/>
    <w:rsid w:val="3235756B"/>
    <w:rsid w:val="323E1E78"/>
    <w:rsid w:val="326E7742"/>
    <w:rsid w:val="32732768"/>
    <w:rsid w:val="32881BD8"/>
    <w:rsid w:val="32BB695F"/>
    <w:rsid w:val="32C35705"/>
    <w:rsid w:val="332057FE"/>
    <w:rsid w:val="33397876"/>
    <w:rsid w:val="339A72AE"/>
    <w:rsid w:val="33F5779D"/>
    <w:rsid w:val="342626F0"/>
    <w:rsid w:val="3433408B"/>
    <w:rsid w:val="344836D2"/>
    <w:rsid w:val="3448391A"/>
    <w:rsid w:val="34486AD8"/>
    <w:rsid w:val="346C6DB5"/>
    <w:rsid w:val="34CB60AA"/>
    <w:rsid w:val="350711EE"/>
    <w:rsid w:val="352D62A7"/>
    <w:rsid w:val="352F3263"/>
    <w:rsid w:val="35662F84"/>
    <w:rsid w:val="357E5009"/>
    <w:rsid w:val="35A530E6"/>
    <w:rsid w:val="35C6301A"/>
    <w:rsid w:val="35FA630A"/>
    <w:rsid w:val="35FE6FAA"/>
    <w:rsid w:val="360F72F2"/>
    <w:rsid w:val="361D79AB"/>
    <w:rsid w:val="36200ED3"/>
    <w:rsid w:val="362E3D4D"/>
    <w:rsid w:val="36382758"/>
    <w:rsid w:val="365E22BA"/>
    <w:rsid w:val="36757F13"/>
    <w:rsid w:val="367E245E"/>
    <w:rsid w:val="36911F6C"/>
    <w:rsid w:val="369F1FC2"/>
    <w:rsid w:val="36AD3A2E"/>
    <w:rsid w:val="36D42362"/>
    <w:rsid w:val="36D463EE"/>
    <w:rsid w:val="36DF224A"/>
    <w:rsid w:val="3704318A"/>
    <w:rsid w:val="375B343E"/>
    <w:rsid w:val="377F1F0A"/>
    <w:rsid w:val="37CB2964"/>
    <w:rsid w:val="37D9290C"/>
    <w:rsid w:val="37DB7EC7"/>
    <w:rsid w:val="37FC069D"/>
    <w:rsid w:val="37FFECD6"/>
    <w:rsid w:val="38184E99"/>
    <w:rsid w:val="382233FB"/>
    <w:rsid w:val="38307EE4"/>
    <w:rsid w:val="383135B3"/>
    <w:rsid w:val="385D5675"/>
    <w:rsid w:val="38612555"/>
    <w:rsid w:val="386660AB"/>
    <w:rsid w:val="38706887"/>
    <w:rsid w:val="38920434"/>
    <w:rsid w:val="38B212B2"/>
    <w:rsid w:val="38EB23CC"/>
    <w:rsid w:val="39587337"/>
    <w:rsid w:val="39780C75"/>
    <w:rsid w:val="39C21D7E"/>
    <w:rsid w:val="39CB4BEE"/>
    <w:rsid w:val="39DC1980"/>
    <w:rsid w:val="39E17AAC"/>
    <w:rsid w:val="39F36D76"/>
    <w:rsid w:val="39F66C1C"/>
    <w:rsid w:val="3A3556D4"/>
    <w:rsid w:val="3A381A5E"/>
    <w:rsid w:val="3A400773"/>
    <w:rsid w:val="3AC23AC2"/>
    <w:rsid w:val="3AE53725"/>
    <w:rsid w:val="3AE57154"/>
    <w:rsid w:val="3AFE65E9"/>
    <w:rsid w:val="3B073C5C"/>
    <w:rsid w:val="3B2E4F22"/>
    <w:rsid w:val="3B2F0485"/>
    <w:rsid w:val="3B5F3768"/>
    <w:rsid w:val="3B9A65FC"/>
    <w:rsid w:val="3BAC601D"/>
    <w:rsid w:val="3BB36630"/>
    <w:rsid w:val="3BB4363E"/>
    <w:rsid w:val="3BDC49F1"/>
    <w:rsid w:val="3BE961A7"/>
    <w:rsid w:val="3BFB4B78"/>
    <w:rsid w:val="3C132B22"/>
    <w:rsid w:val="3C190486"/>
    <w:rsid w:val="3C371954"/>
    <w:rsid w:val="3C4B4132"/>
    <w:rsid w:val="3C671359"/>
    <w:rsid w:val="3C83586C"/>
    <w:rsid w:val="3CA52EE2"/>
    <w:rsid w:val="3CD910DD"/>
    <w:rsid w:val="3CE7483D"/>
    <w:rsid w:val="3D4231A5"/>
    <w:rsid w:val="3D4D77EA"/>
    <w:rsid w:val="3D682603"/>
    <w:rsid w:val="3D6E4825"/>
    <w:rsid w:val="3D762CC0"/>
    <w:rsid w:val="3D9C7AF7"/>
    <w:rsid w:val="3DA4271F"/>
    <w:rsid w:val="3DA50B90"/>
    <w:rsid w:val="3DBE112A"/>
    <w:rsid w:val="3DD05718"/>
    <w:rsid w:val="3E2C6FA4"/>
    <w:rsid w:val="3E484FD8"/>
    <w:rsid w:val="3E4E2FE1"/>
    <w:rsid w:val="3E6E17F1"/>
    <w:rsid w:val="3E7C4348"/>
    <w:rsid w:val="3E9D6032"/>
    <w:rsid w:val="3EA11F1E"/>
    <w:rsid w:val="3EBF643F"/>
    <w:rsid w:val="3EC302B6"/>
    <w:rsid w:val="3EEE070D"/>
    <w:rsid w:val="3F144F88"/>
    <w:rsid w:val="3F371DA8"/>
    <w:rsid w:val="3F3B4228"/>
    <w:rsid w:val="3F3D3010"/>
    <w:rsid w:val="3F495E34"/>
    <w:rsid w:val="3F85001F"/>
    <w:rsid w:val="3FAB049D"/>
    <w:rsid w:val="3FB10D8D"/>
    <w:rsid w:val="3FDA7606"/>
    <w:rsid w:val="405750B8"/>
    <w:rsid w:val="40576905"/>
    <w:rsid w:val="4061151D"/>
    <w:rsid w:val="40823640"/>
    <w:rsid w:val="40AF0F54"/>
    <w:rsid w:val="40D377C2"/>
    <w:rsid w:val="410D02D1"/>
    <w:rsid w:val="411148EF"/>
    <w:rsid w:val="411274FD"/>
    <w:rsid w:val="412A50ED"/>
    <w:rsid w:val="419205FC"/>
    <w:rsid w:val="4193156E"/>
    <w:rsid w:val="41A93E25"/>
    <w:rsid w:val="41CD4505"/>
    <w:rsid w:val="41D6152A"/>
    <w:rsid w:val="41F200A1"/>
    <w:rsid w:val="421679F6"/>
    <w:rsid w:val="423B0608"/>
    <w:rsid w:val="429A51DA"/>
    <w:rsid w:val="42A91FE2"/>
    <w:rsid w:val="42A927DA"/>
    <w:rsid w:val="42BD1C7F"/>
    <w:rsid w:val="42E27B28"/>
    <w:rsid w:val="42F904CD"/>
    <w:rsid w:val="431749D2"/>
    <w:rsid w:val="433D1694"/>
    <w:rsid w:val="436858B4"/>
    <w:rsid w:val="43D53318"/>
    <w:rsid w:val="43EE2DE7"/>
    <w:rsid w:val="43F70CDE"/>
    <w:rsid w:val="442C1E5C"/>
    <w:rsid w:val="443156F6"/>
    <w:rsid w:val="4478031F"/>
    <w:rsid w:val="447A2E9F"/>
    <w:rsid w:val="4484661F"/>
    <w:rsid w:val="44993800"/>
    <w:rsid w:val="449E4BDC"/>
    <w:rsid w:val="44B175EA"/>
    <w:rsid w:val="44B8325B"/>
    <w:rsid w:val="44C67149"/>
    <w:rsid w:val="44C951EB"/>
    <w:rsid w:val="44F331B4"/>
    <w:rsid w:val="44F636B8"/>
    <w:rsid w:val="44F75F68"/>
    <w:rsid w:val="45001E51"/>
    <w:rsid w:val="450D719D"/>
    <w:rsid w:val="45353B21"/>
    <w:rsid w:val="45635F79"/>
    <w:rsid w:val="45700C1B"/>
    <w:rsid w:val="45863D47"/>
    <w:rsid w:val="45D138C1"/>
    <w:rsid w:val="45F54A7B"/>
    <w:rsid w:val="460058A4"/>
    <w:rsid w:val="460E09C5"/>
    <w:rsid w:val="464344BC"/>
    <w:rsid w:val="4647566D"/>
    <w:rsid w:val="466528F2"/>
    <w:rsid w:val="46691F66"/>
    <w:rsid w:val="46921FA6"/>
    <w:rsid w:val="46A91D85"/>
    <w:rsid w:val="46C00910"/>
    <w:rsid w:val="46CE6FF9"/>
    <w:rsid w:val="46D62011"/>
    <w:rsid w:val="46FB0521"/>
    <w:rsid w:val="47236987"/>
    <w:rsid w:val="47600835"/>
    <w:rsid w:val="476F43DE"/>
    <w:rsid w:val="47AC642B"/>
    <w:rsid w:val="47AD2867"/>
    <w:rsid w:val="47B36B78"/>
    <w:rsid w:val="47BA2AA8"/>
    <w:rsid w:val="47C01AD0"/>
    <w:rsid w:val="47C22C4D"/>
    <w:rsid w:val="48176B24"/>
    <w:rsid w:val="481D4A31"/>
    <w:rsid w:val="483C285C"/>
    <w:rsid w:val="48577145"/>
    <w:rsid w:val="487209C3"/>
    <w:rsid w:val="48786A72"/>
    <w:rsid w:val="489B5767"/>
    <w:rsid w:val="48A50A17"/>
    <w:rsid w:val="48BC261F"/>
    <w:rsid w:val="48BC5C87"/>
    <w:rsid w:val="48EE304F"/>
    <w:rsid w:val="48FC564D"/>
    <w:rsid w:val="491F3F81"/>
    <w:rsid w:val="49287A05"/>
    <w:rsid w:val="495B09BD"/>
    <w:rsid w:val="4963226B"/>
    <w:rsid w:val="497035E4"/>
    <w:rsid w:val="497E4D6E"/>
    <w:rsid w:val="49857F3A"/>
    <w:rsid w:val="498B3220"/>
    <w:rsid w:val="49970AC5"/>
    <w:rsid w:val="499C7C20"/>
    <w:rsid w:val="499F106D"/>
    <w:rsid w:val="49C80957"/>
    <w:rsid w:val="49C83007"/>
    <w:rsid w:val="4A050336"/>
    <w:rsid w:val="4A193063"/>
    <w:rsid w:val="4A2E7E71"/>
    <w:rsid w:val="4A325785"/>
    <w:rsid w:val="4A3312D8"/>
    <w:rsid w:val="4A5F4902"/>
    <w:rsid w:val="4A736AD4"/>
    <w:rsid w:val="4A886249"/>
    <w:rsid w:val="4A994B53"/>
    <w:rsid w:val="4A9B44CE"/>
    <w:rsid w:val="4A9D5697"/>
    <w:rsid w:val="4AAC7C3B"/>
    <w:rsid w:val="4AB96051"/>
    <w:rsid w:val="4AE43BAC"/>
    <w:rsid w:val="4AE94462"/>
    <w:rsid w:val="4AF65B8A"/>
    <w:rsid w:val="4B0C0482"/>
    <w:rsid w:val="4B264F11"/>
    <w:rsid w:val="4B2F7D9B"/>
    <w:rsid w:val="4B3449F7"/>
    <w:rsid w:val="4B5131DD"/>
    <w:rsid w:val="4B734ADF"/>
    <w:rsid w:val="4B9E23D3"/>
    <w:rsid w:val="4BB94403"/>
    <w:rsid w:val="4BE27AB7"/>
    <w:rsid w:val="4C604864"/>
    <w:rsid w:val="4C6712AD"/>
    <w:rsid w:val="4C6C1E4E"/>
    <w:rsid w:val="4C77405B"/>
    <w:rsid w:val="4CB53EBA"/>
    <w:rsid w:val="4CD26721"/>
    <w:rsid w:val="4CED489D"/>
    <w:rsid w:val="4D18254B"/>
    <w:rsid w:val="4D4C7EC1"/>
    <w:rsid w:val="4D571699"/>
    <w:rsid w:val="4DB932A3"/>
    <w:rsid w:val="4DD61210"/>
    <w:rsid w:val="4DD7060C"/>
    <w:rsid w:val="4DDF026D"/>
    <w:rsid w:val="4E4C49BD"/>
    <w:rsid w:val="4E4F21D7"/>
    <w:rsid w:val="4E8E69C0"/>
    <w:rsid w:val="4E9D09B0"/>
    <w:rsid w:val="4EF207EB"/>
    <w:rsid w:val="4EFD70A8"/>
    <w:rsid w:val="4F0847D8"/>
    <w:rsid w:val="4F140EBC"/>
    <w:rsid w:val="4F86438E"/>
    <w:rsid w:val="4FB95066"/>
    <w:rsid w:val="4FCF65B2"/>
    <w:rsid w:val="4FD433F8"/>
    <w:rsid w:val="4FD93826"/>
    <w:rsid w:val="4FDD4393"/>
    <w:rsid w:val="50024DDA"/>
    <w:rsid w:val="50041972"/>
    <w:rsid w:val="50377D6A"/>
    <w:rsid w:val="509766B7"/>
    <w:rsid w:val="50BE080A"/>
    <w:rsid w:val="50BE100A"/>
    <w:rsid w:val="510A1FA6"/>
    <w:rsid w:val="51214626"/>
    <w:rsid w:val="51267AE7"/>
    <w:rsid w:val="516B7F5B"/>
    <w:rsid w:val="51752375"/>
    <w:rsid w:val="51C20957"/>
    <w:rsid w:val="51D93F71"/>
    <w:rsid w:val="51DB0E6E"/>
    <w:rsid w:val="51E64209"/>
    <w:rsid w:val="51F121C2"/>
    <w:rsid w:val="51F56637"/>
    <w:rsid w:val="52483D98"/>
    <w:rsid w:val="524B33E0"/>
    <w:rsid w:val="5277544B"/>
    <w:rsid w:val="528F21E3"/>
    <w:rsid w:val="52D43863"/>
    <w:rsid w:val="52FB6A97"/>
    <w:rsid w:val="530E1834"/>
    <w:rsid w:val="536F2D7A"/>
    <w:rsid w:val="539216AB"/>
    <w:rsid w:val="53BB05C0"/>
    <w:rsid w:val="54053657"/>
    <w:rsid w:val="540952AA"/>
    <w:rsid w:val="540A256C"/>
    <w:rsid w:val="541859FE"/>
    <w:rsid w:val="54671E06"/>
    <w:rsid w:val="547629FA"/>
    <w:rsid w:val="547740C4"/>
    <w:rsid w:val="54AE01F4"/>
    <w:rsid w:val="54D76C09"/>
    <w:rsid w:val="54E95329"/>
    <w:rsid w:val="5500134C"/>
    <w:rsid w:val="55497C12"/>
    <w:rsid w:val="554C543A"/>
    <w:rsid w:val="55513FC7"/>
    <w:rsid w:val="557F67C9"/>
    <w:rsid w:val="55A42182"/>
    <w:rsid w:val="55B02166"/>
    <w:rsid w:val="55B64979"/>
    <w:rsid w:val="55C5032E"/>
    <w:rsid w:val="55D70A2F"/>
    <w:rsid w:val="55F52F38"/>
    <w:rsid w:val="55FE3982"/>
    <w:rsid w:val="56135301"/>
    <w:rsid w:val="564A10E0"/>
    <w:rsid w:val="5657670B"/>
    <w:rsid w:val="56912D68"/>
    <w:rsid w:val="56A711D5"/>
    <w:rsid w:val="57325749"/>
    <w:rsid w:val="574B5D5E"/>
    <w:rsid w:val="5780651D"/>
    <w:rsid w:val="579A6576"/>
    <w:rsid w:val="57AB2128"/>
    <w:rsid w:val="57BA150A"/>
    <w:rsid w:val="57BD24A8"/>
    <w:rsid w:val="57CA38DC"/>
    <w:rsid w:val="57EC60D2"/>
    <w:rsid w:val="580B0CBB"/>
    <w:rsid w:val="58276389"/>
    <w:rsid w:val="582933B5"/>
    <w:rsid w:val="588502FA"/>
    <w:rsid w:val="58907703"/>
    <w:rsid w:val="58AB79D9"/>
    <w:rsid w:val="58F66A7E"/>
    <w:rsid w:val="591457B9"/>
    <w:rsid w:val="5936703A"/>
    <w:rsid w:val="593845E2"/>
    <w:rsid w:val="59390F38"/>
    <w:rsid w:val="594847AE"/>
    <w:rsid w:val="595130DE"/>
    <w:rsid w:val="595E2582"/>
    <w:rsid w:val="598423CC"/>
    <w:rsid w:val="59B9764C"/>
    <w:rsid w:val="59DD6BB9"/>
    <w:rsid w:val="59EB702B"/>
    <w:rsid w:val="5A155203"/>
    <w:rsid w:val="5A320266"/>
    <w:rsid w:val="5A6B491F"/>
    <w:rsid w:val="5A7A2443"/>
    <w:rsid w:val="5A875370"/>
    <w:rsid w:val="5A895C12"/>
    <w:rsid w:val="5A8E181C"/>
    <w:rsid w:val="5A95114A"/>
    <w:rsid w:val="5AAC424D"/>
    <w:rsid w:val="5ADE07D9"/>
    <w:rsid w:val="5B036854"/>
    <w:rsid w:val="5B676D71"/>
    <w:rsid w:val="5B6D748C"/>
    <w:rsid w:val="5BAE4ACF"/>
    <w:rsid w:val="5BB863E7"/>
    <w:rsid w:val="5C031E5F"/>
    <w:rsid w:val="5C16314B"/>
    <w:rsid w:val="5C3F4168"/>
    <w:rsid w:val="5C4C3B04"/>
    <w:rsid w:val="5C790258"/>
    <w:rsid w:val="5C7E2067"/>
    <w:rsid w:val="5C8E24EA"/>
    <w:rsid w:val="5CAA3507"/>
    <w:rsid w:val="5CD84F0F"/>
    <w:rsid w:val="5D0967BE"/>
    <w:rsid w:val="5D6412DA"/>
    <w:rsid w:val="5D6B5B61"/>
    <w:rsid w:val="5D703AAE"/>
    <w:rsid w:val="5D8D63C9"/>
    <w:rsid w:val="5D9C2C99"/>
    <w:rsid w:val="5DCE1D59"/>
    <w:rsid w:val="5DD27431"/>
    <w:rsid w:val="5E081C16"/>
    <w:rsid w:val="5E0A706B"/>
    <w:rsid w:val="5E2F3984"/>
    <w:rsid w:val="5E674B59"/>
    <w:rsid w:val="5E700BA2"/>
    <w:rsid w:val="5EAA1349"/>
    <w:rsid w:val="5EC45326"/>
    <w:rsid w:val="5EC515C6"/>
    <w:rsid w:val="5ED63FD4"/>
    <w:rsid w:val="5F535DAC"/>
    <w:rsid w:val="5F561DC6"/>
    <w:rsid w:val="5F6D3EAC"/>
    <w:rsid w:val="5F9E10C3"/>
    <w:rsid w:val="5FE335F4"/>
    <w:rsid w:val="5FEA114D"/>
    <w:rsid w:val="5FFE40CF"/>
    <w:rsid w:val="601076CB"/>
    <w:rsid w:val="60151F2C"/>
    <w:rsid w:val="602256AB"/>
    <w:rsid w:val="60335881"/>
    <w:rsid w:val="60441CA8"/>
    <w:rsid w:val="60A345EB"/>
    <w:rsid w:val="60BB6AB6"/>
    <w:rsid w:val="60C31748"/>
    <w:rsid w:val="60E02102"/>
    <w:rsid w:val="60E500A4"/>
    <w:rsid w:val="61030B4F"/>
    <w:rsid w:val="612F1BC4"/>
    <w:rsid w:val="613F1785"/>
    <w:rsid w:val="6148300D"/>
    <w:rsid w:val="614A63E1"/>
    <w:rsid w:val="61725C7D"/>
    <w:rsid w:val="617E1009"/>
    <w:rsid w:val="6182454A"/>
    <w:rsid w:val="6190424F"/>
    <w:rsid w:val="61A279A1"/>
    <w:rsid w:val="61A9090F"/>
    <w:rsid w:val="61B37570"/>
    <w:rsid w:val="61C56089"/>
    <w:rsid w:val="620E400B"/>
    <w:rsid w:val="623D5DB5"/>
    <w:rsid w:val="62A97F21"/>
    <w:rsid w:val="62D36FBD"/>
    <w:rsid w:val="62E720FA"/>
    <w:rsid w:val="631A2A37"/>
    <w:rsid w:val="632C72DE"/>
    <w:rsid w:val="633935CF"/>
    <w:rsid w:val="633D28B4"/>
    <w:rsid w:val="63435888"/>
    <w:rsid w:val="635B006A"/>
    <w:rsid w:val="636C0B47"/>
    <w:rsid w:val="637B7802"/>
    <w:rsid w:val="637C0185"/>
    <w:rsid w:val="63856445"/>
    <w:rsid w:val="639E7427"/>
    <w:rsid w:val="63CB0F49"/>
    <w:rsid w:val="63DF58B8"/>
    <w:rsid w:val="64091F7A"/>
    <w:rsid w:val="645755C7"/>
    <w:rsid w:val="649167AD"/>
    <w:rsid w:val="64CA567F"/>
    <w:rsid w:val="64D00A8A"/>
    <w:rsid w:val="64FA3CF2"/>
    <w:rsid w:val="65082DA0"/>
    <w:rsid w:val="652661E3"/>
    <w:rsid w:val="654040FE"/>
    <w:rsid w:val="65565008"/>
    <w:rsid w:val="6562063F"/>
    <w:rsid w:val="657D23F5"/>
    <w:rsid w:val="65820892"/>
    <w:rsid w:val="65A02D76"/>
    <w:rsid w:val="65A64BDC"/>
    <w:rsid w:val="662B7ADA"/>
    <w:rsid w:val="669D3AA8"/>
    <w:rsid w:val="66AC3BE6"/>
    <w:rsid w:val="66C76034"/>
    <w:rsid w:val="67096DCB"/>
    <w:rsid w:val="67152B96"/>
    <w:rsid w:val="673A4DC5"/>
    <w:rsid w:val="67866152"/>
    <w:rsid w:val="67C54566"/>
    <w:rsid w:val="681148B9"/>
    <w:rsid w:val="68385A42"/>
    <w:rsid w:val="68553301"/>
    <w:rsid w:val="68797A3E"/>
    <w:rsid w:val="68824835"/>
    <w:rsid w:val="68A43605"/>
    <w:rsid w:val="68AF0221"/>
    <w:rsid w:val="68BC5A94"/>
    <w:rsid w:val="68D93BBA"/>
    <w:rsid w:val="68E92C89"/>
    <w:rsid w:val="68EA4B22"/>
    <w:rsid w:val="68F04672"/>
    <w:rsid w:val="690A5E3C"/>
    <w:rsid w:val="691A2CAD"/>
    <w:rsid w:val="69236754"/>
    <w:rsid w:val="693710FF"/>
    <w:rsid w:val="694827B0"/>
    <w:rsid w:val="69517033"/>
    <w:rsid w:val="697E1145"/>
    <w:rsid w:val="698026F3"/>
    <w:rsid w:val="69887F5F"/>
    <w:rsid w:val="698E1800"/>
    <w:rsid w:val="69914AE2"/>
    <w:rsid w:val="69CF489A"/>
    <w:rsid w:val="69D104DB"/>
    <w:rsid w:val="69FD6537"/>
    <w:rsid w:val="6A053F40"/>
    <w:rsid w:val="6A205554"/>
    <w:rsid w:val="6A267E61"/>
    <w:rsid w:val="6A2A43AA"/>
    <w:rsid w:val="6A51107F"/>
    <w:rsid w:val="6A7104E1"/>
    <w:rsid w:val="6A87516E"/>
    <w:rsid w:val="6A8829C0"/>
    <w:rsid w:val="6A8B2934"/>
    <w:rsid w:val="6A9C4953"/>
    <w:rsid w:val="6AAF0919"/>
    <w:rsid w:val="6AC70989"/>
    <w:rsid w:val="6ACE0C98"/>
    <w:rsid w:val="6B0157F8"/>
    <w:rsid w:val="6B170085"/>
    <w:rsid w:val="6B5F748E"/>
    <w:rsid w:val="6B677782"/>
    <w:rsid w:val="6B73004C"/>
    <w:rsid w:val="6B8B5541"/>
    <w:rsid w:val="6BA21C71"/>
    <w:rsid w:val="6BA2468A"/>
    <w:rsid w:val="6BBF32D6"/>
    <w:rsid w:val="6BD355F9"/>
    <w:rsid w:val="6C377F15"/>
    <w:rsid w:val="6C431061"/>
    <w:rsid w:val="6C5E1A10"/>
    <w:rsid w:val="6CDB1287"/>
    <w:rsid w:val="6CF5145D"/>
    <w:rsid w:val="6D13152E"/>
    <w:rsid w:val="6D5975B8"/>
    <w:rsid w:val="6DB41B30"/>
    <w:rsid w:val="6DDC62E0"/>
    <w:rsid w:val="6DE870ED"/>
    <w:rsid w:val="6E200F27"/>
    <w:rsid w:val="6E253D50"/>
    <w:rsid w:val="6E2C1E9E"/>
    <w:rsid w:val="6E3255D5"/>
    <w:rsid w:val="6E3E1399"/>
    <w:rsid w:val="6E4724E1"/>
    <w:rsid w:val="6E5B6A3E"/>
    <w:rsid w:val="6E6A261D"/>
    <w:rsid w:val="6E6A6A11"/>
    <w:rsid w:val="6E6F0611"/>
    <w:rsid w:val="6E894300"/>
    <w:rsid w:val="6EBA594A"/>
    <w:rsid w:val="6EF47AFC"/>
    <w:rsid w:val="6F191216"/>
    <w:rsid w:val="6F454430"/>
    <w:rsid w:val="6F565E54"/>
    <w:rsid w:val="6F934FE1"/>
    <w:rsid w:val="6F9F3C27"/>
    <w:rsid w:val="6FE47A41"/>
    <w:rsid w:val="702B4403"/>
    <w:rsid w:val="705020BB"/>
    <w:rsid w:val="70544176"/>
    <w:rsid w:val="706E1EE1"/>
    <w:rsid w:val="70A174DC"/>
    <w:rsid w:val="70A608B5"/>
    <w:rsid w:val="70AA415D"/>
    <w:rsid w:val="711973B7"/>
    <w:rsid w:val="714B1160"/>
    <w:rsid w:val="71510B79"/>
    <w:rsid w:val="71761AF9"/>
    <w:rsid w:val="71C72322"/>
    <w:rsid w:val="71D73662"/>
    <w:rsid w:val="71EB1D1D"/>
    <w:rsid w:val="721E7C48"/>
    <w:rsid w:val="7233103D"/>
    <w:rsid w:val="724C2493"/>
    <w:rsid w:val="72714525"/>
    <w:rsid w:val="729200B4"/>
    <w:rsid w:val="72DC1BC2"/>
    <w:rsid w:val="73445571"/>
    <w:rsid w:val="734A5897"/>
    <w:rsid w:val="73563F3D"/>
    <w:rsid w:val="73791F83"/>
    <w:rsid w:val="738161B5"/>
    <w:rsid w:val="73AB459A"/>
    <w:rsid w:val="73C9049C"/>
    <w:rsid w:val="73D07389"/>
    <w:rsid w:val="73D9628E"/>
    <w:rsid w:val="744D4728"/>
    <w:rsid w:val="7455169D"/>
    <w:rsid w:val="745E5984"/>
    <w:rsid w:val="747D03BA"/>
    <w:rsid w:val="749774F7"/>
    <w:rsid w:val="749F468F"/>
    <w:rsid w:val="74C50C05"/>
    <w:rsid w:val="74CC0D71"/>
    <w:rsid w:val="74D6048B"/>
    <w:rsid w:val="74DD0652"/>
    <w:rsid w:val="7500388D"/>
    <w:rsid w:val="751A3958"/>
    <w:rsid w:val="75500781"/>
    <w:rsid w:val="75576A27"/>
    <w:rsid w:val="757B0338"/>
    <w:rsid w:val="7584574D"/>
    <w:rsid w:val="758509C4"/>
    <w:rsid w:val="75A81254"/>
    <w:rsid w:val="75C54360"/>
    <w:rsid w:val="75FF582C"/>
    <w:rsid w:val="760C53B0"/>
    <w:rsid w:val="76395676"/>
    <w:rsid w:val="763E6EB9"/>
    <w:rsid w:val="767D4E17"/>
    <w:rsid w:val="76A062DC"/>
    <w:rsid w:val="76F46A8D"/>
    <w:rsid w:val="76FD7BC7"/>
    <w:rsid w:val="770B4E9E"/>
    <w:rsid w:val="770E22ED"/>
    <w:rsid w:val="77150F5A"/>
    <w:rsid w:val="77247DB0"/>
    <w:rsid w:val="772A5A6F"/>
    <w:rsid w:val="772E68A2"/>
    <w:rsid w:val="773751DB"/>
    <w:rsid w:val="77665EB5"/>
    <w:rsid w:val="77847D49"/>
    <w:rsid w:val="77C54F38"/>
    <w:rsid w:val="782679EA"/>
    <w:rsid w:val="7843036E"/>
    <w:rsid w:val="78677363"/>
    <w:rsid w:val="78EA0BBC"/>
    <w:rsid w:val="78FB3161"/>
    <w:rsid w:val="79794AC0"/>
    <w:rsid w:val="799F30C9"/>
    <w:rsid w:val="79C12F85"/>
    <w:rsid w:val="79C51419"/>
    <w:rsid w:val="79D85F34"/>
    <w:rsid w:val="79E464B3"/>
    <w:rsid w:val="79F60975"/>
    <w:rsid w:val="7A087BBA"/>
    <w:rsid w:val="7A0F6A56"/>
    <w:rsid w:val="7A4C5132"/>
    <w:rsid w:val="7A4C6F50"/>
    <w:rsid w:val="7A595B8C"/>
    <w:rsid w:val="7A5D6B32"/>
    <w:rsid w:val="7A8136C0"/>
    <w:rsid w:val="7AB61A56"/>
    <w:rsid w:val="7ABF4BF9"/>
    <w:rsid w:val="7AC5101C"/>
    <w:rsid w:val="7B171F82"/>
    <w:rsid w:val="7B1C1291"/>
    <w:rsid w:val="7B2D5A3D"/>
    <w:rsid w:val="7B332FF5"/>
    <w:rsid w:val="7B5D289A"/>
    <w:rsid w:val="7B6965FD"/>
    <w:rsid w:val="7B8E6C54"/>
    <w:rsid w:val="7B947906"/>
    <w:rsid w:val="7BA95F99"/>
    <w:rsid w:val="7C1D5881"/>
    <w:rsid w:val="7C271D71"/>
    <w:rsid w:val="7C406E41"/>
    <w:rsid w:val="7C445270"/>
    <w:rsid w:val="7C740714"/>
    <w:rsid w:val="7C8153EC"/>
    <w:rsid w:val="7CC43BE8"/>
    <w:rsid w:val="7CD07A90"/>
    <w:rsid w:val="7CDB103D"/>
    <w:rsid w:val="7CE50D10"/>
    <w:rsid w:val="7CF51700"/>
    <w:rsid w:val="7D02618E"/>
    <w:rsid w:val="7D2F31AC"/>
    <w:rsid w:val="7D32192F"/>
    <w:rsid w:val="7D56612D"/>
    <w:rsid w:val="7D752DA6"/>
    <w:rsid w:val="7D8B3469"/>
    <w:rsid w:val="7D8E38D5"/>
    <w:rsid w:val="7D9A7A16"/>
    <w:rsid w:val="7DA37891"/>
    <w:rsid w:val="7DFC1D56"/>
    <w:rsid w:val="7E05329B"/>
    <w:rsid w:val="7E144AFE"/>
    <w:rsid w:val="7E68441C"/>
    <w:rsid w:val="7E903F6F"/>
    <w:rsid w:val="7EB17D83"/>
    <w:rsid w:val="7EB271AF"/>
    <w:rsid w:val="7ED025C8"/>
    <w:rsid w:val="7EE079E6"/>
    <w:rsid w:val="7EE33FAB"/>
    <w:rsid w:val="7EFC704E"/>
    <w:rsid w:val="7F025171"/>
    <w:rsid w:val="7F2523C9"/>
    <w:rsid w:val="7F395233"/>
    <w:rsid w:val="7F4D5BB0"/>
    <w:rsid w:val="7F662FC6"/>
    <w:rsid w:val="7F6E2741"/>
    <w:rsid w:val="7FB822D9"/>
    <w:rsid w:val="7FDB68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684" w:firstLineChars="200"/>
      <w:jc w:val="both"/>
    </w:pPr>
    <w:rPr>
      <w:rFonts w:ascii="Times New Roman" w:hAnsi="Times New Roman" w:eastAsia="方正仿宋_GBK" w:cs="Times New Roman"/>
      <w:spacing w:val="11"/>
      <w:kern w:val="2"/>
      <w:sz w:val="32"/>
      <w:lang w:val="en-US" w:eastAsia="zh-CN" w:bidi="ar-SA"/>
    </w:rPr>
  </w:style>
  <w:style w:type="paragraph" w:styleId="3">
    <w:name w:val="heading 1"/>
    <w:basedOn w:val="1"/>
    <w:next w:val="1"/>
    <w:link w:val="29"/>
    <w:qFormat/>
    <w:uiPriority w:val="0"/>
    <w:pPr>
      <w:keepNext/>
      <w:keepLines/>
      <w:spacing w:before="120" w:after="120" w:line="360" w:lineRule="auto"/>
      <w:ind w:firstLine="0" w:firstLineChars="0"/>
      <w:jc w:val="center"/>
      <w:outlineLvl w:val="0"/>
    </w:pPr>
    <w:rPr>
      <w:rFonts w:ascii="Calibri" w:hAnsi="Calibri" w:eastAsia="方正小标宋简体"/>
      <w:kern w:val="44"/>
      <w:sz w:val="36"/>
      <w:szCs w:val="24"/>
    </w:rPr>
  </w:style>
  <w:style w:type="paragraph" w:styleId="4">
    <w:name w:val="heading 2"/>
    <w:basedOn w:val="1"/>
    <w:next w:val="1"/>
    <w:unhideWhenUsed/>
    <w:qFormat/>
    <w:uiPriority w:val="0"/>
    <w:pPr>
      <w:spacing w:before="120" w:after="120" w:line="360" w:lineRule="auto"/>
      <w:ind w:firstLine="0" w:firstLineChars="0"/>
      <w:jc w:val="center"/>
      <w:outlineLvl w:val="1"/>
    </w:pPr>
    <w:rPr>
      <w:rFonts w:ascii="Calibri" w:hAnsi="Calibri" w:eastAsia="方正黑体_GBK"/>
      <w:bCs/>
      <w:szCs w:val="32"/>
    </w:rPr>
  </w:style>
  <w:style w:type="paragraph" w:styleId="5">
    <w:name w:val="heading 3"/>
    <w:basedOn w:val="1"/>
    <w:next w:val="1"/>
    <w:link w:val="33"/>
    <w:qFormat/>
    <w:uiPriority w:val="9"/>
    <w:pPr>
      <w:keepNext/>
      <w:keepLines/>
      <w:spacing w:before="60" w:after="60" w:line="560" w:lineRule="exact"/>
      <w:outlineLvl w:val="2"/>
    </w:pPr>
    <w:rPr>
      <w:rFonts w:ascii="Calibri" w:hAnsi="Calibri" w:eastAsia="黑体"/>
      <w:bCs/>
      <w:szCs w:val="32"/>
    </w:rPr>
  </w:style>
  <w:style w:type="paragraph" w:styleId="6">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7">
    <w:name w:val="Normal Indent"/>
    <w:basedOn w:val="1"/>
    <w:next w:val="1"/>
    <w:qFormat/>
    <w:uiPriority w:val="0"/>
    <w:pPr>
      <w:ind w:firstLine="420"/>
    </w:pPr>
    <w:rPr>
      <w:rFonts w:ascii="Calibri" w:hAnsi="Calibri" w:eastAsia="宋体"/>
      <w:sz w:val="21"/>
      <w:szCs w:val="24"/>
    </w:rPr>
  </w:style>
  <w:style w:type="paragraph" w:styleId="8">
    <w:name w:val="annotation text"/>
    <w:basedOn w:val="1"/>
    <w:link w:val="39"/>
    <w:qFormat/>
    <w:uiPriority w:val="0"/>
    <w:pPr>
      <w:jc w:val="left"/>
    </w:pPr>
  </w:style>
  <w:style w:type="paragraph" w:styleId="9">
    <w:name w:val="Body Text Indent"/>
    <w:basedOn w:val="1"/>
    <w:qFormat/>
    <w:uiPriority w:val="0"/>
    <w:pPr>
      <w:spacing w:after="120"/>
      <w:ind w:left="420" w:leftChars="200"/>
    </w:pPr>
  </w:style>
  <w:style w:type="paragraph" w:styleId="10">
    <w:name w:val="toc 5"/>
    <w:basedOn w:val="1"/>
    <w:next w:val="1"/>
    <w:unhideWhenUsed/>
    <w:qFormat/>
    <w:uiPriority w:val="39"/>
    <w:pPr>
      <w:ind w:left="840"/>
      <w:jc w:val="left"/>
    </w:pPr>
    <w:rPr>
      <w:rFonts w:cs="Calibri"/>
      <w:sz w:val="18"/>
      <w:szCs w:val="18"/>
    </w:rPr>
  </w:style>
  <w:style w:type="paragraph" w:styleId="11">
    <w:name w:val="Balloon Text"/>
    <w:basedOn w:val="1"/>
    <w:link w:val="37"/>
    <w:qFormat/>
    <w:uiPriority w:val="0"/>
    <w:pPr>
      <w:spacing w:line="240" w:lineRule="auto"/>
    </w:pPr>
    <w:rPr>
      <w:sz w:val="18"/>
      <w:szCs w:val="18"/>
    </w:rPr>
  </w:style>
  <w:style w:type="paragraph" w:styleId="12">
    <w:name w:val="footer"/>
    <w:basedOn w:val="1"/>
    <w:qFormat/>
    <w:uiPriority w:val="0"/>
    <w:pPr>
      <w:tabs>
        <w:tab w:val="center" w:pos="4153"/>
        <w:tab w:val="right" w:pos="8306"/>
      </w:tabs>
      <w:snapToGrid w:val="0"/>
      <w:jc w:val="left"/>
    </w:pPr>
    <w:rPr>
      <w:rFonts w:asciiTheme="minorHAnsi" w:hAnsiTheme="minorHAnsi" w:eastAsiaTheme="minorEastAsia" w:cstheme="minorBidi"/>
      <w:sz w:val="18"/>
      <w:szCs w:val="24"/>
    </w:rPr>
  </w:style>
  <w:style w:type="paragraph" w:styleId="13">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14">
    <w:name w:val="toc 1"/>
    <w:basedOn w:val="1"/>
    <w:next w:val="1"/>
    <w:link w:val="26"/>
    <w:qFormat/>
    <w:uiPriority w:val="0"/>
  </w:style>
  <w:style w:type="paragraph" w:styleId="15">
    <w:name w:val="footnote text"/>
    <w:basedOn w:val="1"/>
    <w:qFormat/>
    <w:uiPriority w:val="0"/>
    <w:pPr>
      <w:snapToGrid w:val="0"/>
      <w:jc w:val="left"/>
    </w:pPr>
    <w:rPr>
      <w:sz w:val="18"/>
    </w:rPr>
  </w:style>
  <w:style w:type="paragraph" w:styleId="16">
    <w:name w:val="toc 2"/>
    <w:basedOn w:val="1"/>
    <w:next w:val="1"/>
    <w:qFormat/>
    <w:uiPriority w:val="0"/>
    <w:pPr>
      <w:ind w:left="420" w:leftChars="200"/>
    </w:pPr>
  </w:style>
  <w:style w:type="paragraph" w:styleId="17">
    <w:name w:val="Normal (Web)"/>
    <w:basedOn w:val="1"/>
    <w:qFormat/>
    <w:uiPriority w:val="0"/>
    <w:pPr>
      <w:spacing w:before="100" w:beforeAutospacing="1" w:after="100" w:afterAutospacing="1" w:line="240" w:lineRule="auto"/>
      <w:ind w:firstLine="0" w:firstLineChars="0"/>
      <w:jc w:val="left"/>
    </w:pPr>
    <w:rPr>
      <w:rFonts w:asciiTheme="minorHAnsi" w:hAnsiTheme="minorHAnsi" w:eastAsiaTheme="minorEastAsia"/>
      <w:spacing w:val="0"/>
      <w:kern w:val="0"/>
      <w:sz w:val="24"/>
      <w:szCs w:val="24"/>
    </w:rPr>
  </w:style>
  <w:style w:type="paragraph" w:styleId="18">
    <w:name w:val="Body Text First Indent"/>
    <w:basedOn w:val="2"/>
    <w:next w:val="2"/>
    <w:qFormat/>
    <w:uiPriority w:val="0"/>
    <w:pPr>
      <w:ind w:firstLine="420" w:firstLineChars="100"/>
    </w:pPr>
  </w:style>
  <w:style w:type="paragraph" w:styleId="19">
    <w:name w:val="Body Text First Indent 2"/>
    <w:basedOn w:val="9"/>
    <w:unhideWhenUsed/>
    <w:qFormat/>
    <w:uiPriority w:val="99"/>
    <w:pPr>
      <w:widowControl w:val="0"/>
      <w:spacing w:after="120" w:line="560" w:lineRule="exact"/>
      <w:ind w:left="420" w:leftChars="200" w:firstLine="420" w:firstLineChars="200"/>
      <w:jc w:val="both"/>
    </w:pPr>
    <w:rPr>
      <w:rFonts w:ascii="Times New Roman" w:hAnsi="Times New Roman" w:eastAsia="方正仿宋_GBK" w:cs="Times New Roman"/>
      <w:kern w:val="2"/>
      <w:sz w:val="21"/>
      <w:szCs w:val="22"/>
      <w:lang w:val="en-US" w:eastAsia="zh-CN" w:bidi="ar-SA"/>
    </w:rPr>
  </w:style>
  <w:style w:type="table" w:styleId="2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qFormat/>
    <w:uiPriority w:val="22"/>
    <w:rPr>
      <w:b/>
      <w:bCs/>
    </w:rPr>
  </w:style>
  <w:style w:type="character" w:styleId="24">
    <w:name w:val="annotation reference"/>
    <w:basedOn w:val="22"/>
    <w:qFormat/>
    <w:uiPriority w:val="0"/>
    <w:rPr>
      <w:sz w:val="21"/>
      <w:szCs w:val="21"/>
    </w:rPr>
  </w:style>
  <w:style w:type="character" w:styleId="25">
    <w:name w:val="footnote reference"/>
    <w:basedOn w:val="22"/>
    <w:qFormat/>
    <w:uiPriority w:val="0"/>
    <w:rPr>
      <w:vertAlign w:val="superscript"/>
    </w:rPr>
  </w:style>
  <w:style w:type="character" w:customStyle="1" w:styleId="26">
    <w:name w:val="目录 1 Char"/>
    <w:link w:val="14"/>
    <w:qFormat/>
    <w:uiPriority w:val="0"/>
  </w:style>
  <w:style w:type="paragraph" w:customStyle="1" w:styleId="27">
    <w:name w:val="图表目录1"/>
    <w:basedOn w:val="28"/>
    <w:next w:val="1"/>
    <w:qFormat/>
    <w:uiPriority w:val="0"/>
    <w:pPr>
      <w:ind w:left="200" w:leftChars="200" w:hanging="200" w:hangingChars="200"/>
    </w:pPr>
  </w:style>
  <w:style w:type="paragraph" w:customStyle="1" w:styleId="28">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7"/>
    <w:qFormat/>
    <w:uiPriority w:val="0"/>
    <w:pPr>
      <w:widowControl w:val="0"/>
      <w:jc w:val="both"/>
    </w:pPr>
    <w:rPr>
      <w:rFonts w:ascii="Calibri" w:hAnsi="Calibri" w:eastAsia="宋体" w:cs="黑体"/>
      <w:kern w:val="2"/>
      <w:sz w:val="21"/>
      <w:szCs w:val="24"/>
      <w:lang w:val="en-US" w:eastAsia="zh-CN" w:bidi="ar-SA"/>
    </w:rPr>
  </w:style>
  <w:style w:type="character" w:customStyle="1" w:styleId="29">
    <w:name w:val="标题 1 字符"/>
    <w:link w:val="3"/>
    <w:qFormat/>
    <w:uiPriority w:val="0"/>
    <w:rPr>
      <w:rFonts w:ascii="Calibri" w:hAnsi="Calibri" w:eastAsia="方正小标宋简体" w:cs="Times New Roman"/>
      <w:spacing w:val="11"/>
      <w:kern w:val="44"/>
      <w:sz w:val="36"/>
      <w:szCs w:val="24"/>
      <w:lang w:val="en-US" w:eastAsia="zh-CN" w:bidi="ar-SA"/>
    </w:rPr>
  </w:style>
  <w:style w:type="table" w:customStyle="1" w:styleId="30">
    <w:name w:val="网格型2"/>
    <w:unhideWhenUsed/>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31">
    <w:name w:val="正文缩进1"/>
    <w:qFormat/>
    <w:uiPriority w:val="0"/>
    <w:pPr>
      <w:widowControl w:val="0"/>
      <w:adjustRightInd w:val="0"/>
      <w:snapToGrid w:val="0"/>
      <w:spacing w:line="560" w:lineRule="exact"/>
      <w:ind w:firstLine="420" w:firstLineChars="200"/>
      <w:jc w:val="both"/>
    </w:pPr>
    <w:rPr>
      <w:rFonts w:ascii="Calibri" w:hAnsi="Calibri" w:eastAsia="宋体" w:cs="Times New Roman"/>
      <w:kern w:val="2"/>
      <w:sz w:val="21"/>
      <w:szCs w:val="21"/>
      <w:lang w:val="en-US" w:eastAsia="zh-CN" w:bidi="ar-SA"/>
    </w:rPr>
  </w:style>
  <w:style w:type="table" w:customStyle="1" w:styleId="32">
    <w:name w:val="网格型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33">
    <w:name w:val="标题 3 字符"/>
    <w:link w:val="5"/>
    <w:qFormat/>
    <w:uiPriority w:val="9"/>
    <w:rPr>
      <w:rFonts w:ascii="Calibri" w:hAnsi="Calibri" w:eastAsia="黑体" w:cs="Times New Roman"/>
      <w:bCs/>
      <w:spacing w:val="11"/>
      <w:kern w:val="2"/>
      <w:sz w:val="32"/>
      <w:szCs w:val="32"/>
      <w:lang w:val="en-US" w:eastAsia="zh-CN" w:bidi="ar-SA"/>
    </w:rPr>
  </w:style>
  <w:style w:type="paragraph" w:customStyle="1" w:styleId="34">
    <w:name w:val="正文首行缩进 21"/>
    <w:basedOn w:val="1"/>
    <w:qFormat/>
    <w:uiPriority w:val="99"/>
    <w:pPr>
      <w:spacing w:before="100" w:beforeAutospacing="1" w:after="120"/>
      <w:ind w:left="200" w:leftChars="200" w:firstLine="420"/>
    </w:pPr>
    <w:rPr>
      <w:kern w:val="0"/>
      <w:sz w:val="28"/>
      <w:szCs w:val="28"/>
    </w:rPr>
  </w:style>
  <w:style w:type="character" w:customStyle="1" w:styleId="35">
    <w:name w:val="font101"/>
    <w:basedOn w:val="22"/>
    <w:qFormat/>
    <w:uiPriority w:val="0"/>
    <w:rPr>
      <w:rFonts w:hint="eastAsia" w:ascii="宋体" w:hAnsi="宋体" w:eastAsia="宋体" w:cs="宋体"/>
      <w:b/>
      <w:color w:val="000000"/>
      <w:sz w:val="20"/>
      <w:szCs w:val="20"/>
      <w:u w:val="none"/>
    </w:rPr>
  </w:style>
  <w:style w:type="character" w:customStyle="1" w:styleId="36">
    <w:name w:val="font112"/>
    <w:basedOn w:val="22"/>
    <w:qFormat/>
    <w:uiPriority w:val="0"/>
    <w:rPr>
      <w:rFonts w:hint="default" w:ascii="Times New Roman" w:hAnsi="Times New Roman" w:cs="Times New Roman"/>
      <w:b/>
      <w:color w:val="000000"/>
      <w:sz w:val="20"/>
      <w:szCs w:val="20"/>
      <w:u w:val="none"/>
    </w:rPr>
  </w:style>
  <w:style w:type="character" w:customStyle="1" w:styleId="37">
    <w:name w:val="批注框文本 字符"/>
    <w:basedOn w:val="22"/>
    <w:link w:val="11"/>
    <w:qFormat/>
    <w:uiPriority w:val="0"/>
    <w:rPr>
      <w:rFonts w:eastAsia="方正仿宋_GBK"/>
      <w:spacing w:val="11"/>
      <w:kern w:val="2"/>
      <w:sz w:val="18"/>
      <w:szCs w:val="18"/>
    </w:rPr>
  </w:style>
  <w:style w:type="character" w:customStyle="1" w:styleId="38">
    <w:name w:val="fontstyle21"/>
    <w:basedOn w:val="22"/>
    <w:qFormat/>
    <w:uiPriority w:val="0"/>
    <w:rPr>
      <w:rFonts w:hint="default" w:ascii="FZFSK--GBK1-0" w:hAnsi="FZFSK--GBK1-0" w:eastAsiaTheme="minorEastAsia" w:cstheme="minorBidi"/>
      <w:color w:val="000000"/>
      <w:sz w:val="32"/>
      <w:szCs w:val="32"/>
    </w:rPr>
  </w:style>
  <w:style w:type="character" w:customStyle="1" w:styleId="39">
    <w:name w:val="批注文字 Char"/>
    <w:link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jpeg"/><Relationship Id="rId17" Type="http://schemas.openxmlformats.org/officeDocument/2006/relationships/image" Target="media/image7.jpeg"/><Relationship Id="rId16" Type="http://schemas.openxmlformats.org/officeDocument/2006/relationships/image" Target="media/image6.jpe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136</Pages>
  <Words>69011</Words>
  <Characters>70726</Characters>
  <Lines>478</Lines>
  <Paragraphs>134</Paragraphs>
  <TotalTime>12</TotalTime>
  <ScaleCrop>false</ScaleCrop>
  <LinksUpToDate>false</LinksUpToDate>
  <CharactersWithSpaces>71157</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2020-11-13T09:22:00Z</dcterms:created>
  <dc:creator>黒白╰*键＇dɛmo</dc:creator>
  <cp:lastModifiedBy>kylin</cp:lastModifiedBy>
  <cp:lastPrinted>2021-01-11T19:08:00Z</cp:lastPrinted>
  <dcterms:modified xsi:type="dcterms:W3CDTF">2026-07-16T08:59:04Z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KSOSaveFontToCloudKey">
    <vt:lpwstr>455104817_embed</vt:lpwstr>
  </property>
  <property fmtid="{D5CDD505-2E9C-101B-9397-08002B2CF9AE}" pid="4" name="ICV">
    <vt:lpwstr>0CC81B2D46D17A98D82C586A29FB3C8B_43</vt:lpwstr>
  </property>
</Properties>
</file>